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0027073">
      <w:pPr>
        <w:ind w:firstLine="1320" w:firstLineChars="600"/>
      </w:pPr>
      <w:r>
        <w:rPr>
          <w:lang w:eastAsia="zh-CN"/>
        </w:rPr>
        <w:drawing>
          <wp:anchor distT="0" distB="0" distL="114300" distR="114300" simplePos="0" relativeHeight="251660288" behindDoc="0" locked="0" layoutInCell="1" allowOverlap="1">
            <wp:simplePos x="0" y="0"/>
            <wp:positionH relativeFrom="column">
              <wp:posOffset>160655</wp:posOffset>
            </wp:positionH>
            <wp:positionV relativeFrom="paragraph">
              <wp:posOffset>40640</wp:posOffset>
            </wp:positionV>
            <wp:extent cx="655955" cy="817880"/>
            <wp:effectExtent l="0" t="0" r="14605" b="5080"/>
            <wp:wrapNone/>
            <wp:docPr id="18" name="图片 18" descr="CYJ的LOGO-1 拷贝"/>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descr="CYJ的LOGO-1 拷贝"/>
                    <pic:cNvPicPr>
                      <a:picLocks noChangeAspect="1"/>
                    </pic:cNvPicPr>
                  </pic:nvPicPr>
                  <pic:blipFill>
                    <a:blip r:embed="rId7"/>
                    <a:stretch>
                      <a:fillRect/>
                    </a:stretch>
                  </pic:blipFill>
                  <pic:spPr>
                    <a:xfrm>
                      <a:off x="0" y="0"/>
                      <a:ext cx="655955" cy="817880"/>
                    </a:xfrm>
                    <a:prstGeom prst="rect">
                      <a:avLst/>
                    </a:prstGeom>
                    <a:noFill/>
                    <a:ln>
                      <a:noFill/>
                    </a:ln>
                  </pic:spPr>
                </pic:pic>
              </a:graphicData>
            </a:graphic>
          </wp:anchor>
        </w:drawing>
      </w:r>
      <w:r>
        <w:rPr>
          <w:lang w:eastAsia="zh-CN"/>
        </w:rPr>
        <w:drawing>
          <wp:inline distT="0" distB="0" distL="114300" distR="114300">
            <wp:extent cx="2320925" cy="365760"/>
            <wp:effectExtent l="0" t="0" r="10795" b="0"/>
            <wp:docPr id="19" name="图片 2" descr="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2" descr="5"/>
                    <pic:cNvPicPr>
                      <a:picLocks noChangeAspect="1"/>
                    </pic:cNvPicPr>
                  </pic:nvPicPr>
                  <pic:blipFill>
                    <a:blip r:embed="rId8"/>
                    <a:stretch>
                      <a:fillRect/>
                    </a:stretch>
                  </pic:blipFill>
                  <pic:spPr>
                    <a:xfrm>
                      <a:off x="0" y="0"/>
                      <a:ext cx="2320925" cy="365760"/>
                    </a:xfrm>
                    <a:prstGeom prst="rect">
                      <a:avLst/>
                    </a:prstGeom>
                    <a:noFill/>
                    <a:ln>
                      <a:noFill/>
                    </a:ln>
                  </pic:spPr>
                </pic:pic>
              </a:graphicData>
            </a:graphic>
          </wp:inline>
        </w:drawing>
      </w:r>
      <w:r>
        <w:rPr>
          <w:rFonts w:hint="eastAsia"/>
        </w:rPr>
        <w:t xml:space="preserve">           </w:t>
      </w:r>
      <w:r>
        <w:t xml:space="preserve">     </w:t>
      </w:r>
    </w:p>
    <w:p w14:paraId="3B36A7C1">
      <w:pPr>
        <w:ind w:firstLine="1621" w:firstLineChars="450"/>
        <w:rPr>
          <w:rFonts w:ascii="微软雅黑" w:eastAsia="微软雅黑"/>
        </w:rPr>
      </w:pPr>
      <w:r>
        <w:rPr>
          <w:rFonts w:hint="eastAsia" w:ascii="微软雅黑" w:eastAsia="微软雅黑"/>
          <w:b/>
          <w:color w:val="008080"/>
          <w:sz w:val="36"/>
          <w:szCs w:val="36"/>
        </w:rPr>
        <w:t>分 子 医 学 检 测 中 心</w:t>
      </w:r>
    </w:p>
    <w:p w14:paraId="498787B8">
      <w:pPr>
        <w:snapToGrid w:val="0"/>
        <w:ind w:firstLine="1575" w:firstLineChars="750"/>
        <w:rPr>
          <w:i/>
          <w:color w:val="008080"/>
          <w:sz w:val="21"/>
          <w:szCs w:val="21"/>
        </w:rPr>
      </w:pPr>
      <w:r>
        <w:rPr>
          <w:i/>
          <w:color w:val="008080"/>
          <w:sz w:val="21"/>
          <w:szCs w:val="21"/>
        </w:rPr>
        <w:t>Molecular Medical Laboratory, Chongqing Medical University</w:t>
      </w:r>
    </w:p>
    <w:p w14:paraId="49045A81">
      <w:pPr>
        <w:bidi w:val="0"/>
        <w:rPr>
          <w:lang w:val="en-US" w:eastAsia="zh-CN"/>
        </w:rPr>
      </w:pPr>
    </w:p>
    <w:p w14:paraId="77507FA1">
      <w:pPr>
        <w:bidi w:val="0"/>
        <w:rPr>
          <w:lang w:val="en-US" w:eastAsia="zh-CN"/>
        </w:rPr>
      </w:pPr>
    </w:p>
    <w:p w14:paraId="30172CEC">
      <w:pPr>
        <w:bidi w:val="0"/>
        <w:rPr>
          <w:lang w:val="en-US" w:eastAsia="zh-CN"/>
        </w:rPr>
      </w:pPr>
    </w:p>
    <w:p w14:paraId="12549CF8">
      <w:pPr>
        <w:bidi w:val="0"/>
        <w:rPr>
          <w:lang w:val="en-US" w:eastAsia="zh-CN"/>
        </w:rPr>
      </w:pPr>
    </w:p>
    <w:p w14:paraId="54419335">
      <w:pPr>
        <w:bidi w:val="0"/>
        <w:rPr>
          <w:lang w:val="en-US" w:eastAsia="zh-CN"/>
        </w:rPr>
      </w:pPr>
    </w:p>
    <w:p w14:paraId="1B9487E3">
      <w:pPr>
        <w:bidi w:val="0"/>
        <w:rPr>
          <w:lang w:val="en-US" w:eastAsia="zh-CN"/>
        </w:rPr>
      </w:pPr>
    </w:p>
    <w:p w14:paraId="54391CA6">
      <w:pPr>
        <w:bidi w:val="0"/>
        <w:rPr>
          <w:lang w:val="en-US" w:eastAsia="zh-CN"/>
        </w:rPr>
      </w:pPr>
    </w:p>
    <w:p w14:paraId="04BB7BB9">
      <w:pPr>
        <w:bidi w:val="0"/>
        <w:rPr>
          <w:lang w:val="en-US" w:eastAsia="zh-CN"/>
        </w:rPr>
      </w:pPr>
    </w:p>
    <w:p w14:paraId="17236791">
      <w:pPr>
        <w:bidi w:val="0"/>
        <w:rPr>
          <w:lang w:val="en-US" w:eastAsia="zh-CN"/>
        </w:rPr>
      </w:pPr>
    </w:p>
    <w:p w14:paraId="183E54A8">
      <w:pPr>
        <w:jc w:val="center"/>
        <w:rPr>
          <w:rFonts w:hint="eastAsia" w:ascii="黑体" w:hAnsi="黑体" w:eastAsia="黑体" w:cs="黑体"/>
          <w:color w:val="548235" w:themeColor="accent6" w:themeShade="BF"/>
          <w:sz w:val="72"/>
          <w:szCs w:val="72"/>
          <w:lang w:eastAsia="zh-CN"/>
        </w:rPr>
      </w:pPr>
      <w:r>
        <w:rPr>
          <w:rFonts w:hint="eastAsia" w:ascii="微软雅黑" w:hAnsi="宋体" w:eastAsia="微软雅黑" w:cs="宋体"/>
          <w:b/>
          <w:sz w:val="48"/>
          <w:szCs w:val="48"/>
          <w:lang w:val="en-US" w:eastAsia="zh-CN" w:bidi="ar-SA"/>
        </w:rPr>
        <w:t>{% if PDInfo == undefined %}实体瘤188基因检测报告{% else %}实体瘤188基因+PD-L1检测报告{% endif %}</w:t>
      </w:r>
    </w:p>
    <w:p w14:paraId="0B46F563">
      <w:pPr>
        <w:tabs>
          <w:tab w:val="left" w:pos="4400"/>
        </w:tabs>
        <w:bidi w:val="0"/>
        <w:jc w:val="left"/>
        <w:rPr>
          <w:lang w:val="en-US" w:eastAsia="zh-CN"/>
        </w:rPr>
      </w:pPr>
    </w:p>
    <w:tbl>
      <w:tblPr>
        <w:tblStyle w:val="17"/>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20ECF4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667" w:hRule="atLeast"/>
          <w:jc w:val="center"/>
        </w:trPr>
        <w:tc>
          <w:tcPr>
            <w:tcW w:w="2124" w:type="dxa"/>
            <w:tcBorders>
              <w:top w:val="nil"/>
              <w:left w:val="nil"/>
              <w:bottom w:val="nil"/>
              <w:right w:val="nil"/>
            </w:tcBorders>
            <w:vAlign w:val="bottom"/>
          </w:tcPr>
          <w:p w14:paraId="17A6CCF5">
            <w:pPr>
              <w:pStyle w:val="8"/>
              <w:jc w:val="right"/>
              <w:rPr>
                <w:rFonts w:ascii="黑体"/>
                <w:sz w:val="48"/>
                <w:lang w:eastAsia="zh-CN"/>
              </w:rPr>
            </w:pPr>
            <w:r>
              <w:rPr>
                <w:rFonts w:hint="eastAsia" w:ascii="微软雅黑" w:eastAsia="微软雅黑"/>
                <w:sz w:val="30"/>
                <w:lang w:val="en-US" w:eastAsia="zh-CN"/>
              </w:rPr>
              <w:t>姓    名</w:t>
            </w:r>
            <w:r>
              <w:rPr>
                <w:rFonts w:hint="eastAsia" w:ascii="微软雅黑" w:eastAsia="微软雅黑"/>
                <w:sz w:val="30"/>
                <w:lang w:eastAsia="zh-CN"/>
              </w:rPr>
              <w:t>：</w:t>
            </w:r>
          </w:p>
        </w:tc>
        <w:tc>
          <w:tcPr>
            <w:tcW w:w="4471" w:type="dxa"/>
            <w:tcBorders>
              <w:top w:val="nil"/>
              <w:left w:val="nil"/>
              <w:bottom w:val="single" w:color="auto" w:sz="4" w:space="0"/>
              <w:right w:val="nil"/>
            </w:tcBorders>
            <w:vAlign w:val="bottom"/>
          </w:tcPr>
          <w:p w14:paraId="2FE1FECA">
            <w:pPr>
              <w:pStyle w:val="8"/>
              <w:jc w:val="center"/>
              <w:rPr>
                <w:rFonts w:ascii="黑体"/>
                <w:sz w:val="48"/>
                <w:lang w:eastAsia="zh-CN"/>
              </w:rPr>
            </w:pPr>
            <w:r>
              <w:rPr>
                <w:rFonts w:hint="eastAsia" w:ascii="微软雅黑" w:eastAsia="微软雅黑"/>
                <w:sz w:val="30"/>
                <w:lang w:eastAsia="zh-CN"/>
              </w:rPr>
              <w:t>{{ client }}</w:t>
            </w:r>
          </w:p>
        </w:tc>
      </w:tr>
      <w:tr w14:paraId="57191F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3422D6CB">
            <w:pPr>
              <w:pStyle w:val="8"/>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395623F8">
            <w:pPr>
              <w:pStyle w:val="8"/>
              <w:jc w:val="center"/>
              <w:rPr>
                <w:rFonts w:hint="default" w:ascii="Times New Roman" w:hAnsi="Times New Roman" w:cs="Times New Roman"/>
                <w:sz w:val="30"/>
                <w:szCs w:val="30"/>
                <w:lang w:eastAsia="zh-CN"/>
              </w:rPr>
            </w:pPr>
            <w:r>
              <w:rPr>
                <w:rFonts w:hint="default" w:ascii="Times New Roman" w:hAnsi="Times New Roman" w:eastAsia="微软雅黑" w:cs="Times New Roman"/>
                <w:sz w:val="30"/>
                <w:szCs w:val="30"/>
                <w:lang w:eastAsia="zh-CN"/>
              </w:rPr>
              <w:t>{{ subbarcode }}</w:t>
            </w:r>
          </w:p>
        </w:tc>
      </w:tr>
      <w:tr w14:paraId="0F259A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4166131A">
            <w:pPr>
              <w:pStyle w:val="8"/>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4B7B97F8">
            <w:pPr>
              <w:pStyle w:val="8"/>
              <w:jc w:val="center"/>
              <w:rPr>
                <w:rFonts w:hint="default" w:ascii="Times New Roman" w:hAnsi="Times New Roman" w:cs="Times New Roman"/>
                <w:sz w:val="30"/>
                <w:szCs w:val="30"/>
                <w:lang w:eastAsia="zh-CN"/>
              </w:rPr>
            </w:pPr>
            <w:r>
              <w:rPr>
                <w:rFonts w:hint="default" w:ascii="Times New Roman" w:hAnsi="Times New Roman" w:eastAsia="微软雅黑" w:cs="Times New Roman"/>
                <w:sz w:val="30"/>
                <w:szCs w:val="30"/>
                <w:lang w:eastAsia="zh-CN"/>
              </w:rPr>
              <w:t>{{ reportdate }}</w:t>
            </w:r>
          </w:p>
        </w:tc>
      </w:tr>
    </w:tbl>
    <w:p w14:paraId="20E7296A">
      <w:pPr>
        <w:tabs>
          <w:tab w:val="left" w:pos="4400"/>
        </w:tabs>
        <w:bidi w:val="0"/>
        <w:jc w:val="left"/>
        <w:rPr>
          <w:lang w:val="en-US" w:eastAsia="zh-CN"/>
        </w:rPr>
        <w:sectPr>
          <w:pgSz w:w="11911" w:h="16838"/>
          <w:pgMar w:top="1037" w:right="1020" w:bottom="981" w:left="1020" w:header="720" w:footer="720" w:gutter="0"/>
          <w:pgBorders>
            <w:top w:val="none" w:sz="0" w:space="0"/>
            <w:left w:val="none" w:sz="0" w:space="0"/>
            <w:bottom w:val="none" w:sz="0" w:space="0"/>
            <w:right w:val="none" w:sz="0" w:space="0"/>
          </w:pgBorders>
          <w:pgNumType w:fmt="decimal" w:start="1"/>
          <w:cols w:space="0" w:num="1"/>
          <w:rtlGutter w:val="0"/>
          <w:docGrid w:linePitch="0" w:charSpace="0"/>
        </w:sectPr>
      </w:pPr>
    </w:p>
    <w:p w14:paraId="068A7527">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ascii="Times New Roman" w:hAnsi="Times New Roman" w:eastAsia="微软雅黑" w:cs="Times New Roman"/>
          <w:b/>
          <w:color w:val="5B9BD5" w:themeColor="accent1"/>
          <w:sz w:val="52"/>
          <w:szCs w:val="52"/>
          <w:lang w:eastAsia="zh-CN"/>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val="en-US" w:eastAsia="zh-CN"/>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props3d w14:extrusionH="0" w14:contourW="0" w14:prstMaterial="clear"/>
        </w:rPr>
        <w:t>目录</w:t>
      </w:r>
    </w:p>
    <w:p w14:paraId="7E9C3F41">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ascii="Times New Roman" w:hAnsi="Times New Roman" w:eastAsia="微软雅黑"/>
          <w:color w:val="auto"/>
          <w:sz w:val="36"/>
          <w:szCs w:val="36"/>
          <w:lang w:val="en-US" w:eastAsia="zh-CN"/>
        </w:rPr>
      </w:pPr>
      <w:r>
        <w:rPr>
          <w:rFonts w:hint="eastAsia" w:ascii="Times New Roman" w:hAnsi="Times New Roman" w:eastAsia="微软雅黑"/>
          <w:color w:val="auto"/>
          <w:sz w:val="36"/>
          <w:szCs w:val="36"/>
          <w:lang w:val="en-US" w:eastAsia="zh-CN"/>
        </w:rPr>
        <w:t>Content</w:t>
      </w:r>
    </w:p>
    <w:p w14:paraId="22211981">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ascii="Times New Roman" w:hAnsi="Times New Roman" w:eastAsia="微软雅黑"/>
          <w:color w:val="auto"/>
          <w:sz w:val="24"/>
          <w:szCs w:val="24"/>
          <w:lang w:val="en-US" w:eastAsia="zh-CN"/>
        </w:rPr>
      </w:pPr>
    </w:p>
    <w:p w14:paraId="31F25ED4">
      <w:pPr>
        <w:pStyle w:val="13"/>
        <w:tabs>
          <w:tab w:val="right" w:leader="dot" w:pos="9871"/>
        </w:tabs>
        <w:rPr>
          <w:rFonts w:hint="default" w:ascii="Times New Roman" w:hAnsi="Times New Roman" w:eastAsia="微软雅黑" w:cs="Times New Roman"/>
        </w:rPr>
      </w:pPr>
      <w:r>
        <w:rPr>
          <w:rFonts w:hint="default" w:ascii="Times New Roman" w:hAnsi="Times New Roman" w:eastAsia="微软雅黑" w:cs="Times New Roman"/>
          <w:color w:val="auto"/>
          <w:sz w:val="36"/>
          <w:szCs w:val="36"/>
          <w:lang w:val="en-US" w:eastAsia="zh-CN"/>
        </w:rPr>
        <w:fldChar w:fldCharType="begin"/>
      </w:r>
      <w:r>
        <w:rPr>
          <w:rFonts w:hint="default" w:ascii="Times New Roman" w:hAnsi="Times New Roman" w:eastAsia="微软雅黑" w:cs="Times New Roman"/>
          <w:color w:val="auto"/>
          <w:sz w:val="36"/>
          <w:szCs w:val="36"/>
          <w:lang w:val="en-US" w:eastAsia="zh-CN"/>
        </w:rPr>
        <w:instrText xml:space="preserve">TOC \o "1-2" \h \u </w:instrText>
      </w:r>
      <w:r>
        <w:rPr>
          <w:rFonts w:hint="default" w:ascii="Times New Roman" w:hAnsi="Times New Roman" w:eastAsia="微软雅黑" w:cs="Times New Roman"/>
          <w:color w:val="auto"/>
          <w:sz w:val="36"/>
          <w:szCs w:val="36"/>
          <w:lang w:val="en-US" w:eastAsia="zh-CN"/>
        </w:rPr>
        <w:fldChar w:fldCharType="separate"/>
      </w:r>
      <w:r>
        <w:rPr>
          <w:rFonts w:hint="default" w:ascii="Times New Roman" w:hAnsi="Times New Roman" w:eastAsia="微软雅黑" w:cs="Times New Roman"/>
          <w:lang w:val="en-US" w:eastAsia="zh-CN"/>
        </w:rPr>
        <w:fldChar w:fldCharType="begin"/>
      </w:r>
      <w:r>
        <w:rPr>
          <w:rFonts w:hint="default" w:ascii="Times New Roman" w:hAnsi="Times New Roman" w:eastAsia="微软雅黑" w:cs="Times New Roman"/>
          <w:lang w:val="en-US" w:eastAsia="zh-CN"/>
        </w:rPr>
        <w:instrText xml:space="preserve"> HYPERLINK \l _Toc6322 </w:instrText>
      </w:r>
      <w:r>
        <w:rPr>
          <w:rFonts w:hint="default" w:ascii="Times New Roman" w:hAnsi="Times New Roman" w:eastAsia="微软雅黑" w:cs="Times New Roman"/>
          <w:lang w:val="en-US" w:eastAsia="zh-CN"/>
        </w:rPr>
        <w:fldChar w:fldCharType="separate"/>
      </w:r>
      <w:r>
        <w:rPr>
          <w:rFonts w:hint="default" w:ascii="Times New Roman" w:hAnsi="Times New Roman" w:eastAsia="微软雅黑" w:cs="Times New Roman"/>
        </w:rPr>
        <w:t>样本信息</w:t>
      </w:r>
      <w:r>
        <w:rPr>
          <w:rFonts w:hint="default" w:ascii="Times New Roman" w:hAnsi="Times New Roman" w:eastAsia="微软雅黑" w:cs="Times New Roman"/>
        </w:rPr>
        <w:tab/>
      </w: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 PAGEREF _Toc6322 \h </w:instrText>
      </w:r>
      <w:r>
        <w:rPr>
          <w:rFonts w:hint="default" w:ascii="Times New Roman" w:hAnsi="Times New Roman" w:eastAsia="微软雅黑" w:cs="Times New Roman"/>
        </w:rPr>
        <w:fldChar w:fldCharType="separate"/>
      </w:r>
      <w:r>
        <w:rPr>
          <w:rFonts w:hint="default" w:ascii="Times New Roman" w:hAnsi="Times New Roman" w:eastAsia="微软雅黑" w:cs="Times New Roman"/>
        </w:rPr>
        <w:t>1</w:t>
      </w:r>
      <w:r>
        <w:rPr>
          <w:rFonts w:hint="default" w:ascii="Times New Roman" w:hAnsi="Times New Roman" w:eastAsia="微软雅黑" w:cs="Times New Roman"/>
        </w:rPr>
        <w:fldChar w:fldCharType="end"/>
      </w:r>
      <w:r>
        <w:rPr>
          <w:rFonts w:hint="default" w:ascii="Times New Roman" w:hAnsi="Times New Roman" w:eastAsia="微软雅黑" w:cs="Times New Roman"/>
          <w:lang w:val="en-US" w:eastAsia="zh-CN"/>
        </w:rPr>
        <w:fldChar w:fldCharType="end"/>
      </w:r>
    </w:p>
    <w:p w14:paraId="64ACDC85">
      <w:pPr>
        <w:pStyle w:val="13"/>
        <w:tabs>
          <w:tab w:val="right" w:leader="dot" w:pos="9871"/>
        </w:tabs>
        <w:rPr>
          <w:rFonts w:hint="default" w:ascii="Times New Roman" w:hAnsi="Times New Roman" w:eastAsia="微软雅黑" w:cs="Times New Roman"/>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szCs w:val="36"/>
          <w:lang w:val="en-US" w:eastAsia="zh-CN"/>
        </w:rPr>
        <w:instrText xml:space="preserve"> HYPERLINK \l _Toc16456 </w:instrText>
      </w:r>
      <w:r>
        <w:rPr>
          <w:rFonts w:hint="default" w:ascii="Times New Roman" w:hAnsi="Times New Roman" w:eastAsia="微软雅黑" w:cs="Times New Roman"/>
          <w:szCs w:val="36"/>
          <w:lang w:val="en-US" w:eastAsia="zh-CN"/>
        </w:rPr>
        <w:fldChar w:fldCharType="separate"/>
      </w:r>
      <w:r>
        <w:rPr>
          <w:rFonts w:hint="default" w:ascii="Times New Roman" w:hAnsi="Times New Roman" w:eastAsia="微软雅黑" w:cs="Times New Roman"/>
        </w:rPr>
        <w:t>检测项目</w:t>
      </w:r>
      <w:r>
        <w:rPr>
          <w:rFonts w:hint="default" w:ascii="Times New Roman" w:hAnsi="Times New Roman" w:eastAsia="微软雅黑" w:cs="Times New Roman"/>
        </w:rPr>
        <w:tab/>
      </w: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 PAGEREF _Toc16456 \h </w:instrText>
      </w:r>
      <w:r>
        <w:rPr>
          <w:rFonts w:hint="default" w:ascii="Times New Roman" w:hAnsi="Times New Roman" w:eastAsia="微软雅黑" w:cs="Times New Roman"/>
        </w:rPr>
        <w:fldChar w:fldCharType="separate"/>
      </w:r>
      <w:r>
        <w:rPr>
          <w:rFonts w:hint="default" w:ascii="Times New Roman" w:hAnsi="Times New Roman" w:eastAsia="微软雅黑" w:cs="Times New Roman"/>
        </w:rPr>
        <w:t>1</w:t>
      </w:r>
      <w:r>
        <w:rPr>
          <w:rFonts w:hint="default" w:ascii="Times New Roman" w:hAnsi="Times New Roman" w:eastAsia="微软雅黑" w:cs="Times New Roman"/>
        </w:rPr>
        <w:fldChar w:fldCharType="end"/>
      </w:r>
      <w:r>
        <w:rPr>
          <w:rFonts w:hint="default" w:ascii="Times New Roman" w:hAnsi="Times New Roman" w:eastAsia="微软雅黑" w:cs="Times New Roman"/>
          <w:color w:val="auto"/>
          <w:szCs w:val="36"/>
          <w:lang w:val="en-US" w:eastAsia="zh-CN"/>
        </w:rPr>
        <w:fldChar w:fldCharType="end"/>
      </w:r>
    </w:p>
    <w:p w14:paraId="5C5F7177">
      <w:pPr>
        <w:pStyle w:val="13"/>
        <w:tabs>
          <w:tab w:val="right" w:leader="dot" w:pos="9871"/>
        </w:tabs>
        <w:rPr>
          <w:rFonts w:hint="default" w:ascii="Times New Roman" w:hAnsi="Times New Roman" w:eastAsia="微软雅黑" w:cs="Times New Roman"/>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szCs w:val="36"/>
          <w:lang w:val="en-US" w:eastAsia="zh-CN"/>
        </w:rPr>
        <w:instrText xml:space="preserve"> HYPERLINK \l _Toc16704 </w:instrText>
      </w:r>
      <w:r>
        <w:rPr>
          <w:rFonts w:hint="default" w:ascii="Times New Roman" w:hAnsi="Times New Roman" w:eastAsia="微软雅黑" w:cs="Times New Roman"/>
          <w:szCs w:val="36"/>
          <w:lang w:val="en-US" w:eastAsia="zh-CN"/>
        </w:rPr>
        <w:fldChar w:fldCharType="separate"/>
      </w:r>
      <w:r>
        <w:rPr>
          <w:rFonts w:hint="default" w:ascii="Times New Roman" w:hAnsi="Times New Roman" w:eastAsia="微软雅黑" w:cs="Times New Roman"/>
        </w:rPr>
        <w:t>检测结果</w:t>
      </w:r>
      <w:r>
        <w:rPr>
          <w:rFonts w:hint="default" w:ascii="Times New Roman" w:hAnsi="Times New Roman" w:eastAsia="微软雅黑" w:cs="Times New Roman"/>
          <w:lang w:val="en-US" w:eastAsia="zh-CN"/>
        </w:rPr>
        <w:t>总览</w:t>
      </w:r>
      <w:r>
        <w:rPr>
          <w:rFonts w:hint="default" w:ascii="Times New Roman" w:hAnsi="Times New Roman" w:eastAsia="微软雅黑" w:cs="Times New Roman"/>
        </w:rPr>
        <w:tab/>
      </w: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 PAGEREF _Toc16704 \h </w:instrText>
      </w:r>
      <w:r>
        <w:rPr>
          <w:rFonts w:hint="default" w:ascii="Times New Roman" w:hAnsi="Times New Roman" w:eastAsia="微软雅黑" w:cs="Times New Roman"/>
        </w:rPr>
        <w:fldChar w:fldCharType="separate"/>
      </w:r>
      <w:r>
        <w:rPr>
          <w:rFonts w:hint="default" w:ascii="Times New Roman" w:hAnsi="Times New Roman" w:eastAsia="微软雅黑" w:cs="Times New Roman"/>
        </w:rPr>
        <w:t>2</w:t>
      </w:r>
      <w:r>
        <w:rPr>
          <w:rFonts w:hint="default" w:ascii="Times New Roman" w:hAnsi="Times New Roman" w:eastAsia="微软雅黑" w:cs="Times New Roman"/>
        </w:rPr>
        <w:fldChar w:fldCharType="end"/>
      </w:r>
      <w:r>
        <w:rPr>
          <w:rFonts w:hint="default" w:ascii="Times New Roman" w:hAnsi="Times New Roman" w:eastAsia="微软雅黑" w:cs="Times New Roman"/>
          <w:color w:val="auto"/>
          <w:szCs w:val="36"/>
          <w:lang w:val="en-US" w:eastAsia="zh-CN"/>
        </w:rPr>
        <w:fldChar w:fldCharType="end"/>
      </w:r>
    </w:p>
    <w:p w14:paraId="2D14806F">
      <w:pPr>
        <w:pStyle w:val="14"/>
        <w:tabs>
          <w:tab w:val="right" w:leader="dot" w:pos="9871"/>
        </w:tabs>
        <w:rPr>
          <w:rFonts w:hint="default" w:ascii="Times New Roman" w:hAnsi="Times New Roman" w:eastAsia="微软雅黑" w:cs="Times New Roman"/>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_Toc30877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eastAsia="微软雅黑" w:cs="Times New Roman"/>
          <w:color w:val="auto"/>
          <w:lang w:eastAsia="zh-CN"/>
        </w:rPr>
        <w:t>检测结果小结</w:t>
      </w:r>
      <w:r>
        <w:rPr>
          <w:rFonts w:hint="default" w:ascii="Times New Roman" w:hAnsi="Times New Roman" w:eastAsia="微软雅黑" w:cs="Times New Roman"/>
          <w:color w:val="auto"/>
        </w:rPr>
        <w:tab/>
      </w:r>
      <w:r>
        <w:rPr>
          <w:rFonts w:hint="default" w:ascii="Times New Roman" w:hAnsi="Times New Roman" w:eastAsia="微软雅黑" w:cs="Times New Roman"/>
          <w:color w:val="auto"/>
        </w:rPr>
        <w:fldChar w:fldCharType="begin"/>
      </w:r>
      <w:r>
        <w:rPr>
          <w:rFonts w:hint="default" w:ascii="Times New Roman" w:hAnsi="Times New Roman" w:eastAsia="微软雅黑" w:cs="Times New Roman"/>
          <w:color w:val="auto"/>
        </w:rPr>
        <w:instrText xml:space="preserve"> PAGEREF _Toc30877 \h </w:instrText>
      </w:r>
      <w:r>
        <w:rPr>
          <w:rFonts w:hint="default" w:ascii="Times New Roman" w:hAnsi="Times New Roman" w:eastAsia="微软雅黑" w:cs="Times New Roman"/>
          <w:color w:val="auto"/>
        </w:rPr>
        <w:fldChar w:fldCharType="separate"/>
      </w:r>
      <w:r>
        <w:rPr>
          <w:rFonts w:hint="default" w:ascii="Times New Roman" w:hAnsi="Times New Roman" w:eastAsia="微软雅黑" w:cs="Times New Roman"/>
          <w:color w:val="auto"/>
        </w:rPr>
        <w:t>2</w:t>
      </w:r>
      <w:r>
        <w:rPr>
          <w:rFonts w:hint="default" w:ascii="Times New Roman" w:hAnsi="Times New Roman" w:eastAsia="微软雅黑" w:cs="Times New Roman"/>
          <w:color w:val="auto"/>
        </w:rPr>
        <w:fldChar w:fldCharType="end"/>
      </w:r>
      <w:r>
        <w:rPr>
          <w:rFonts w:hint="default" w:ascii="Times New Roman" w:hAnsi="Times New Roman" w:eastAsia="微软雅黑" w:cs="Times New Roman"/>
          <w:color w:val="auto"/>
          <w:szCs w:val="36"/>
          <w:lang w:val="en-US" w:eastAsia="zh-CN"/>
        </w:rPr>
        <w:fldChar w:fldCharType="end"/>
      </w:r>
    </w:p>
    <w:p w14:paraId="55AF9A83">
      <w:pPr>
        <w:pStyle w:val="14"/>
        <w:tabs>
          <w:tab w:val="right" w:leader="dot" w:pos="9871"/>
        </w:tabs>
        <w:rPr>
          <w:rFonts w:hint="default" w:ascii="Times New Roman" w:hAnsi="Times New Roman" w:eastAsia="微软雅黑" w:cs="Times New Roman"/>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_Toc32621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eastAsia="微软雅黑" w:cs="Times New Roman"/>
          <w:color w:val="auto"/>
          <w:lang w:eastAsia="zh-CN"/>
        </w:rPr>
        <w:t>{% if importantTargetedDiseaseName == ‘泛癌种’%}重要靶向药</w:t>
      </w:r>
      <w:r>
        <w:rPr>
          <w:rFonts w:hint="eastAsia" w:cs="Times New Roman"/>
          <w:color w:val="auto"/>
          <w:lang w:val="en-US" w:eastAsia="zh-CN"/>
        </w:rPr>
        <w:t>物</w:t>
      </w:r>
      <w:r>
        <w:rPr>
          <w:rFonts w:hint="default" w:ascii="Times New Roman" w:hAnsi="Times New Roman" w:eastAsia="微软雅黑" w:cs="Times New Roman"/>
          <w:color w:val="auto"/>
          <w:lang w:eastAsia="zh-CN"/>
        </w:rPr>
        <w:t>{%else%}{% if importantTargetedDiseaseName == ‘肺癌’%}肺癌{% elif importantTargetedDiseaseName == ‘结直肠癌’ %}结直肠癌{% elif importantTargetedDiseaseName == ‘乳腺癌’ %}乳腺癌{% endif %}</w:t>
      </w:r>
      <w:r>
        <w:rPr>
          <w:rFonts w:hint="eastAsia" w:cs="Times New Roman"/>
          <w:color w:val="auto"/>
          <w:lang w:val="en-US" w:eastAsia="zh-CN"/>
        </w:rPr>
        <w:t>靶向药物</w:t>
      </w:r>
      <w:r>
        <w:rPr>
          <w:rFonts w:hint="default" w:ascii="Times New Roman" w:hAnsi="Times New Roman" w:eastAsia="微软雅黑" w:cs="Times New Roman"/>
          <w:color w:val="auto"/>
          <w:lang w:eastAsia="zh-CN"/>
        </w:rPr>
        <w:t>{% endif %}相关基因结果汇总</w:t>
      </w:r>
      <w:r>
        <w:rPr>
          <w:rFonts w:hint="default" w:ascii="Times New Roman" w:hAnsi="Times New Roman" w:eastAsia="微软雅黑" w:cs="Times New Roman"/>
          <w:color w:val="auto"/>
        </w:rPr>
        <w:tab/>
      </w:r>
      <w:r>
        <w:rPr>
          <w:rFonts w:hint="default" w:ascii="Times New Roman" w:hAnsi="Times New Roman" w:eastAsia="微软雅黑" w:cs="Times New Roman"/>
          <w:color w:val="auto"/>
        </w:rPr>
        <w:fldChar w:fldCharType="begin"/>
      </w:r>
      <w:r>
        <w:rPr>
          <w:rFonts w:hint="default" w:ascii="Times New Roman" w:hAnsi="Times New Roman" w:eastAsia="微软雅黑" w:cs="Times New Roman"/>
          <w:color w:val="auto"/>
        </w:rPr>
        <w:instrText xml:space="preserve"> PAGEREF _Toc32621 \h </w:instrText>
      </w:r>
      <w:r>
        <w:rPr>
          <w:rFonts w:hint="default" w:ascii="Times New Roman" w:hAnsi="Times New Roman" w:eastAsia="微软雅黑" w:cs="Times New Roman"/>
          <w:color w:val="auto"/>
        </w:rPr>
        <w:fldChar w:fldCharType="separate"/>
      </w:r>
      <w:r>
        <w:rPr>
          <w:rFonts w:hint="default" w:ascii="Times New Roman" w:hAnsi="Times New Roman" w:eastAsia="微软雅黑" w:cs="Times New Roman"/>
          <w:color w:val="auto"/>
        </w:rPr>
        <w:t>3</w:t>
      </w:r>
      <w:r>
        <w:rPr>
          <w:rFonts w:hint="default" w:ascii="Times New Roman" w:hAnsi="Times New Roman" w:eastAsia="微软雅黑" w:cs="Times New Roman"/>
          <w:color w:val="auto"/>
        </w:rPr>
        <w:fldChar w:fldCharType="end"/>
      </w:r>
      <w:r>
        <w:rPr>
          <w:rFonts w:hint="default" w:ascii="Times New Roman" w:hAnsi="Times New Roman" w:eastAsia="微软雅黑" w:cs="Times New Roman"/>
          <w:color w:val="auto"/>
          <w:szCs w:val="36"/>
          <w:lang w:val="en-US" w:eastAsia="zh-CN"/>
        </w:rPr>
        <w:fldChar w:fldCharType="end"/>
      </w:r>
    </w:p>
    <w:p w14:paraId="193894B4">
      <w:pPr>
        <w:pStyle w:val="13"/>
        <w:tabs>
          <w:tab w:val="right" w:leader="dot" w:pos="9871"/>
        </w:tabs>
        <w:rPr>
          <w:rFonts w:hint="default" w:ascii="Times New Roman" w:hAnsi="Times New Roman" w:eastAsia="微软雅黑" w:cs="Times New Roman"/>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szCs w:val="36"/>
          <w:lang w:val="en-US" w:eastAsia="zh-CN"/>
        </w:rPr>
        <w:instrText xml:space="preserve"> HYPERLINK \l _Toc4408 </w:instrText>
      </w:r>
      <w:r>
        <w:rPr>
          <w:rFonts w:hint="default" w:ascii="Times New Roman" w:hAnsi="Times New Roman" w:eastAsia="微软雅黑" w:cs="Times New Roman"/>
          <w:szCs w:val="36"/>
          <w:lang w:val="en-US" w:eastAsia="zh-CN"/>
        </w:rPr>
        <w:fldChar w:fldCharType="separate"/>
      </w:r>
      <w:r>
        <w:rPr>
          <w:rFonts w:hint="default" w:ascii="Times New Roman" w:hAnsi="Times New Roman" w:eastAsia="微软雅黑" w:cs="Times New Roman"/>
        </w:rPr>
        <w:t>检测结果及用药提示</w:t>
      </w:r>
      <w:r>
        <w:rPr>
          <w:rFonts w:hint="default" w:ascii="Times New Roman" w:hAnsi="Times New Roman" w:eastAsia="微软雅黑" w:cs="Times New Roman"/>
        </w:rPr>
        <w:tab/>
      </w: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 PAGEREF _Toc4408 \h </w:instrText>
      </w:r>
      <w:r>
        <w:rPr>
          <w:rFonts w:hint="default" w:ascii="Times New Roman" w:hAnsi="Times New Roman" w:eastAsia="微软雅黑" w:cs="Times New Roman"/>
        </w:rPr>
        <w:fldChar w:fldCharType="separate"/>
      </w:r>
      <w:r>
        <w:rPr>
          <w:rFonts w:hint="default" w:ascii="Times New Roman" w:hAnsi="Times New Roman" w:eastAsia="微软雅黑" w:cs="Times New Roman"/>
        </w:rPr>
        <w:t>4</w:t>
      </w:r>
      <w:r>
        <w:rPr>
          <w:rFonts w:hint="default" w:ascii="Times New Roman" w:hAnsi="Times New Roman" w:eastAsia="微软雅黑" w:cs="Times New Roman"/>
        </w:rPr>
        <w:fldChar w:fldCharType="end"/>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sz w:val="24"/>
          <w:szCs w:val="24"/>
          <w:lang w:eastAsia="zh-CN"/>
        </w:rPr>
        <w:t>{% if endometrialCarcinoma == True %}</w:t>
      </w:r>
    </w:p>
    <w:p w14:paraId="6BDA13AE">
      <w:pPr>
        <w:pStyle w:val="14"/>
        <w:tabs>
          <w:tab w:val="right" w:leader="dot" w:pos="9871"/>
        </w:tabs>
        <w:rPr>
          <w:rFonts w:hint="default" w:ascii="Times New Roman" w:hAnsi="Times New Roman" w:eastAsia="微软雅黑" w:cs="Times New Roman"/>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_Toc8785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eastAsia="微软雅黑" w:cs="Times New Roman"/>
          <w:color w:val="auto"/>
          <w:lang w:eastAsia="zh-CN"/>
        </w:rPr>
        <w:t>子宫内膜癌TCGA分子分型检测结果</w:t>
      </w:r>
      <w:r>
        <w:rPr>
          <w:rFonts w:hint="default" w:ascii="Times New Roman" w:hAnsi="Times New Roman" w:eastAsia="微软雅黑" w:cs="Times New Roman"/>
          <w:color w:val="auto"/>
        </w:rPr>
        <w:tab/>
      </w:r>
      <w:r>
        <w:rPr>
          <w:rFonts w:hint="default" w:ascii="Times New Roman" w:hAnsi="Times New Roman" w:eastAsia="微软雅黑" w:cs="Times New Roman"/>
          <w:color w:val="auto"/>
        </w:rPr>
        <w:fldChar w:fldCharType="begin"/>
      </w:r>
      <w:r>
        <w:rPr>
          <w:rFonts w:hint="default" w:ascii="Times New Roman" w:hAnsi="Times New Roman" w:eastAsia="微软雅黑" w:cs="Times New Roman"/>
          <w:color w:val="auto"/>
        </w:rPr>
        <w:instrText xml:space="preserve"> PAGEREF _Toc8785 \h </w:instrText>
      </w:r>
      <w:r>
        <w:rPr>
          <w:rFonts w:hint="default" w:ascii="Times New Roman" w:hAnsi="Times New Roman" w:eastAsia="微软雅黑" w:cs="Times New Roman"/>
          <w:color w:val="auto"/>
        </w:rPr>
        <w:fldChar w:fldCharType="separate"/>
      </w:r>
      <w:r>
        <w:rPr>
          <w:rFonts w:hint="default" w:ascii="Times New Roman" w:hAnsi="Times New Roman" w:eastAsia="微软雅黑" w:cs="Times New Roman"/>
          <w:color w:val="auto"/>
        </w:rPr>
        <w:t>4</w:t>
      </w:r>
      <w:r>
        <w:rPr>
          <w:rFonts w:hint="default" w:ascii="Times New Roman" w:hAnsi="Times New Roman" w:eastAsia="微软雅黑" w:cs="Times New Roman"/>
          <w:color w:val="auto"/>
        </w:rPr>
        <w:fldChar w:fldCharType="end"/>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 w:val="24"/>
          <w:szCs w:val="24"/>
          <w:lang w:eastAsia="zh-CN"/>
        </w:rPr>
        <w:t>{% endif %}</w:t>
      </w:r>
    </w:p>
    <w:p w14:paraId="353A579C">
      <w:pPr>
        <w:pStyle w:val="14"/>
        <w:tabs>
          <w:tab w:val="right" w:leader="dot" w:pos="9871"/>
        </w:tabs>
        <w:rPr>
          <w:rFonts w:hint="default" w:ascii="Times New Roman" w:hAnsi="Times New Roman" w:eastAsia="微软雅黑" w:cs="Times New Roman"/>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_Toc12296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eastAsia="微软雅黑" w:cs="Times New Roman"/>
          <w:color w:val="auto"/>
          <w:lang w:eastAsia="zh-CN"/>
        </w:rPr>
        <w:t>体细胞变异分级提示</w:t>
      </w:r>
      <w:r>
        <w:rPr>
          <w:rFonts w:hint="default" w:ascii="Times New Roman" w:hAnsi="Times New Roman" w:eastAsia="微软雅黑" w:cs="Times New Roman"/>
          <w:color w:val="auto"/>
        </w:rPr>
        <w:tab/>
      </w:r>
      <w:r>
        <w:rPr>
          <w:rFonts w:hint="default" w:ascii="Times New Roman" w:hAnsi="Times New Roman" w:eastAsia="微软雅黑" w:cs="Times New Roman"/>
          <w:color w:val="auto"/>
        </w:rPr>
        <w:fldChar w:fldCharType="begin"/>
      </w:r>
      <w:r>
        <w:rPr>
          <w:rFonts w:hint="default" w:ascii="Times New Roman" w:hAnsi="Times New Roman" w:eastAsia="微软雅黑" w:cs="Times New Roman"/>
          <w:color w:val="auto"/>
        </w:rPr>
        <w:instrText xml:space="preserve"> PAGEREF _Toc12296 \h </w:instrText>
      </w:r>
      <w:r>
        <w:rPr>
          <w:rFonts w:hint="default" w:ascii="Times New Roman" w:hAnsi="Times New Roman" w:eastAsia="微软雅黑" w:cs="Times New Roman"/>
          <w:color w:val="auto"/>
        </w:rPr>
        <w:fldChar w:fldCharType="separate"/>
      </w:r>
      <w:r>
        <w:rPr>
          <w:rFonts w:hint="default" w:ascii="Times New Roman" w:hAnsi="Times New Roman" w:eastAsia="微软雅黑" w:cs="Times New Roman"/>
          <w:color w:val="auto"/>
        </w:rPr>
        <w:t>5</w:t>
      </w:r>
      <w:r>
        <w:rPr>
          <w:rFonts w:hint="default" w:ascii="Times New Roman" w:hAnsi="Times New Roman" w:eastAsia="微软雅黑" w:cs="Times New Roman"/>
          <w:color w:val="auto"/>
        </w:rPr>
        <w:fldChar w:fldCharType="end"/>
      </w:r>
      <w:r>
        <w:rPr>
          <w:rFonts w:hint="default" w:ascii="Times New Roman" w:hAnsi="Times New Roman" w:eastAsia="微软雅黑" w:cs="Times New Roman"/>
          <w:color w:val="auto"/>
          <w:szCs w:val="36"/>
          <w:lang w:val="en-US" w:eastAsia="zh-CN"/>
        </w:rPr>
        <w:fldChar w:fldCharType="end"/>
      </w:r>
    </w:p>
    <w:p w14:paraId="79635D6E">
      <w:pPr>
        <w:pStyle w:val="14"/>
        <w:tabs>
          <w:tab w:val="right" w:leader="dot" w:pos="9871"/>
        </w:tabs>
        <w:rPr>
          <w:rFonts w:hint="default" w:ascii="Times New Roman" w:hAnsi="Times New Roman" w:eastAsia="微软雅黑" w:cs="Times New Roman"/>
          <w:color w:val="000000" w:themeColor="text1"/>
          <w14:textFill>
            <w14:solidFill>
              <w14:schemeClr w14:val="tx1"/>
            </w14:solidFill>
          </w14:textFill>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_Toc18064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eastAsia="微软雅黑" w:cs="Times New Roman"/>
          <w:color w:val="auto"/>
          <w:lang w:eastAsia="zh-CN"/>
        </w:rPr>
        <w:t>胚系变异结果提示</w:t>
      </w:r>
      <w:r>
        <w:rPr>
          <w:rFonts w:hint="default" w:ascii="Times New Roman" w:hAnsi="Times New Roman" w:eastAsia="微软雅黑" w:cs="Times New Roman"/>
          <w:color w:val="auto"/>
        </w:rPr>
        <w:tab/>
      </w:r>
      <w:r>
        <w:rPr>
          <w:rFonts w:hint="default" w:ascii="Times New Roman" w:hAnsi="Times New Roman" w:eastAsia="微软雅黑" w:cs="Times New Roman"/>
          <w:color w:val="auto"/>
        </w:rPr>
        <w:fldChar w:fldCharType="begin"/>
      </w:r>
      <w:r>
        <w:rPr>
          <w:rFonts w:hint="default" w:ascii="Times New Roman" w:hAnsi="Times New Roman" w:eastAsia="微软雅黑" w:cs="Times New Roman"/>
          <w:color w:val="auto"/>
        </w:rPr>
        <w:instrText xml:space="preserve"> PAGEREF _Toc18064 \h </w:instrText>
      </w:r>
      <w:r>
        <w:rPr>
          <w:rFonts w:hint="default" w:ascii="Times New Roman" w:hAnsi="Times New Roman" w:eastAsia="微软雅黑" w:cs="Times New Roman"/>
          <w:color w:val="auto"/>
        </w:rPr>
        <w:fldChar w:fldCharType="separate"/>
      </w:r>
      <w:r>
        <w:rPr>
          <w:rFonts w:hint="default" w:ascii="Times New Roman" w:hAnsi="Times New Roman" w:eastAsia="微软雅黑" w:cs="Times New Roman"/>
          <w:color w:val="auto"/>
        </w:rPr>
        <w:t>8</w:t>
      </w:r>
      <w:r>
        <w:rPr>
          <w:rFonts w:hint="default" w:ascii="Times New Roman" w:hAnsi="Times New Roman" w:eastAsia="微软雅黑" w:cs="Times New Roman"/>
          <w:color w:val="auto"/>
        </w:rPr>
        <w:fldChar w:fldCharType="end"/>
      </w:r>
      <w:r>
        <w:rPr>
          <w:rFonts w:hint="default" w:ascii="Times New Roman" w:hAnsi="Times New Roman" w:eastAsia="微软雅黑" w:cs="Times New Roman"/>
          <w:color w:val="auto"/>
          <w:szCs w:val="36"/>
          <w:lang w:val="en-US" w:eastAsia="zh-CN"/>
        </w:rPr>
        <w:fldChar w:fldCharType="end"/>
      </w:r>
      <w:r>
        <w:rPr>
          <w:rFonts w:hint="eastAsia" w:ascii="Times New Roman" w:hAnsi="Times New Roman" w:eastAsia="微软雅黑" w:cs="Times New Roman"/>
          <w:color w:val="000000" w:themeColor="text1"/>
          <w:sz w:val="24"/>
          <w:szCs w:val="24"/>
          <w:lang w:eastAsia="zh-CN"/>
          <w14:textFill>
            <w14:solidFill>
              <w14:schemeClr w14:val="tx1"/>
            </w14:solidFill>
          </w14:textFill>
        </w:rPr>
        <w:t xml:space="preserve">{%if </w:t>
      </w:r>
      <w:r>
        <w:rPr>
          <w:rFonts w:hint="default" w:ascii="Times New Roman" w:hAnsi="Times New Roman" w:eastAsia="微软雅黑" w:cs="Times New Roman"/>
          <w:color w:val="000000" w:themeColor="text1"/>
          <w:sz w:val="24"/>
          <w:szCs w:val="24"/>
          <w:lang w:val="en-US" w:eastAsia="zh-CN"/>
          <w14:textFill>
            <w14:solidFill>
              <w14:schemeClr w14:val="tx1"/>
            </w14:solidFill>
          </w14:textFill>
        </w:rPr>
        <w:t>2531</w:t>
      </w:r>
      <w:r>
        <w:rPr>
          <w:rFonts w:hint="eastAsia" w:ascii="Times New Roman" w:hAnsi="Times New Roman" w:eastAsia="微软雅黑" w:cs="Times New Roman"/>
          <w:color w:val="000000" w:themeColor="text1"/>
          <w:sz w:val="24"/>
          <w:szCs w:val="24"/>
          <w:lang w:val="en-US" w:eastAsia="zh-CN"/>
          <w14:textFill>
            <w14:solidFill>
              <w14:schemeClr w14:val="tx1"/>
            </w14:solidFill>
          </w14:textFill>
        </w:rPr>
        <w:t xml:space="preserve"> not in </w:t>
      </w:r>
      <w:r>
        <w:rPr>
          <w:rFonts w:hint="eastAsia" w:ascii="Times New Roman" w:hAnsi="Times New Roman" w:eastAsia="微软雅黑" w:cs="Times New Roman"/>
          <w:color w:val="000000" w:themeColor="text1"/>
          <w:sz w:val="24"/>
          <w:szCs w:val="24"/>
          <w:lang w:eastAsia="zh-CN"/>
          <w14:textFill>
            <w14:solidFill>
              <w14:schemeClr w14:val="tx1"/>
            </w14:solidFill>
          </w14:textFill>
        </w:rPr>
        <w:t>diseaseIdList %}</w:t>
      </w:r>
    </w:p>
    <w:p w14:paraId="6287E496">
      <w:pPr>
        <w:pStyle w:val="14"/>
        <w:tabs>
          <w:tab w:val="right" w:leader="dot" w:pos="9871"/>
        </w:tabs>
        <w:rPr>
          <w:rFonts w:hint="default" w:ascii="Times New Roman" w:hAnsi="Times New Roman" w:eastAsia="微软雅黑" w:cs="Times New Roman"/>
          <w:color w:val="000000" w:themeColor="text1"/>
          <w14:textFill>
            <w14:solidFill>
              <w14:schemeClr w14:val="tx1"/>
            </w14:solidFill>
          </w14:textFill>
        </w:rPr>
      </w:pPr>
      <w:r>
        <w:rPr>
          <w:rFonts w:hint="default" w:ascii="Times New Roman" w:hAnsi="Times New Roman" w:eastAsia="微软雅黑" w:cs="Times New Roman"/>
          <w:color w:val="000000" w:themeColor="text1"/>
          <w:szCs w:val="36"/>
          <w:lang w:val="en-US" w:eastAsia="zh-CN"/>
          <w14:textFill>
            <w14:solidFill>
              <w14:schemeClr w14:val="tx1"/>
            </w14:solidFill>
          </w14:textFill>
        </w:rPr>
        <w:fldChar w:fldCharType="begin"/>
      </w:r>
      <w:r>
        <w:rPr>
          <w:rFonts w:hint="default" w:ascii="Times New Roman" w:hAnsi="Times New Roman" w:eastAsia="微软雅黑" w:cs="Times New Roman"/>
          <w:color w:val="000000" w:themeColor="text1"/>
          <w:szCs w:val="36"/>
          <w:lang w:val="en-US" w:eastAsia="zh-CN"/>
          <w14:textFill>
            <w14:solidFill>
              <w14:schemeClr w14:val="tx1"/>
            </w14:solidFill>
          </w14:textFill>
        </w:rPr>
        <w:instrText xml:space="preserve"> HYPERLINK \l _Toc31713 </w:instrText>
      </w:r>
      <w:r>
        <w:rPr>
          <w:rFonts w:hint="default" w:ascii="Times New Roman" w:hAnsi="Times New Roman" w:eastAsia="微软雅黑" w:cs="Times New Roman"/>
          <w:color w:val="000000" w:themeColor="text1"/>
          <w:szCs w:val="36"/>
          <w:lang w:val="en-US" w:eastAsia="zh-CN"/>
          <w14:textFill>
            <w14:solidFill>
              <w14:schemeClr w14:val="tx1"/>
            </w14:solidFill>
          </w14:textFill>
        </w:rPr>
        <w:fldChar w:fldCharType="separate"/>
      </w:r>
      <w:r>
        <w:rPr>
          <w:rFonts w:hint="default" w:ascii="Times New Roman" w:hAnsi="Times New Roman" w:eastAsia="微软雅黑" w:cs="Times New Roman"/>
          <w:color w:val="000000" w:themeColor="text1"/>
          <w:lang w:eastAsia="zh-CN"/>
          <w14:textFill>
            <w14:solidFill>
              <w14:schemeClr w14:val="tx1"/>
            </w14:solidFill>
          </w14:textFill>
        </w:rPr>
        <w:t>本癌种FDA/NMPA获批的其他可选靶向药物</w:t>
      </w:r>
      <w:r>
        <w:rPr>
          <w:rFonts w:hint="default" w:ascii="Times New Roman" w:hAnsi="Times New Roman" w:eastAsia="微软雅黑" w:cs="Times New Roman"/>
          <w:color w:val="000000" w:themeColor="text1"/>
          <w14:textFill>
            <w14:solidFill>
              <w14:schemeClr w14:val="tx1"/>
            </w14:solidFill>
          </w14:textFill>
        </w:rPr>
        <w:tab/>
      </w:r>
      <w:r>
        <w:rPr>
          <w:rFonts w:hint="default" w:ascii="Times New Roman" w:hAnsi="Times New Roman" w:eastAsia="微软雅黑" w:cs="Times New Roman"/>
          <w:color w:val="000000" w:themeColor="text1"/>
          <w14:textFill>
            <w14:solidFill>
              <w14:schemeClr w14:val="tx1"/>
            </w14:solidFill>
          </w14:textFill>
        </w:rPr>
        <w:fldChar w:fldCharType="begin"/>
      </w:r>
      <w:r>
        <w:rPr>
          <w:rFonts w:hint="default" w:ascii="Times New Roman" w:hAnsi="Times New Roman" w:eastAsia="微软雅黑" w:cs="Times New Roman"/>
          <w:color w:val="000000" w:themeColor="text1"/>
          <w14:textFill>
            <w14:solidFill>
              <w14:schemeClr w14:val="tx1"/>
            </w14:solidFill>
          </w14:textFill>
        </w:rPr>
        <w:instrText xml:space="preserve"> PAGEREF _Toc31713 \h </w:instrText>
      </w:r>
      <w:r>
        <w:rPr>
          <w:rFonts w:hint="default" w:ascii="Times New Roman" w:hAnsi="Times New Roman" w:eastAsia="微软雅黑" w:cs="Times New Roman"/>
          <w:color w:val="000000" w:themeColor="text1"/>
          <w14:textFill>
            <w14:solidFill>
              <w14:schemeClr w14:val="tx1"/>
            </w14:solidFill>
          </w14:textFill>
        </w:rPr>
        <w:fldChar w:fldCharType="separate"/>
      </w:r>
      <w:r>
        <w:rPr>
          <w:rFonts w:hint="default" w:ascii="Times New Roman" w:hAnsi="Times New Roman" w:eastAsia="微软雅黑" w:cs="Times New Roman"/>
          <w:color w:val="000000" w:themeColor="text1"/>
          <w14:textFill>
            <w14:solidFill>
              <w14:schemeClr w14:val="tx1"/>
            </w14:solidFill>
          </w14:textFill>
        </w:rPr>
        <w:t>10</w:t>
      </w:r>
      <w:r>
        <w:rPr>
          <w:rFonts w:hint="default" w:ascii="Times New Roman" w:hAnsi="Times New Roman" w:eastAsia="微软雅黑" w:cs="Times New Roman"/>
          <w:color w:val="000000" w:themeColor="text1"/>
          <w14:textFill>
            <w14:solidFill>
              <w14:schemeClr w14:val="tx1"/>
            </w14:solidFill>
          </w14:textFill>
        </w:rPr>
        <w:fldChar w:fldCharType="end"/>
      </w:r>
      <w:r>
        <w:rPr>
          <w:rFonts w:hint="default" w:ascii="Times New Roman" w:hAnsi="Times New Roman" w:eastAsia="微软雅黑" w:cs="Times New Roman"/>
          <w:color w:val="000000" w:themeColor="text1"/>
          <w:szCs w:val="36"/>
          <w:lang w:val="en-US" w:eastAsia="zh-CN"/>
          <w14:textFill>
            <w14:solidFill>
              <w14:schemeClr w14:val="tx1"/>
            </w14:solidFill>
          </w14:textFill>
        </w:rPr>
        <w:fldChar w:fldCharType="end"/>
      </w:r>
      <w:r>
        <w:rPr>
          <w:rFonts w:hint="default" w:ascii="Times New Roman" w:hAnsi="Times New Roman" w:eastAsia="微软雅黑" w:cs="Times New Roman"/>
          <w:color w:val="000000" w:themeColor="text1"/>
          <w:sz w:val="24"/>
          <w:szCs w:val="24"/>
          <w:lang w:eastAsia="zh-CN"/>
          <w14:textFill>
            <w14:solidFill>
              <w14:schemeClr w14:val="tx1"/>
            </w14:solidFill>
          </w14:textFill>
        </w:rPr>
        <w:t>{% endif %}</w:t>
      </w:r>
    </w:p>
    <w:p w14:paraId="400DE9EA">
      <w:pPr>
        <w:pStyle w:val="14"/>
        <w:tabs>
          <w:tab w:val="right" w:leader="dot" w:pos="9871"/>
        </w:tabs>
        <w:rPr>
          <w:rFonts w:hint="default" w:ascii="Times New Roman" w:hAnsi="Times New Roman" w:eastAsia="微软雅黑" w:cs="Times New Roman"/>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_Toc2404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eastAsia="微软雅黑" w:cs="Times New Roman"/>
          <w:color w:val="auto"/>
          <w:lang w:eastAsia="zh-CN"/>
        </w:rPr>
        <w:t>免疫药物用药提示</w:t>
      </w:r>
      <w:r>
        <w:rPr>
          <w:rFonts w:hint="default" w:ascii="Times New Roman" w:hAnsi="Times New Roman" w:eastAsia="微软雅黑" w:cs="Times New Roman"/>
          <w:color w:val="auto"/>
        </w:rPr>
        <w:tab/>
      </w:r>
      <w:r>
        <w:rPr>
          <w:rFonts w:hint="default" w:ascii="Times New Roman" w:hAnsi="Times New Roman" w:eastAsia="微软雅黑" w:cs="Times New Roman"/>
          <w:color w:val="auto"/>
        </w:rPr>
        <w:fldChar w:fldCharType="begin"/>
      </w:r>
      <w:r>
        <w:rPr>
          <w:rFonts w:hint="default" w:ascii="Times New Roman" w:hAnsi="Times New Roman" w:eastAsia="微软雅黑" w:cs="Times New Roman"/>
          <w:color w:val="auto"/>
        </w:rPr>
        <w:instrText xml:space="preserve"> PAGEREF _Toc2404 \h </w:instrText>
      </w:r>
      <w:r>
        <w:rPr>
          <w:rFonts w:hint="default" w:ascii="Times New Roman" w:hAnsi="Times New Roman" w:eastAsia="微软雅黑" w:cs="Times New Roman"/>
          <w:color w:val="auto"/>
        </w:rPr>
        <w:fldChar w:fldCharType="separate"/>
      </w:r>
      <w:r>
        <w:rPr>
          <w:rFonts w:hint="default" w:ascii="Times New Roman" w:hAnsi="Times New Roman" w:eastAsia="微软雅黑" w:cs="Times New Roman"/>
          <w:color w:val="auto"/>
        </w:rPr>
        <w:t>11</w:t>
      </w:r>
      <w:r>
        <w:rPr>
          <w:rFonts w:hint="default" w:ascii="Times New Roman" w:hAnsi="Times New Roman" w:eastAsia="微软雅黑" w:cs="Times New Roman"/>
          <w:color w:val="auto"/>
        </w:rPr>
        <w:fldChar w:fldCharType="end"/>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 w:val="24"/>
          <w:szCs w:val="24"/>
          <w:lang w:eastAsia="zh-CN"/>
        </w:rPr>
        <w:t>{%if PDInfo != undefined %}</w:t>
      </w:r>
    </w:p>
    <w:p w14:paraId="511F9BF5">
      <w:pPr>
        <w:pStyle w:val="14"/>
        <w:tabs>
          <w:tab w:val="right" w:leader="dot" w:pos="9871"/>
        </w:tabs>
        <w:rPr>
          <w:rFonts w:hint="default" w:ascii="Times New Roman" w:hAnsi="Times New Roman" w:eastAsia="微软雅黑" w:cs="Times New Roman"/>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_Toc20454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eastAsia="微软雅黑" w:cs="Times New Roman"/>
          <w:color w:val="auto"/>
          <w:lang w:eastAsia="zh-CN"/>
        </w:rPr>
        <w:t>PD-L1检测结果</w:t>
      </w:r>
      <w:r>
        <w:rPr>
          <w:rFonts w:hint="default" w:ascii="Times New Roman" w:hAnsi="Times New Roman" w:eastAsia="微软雅黑" w:cs="Times New Roman"/>
          <w:color w:val="auto"/>
        </w:rPr>
        <w:tab/>
      </w:r>
      <w:r>
        <w:rPr>
          <w:rFonts w:hint="default" w:ascii="Times New Roman" w:hAnsi="Times New Roman" w:eastAsia="微软雅黑" w:cs="Times New Roman"/>
          <w:color w:val="auto"/>
        </w:rPr>
        <w:fldChar w:fldCharType="begin"/>
      </w:r>
      <w:r>
        <w:rPr>
          <w:rFonts w:hint="default" w:ascii="Times New Roman" w:hAnsi="Times New Roman" w:eastAsia="微软雅黑" w:cs="Times New Roman"/>
          <w:color w:val="auto"/>
        </w:rPr>
        <w:instrText xml:space="preserve"> PAGEREF _Toc20454 \h </w:instrText>
      </w:r>
      <w:r>
        <w:rPr>
          <w:rFonts w:hint="default" w:ascii="Times New Roman" w:hAnsi="Times New Roman" w:eastAsia="微软雅黑" w:cs="Times New Roman"/>
          <w:color w:val="auto"/>
        </w:rPr>
        <w:fldChar w:fldCharType="separate"/>
      </w:r>
      <w:r>
        <w:rPr>
          <w:rFonts w:hint="default" w:ascii="Times New Roman" w:hAnsi="Times New Roman" w:eastAsia="微软雅黑" w:cs="Times New Roman"/>
          <w:color w:val="auto"/>
        </w:rPr>
        <w:t>12</w:t>
      </w:r>
      <w:r>
        <w:rPr>
          <w:rFonts w:hint="default" w:ascii="Times New Roman" w:hAnsi="Times New Roman" w:eastAsia="微软雅黑" w:cs="Times New Roman"/>
          <w:color w:val="auto"/>
        </w:rPr>
        <w:fldChar w:fldCharType="end"/>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 w:val="24"/>
          <w:szCs w:val="24"/>
          <w:lang w:eastAsia="zh-CN"/>
        </w:rPr>
        <w:t>{% endif %}</w:t>
      </w:r>
    </w:p>
    <w:p w14:paraId="0BAD546C">
      <w:pPr>
        <w:pStyle w:val="13"/>
        <w:tabs>
          <w:tab w:val="right" w:leader="dot" w:pos="9871"/>
        </w:tabs>
        <w:rPr>
          <w:rFonts w:hint="default" w:ascii="Times New Roman" w:hAnsi="Times New Roman" w:eastAsia="微软雅黑" w:cs="Times New Roman"/>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szCs w:val="36"/>
          <w:lang w:val="en-US" w:eastAsia="zh-CN"/>
        </w:rPr>
        <w:instrText xml:space="preserve"> HYPERLINK \l _Toc2289 </w:instrText>
      </w:r>
      <w:r>
        <w:rPr>
          <w:rFonts w:hint="default" w:ascii="Times New Roman" w:hAnsi="Times New Roman" w:eastAsia="微软雅黑" w:cs="Times New Roman"/>
          <w:szCs w:val="36"/>
          <w:lang w:val="en-US" w:eastAsia="zh-CN"/>
        </w:rPr>
        <w:fldChar w:fldCharType="separate"/>
      </w:r>
      <w:r>
        <w:rPr>
          <w:rFonts w:hint="default" w:ascii="Times New Roman" w:hAnsi="Times New Roman" w:eastAsia="微软雅黑" w:cs="Times New Roman"/>
        </w:rPr>
        <w:t>基因检测结果解析</w:t>
      </w:r>
      <w:r>
        <w:rPr>
          <w:rFonts w:hint="default" w:ascii="Times New Roman" w:hAnsi="Times New Roman" w:eastAsia="微软雅黑" w:cs="Times New Roman"/>
        </w:rPr>
        <w:tab/>
      </w: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 PAGEREF _Toc2289 \h </w:instrText>
      </w:r>
      <w:r>
        <w:rPr>
          <w:rFonts w:hint="default" w:ascii="Times New Roman" w:hAnsi="Times New Roman" w:eastAsia="微软雅黑" w:cs="Times New Roman"/>
        </w:rPr>
        <w:fldChar w:fldCharType="separate"/>
      </w:r>
      <w:r>
        <w:rPr>
          <w:rFonts w:hint="default" w:ascii="Times New Roman" w:hAnsi="Times New Roman" w:eastAsia="微软雅黑" w:cs="Times New Roman"/>
        </w:rPr>
        <w:t>15</w:t>
      </w:r>
      <w:r>
        <w:rPr>
          <w:rFonts w:hint="default" w:ascii="Times New Roman" w:hAnsi="Times New Roman" w:eastAsia="微软雅黑" w:cs="Times New Roman"/>
        </w:rPr>
        <w:fldChar w:fldCharType="end"/>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sz w:val="24"/>
          <w:szCs w:val="24"/>
          <w:lang w:eastAsia="zh-CN"/>
        </w:rPr>
        <w:t>{%if BodyDrugDrugDetectionStr or unknownVarAnalysisStr %}</w:t>
      </w:r>
    </w:p>
    <w:p w14:paraId="7E7469B5">
      <w:pPr>
        <w:pStyle w:val="14"/>
        <w:tabs>
          <w:tab w:val="right" w:leader="dot" w:pos="9871"/>
        </w:tabs>
        <w:rPr>
          <w:rFonts w:hint="default" w:ascii="Times New Roman" w:hAnsi="Times New Roman" w:eastAsia="微软雅黑" w:cs="Times New Roman"/>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_Toc27407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eastAsia="微软雅黑" w:cs="Times New Roman"/>
          <w:color w:val="auto"/>
          <w:lang w:eastAsia="zh-CN"/>
        </w:rPr>
        <w:t>体细胞变异结果解析</w:t>
      </w:r>
      <w:r>
        <w:rPr>
          <w:rFonts w:hint="default" w:ascii="Times New Roman" w:hAnsi="Times New Roman" w:eastAsia="微软雅黑" w:cs="Times New Roman"/>
          <w:color w:val="auto"/>
        </w:rPr>
        <w:tab/>
      </w:r>
      <w:r>
        <w:rPr>
          <w:rFonts w:hint="default" w:ascii="Times New Roman" w:hAnsi="Times New Roman" w:eastAsia="微软雅黑" w:cs="Times New Roman"/>
          <w:color w:val="auto"/>
        </w:rPr>
        <w:fldChar w:fldCharType="begin"/>
      </w:r>
      <w:r>
        <w:rPr>
          <w:rFonts w:hint="default" w:ascii="Times New Roman" w:hAnsi="Times New Roman" w:eastAsia="微软雅黑" w:cs="Times New Roman"/>
          <w:color w:val="auto"/>
        </w:rPr>
        <w:instrText xml:space="preserve"> PAGEREF _Toc27407 \h </w:instrText>
      </w:r>
      <w:r>
        <w:rPr>
          <w:rFonts w:hint="default" w:ascii="Times New Roman" w:hAnsi="Times New Roman" w:eastAsia="微软雅黑" w:cs="Times New Roman"/>
          <w:color w:val="auto"/>
        </w:rPr>
        <w:fldChar w:fldCharType="separate"/>
      </w:r>
      <w:r>
        <w:rPr>
          <w:rFonts w:hint="default" w:ascii="Times New Roman" w:hAnsi="Times New Roman" w:eastAsia="微软雅黑" w:cs="Times New Roman"/>
          <w:color w:val="auto"/>
        </w:rPr>
        <w:t>15</w:t>
      </w:r>
      <w:r>
        <w:rPr>
          <w:rFonts w:hint="default" w:ascii="Times New Roman" w:hAnsi="Times New Roman" w:eastAsia="微软雅黑" w:cs="Times New Roman"/>
          <w:color w:val="auto"/>
        </w:rPr>
        <w:fldChar w:fldCharType="end"/>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 w:val="24"/>
          <w:szCs w:val="24"/>
          <w:lang w:eastAsia="zh-CN"/>
        </w:rPr>
        <w:t xml:space="preserve">{% endif </w:t>
      </w:r>
      <w:r>
        <w:rPr>
          <w:rFonts w:hint="default" w:ascii="Times New Roman" w:hAnsi="Times New Roman" w:eastAsia="微软雅黑" w:cs="Times New Roman"/>
          <w:color w:val="auto"/>
          <w:sz w:val="24"/>
          <w:szCs w:val="24"/>
          <w:highlight w:val="none"/>
          <w:lang w:eastAsia="zh-CN"/>
        </w:rPr>
        <w:t>%}{%if geneticCancerRiskInfo %}</w:t>
      </w:r>
    </w:p>
    <w:p w14:paraId="034200AB">
      <w:pPr>
        <w:pStyle w:val="14"/>
        <w:tabs>
          <w:tab w:val="right" w:leader="dot" w:pos="9871"/>
        </w:tabs>
        <w:rPr>
          <w:rFonts w:hint="default" w:ascii="Times New Roman" w:hAnsi="Times New Roman" w:eastAsia="微软雅黑" w:cs="Times New Roman"/>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_Toc17445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eastAsia="微软雅黑" w:cs="Times New Roman"/>
          <w:color w:val="auto"/>
          <w:lang w:eastAsia="zh-CN"/>
        </w:rPr>
        <w:t>胚系变异结果解析</w:t>
      </w:r>
      <w:r>
        <w:rPr>
          <w:rFonts w:hint="default" w:ascii="Times New Roman" w:hAnsi="Times New Roman" w:eastAsia="微软雅黑" w:cs="Times New Roman"/>
          <w:color w:val="auto"/>
        </w:rPr>
        <w:tab/>
      </w:r>
      <w:r>
        <w:rPr>
          <w:rFonts w:hint="default" w:ascii="Times New Roman" w:hAnsi="Times New Roman" w:eastAsia="微软雅黑" w:cs="Times New Roman"/>
          <w:color w:val="auto"/>
        </w:rPr>
        <w:fldChar w:fldCharType="begin"/>
      </w:r>
      <w:r>
        <w:rPr>
          <w:rFonts w:hint="default" w:ascii="Times New Roman" w:hAnsi="Times New Roman" w:eastAsia="微软雅黑" w:cs="Times New Roman"/>
          <w:color w:val="auto"/>
        </w:rPr>
        <w:instrText xml:space="preserve"> PAGEREF _Toc17445 \h </w:instrText>
      </w:r>
      <w:r>
        <w:rPr>
          <w:rFonts w:hint="default" w:ascii="Times New Roman" w:hAnsi="Times New Roman" w:eastAsia="微软雅黑" w:cs="Times New Roman"/>
          <w:color w:val="auto"/>
        </w:rPr>
        <w:fldChar w:fldCharType="separate"/>
      </w:r>
      <w:r>
        <w:rPr>
          <w:rFonts w:hint="default" w:ascii="Times New Roman" w:hAnsi="Times New Roman" w:eastAsia="微软雅黑" w:cs="Times New Roman"/>
          <w:color w:val="auto"/>
        </w:rPr>
        <w:t>18</w:t>
      </w:r>
      <w:r>
        <w:rPr>
          <w:rFonts w:hint="default" w:ascii="Times New Roman" w:hAnsi="Times New Roman" w:eastAsia="微软雅黑" w:cs="Times New Roman"/>
          <w:color w:val="auto"/>
        </w:rPr>
        <w:fldChar w:fldCharType="end"/>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 w:val="24"/>
          <w:szCs w:val="24"/>
          <w:lang w:eastAsia="zh-CN"/>
        </w:rPr>
        <w:t>{% endif %}</w:t>
      </w:r>
    </w:p>
    <w:p w14:paraId="0AD97C19">
      <w:pPr>
        <w:pStyle w:val="14"/>
        <w:tabs>
          <w:tab w:val="right" w:leader="dot" w:pos="9871"/>
        </w:tabs>
        <w:rPr>
          <w:rFonts w:hint="default" w:ascii="Times New Roman" w:hAnsi="Times New Roman" w:eastAsia="微软雅黑" w:cs="Times New Roman"/>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_Toc1284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eastAsia="微软雅黑" w:cs="Times New Roman"/>
          <w:color w:val="auto"/>
          <w:lang w:eastAsia="zh-CN"/>
        </w:rPr>
        <w:t>免疫检测结果解析</w:t>
      </w:r>
      <w:r>
        <w:rPr>
          <w:rFonts w:hint="default" w:ascii="Times New Roman" w:hAnsi="Times New Roman" w:eastAsia="微软雅黑" w:cs="Times New Roman"/>
          <w:color w:val="auto"/>
        </w:rPr>
        <w:tab/>
      </w:r>
      <w:r>
        <w:rPr>
          <w:rFonts w:hint="default" w:ascii="Times New Roman" w:hAnsi="Times New Roman" w:eastAsia="微软雅黑" w:cs="Times New Roman"/>
          <w:color w:val="auto"/>
        </w:rPr>
        <w:fldChar w:fldCharType="begin"/>
      </w:r>
      <w:r>
        <w:rPr>
          <w:rFonts w:hint="default" w:ascii="Times New Roman" w:hAnsi="Times New Roman" w:eastAsia="微软雅黑" w:cs="Times New Roman"/>
          <w:color w:val="auto"/>
        </w:rPr>
        <w:instrText xml:space="preserve"> PAGEREF _Toc1284 \h </w:instrText>
      </w:r>
      <w:r>
        <w:rPr>
          <w:rFonts w:hint="default" w:ascii="Times New Roman" w:hAnsi="Times New Roman" w:eastAsia="微软雅黑" w:cs="Times New Roman"/>
          <w:color w:val="auto"/>
        </w:rPr>
        <w:fldChar w:fldCharType="separate"/>
      </w:r>
      <w:r>
        <w:rPr>
          <w:rFonts w:hint="default" w:ascii="Times New Roman" w:hAnsi="Times New Roman" w:eastAsia="微软雅黑" w:cs="Times New Roman"/>
          <w:color w:val="auto"/>
        </w:rPr>
        <w:t>20</w:t>
      </w:r>
      <w:r>
        <w:rPr>
          <w:rFonts w:hint="default" w:ascii="Times New Roman" w:hAnsi="Times New Roman" w:eastAsia="微软雅黑" w:cs="Times New Roman"/>
          <w:color w:val="auto"/>
        </w:rPr>
        <w:fldChar w:fldCharType="end"/>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 w:val="24"/>
          <w:szCs w:val="24"/>
          <w:lang w:eastAsia="zh-CN"/>
        </w:rPr>
        <w:t>{% if gastrointestinalStromalTumor == True %}</w:t>
      </w:r>
    </w:p>
    <w:p w14:paraId="168B0298">
      <w:pPr>
        <w:pStyle w:val="14"/>
        <w:tabs>
          <w:tab w:val="right" w:leader="dot" w:pos="9871"/>
        </w:tabs>
        <w:rPr>
          <w:rFonts w:hint="default" w:ascii="Times New Roman" w:hAnsi="Times New Roman" w:eastAsia="微软雅黑" w:cs="Times New Roman"/>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_Toc16054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eastAsia="微软雅黑" w:cs="Times New Roman"/>
          <w:color w:val="auto"/>
          <w:lang w:eastAsia="zh-CN"/>
        </w:rPr>
        <w:t>化疗药物检测解析</w:t>
      </w:r>
      <w:r>
        <w:rPr>
          <w:rFonts w:hint="default" w:ascii="Times New Roman" w:hAnsi="Times New Roman" w:eastAsia="微软雅黑" w:cs="Times New Roman"/>
          <w:color w:val="auto"/>
        </w:rPr>
        <w:tab/>
      </w:r>
      <w:r>
        <w:rPr>
          <w:rFonts w:hint="default" w:ascii="Times New Roman" w:hAnsi="Times New Roman" w:eastAsia="微软雅黑" w:cs="Times New Roman"/>
          <w:color w:val="auto"/>
        </w:rPr>
        <w:fldChar w:fldCharType="begin"/>
      </w:r>
      <w:r>
        <w:rPr>
          <w:rFonts w:hint="default" w:ascii="Times New Roman" w:hAnsi="Times New Roman" w:eastAsia="微软雅黑" w:cs="Times New Roman"/>
          <w:color w:val="auto"/>
        </w:rPr>
        <w:instrText xml:space="preserve"> PAGEREF _Toc16054 \h </w:instrText>
      </w:r>
      <w:r>
        <w:rPr>
          <w:rFonts w:hint="default" w:ascii="Times New Roman" w:hAnsi="Times New Roman" w:eastAsia="微软雅黑" w:cs="Times New Roman"/>
          <w:color w:val="auto"/>
        </w:rPr>
        <w:fldChar w:fldCharType="separate"/>
      </w:r>
      <w:r>
        <w:rPr>
          <w:rFonts w:hint="default" w:ascii="Times New Roman" w:hAnsi="Times New Roman" w:eastAsia="微软雅黑" w:cs="Times New Roman"/>
          <w:color w:val="auto"/>
        </w:rPr>
        <w:t>22</w:t>
      </w:r>
      <w:r>
        <w:rPr>
          <w:rFonts w:hint="default" w:ascii="Times New Roman" w:hAnsi="Times New Roman" w:eastAsia="微软雅黑" w:cs="Times New Roman"/>
          <w:color w:val="auto"/>
        </w:rPr>
        <w:fldChar w:fldCharType="end"/>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 w:val="24"/>
          <w:szCs w:val="24"/>
          <w:lang w:eastAsia="zh-CN"/>
        </w:rPr>
        <w:t>{% endif %}</w:t>
      </w:r>
    </w:p>
    <w:p w14:paraId="646A305A">
      <w:pPr>
        <w:pStyle w:val="13"/>
        <w:tabs>
          <w:tab w:val="right" w:leader="dot" w:pos="9871"/>
        </w:tabs>
        <w:rPr>
          <w:rFonts w:hint="default" w:ascii="Times New Roman" w:hAnsi="Times New Roman" w:eastAsia="微软雅黑" w:cs="Times New Roman"/>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szCs w:val="36"/>
          <w:lang w:val="en-US" w:eastAsia="zh-CN"/>
        </w:rPr>
        <w:instrText xml:space="preserve"> HYPERLINK \l _Toc15012 </w:instrText>
      </w:r>
      <w:r>
        <w:rPr>
          <w:rFonts w:hint="default" w:ascii="Times New Roman" w:hAnsi="Times New Roman" w:eastAsia="微软雅黑" w:cs="Times New Roman"/>
          <w:szCs w:val="36"/>
          <w:lang w:val="en-US" w:eastAsia="zh-CN"/>
        </w:rPr>
        <w:fldChar w:fldCharType="separate"/>
      </w:r>
      <w:r>
        <w:rPr>
          <w:rFonts w:hint="default" w:ascii="Times New Roman" w:hAnsi="Times New Roman" w:eastAsia="微软雅黑" w:cs="Times New Roman"/>
        </w:rPr>
        <w:t>附录</w:t>
      </w:r>
      <w:r>
        <w:rPr>
          <w:rFonts w:hint="default" w:ascii="Times New Roman" w:hAnsi="Times New Roman" w:eastAsia="微软雅黑" w:cs="Times New Roman"/>
        </w:rPr>
        <w:tab/>
      </w: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 PAGEREF _Toc15012 \h </w:instrText>
      </w:r>
      <w:r>
        <w:rPr>
          <w:rFonts w:hint="default" w:ascii="Times New Roman" w:hAnsi="Times New Roman" w:eastAsia="微软雅黑" w:cs="Times New Roman"/>
        </w:rPr>
        <w:fldChar w:fldCharType="separate"/>
      </w:r>
      <w:r>
        <w:rPr>
          <w:rFonts w:hint="default" w:ascii="Times New Roman" w:hAnsi="Times New Roman" w:eastAsia="微软雅黑" w:cs="Times New Roman"/>
        </w:rPr>
        <w:t>24</w:t>
      </w:r>
      <w:r>
        <w:rPr>
          <w:rFonts w:hint="default" w:ascii="Times New Roman" w:hAnsi="Times New Roman" w:eastAsia="微软雅黑" w:cs="Times New Roman"/>
        </w:rPr>
        <w:fldChar w:fldCharType="end"/>
      </w:r>
      <w:r>
        <w:rPr>
          <w:rFonts w:hint="default" w:ascii="Times New Roman" w:hAnsi="Times New Roman" w:eastAsia="微软雅黑" w:cs="Times New Roman"/>
          <w:color w:val="auto"/>
          <w:szCs w:val="36"/>
          <w:lang w:val="en-US" w:eastAsia="zh-CN"/>
        </w:rPr>
        <w:fldChar w:fldCharType="end"/>
      </w:r>
    </w:p>
    <w:p w14:paraId="15CE764C">
      <w:pPr>
        <w:pStyle w:val="14"/>
        <w:tabs>
          <w:tab w:val="right" w:leader="dot" w:pos="9871"/>
        </w:tabs>
        <w:rPr>
          <w:rFonts w:hint="default" w:ascii="Times New Roman" w:hAnsi="Times New Roman" w:eastAsia="微软雅黑" w:cs="Times New Roman"/>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_Toc12798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eastAsia="微软雅黑" w:cs="Times New Roman"/>
          <w:color w:val="auto"/>
          <w:lang w:val="en-US" w:eastAsia="zh-CN"/>
        </w:rPr>
        <w:t>样本质控情况</w:t>
      </w:r>
      <w:r>
        <w:rPr>
          <w:rFonts w:hint="default" w:ascii="Times New Roman" w:hAnsi="Times New Roman" w:eastAsia="微软雅黑" w:cs="Times New Roman"/>
          <w:color w:val="auto"/>
        </w:rPr>
        <w:tab/>
      </w:r>
      <w:r>
        <w:rPr>
          <w:rFonts w:hint="default" w:ascii="Times New Roman" w:hAnsi="Times New Roman" w:eastAsia="微软雅黑" w:cs="Times New Roman"/>
          <w:color w:val="auto"/>
        </w:rPr>
        <w:fldChar w:fldCharType="begin"/>
      </w:r>
      <w:r>
        <w:rPr>
          <w:rFonts w:hint="default" w:ascii="Times New Roman" w:hAnsi="Times New Roman" w:eastAsia="微软雅黑" w:cs="Times New Roman"/>
          <w:color w:val="auto"/>
        </w:rPr>
        <w:instrText xml:space="preserve"> PAGEREF _Toc12798 \h </w:instrText>
      </w:r>
      <w:r>
        <w:rPr>
          <w:rFonts w:hint="default" w:ascii="Times New Roman" w:hAnsi="Times New Roman" w:eastAsia="微软雅黑" w:cs="Times New Roman"/>
          <w:color w:val="auto"/>
        </w:rPr>
        <w:fldChar w:fldCharType="separate"/>
      </w:r>
      <w:r>
        <w:rPr>
          <w:rFonts w:hint="default" w:ascii="Times New Roman" w:hAnsi="Times New Roman" w:eastAsia="微软雅黑" w:cs="Times New Roman"/>
          <w:color w:val="auto"/>
        </w:rPr>
        <w:t>24</w:t>
      </w:r>
      <w:r>
        <w:rPr>
          <w:rFonts w:hint="default" w:ascii="Times New Roman" w:hAnsi="Times New Roman" w:eastAsia="微软雅黑" w:cs="Times New Roman"/>
          <w:color w:val="auto"/>
        </w:rPr>
        <w:fldChar w:fldCharType="end"/>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 w:val="24"/>
          <w:szCs w:val="24"/>
          <w:lang w:eastAsia="zh-CN"/>
        </w:rPr>
        <w:t>{% if endometrialCarcinoma == True %}</w:t>
      </w:r>
    </w:p>
    <w:p w14:paraId="3E7CA5CD">
      <w:pPr>
        <w:pStyle w:val="14"/>
        <w:tabs>
          <w:tab w:val="right" w:leader="dot" w:pos="9871"/>
        </w:tabs>
        <w:rPr>
          <w:rFonts w:hint="default" w:ascii="Times New Roman" w:hAnsi="Times New Roman" w:eastAsia="微软雅黑" w:cs="Times New Roman"/>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_Toc6128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eastAsia="微软雅黑" w:cs="Times New Roman"/>
          <w:color w:val="auto"/>
        </w:rPr>
        <w:t>子宫内膜癌分子分型与预后的相关性</w:t>
      </w:r>
      <w:r>
        <w:rPr>
          <w:rFonts w:hint="default" w:ascii="Times New Roman" w:hAnsi="Times New Roman" w:eastAsia="微软雅黑" w:cs="Times New Roman"/>
          <w:color w:val="auto"/>
        </w:rPr>
        <w:tab/>
      </w:r>
      <w:r>
        <w:rPr>
          <w:rFonts w:hint="default" w:ascii="Times New Roman" w:hAnsi="Times New Roman" w:eastAsia="微软雅黑" w:cs="Times New Roman"/>
          <w:color w:val="auto"/>
        </w:rPr>
        <w:fldChar w:fldCharType="begin"/>
      </w:r>
      <w:r>
        <w:rPr>
          <w:rFonts w:hint="default" w:ascii="Times New Roman" w:hAnsi="Times New Roman" w:eastAsia="微软雅黑" w:cs="Times New Roman"/>
          <w:color w:val="auto"/>
        </w:rPr>
        <w:instrText xml:space="preserve"> PAGEREF _Toc6128 \h </w:instrText>
      </w:r>
      <w:r>
        <w:rPr>
          <w:rFonts w:hint="default" w:ascii="Times New Roman" w:hAnsi="Times New Roman" w:eastAsia="微软雅黑" w:cs="Times New Roman"/>
          <w:color w:val="auto"/>
        </w:rPr>
        <w:fldChar w:fldCharType="separate"/>
      </w:r>
      <w:r>
        <w:rPr>
          <w:rFonts w:hint="default" w:ascii="Times New Roman" w:hAnsi="Times New Roman" w:eastAsia="微软雅黑" w:cs="Times New Roman"/>
          <w:color w:val="auto"/>
        </w:rPr>
        <w:t>25</w:t>
      </w:r>
      <w:r>
        <w:rPr>
          <w:rFonts w:hint="default" w:ascii="Times New Roman" w:hAnsi="Times New Roman" w:eastAsia="微软雅黑" w:cs="Times New Roman"/>
          <w:color w:val="auto"/>
        </w:rPr>
        <w:fldChar w:fldCharType="end"/>
      </w:r>
      <w:r>
        <w:rPr>
          <w:rFonts w:hint="default" w:ascii="Times New Roman" w:hAnsi="Times New Roman" w:eastAsia="微软雅黑" w:cs="Times New Roman"/>
          <w:color w:val="auto"/>
          <w:szCs w:val="36"/>
          <w:lang w:val="en-US" w:eastAsia="zh-CN"/>
        </w:rPr>
        <w:fldChar w:fldCharType="end"/>
      </w:r>
      <w:r>
        <w:rPr>
          <w:rFonts w:hint="default" w:ascii="Times New Roman" w:hAnsi="Times New Roman" w:eastAsia="微软雅黑" w:cs="Times New Roman"/>
          <w:color w:val="auto"/>
          <w:sz w:val="24"/>
          <w:szCs w:val="24"/>
          <w:lang w:eastAsia="zh-CN"/>
        </w:rPr>
        <w:t>{% endif %}</w:t>
      </w:r>
    </w:p>
    <w:p w14:paraId="6B77DD67">
      <w:pPr>
        <w:pStyle w:val="14"/>
        <w:tabs>
          <w:tab w:val="right" w:leader="dot" w:pos="9871"/>
        </w:tabs>
        <w:rPr>
          <w:rFonts w:hint="default" w:ascii="Times New Roman" w:hAnsi="Times New Roman" w:eastAsia="微软雅黑" w:cs="Times New Roman"/>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_Toc6597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eastAsia="微软雅黑" w:cs="Times New Roman"/>
          <w:color w:val="auto"/>
          <w:lang w:eastAsia="zh-CN"/>
        </w:rPr>
        <w:t>常见靶向药物相关基因检测列表</w:t>
      </w:r>
      <w:r>
        <w:rPr>
          <w:rFonts w:hint="default" w:ascii="Times New Roman" w:hAnsi="Times New Roman" w:eastAsia="微软雅黑" w:cs="Times New Roman"/>
          <w:color w:val="auto"/>
        </w:rPr>
        <w:tab/>
      </w:r>
      <w:r>
        <w:rPr>
          <w:rFonts w:hint="default" w:ascii="Times New Roman" w:hAnsi="Times New Roman" w:eastAsia="微软雅黑" w:cs="Times New Roman"/>
          <w:color w:val="auto"/>
        </w:rPr>
        <w:fldChar w:fldCharType="begin"/>
      </w:r>
      <w:r>
        <w:rPr>
          <w:rFonts w:hint="default" w:ascii="Times New Roman" w:hAnsi="Times New Roman" w:eastAsia="微软雅黑" w:cs="Times New Roman"/>
          <w:color w:val="auto"/>
        </w:rPr>
        <w:instrText xml:space="preserve"> PAGEREF _Toc6597 \h </w:instrText>
      </w:r>
      <w:r>
        <w:rPr>
          <w:rFonts w:hint="default" w:ascii="Times New Roman" w:hAnsi="Times New Roman" w:eastAsia="微软雅黑" w:cs="Times New Roman"/>
          <w:color w:val="auto"/>
        </w:rPr>
        <w:fldChar w:fldCharType="separate"/>
      </w:r>
      <w:r>
        <w:rPr>
          <w:rFonts w:hint="default" w:ascii="Times New Roman" w:hAnsi="Times New Roman" w:eastAsia="微软雅黑" w:cs="Times New Roman"/>
          <w:color w:val="auto"/>
        </w:rPr>
        <w:t>27</w:t>
      </w:r>
      <w:r>
        <w:rPr>
          <w:rFonts w:hint="default" w:ascii="Times New Roman" w:hAnsi="Times New Roman" w:eastAsia="微软雅黑" w:cs="Times New Roman"/>
          <w:color w:val="auto"/>
        </w:rPr>
        <w:fldChar w:fldCharType="end"/>
      </w:r>
      <w:r>
        <w:rPr>
          <w:rFonts w:hint="default" w:ascii="Times New Roman" w:hAnsi="Times New Roman" w:eastAsia="微软雅黑" w:cs="Times New Roman"/>
          <w:color w:val="auto"/>
          <w:szCs w:val="36"/>
          <w:lang w:val="en-US" w:eastAsia="zh-CN"/>
        </w:rPr>
        <w:fldChar w:fldCharType="end"/>
      </w:r>
    </w:p>
    <w:p w14:paraId="202A9308">
      <w:pPr>
        <w:pStyle w:val="14"/>
        <w:tabs>
          <w:tab w:val="right" w:leader="dot" w:pos="9871"/>
        </w:tabs>
        <w:rPr>
          <w:rFonts w:hint="default" w:ascii="Times New Roman" w:hAnsi="Times New Roman" w:eastAsia="微软雅黑" w:cs="Times New Roman"/>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_Toc29242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eastAsia="微软雅黑" w:cs="Times New Roman"/>
          <w:color w:val="auto"/>
          <w:lang w:eastAsia="zh-CN"/>
        </w:rPr>
        <w:t>检测基因列表</w:t>
      </w:r>
      <w:r>
        <w:rPr>
          <w:rFonts w:hint="default" w:ascii="Times New Roman" w:hAnsi="Times New Roman" w:eastAsia="微软雅黑" w:cs="Times New Roman"/>
          <w:color w:val="auto"/>
        </w:rPr>
        <w:tab/>
      </w:r>
      <w:r>
        <w:rPr>
          <w:rFonts w:hint="default" w:ascii="Times New Roman" w:hAnsi="Times New Roman" w:eastAsia="微软雅黑" w:cs="Times New Roman"/>
          <w:color w:val="auto"/>
        </w:rPr>
        <w:fldChar w:fldCharType="begin"/>
      </w:r>
      <w:r>
        <w:rPr>
          <w:rFonts w:hint="default" w:ascii="Times New Roman" w:hAnsi="Times New Roman" w:eastAsia="微软雅黑" w:cs="Times New Roman"/>
          <w:color w:val="auto"/>
        </w:rPr>
        <w:instrText xml:space="preserve"> PAGEREF _Toc29242 \h </w:instrText>
      </w:r>
      <w:r>
        <w:rPr>
          <w:rFonts w:hint="default" w:ascii="Times New Roman" w:hAnsi="Times New Roman" w:eastAsia="微软雅黑" w:cs="Times New Roman"/>
          <w:color w:val="auto"/>
        </w:rPr>
        <w:fldChar w:fldCharType="separate"/>
      </w:r>
      <w:r>
        <w:rPr>
          <w:rFonts w:hint="default" w:ascii="Times New Roman" w:hAnsi="Times New Roman" w:eastAsia="微软雅黑" w:cs="Times New Roman"/>
          <w:color w:val="auto"/>
        </w:rPr>
        <w:t>28</w:t>
      </w:r>
      <w:r>
        <w:rPr>
          <w:rFonts w:hint="default" w:ascii="Times New Roman" w:hAnsi="Times New Roman" w:eastAsia="微软雅黑" w:cs="Times New Roman"/>
          <w:color w:val="auto"/>
        </w:rPr>
        <w:fldChar w:fldCharType="end"/>
      </w:r>
      <w:r>
        <w:rPr>
          <w:rFonts w:hint="default" w:ascii="Times New Roman" w:hAnsi="Times New Roman" w:eastAsia="微软雅黑" w:cs="Times New Roman"/>
          <w:color w:val="auto"/>
          <w:szCs w:val="36"/>
          <w:lang w:val="en-US" w:eastAsia="zh-CN"/>
        </w:rPr>
        <w:fldChar w:fldCharType="end"/>
      </w:r>
    </w:p>
    <w:p w14:paraId="4BFD25D1">
      <w:pPr>
        <w:pStyle w:val="14"/>
        <w:tabs>
          <w:tab w:val="right" w:leader="dot" w:pos="9871"/>
        </w:tabs>
        <w:rPr>
          <w:rFonts w:hint="default" w:ascii="Times New Roman" w:hAnsi="Times New Roman" w:eastAsia="微软雅黑" w:cs="Times New Roman"/>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_Toc9265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eastAsia="微软雅黑" w:cs="Times New Roman"/>
          <w:color w:val="auto"/>
          <w:highlight w:val="none"/>
          <w:lang w:eastAsia="zh-CN"/>
        </w:rPr>
        <w:t>检测方法与局限性</w:t>
      </w:r>
      <w:r>
        <w:rPr>
          <w:rFonts w:hint="default" w:ascii="Times New Roman" w:hAnsi="Times New Roman" w:eastAsia="微软雅黑" w:cs="Times New Roman"/>
          <w:color w:val="auto"/>
        </w:rPr>
        <w:tab/>
      </w:r>
      <w:r>
        <w:rPr>
          <w:rFonts w:hint="default" w:ascii="Times New Roman" w:hAnsi="Times New Roman" w:eastAsia="微软雅黑" w:cs="Times New Roman"/>
          <w:color w:val="auto"/>
        </w:rPr>
        <w:fldChar w:fldCharType="begin"/>
      </w:r>
      <w:r>
        <w:rPr>
          <w:rFonts w:hint="default" w:ascii="Times New Roman" w:hAnsi="Times New Roman" w:eastAsia="微软雅黑" w:cs="Times New Roman"/>
          <w:color w:val="auto"/>
        </w:rPr>
        <w:instrText xml:space="preserve"> PAGEREF _Toc9265 \h </w:instrText>
      </w:r>
      <w:r>
        <w:rPr>
          <w:rFonts w:hint="default" w:ascii="Times New Roman" w:hAnsi="Times New Roman" w:eastAsia="微软雅黑" w:cs="Times New Roman"/>
          <w:color w:val="auto"/>
        </w:rPr>
        <w:fldChar w:fldCharType="separate"/>
      </w:r>
      <w:r>
        <w:rPr>
          <w:rFonts w:hint="default" w:ascii="Times New Roman" w:hAnsi="Times New Roman" w:eastAsia="微软雅黑" w:cs="Times New Roman"/>
          <w:color w:val="auto"/>
        </w:rPr>
        <w:t>30</w:t>
      </w:r>
      <w:r>
        <w:rPr>
          <w:rFonts w:hint="default" w:ascii="Times New Roman" w:hAnsi="Times New Roman" w:eastAsia="微软雅黑" w:cs="Times New Roman"/>
          <w:color w:val="auto"/>
        </w:rPr>
        <w:fldChar w:fldCharType="end"/>
      </w:r>
      <w:r>
        <w:rPr>
          <w:rFonts w:hint="default" w:ascii="Times New Roman" w:hAnsi="Times New Roman" w:eastAsia="微软雅黑" w:cs="Times New Roman"/>
          <w:color w:val="auto"/>
          <w:szCs w:val="36"/>
          <w:lang w:val="en-US" w:eastAsia="zh-CN"/>
        </w:rPr>
        <w:fldChar w:fldCharType="end"/>
      </w:r>
    </w:p>
    <w:p w14:paraId="7C0AB13A">
      <w:pPr>
        <w:pStyle w:val="14"/>
        <w:tabs>
          <w:tab w:val="right" w:leader="dot" w:pos="9871"/>
        </w:tabs>
        <w:rPr>
          <w:rFonts w:hint="default" w:ascii="Times New Roman" w:hAnsi="Times New Roman" w:eastAsia="微软雅黑" w:cs="Times New Roman"/>
          <w:color w:val="auto"/>
        </w:rPr>
      </w:pPr>
      <w:r>
        <w:rPr>
          <w:rFonts w:hint="default" w:ascii="Times New Roman" w:hAnsi="Times New Roman" w:eastAsia="微软雅黑" w:cs="Times New Roman"/>
          <w:color w:val="auto"/>
          <w:szCs w:val="36"/>
          <w:lang w:val="en-US" w:eastAsia="zh-CN"/>
        </w:rPr>
        <w:fldChar w:fldCharType="begin"/>
      </w:r>
      <w:r>
        <w:rPr>
          <w:rFonts w:hint="default" w:ascii="Times New Roman" w:hAnsi="Times New Roman" w:eastAsia="微软雅黑" w:cs="Times New Roman"/>
          <w:color w:val="auto"/>
          <w:szCs w:val="36"/>
          <w:lang w:val="en-US" w:eastAsia="zh-CN"/>
        </w:rPr>
        <w:instrText xml:space="preserve"> HYPERLINK \l _Toc1660 </w:instrText>
      </w:r>
      <w:r>
        <w:rPr>
          <w:rFonts w:hint="default" w:ascii="Times New Roman" w:hAnsi="Times New Roman" w:eastAsia="微软雅黑" w:cs="Times New Roman"/>
          <w:color w:val="auto"/>
          <w:szCs w:val="36"/>
          <w:lang w:val="en-US" w:eastAsia="zh-CN"/>
        </w:rPr>
        <w:fldChar w:fldCharType="separate"/>
      </w:r>
      <w:r>
        <w:rPr>
          <w:rFonts w:hint="default" w:ascii="Times New Roman" w:hAnsi="Times New Roman" w:eastAsia="微软雅黑" w:cs="Times New Roman"/>
          <w:color w:val="auto"/>
          <w:lang w:eastAsia="zh-CN"/>
        </w:rPr>
        <w:t>参考文献</w:t>
      </w:r>
      <w:r>
        <w:rPr>
          <w:rFonts w:hint="default" w:ascii="Times New Roman" w:hAnsi="Times New Roman" w:eastAsia="微软雅黑" w:cs="Times New Roman"/>
          <w:color w:val="auto"/>
        </w:rPr>
        <w:tab/>
      </w:r>
      <w:r>
        <w:rPr>
          <w:rFonts w:hint="default" w:ascii="Times New Roman" w:hAnsi="Times New Roman" w:eastAsia="微软雅黑" w:cs="Times New Roman"/>
          <w:color w:val="auto"/>
        </w:rPr>
        <w:fldChar w:fldCharType="begin"/>
      </w:r>
      <w:r>
        <w:rPr>
          <w:rFonts w:hint="default" w:ascii="Times New Roman" w:hAnsi="Times New Roman" w:eastAsia="微软雅黑" w:cs="Times New Roman"/>
          <w:color w:val="auto"/>
        </w:rPr>
        <w:instrText xml:space="preserve"> PAGEREF _Toc1660 \h </w:instrText>
      </w:r>
      <w:r>
        <w:rPr>
          <w:rFonts w:hint="default" w:ascii="Times New Roman" w:hAnsi="Times New Roman" w:eastAsia="微软雅黑" w:cs="Times New Roman"/>
          <w:color w:val="auto"/>
        </w:rPr>
        <w:fldChar w:fldCharType="separate"/>
      </w:r>
      <w:r>
        <w:rPr>
          <w:rFonts w:hint="default" w:ascii="Times New Roman" w:hAnsi="Times New Roman" w:eastAsia="微软雅黑" w:cs="Times New Roman"/>
          <w:color w:val="auto"/>
        </w:rPr>
        <w:t>31</w:t>
      </w:r>
      <w:r>
        <w:rPr>
          <w:rFonts w:hint="default" w:ascii="Times New Roman" w:hAnsi="Times New Roman" w:eastAsia="微软雅黑" w:cs="Times New Roman"/>
          <w:color w:val="auto"/>
        </w:rPr>
        <w:fldChar w:fldCharType="end"/>
      </w:r>
      <w:r>
        <w:rPr>
          <w:rFonts w:hint="default" w:ascii="Times New Roman" w:hAnsi="Times New Roman" w:eastAsia="微软雅黑" w:cs="Times New Roman"/>
          <w:color w:val="auto"/>
          <w:szCs w:val="36"/>
          <w:lang w:val="en-US" w:eastAsia="zh-CN"/>
        </w:rPr>
        <w:fldChar w:fldCharType="end"/>
      </w:r>
    </w:p>
    <w:p w14:paraId="66FD00B9">
      <w:pPr>
        <w:keepNext w:val="0"/>
        <w:keepLines w:val="0"/>
        <w:pageBreakBefore w:val="0"/>
        <w:widowControl w:val="0"/>
        <w:kinsoku/>
        <w:wordWrap/>
        <w:overflowPunct/>
        <w:topLinePunct w:val="0"/>
        <w:autoSpaceDE/>
        <w:autoSpaceDN/>
        <w:bidi w:val="0"/>
        <w:adjustRightInd/>
        <w:snapToGrid/>
        <w:ind w:firstLine="0" w:firstLineChars="0"/>
        <w:jc w:val="both"/>
        <w:textAlignment w:val="auto"/>
        <w:rPr>
          <w:sz w:val="21"/>
          <w:szCs w:val="21"/>
          <w:lang w:eastAsia="zh-CN"/>
        </w:rPr>
      </w:pPr>
      <w:r>
        <w:rPr>
          <w:rFonts w:hint="default" w:ascii="Times New Roman" w:hAnsi="Times New Roman" w:eastAsia="微软雅黑" w:cs="Times New Roman"/>
          <w:color w:val="auto"/>
          <w:szCs w:val="36"/>
          <w:lang w:val="en-US" w:eastAsia="zh-CN"/>
        </w:rPr>
        <w:fldChar w:fldCharType="end"/>
      </w:r>
    </w:p>
    <w:p w14:paraId="65409300">
      <w:pPr>
        <w:rPr>
          <w:sz w:val="21"/>
          <w:szCs w:val="21"/>
          <w:lang w:eastAsia="zh-CN"/>
        </w:rPr>
        <w:sectPr>
          <w:headerReference r:id="rId3" w:type="default"/>
          <w:footerReference r:id="rId4" w:type="default"/>
          <w:pgSz w:w="11911" w:h="16838"/>
          <w:pgMar w:top="1037" w:right="1020" w:bottom="981" w:left="1020" w:header="567" w:footer="720" w:gutter="0"/>
          <w:pgBorders>
            <w:top w:val="none" w:sz="0" w:space="0"/>
            <w:left w:val="none" w:sz="0" w:space="0"/>
            <w:bottom w:val="none" w:sz="0" w:space="0"/>
            <w:right w:val="none" w:sz="0" w:space="0"/>
          </w:pgBorders>
          <w:pgNumType w:fmt="decimal" w:start="1"/>
          <w:cols w:space="0" w:num="1"/>
          <w:rtlGutter w:val="0"/>
          <w:docGrid w:linePitch="299" w:charSpace="0"/>
        </w:sectPr>
      </w:pPr>
    </w:p>
    <w:p w14:paraId="530FA9C0">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0" w:name="_Toc21669"/>
      <w:bookmarkStart w:id="1" w:name="_Toc30143_WPSOffice_Level1"/>
      <w:bookmarkStart w:id="2" w:name="_Toc24397"/>
      <w:bookmarkStart w:id="3" w:name="_Toc27500"/>
      <w:bookmarkStart w:id="4" w:name="_Toc10446"/>
      <w:bookmarkStart w:id="5" w:name="_Toc6322"/>
      <w:bookmarkStart w:id="6" w:name="_Toc32054"/>
      <w:bookmarkStart w:id="7" w:name="_Toc28303"/>
      <w:bookmarkStart w:id="8" w:name="_Toc24178_WPSOffice_Level1"/>
      <w:bookmarkStart w:id="9" w:name="_Toc21009_WPSOffice_Level1"/>
      <w:bookmarkStart w:id="10" w:name="_Toc13806"/>
      <w:r>
        <w:rPr>
          <w:rFonts w:ascii="Times New Roman" w:hAnsi="Times New Roman"/>
          <w:color w:val="62B541"/>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6"/>
      <w:bookmarkEnd w:id="7"/>
      <w:bookmarkEnd w:id="8"/>
      <w:bookmarkEnd w:id="9"/>
      <w:bookmarkEnd w:id="10"/>
    </w:p>
    <w:tbl>
      <w:tblPr>
        <w:tblStyle w:val="16"/>
        <w:tblpPr w:leftFromText="180" w:rightFromText="180" w:vertAnchor="text" w:horzAnchor="margin" w:tblpXSpec="center" w:tblpY="11"/>
        <w:tblW w:w="9870" w:type="dxa"/>
        <w:jc w:val="center"/>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Layout w:type="fixed"/>
        <w:tblCellMar>
          <w:top w:w="0" w:type="dxa"/>
          <w:left w:w="108" w:type="dxa"/>
          <w:bottom w:w="0" w:type="dxa"/>
          <w:right w:w="108" w:type="dxa"/>
        </w:tblCellMar>
      </w:tblPr>
      <w:tblGrid>
        <w:gridCol w:w="3231"/>
        <w:gridCol w:w="3323"/>
        <w:gridCol w:w="3316"/>
      </w:tblGrid>
      <w:tr w14:paraId="2471FBD3">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op w:val="single" w:color="62B541" w:sz="24" w:space="0"/>
            </w:tcBorders>
            <w:shd w:val="clear" w:color="auto" w:fill="auto"/>
            <w:vAlign w:val="center"/>
          </w:tcPr>
          <w:p w14:paraId="41FB948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541" w:sz="24" w:space="0"/>
            </w:tcBorders>
            <w:shd w:val="clear" w:color="auto" w:fill="auto"/>
            <w:vAlign w:val="center"/>
          </w:tcPr>
          <w:p w14:paraId="784BECF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541" w:sz="24" w:space="0"/>
            </w:tcBorders>
            <w:shd w:val="clear" w:color="auto" w:fill="auto"/>
            <w:vAlign w:val="center"/>
          </w:tcPr>
          <w:p w14:paraId="6316D1D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3425F848">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6DAAB31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7F248909">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268DA39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黑体"/>
                <w:sz w:val="21"/>
                <w:lang w:eastAsia="zh-CN"/>
              </w:rPr>
              <w:t>{% if type == "tissue" %}{%if "胸腹水" in specimentype %}胸腹水{% else %}石蜡样本{% endif %}{% elif type == "blood" %}{%if "胸腹水(上清)" in specimentype %}胸腹水(上清){% else %}血液{% endif %}{% endif %}</w:t>
            </w:r>
          </w:p>
        </w:tc>
      </w:tr>
      <w:tr w14:paraId="7162B525">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0F43C27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50DC5E46">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0E4276FD">
            <w:pPr>
              <w:jc w:val="both"/>
              <w:rPr>
                <w:rFonts w:hint="default" w:ascii="Times New Roman" w:hAnsi="Times New Roman" w:eastAsia="微软雅黑" w:cs="Times New Roman"/>
                <w:bCs/>
                <w:color w:val="000000"/>
                <w:sz w:val="21"/>
                <w:szCs w:val="21"/>
                <w:lang w:val="en-US" w:eastAsia="zh-CN"/>
              </w:rPr>
            </w:pPr>
            <w:r>
              <w:rPr>
                <w:rFonts w:hint="eastAsia" w:ascii="Times New Roman" w:hAnsi="Times New Roman" w:eastAsia="微软雅黑" w:cs="Times New Roman"/>
                <w:bCs/>
                <w:color w:val="000000"/>
                <w:sz w:val="21"/>
                <w:szCs w:val="21"/>
                <w:lang w:val="en-US" w:eastAsia="zh-CN"/>
              </w:rPr>
              <w:t>病理编号：{{ patientid }}</w:t>
            </w:r>
          </w:p>
        </w:tc>
      </w:tr>
      <w:tr w14:paraId="347567A8">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bottom w:val="single" w:color="A4A4A4" w:sz="4" w:space="0"/>
              <w:tl2br w:val="nil"/>
              <w:tr2bl w:val="nil"/>
            </w:tcBorders>
            <w:shd w:val="clear" w:color="auto" w:fill="auto"/>
            <w:vAlign w:val="center"/>
          </w:tcPr>
          <w:p w14:paraId="232B898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bottom w:val="single" w:color="A4A4A4" w:sz="4" w:space="0"/>
              <w:tl2br w:val="nil"/>
              <w:tr2bl w:val="nil"/>
            </w:tcBorders>
            <w:shd w:val="clear" w:color="auto" w:fill="auto"/>
            <w:vAlign w:val="center"/>
          </w:tcPr>
          <w:p w14:paraId="4B750563">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c>
          <w:tcPr>
            <w:tcW w:w="3316" w:type="dxa"/>
            <w:tcBorders>
              <w:bottom w:val="single" w:color="A4A4A4" w:sz="4" w:space="0"/>
              <w:tl2br w:val="nil"/>
              <w:tr2bl w:val="nil"/>
            </w:tcBorders>
            <w:shd w:val="clear" w:color="auto" w:fill="auto"/>
            <w:vAlign w:val="center"/>
          </w:tcPr>
          <w:p w14:paraId="5B123A5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bl>
    <w:p w14:paraId="271EF378">
      <w:pPr>
        <w:rPr>
          <w:rFonts w:ascii="Times New Roman" w:hAnsi="Times New Roman" w:eastAsia="微软雅黑" w:cs="Times New Roman"/>
          <w:b/>
          <w:color w:val="00B050"/>
          <w:sz w:val="28"/>
          <w:szCs w:val="28"/>
          <w:lang w:eastAsia="zh-CN"/>
        </w:rPr>
      </w:pPr>
    </w:p>
    <w:p w14:paraId="339AF3D0">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11" w:name="_Toc7021_WPSOffice_Level1"/>
      <w:bookmarkStart w:id="12" w:name="_Toc16456"/>
      <w:bookmarkStart w:id="13" w:name="_Toc11015_WPSOffice_Level1"/>
      <w:bookmarkStart w:id="14" w:name="_Toc11465"/>
      <w:bookmarkStart w:id="15" w:name="_Toc18062_WPSOffice_Level1"/>
      <w:bookmarkStart w:id="16" w:name="_Toc13931"/>
      <w:bookmarkStart w:id="17" w:name="_Toc17451"/>
      <w:bookmarkStart w:id="18" w:name="_Toc10518"/>
      <w:bookmarkStart w:id="19" w:name="_Toc19594"/>
      <w:bookmarkStart w:id="20" w:name="_Toc15297"/>
      <w:bookmarkStart w:id="21" w:name="_Toc3823"/>
      <w:r>
        <w:rPr>
          <w:rFonts w:ascii="Times New Roman" w:hAnsi="Times New Roman"/>
          <w:color w:val="62B541"/>
          <w:sz w:val="32"/>
          <w14:shadow w14:blurRad="50800" w14:dist="38100" w14:dir="10800000" w14:sx="100000" w14:sy="100000" w14:kx="0" w14:ky="0" w14:algn="r">
            <w14:srgbClr w14:val="62B541">
              <w14:alpha w14:val="60000"/>
            </w14:srgbClr>
          </w14:shadow>
        </w:rPr>
        <w:t>检测项目</w:t>
      </w:r>
      <w:bookmarkEnd w:id="11"/>
      <w:bookmarkEnd w:id="12"/>
      <w:bookmarkEnd w:id="13"/>
      <w:bookmarkEnd w:id="14"/>
      <w:bookmarkEnd w:id="15"/>
      <w:bookmarkEnd w:id="16"/>
      <w:bookmarkEnd w:id="17"/>
      <w:bookmarkEnd w:id="18"/>
      <w:bookmarkEnd w:id="19"/>
      <w:bookmarkEnd w:id="20"/>
    </w:p>
    <w:p w14:paraId="087920F8">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w:t>
      </w:r>
      <w:r>
        <w:rPr>
          <w:rFonts w:hint="eastAsia" w:ascii="Times New Roman" w:hAnsi="Times New Roman" w:eastAsia="微软雅黑" w:cs="Times New Roman"/>
          <w:bCs/>
          <w:sz w:val="21"/>
          <w:szCs w:val="21"/>
          <w:lang w:val="en-US" w:eastAsia="zh-CN"/>
        </w:rPr>
        <w:t>检测</w:t>
      </w:r>
      <w:r>
        <w:rPr>
          <w:rFonts w:ascii="Times New Roman" w:hAnsi="Times New Roman" w:eastAsia="微软雅黑" w:cs="Times New Roman"/>
          <w:bCs/>
          <w:sz w:val="21"/>
          <w:szCs w:val="21"/>
          <w:lang w:eastAsia="zh-CN"/>
        </w:rPr>
        <w:t>对与肿瘤密切相关的188个基因进行</w:t>
      </w:r>
      <w:r>
        <w:rPr>
          <w:rFonts w:hint="eastAsia" w:ascii="Times New Roman" w:hAnsi="Times New Roman" w:eastAsia="微软雅黑" w:cs="Times New Roman"/>
          <w:bCs/>
          <w:sz w:val="21"/>
          <w:szCs w:val="21"/>
          <w:lang w:eastAsia="zh-CN"/>
        </w:rPr>
        <w:t>脱氧核糖核酸</w:t>
      </w:r>
      <w:r>
        <w:rPr>
          <w:rFonts w:ascii="Times New Roman" w:hAnsi="Times New Roman" w:eastAsia="微软雅黑" w:cs="Times New Roman"/>
          <w:bCs/>
          <w:sz w:val="21"/>
          <w:szCs w:val="21"/>
          <w:lang w:eastAsia="zh-CN"/>
        </w:rPr>
        <w:t>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4003E856">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w:t>
      </w:r>
      <w:r>
        <w:rPr>
          <w:rFonts w:hint="eastAsia" w:ascii="Times New Roman" w:hAnsi="Times New Roman" w:eastAsia="微软雅黑" w:cs="Times New Roman"/>
          <w:bCs/>
          <w:sz w:val="21"/>
          <w:szCs w:val="21"/>
          <w:lang w:eastAsia="zh-CN"/>
        </w:rPr>
        <w:t>{% if endometrialCarcinoma</w:t>
      </w:r>
      <w:r>
        <w:rPr>
          <w:rFonts w:hint="eastAsia" w:ascii="Times New Roman" w:hAnsi="Times New Roman" w:eastAsia="微软雅黑" w:cs="Times New Roman"/>
          <w:bCs/>
          <w:sz w:val="21"/>
          <w:szCs w:val="21"/>
          <w:lang w:val="en-US" w:eastAsia="zh-CN"/>
        </w:rPr>
        <w:t xml:space="preserve"> </w:t>
      </w:r>
      <w:r>
        <w:rPr>
          <w:rFonts w:hint="eastAsia" w:ascii="Times New Roman" w:hAnsi="Times New Roman" w:eastAsia="微软雅黑" w:cs="Times New Roman"/>
          <w:bCs/>
          <w:sz w:val="21"/>
          <w:szCs w:val="21"/>
          <w:lang w:eastAsia="zh-CN"/>
        </w:rPr>
        <w:t xml:space="preserve">== </w:t>
      </w:r>
      <w:r>
        <w:rPr>
          <w:rFonts w:hint="eastAsia" w:ascii="Times New Roman" w:hAnsi="Times New Roman" w:eastAsia="微软雅黑" w:cs="Times New Roman"/>
          <w:bCs/>
          <w:sz w:val="21"/>
          <w:szCs w:val="21"/>
          <w:lang w:val="en-US" w:eastAsia="zh-CN"/>
        </w:rPr>
        <w:t>True</w:t>
      </w:r>
      <w:r>
        <w:rPr>
          <w:rFonts w:hint="eastAsia" w:ascii="Times New Roman" w:hAnsi="Times New Roman" w:eastAsia="微软雅黑" w:cs="Times New Roman"/>
          <w:bCs/>
          <w:sz w:val="21"/>
          <w:szCs w:val="21"/>
          <w:lang w:eastAsia="zh-CN"/>
        </w:rPr>
        <w:t xml:space="preserve"> %}</w:t>
      </w:r>
      <w:r>
        <w:rPr>
          <w:rFonts w:hint="eastAsia" w:ascii="Times New Roman" w:hAnsi="Times New Roman" w:eastAsia="微软雅黑" w:cs="Times New Roman"/>
          <w:bCs/>
          <w:sz w:val="21"/>
          <w:szCs w:val="21"/>
          <w:highlight w:val="none"/>
          <w:lang w:val="en-US" w:eastAsia="zh-CN"/>
        </w:rPr>
        <w:t>子宫内膜癌</w:t>
      </w:r>
      <w:r>
        <w:rPr>
          <w:rFonts w:hint="eastAsia" w:ascii="Times New Roman" w:hAnsi="Times New Roman" w:eastAsia="微软雅黑" w:cs="Times New Roman"/>
          <w:bCs/>
          <w:sz w:val="21"/>
          <w:szCs w:val="21"/>
          <w:highlight w:val="none"/>
          <w:lang w:eastAsia="zh-CN"/>
        </w:rPr>
        <w:t>TCGA分子分型、</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靶向药物、免疫药物</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和遗传风险的相关性，给出靶向药物（FDA/NMPA批准药物、临床试验药物等）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的用药提示信息，从而为临床制定治疗方案提供参考信息。</w:t>
      </w:r>
      <w:bookmarkStart w:id="22" w:name="_Toc534807930"/>
    </w:p>
    <w:p w14:paraId="5098C66D">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5C5B3838">
      <w:pPr>
        <w:spacing w:line="276" w:lineRule="auto"/>
        <w:ind w:firstLine="420" w:firstLineChars="200"/>
        <w:jc w:val="both"/>
        <w:rPr>
          <w:rFonts w:ascii="Times New Roman" w:hAnsi="Times New Roman" w:eastAsia="微软雅黑" w:cs="Times New Roman"/>
          <w:bCs/>
          <w:sz w:val="21"/>
          <w:szCs w:val="21"/>
          <w:lang w:eastAsia="zh-CN"/>
        </w:rPr>
      </w:pPr>
    </w:p>
    <w:p w14:paraId="79AC8CA2">
      <w:pPr>
        <w:pStyle w:val="2"/>
        <w:numPr>
          <w:ilvl w:val="-1"/>
          <w:numId w:val="0"/>
        </w:numPr>
        <w:ind w:left="0" w:firstLine="0"/>
        <w:jc w:val="left"/>
        <w:rPr>
          <w:rFonts w:hint="eastAsia"/>
          <w:color w:val="62B541"/>
          <w:sz w:val="32"/>
          <w:lang w:val="en-US" w:eastAsia="zh-CN"/>
          <w14:shadow w14:blurRad="50800" w14:dist="38100" w14:dir="10800000" w14:sx="100000" w14:sy="100000" w14:kx="0" w14:ky="0" w14:algn="r">
            <w14:srgbClr w14:val="62B541">
              <w14:alpha w14:val="60000"/>
            </w14:srgbClr>
          </w14:shadow>
        </w:rPr>
      </w:pPr>
      <w:bookmarkStart w:id="23" w:name="_Toc3871"/>
      <w:bookmarkStart w:id="24" w:name="_Toc23369_WPSOffice_Level1"/>
      <w:bookmarkStart w:id="25" w:name="_Toc18058"/>
      <w:bookmarkStart w:id="26" w:name="_Toc1410"/>
      <w:bookmarkStart w:id="27" w:name="_Toc25920"/>
      <w:bookmarkStart w:id="28" w:name="_Toc4088"/>
      <w:bookmarkStart w:id="29" w:name="_Toc6221_WPSOffice_Level1"/>
      <w:bookmarkStart w:id="30" w:name="_Toc2563"/>
      <w:bookmarkStart w:id="31" w:name="_Toc16704"/>
      <w:bookmarkStart w:id="32" w:name="_Toc11387"/>
      <w:r>
        <w:rPr>
          <w:rFonts w:hint="eastAsia" w:ascii="Times New Roman" w:hAnsi="Times New Roman"/>
          <w:color w:val="62B541"/>
          <w:sz w:val="32"/>
          <w14:shadow w14:blurRad="50800" w14:dist="38100" w14:dir="10800000" w14:sx="100000" w14:sy="100000" w14:kx="0" w14:ky="0" w14:algn="r">
            <w14:srgbClr w14:val="62B541">
              <w14:alpha w14:val="60000"/>
            </w14:srgbClr>
          </w14:shadow>
        </w:rPr>
        <w:t>检测结果</w:t>
      </w:r>
      <w:bookmarkEnd w:id="23"/>
      <w:bookmarkEnd w:id="24"/>
      <w:bookmarkEnd w:id="25"/>
      <w:bookmarkEnd w:id="26"/>
      <w:bookmarkEnd w:id="27"/>
      <w:bookmarkEnd w:id="28"/>
      <w:bookmarkEnd w:id="29"/>
      <w:bookmarkEnd w:id="30"/>
      <w:r>
        <w:rPr>
          <w:rFonts w:hint="eastAsia"/>
          <w:color w:val="62B541"/>
          <w:sz w:val="32"/>
          <w:lang w:val="en-US" w:eastAsia="zh-CN"/>
          <w14:shadow w14:blurRad="50800" w14:dist="38100" w14:dir="10800000" w14:sx="100000" w14:sy="100000" w14:kx="0" w14:ky="0" w14:algn="r">
            <w14:srgbClr w14:val="62B541">
              <w14:alpha w14:val="60000"/>
            </w14:srgbClr>
          </w14:shadow>
        </w:rPr>
        <w:t>总览</w:t>
      </w:r>
      <w:bookmarkEnd w:id="31"/>
      <w:bookmarkEnd w:id="32"/>
    </w:p>
    <w:p w14:paraId="27A2DBBF">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rFonts w:hint="eastAsia"/>
          <w:color w:val="auto"/>
          <w:sz w:val="30"/>
          <w:lang w:eastAsia="zh-CN"/>
        </w:rPr>
      </w:pPr>
      <w:bookmarkStart w:id="33" w:name="_Toc149837254"/>
      <w:bookmarkStart w:id="34" w:name="_Toc30877"/>
      <w:bookmarkStart w:id="35" w:name="_Toc24467"/>
      <w:r>
        <w:rPr>
          <w:rFonts w:hint="eastAsia"/>
          <w:color w:val="auto"/>
          <w:sz w:val="30"/>
          <w:lang w:eastAsia="zh-CN"/>
        </w:rPr>
        <w:t>检测结果小结</w:t>
      </w:r>
      <w:bookmarkEnd w:id="33"/>
      <w:bookmarkEnd w:id="34"/>
      <w:bookmarkEnd w:id="35"/>
    </w:p>
    <w:tbl>
      <w:tblPr>
        <w:tblStyle w:val="16"/>
        <w:tblpPr w:leftFromText="181" w:rightFromText="181" w:vertAnchor="text" w:horzAnchor="page" w:tblpX="1033" w:tblpY="114"/>
        <w:tblOverlap w:val="never"/>
        <w:tblW w:w="9852"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712"/>
        <w:gridCol w:w="2829"/>
        <w:gridCol w:w="5311"/>
      </w:tblGrid>
      <w:tr w14:paraId="3EAD78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88" w:hRule="atLeast"/>
        </w:trPr>
        <w:tc>
          <w:tcPr>
            <w:tcW w:w="4541" w:type="dxa"/>
            <w:gridSpan w:val="2"/>
            <w:tcBorders>
              <w:top w:val="nil"/>
              <w:bottom w:val="nil"/>
              <w:right w:val="single" w:color="FFFFFF" w:sz="18" w:space="0"/>
            </w:tcBorders>
            <w:shd w:val="clear" w:color="auto" w:fill="62BC41"/>
            <w:vAlign w:val="center"/>
          </w:tcPr>
          <w:p w14:paraId="526A9C6D">
            <w:pPr>
              <w:jc w:val="center"/>
              <w:rPr>
                <w:rFonts w:ascii="微软雅黑" w:eastAsia="微软雅黑"/>
                <w:b/>
                <w:color w:val="FFFFFF" w:themeColor="background1"/>
                <w:sz w:val="21"/>
                <w14:textFill>
                  <w14:solidFill>
                    <w14:schemeClr w14:val="bg1"/>
                  </w14:solidFill>
                </w14:textFill>
              </w:rPr>
            </w:pPr>
            <w:r>
              <w:rPr>
                <w:rFonts w:hint="eastAsia" w:cs="黑体"/>
                <w:b/>
                <w:bCs/>
                <w:color w:val="FFFFFF" w:themeColor="background1"/>
                <w:sz w:val="28"/>
                <w:szCs w:val="36"/>
                <w:lang w:eastAsia="zh-CN"/>
                <w14:textFill>
                  <w14:solidFill>
                    <w14:schemeClr w14:val="bg1"/>
                  </w14:solidFill>
                </w14:textFill>
              </w:rPr>
              <w:br w:type="page"/>
            </w:r>
            <w:r>
              <w:rPr>
                <w:rFonts w:hint="eastAsia" w:ascii="微软雅黑" w:eastAsia="微软雅黑"/>
                <w:b/>
                <w:color w:val="FFFFFF" w:themeColor="background1"/>
                <w:sz w:val="21"/>
                <w14:textFill>
                  <w14:solidFill>
                    <w14:schemeClr w14:val="bg1"/>
                  </w14:solidFill>
                </w14:textFill>
              </w:rPr>
              <w:t>检测类型</w:t>
            </w:r>
          </w:p>
        </w:tc>
        <w:tc>
          <w:tcPr>
            <w:tcW w:w="5311" w:type="dxa"/>
            <w:tcBorders>
              <w:top w:val="nil"/>
              <w:left w:val="single" w:color="FFFFFF" w:sz="18" w:space="0"/>
              <w:bottom w:val="nil"/>
            </w:tcBorders>
            <w:shd w:val="clear" w:color="auto" w:fill="62BC41"/>
            <w:vAlign w:val="center"/>
          </w:tcPr>
          <w:p w14:paraId="3995DF4F">
            <w:pPr>
              <w:jc w:val="center"/>
              <w:rPr>
                <w:rFonts w:ascii="微软雅黑" w:eastAsia="微软雅黑"/>
                <w:b/>
                <w:color w:val="FFFFFF" w:themeColor="background1"/>
                <w14:textFill>
                  <w14:solidFill>
                    <w14:schemeClr w14:val="bg1"/>
                  </w14:solidFill>
                </w14:textFill>
              </w:rPr>
            </w:pPr>
            <w:r>
              <w:rPr>
                <w:rFonts w:ascii="Times New Roman" w:hAnsi="Times New Roman" w:eastAsia="微软雅黑" w:cs="黑体"/>
                <w:b/>
                <w:color w:val="FFFFFF" w:themeColor="background1"/>
                <w:sz w:val="21"/>
                <w14:textFill>
                  <w14:solidFill>
                    <w14:schemeClr w14:val="bg1"/>
                  </w14:solidFill>
                </w14:textFill>
              </w:rPr>
              <w:t>检测结果</w:t>
            </w:r>
          </w:p>
        </w:tc>
      </w:tr>
      <w:tr w14:paraId="30EDBF2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op w:val="nil"/>
              <w:tl2br w:val="nil"/>
              <w:tr2bl w:val="nil"/>
            </w:tcBorders>
            <w:shd w:val="clear" w:color="auto" w:fill="auto"/>
            <w:vAlign w:val="center"/>
          </w:tcPr>
          <w:p w14:paraId="57C3CAE4">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黑体"/>
                <w:sz w:val="21"/>
                <w:lang w:eastAsia="zh-CN"/>
              </w:rPr>
            </w:pPr>
            <w:r>
              <w:rPr>
                <w:rFonts w:hint="eastAsia" w:ascii="Times New Roman" w:hAnsi="Times New Roman" w:eastAsia="微软雅黑" w:cs="Times New Roman"/>
                <w:b/>
                <w:bCs/>
                <w:sz w:val="21"/>
                <w:szCs w:val="21"/>
                <w:lang w:eastAsia="zh-CN"/>
              </w:rPr>
              <w:t>{%tr if endometrialCarcinoma == True %}</w:t>
            </w:r>
          </w:p>
        </w:tc>
      </w:tr>
      <w:tr w14:paraId="51B24A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23E22FC9">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黑体"/>
                <w:sz w:val="21"/>
                <w:lang w:eastAsia="zh-CN"/>
              </w:rPr>
            </w:pPr>
            <w:r>
              <w:rPr>
                <w:rFonts w:hint="eastAsia" w:ascii="Times New Roman" w:hAnsi="Times New Roman" w:eastAsia="微软雅黑" w:cs="Times New Roman"/>
                <w:b/>
                <w:bCs/>
                <w:sz w:val="21"/>
                <w:szCs w:val="21"/>
                <w:lang w:eastAsia="zh-CN"/>
              </w:rPr>
              <w:t>子宫内膜癌TCGA分子分型</w:t>
            </w:r>
          </w:p>
        </w:tc>
        <w:tc>
          <w:tcPr>
            <w:tcW w:w="5311" w:type="dxa"/>
            <w:tcBorders>
              <w:tl2br w:val="nil"/>
              <w:tr2bl w:val="nil"/>
            </w:tcBorders>
            <w:shd w:val="clear" w:color="auto" w:fill="auto"/>
            <w:vAlign w:val="center"/>
          </w:tcPr>
          <w:p w14:paraId="7F8E1E9B">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r w14:paraId="694BB91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71BE4D5A">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黑体"/>
                <w:sz w:val="21"/>
                <w:lang w:eastAsia="zh-CN"/>
              </w:rPr>
            </w:pPr>
            <w:r>
              <w:rPr>
                <w:rFonts w:hint="eastAsia" w:ascii="Times New Roman" w:hAnsi="Times New Roman" w:eastAsia="微软雅黑" w:cs="黑体"/>
                <w:b/>
                <w:bCs/>
                <w:sz w:val="21"/>
                <w:lang w:eastAsia="zh-CN"/>
              </w:rPr>
              <w:t>{%tr endif %}</w:t>
            </w:r>
          </w:p>
        </w:tc>
      </w:tr>
      <w:tr w14:paraId="28CEBC4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5438F95E">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311" w:type="dxa"/>
            <w:tcBorders>
              <w:tl2br w:val="nil"/>
              <w:tr2bl w:val="nil"/>
            </w:tcBorders>
            <w:shd w:val="clear" w:color="auto" w:fill="auto"/>
            <w:vAlign w:val="center"/>
          </w:tcPr>
          <w:p w14:paraId="4DF8ED6F">
            <w:pPr>
              <w:pStyle w:val="22"/>
              <w:keepNext w:val="0"/>
              <w:keepLines w:val="0"/>
              <w:pageBreakBefore w:val="0"/>
              <w:widowControl w:val="0"/>
              <w:kinsoku/>
              <w:wordWrap/>
              <w:overflowPunct/>
              <w:topLinePunct w:val="0"/>
              <w:autoSpaceDE/>
              <w:autoSpaceDN/>
              <w:bidi w:val="0"/>
              <w:adjustRightInd/>
              <w:snapToGrid/>
              <w:spacing w:before="100" w:line="187" w:lineRule="auto"/>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05EDCE1A">
            <w:pPr>
              <w:pStyle w:val="22"/>
              <w:keepNext w:val="0"/>
              <w:keepLines w:val="0"/>
              <w:pageBreakBefore w:val="0"/>
              <w:widowControl w:val="0"/>
              <w:kinsoku/>
              <w:wordWrap/>
              <w:overflowPunct/>
              <w:topLinePunct w:val="0"/>
              <w:autoSpaceDE/>
              <w:autoSpaceDN/>
              <w:bidi w:val="0"/>
              <w:adjustRightInd/>
              <w:snapToGrid/>
              <w:spacing w:before="100" w:line="187" w:lineRule="auto"/>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17965B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restart"/>
            <w:tcBorders>
              <w:tl2br w:val="nil"/>
              <w:tr2bl w:val="nil"/>
            </w:tcBorders>
            <w:shd w:val="clear" w:color="auto" w:fill="auto"/>
            <w:vAlign w:val="center"/>
          </w:tcPr>
          <w:p w14:paraId="34C4955F">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免疫治疗相关标志物检测</w:t>
            </w:r>
          </w:p>
        </w:tc>
        <w:tc>
          <w:tcPr>
            <w:tcW w:w="2829" w:type="dxa"/>
            <w:tcBorders>
              <w:tl2br w:val="nil"/>
              <w:tr2bl w:val="nil"/>
            </w:tcBorders>
            <w:shd w:val="clear" w:color="auto" w:fill="auto"/>
            <w:vAlign w:val="center"/>
          </w:tcPr>
          <w:p w14:paraId="7290BA85">
            <w:pPr>
              <w:keepNext w:val="0"/>
              <w:keepLines w:val="0"/>
              <w:pageBreakBefore w:val="0"/>
              <w:widowControl w:val="0"/>
              <w:kinsoku/>
              <w:wordWrap/>
              <w:overflowPunct/>
              <w:topLinePunct w:val="0"/>
              <w:autoSpaceDE/>
              <w:autoSpaceDN/>
              <w:bidi w:val="0"/>
              <w:adjustRightInd/>
              <w:snapToGrid/>
              <w:spacing w:before="77"/>
              <w:ind w:left="119"/>
              <w:textAlignment w:val="auto"/>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微卫星不稳定性（MSI）</w:t>
            </w:r>
          </w:p>
        </w:tc>
        <w:tc>
          <w:tcPr>
            <w:tcW w:w="5311" w:type="dxa"/>
            <w:tcBorders>
              <w:tl2br w:val="nil"/>
              <w:tr2bl w:val="nil"/>
            </w:tcBorders>
            <w:shd w:val="clear" w:color="auto" w:fill="auto"/>
            <w:vAlign w:val="center"/>
          </w:tcPr>
          <w:p w14:paraId="3FDB5BB7">
            <w:pPr>
              <w:pStyle w:val="22"/>
              <w:keepNext w:val="0"/>
              <w:keepLines w:val="0"/>
              <w:pageBreakBefore w:val="0"/>
              <w:widowControl w:val="0"/>
              <w:kinsoku/>
              <w:wordWrap/>
              <w:overflowPunct/>
              <w:topLinePunct w:val="0"/>
              <w:autoSpaceDE/>
              <w:autoSpaceDN/>
              <w:bidi w:val="0"/>
              <w:adjustRightInd/>
              <w:snapToGrid/>
              <w:spacing w:before="100" w:line="187" w:lineRule="auto"/>
              <w:ind w:left="119" w:right="119"/>
              <w:textAlignment w:val="auto"/>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{{summaryOfRresults.msi_status_state}}</w:t>
            </w:r>
          </w:p>
        </w:tc>
      </w:tr>
      <w:tr w14:paraId="04EA59F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3496955F">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02CE464B">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错配修复（MMR）基因</w:t>
            </w:r>
          </w:p>
        </w:tc>
        <w:tc>
          <w:tcPr>
            <w:tcW w:w="5311" w:type="dxa"/>
            <w:tcBorders>
              <w:tl2br w:val="nil"/>
              <w:tr2bl w:val="nil"/>
            </w:tcBorders>
            <w:shd w:val="clear" w:color="auto" w:fill="auto"/>
            <w:vAlign w:val="center"/>
          </w:tcPr>
          <w:p w14:paraId="2F55A12E">
            <w:pPr>
              <w:pStyle w:val="22"/>
              <w:keepNext w:val="0"/>
              <w:keepLines w:val="0"/>
              <w:pageBreakBefore w:val="0"/>
              <w:widowControl w:val="0"/>
              <w:kinsoku/>
              <w:wordWrap/>
              <w:overflowPunct/>
              <w:topLinePunct w:val="0"/>
              <w:autoSpaceDE/>
              <w:autoSpaceDN/>
              <w:bidi w:val="0"/>
              <w:adjustRightInd/>
              <w:snapToGrid/>
              <w:spacing w:before="100" w:line="187" w:lineRule="auto"/>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14:paraId="783298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137E5040">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133625AE">
            <w:pPr>
              <w:pStyle w:val="22"/>
              <w:keepNext w:val="0"/>
              <w:keepLines w:val="0"/>
              <w:pageBreakBefore w:val="0"/>
              <w:widowControl w:val="0"/>
              <w:kinsoku/>
              <w:wordWrap/>
              <w:overflowPunct/>
              <w:topLinePunct w:val="0"/>
              <w:autoSpaceDE/>
              <w:autoSpaceDN/>
              <w:bidi w:val="0"/>
              <w:adjustRightInd/>
              <w:snapToGrid/>
              <w:ind w:left="118"/>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4FE43E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2712D661">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5F82DFDE">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highlight w:val="yellow"/>
                <w:lang w:eastAsia="zh-CN"/>
              </w:rPr>
            </w:pPr>
            <w:r>
              <w:rPr>
                <w:rFonts w:ascii="Times New Roman" w:hAnsi="Times New Roman" w:eastAsia="微软雅黑" w:cs="Times New Roman"/>
                <w:b/>
                <w:bCs/>
                <w:sz w:val="21"/>
                <w:szCs w:val="21"/>
              </w:rPr>
              <w:t>PD-L1蛋白表达水平</w:t>
            </w:r>
          </w:p>
        </w:tc>
        <w:tc>
          <w:tcPr>
            <w:tcW w:w="5311" w:type="dxa"/>
            <w:tcBorders>
              <w:tl2br w:val="nil"/>
              <w:tr2bl w:val="nil"/>
            </w:tcBorders>
            <w:shd w:val="clear" w:color="auto" w:fill="auto"/>
            <w:vAlign w:val="center"/>
          </w:tcPr>
          <w:p w14:paraId="1BF6B2DC">
            <w:pPr>
              <w:pStyle w:val="22"/>
              <w:keepNext w:val="0"/>
              <w:keepLines w:val="0"/>
              <w:pageBreakBefore w:val="0"/>
              <w:widowControl w:val="0"/>
              <w:kinsoku/>
              <w:wordWrap/>
              <w:overflowPunct/>
              <w:topLinePunct w:val="0"/>
              <w:autoSpaceDE/>
              <w:autoSpaceDN/>
              <w:bidi w:val="0"/>
              <w:adjustRightInd/>
              <w:snapToGrid/>
              <w:ind w:left="118"/>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318629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3D12F9A4">
            <w:pPr>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7796CFC6">
            <w:pPr>
              <w:pStyle w:val="22"/>
              <w:keepNext w:val="0"/>
              <w:keepLines w:val="0"/>
              <w:pageBreakBefore w:val="0"/>
              <w:widowControl w:val="0"/>
              <w:kinsoku/>
              <w:wordWrap/>
              <w:overflowPunct/>
              <w:topLinePunct w:val="0"/>
              <w:autoSpaceDE/>
              <w:autoSpaceDN/>
              <w:bidi w:val="0"/>
              <w:adjustRightInd/>
              <w:snapToGrid/>
              <w:ind w:left="118"/>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259E6D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17ABAECC">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肿瘤遗传风险检测</w:t>
            </w:r>
          </w:p>
        </w:tc>
        <w:tc>
          <w:tcPr>
            <w:tcW w:w="5311" w:type="dxa"/>
            <w:tcBorders>
              <w:tl2br w:val="nil"/>
              <w:tr2bl w:val="nil"/>
            </w:tcBorders>
            <w:shd w:val="clear" w:color="auto" w:fill="auto"/>
          </w:tcPr>
          <w:p w14:paraId="5E06D2E6">
            <w:pPr>
              <w:pStyle w:val="22"/>
              <w:keepNext w:val="0"/>
              <w:keepLines w:val="0"/>
              <w:pageBreakBefore w:val="0"/>
              <w:widowControl w:val="0"/>
              <w:kinsoku/>
              <w:wordWrap/>
              <w:overflowPunct/>
              <w:topLinePunct w:val="0"/>
              <w:autoSpaceDE/>
              <w:autoSpaceDN/>
              <w:bidi w:val="0"/>
              <w:adjustRightInd/>
              <w:snapToGrid/>
              <w:spacing w:before="77"/>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569FEA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5F5ADE37">
            <w:pPr>
              <w:pStyle w:val="22"/>
              <w:keepNext w:val="0"/>
              <w:keepLines w:val="0"/>
              <w:pageBreakBefore w:val="0"/>
              <w:widowControl w:val="0"/>
              <w:kinsoku/>
              <w:wordWrap/>
              <w:overflowPunct/>
              <w:topLinePunct w:val="0"/>
              <w:autoSpaceDE/>
              <w:autoSpaceDN/>
              <w:bidi w:val="0"/>
              <w:adjustRightInd/>
              <w:snapToGrid/>
              <w:spacing w:before="77"/>
              <w:ind w:left="119" w:righ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gastrointestinalStromalTumor == True %}</w:t>
            </w:r>
          </w:p>
        </w:tc>
      </w:tr>
      <w:tr w14:paraId="18AA13E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29D969DB">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化疗药物检测</w:t>
            </w:r>
          </w:p>
        </w:tc>
        <w:tc>
          <w:tcPr>
            <w:tcW w:w="5311" w:type="dxa"/>
            <w:tcBorders>
              <w:tl2br w:val="nil"/>
              <w:tr2bl w:val="nil"/>
            </w:tcBorders>
            <w:shd w:val="clear" w:color="auto" w:fill="auto"/>
          </w:tcPr>
          <w:p w14:paraId="1ABBF24E">
            <w:pPr>
              <w:pStyle w:val="22"/>
              <w:keepNext w:val="0"/>
              <w:keepLines w:val="0"/>
              <w:pageBreakBefore w:val="0"/>
              <w:widowControl w:val="0"/>
              <w:kinsoku/>
              <w:wordWrap/>
              <w:overflowPunct/>
              <w:topLinePunct w:val="0"/>
              <w:autoSpaceDE/>
              <w:autoSpaceDN/>
              <w:bidi w:val="0"/>
              <w:adjustRightInd/>
              <w:snapToGrid/>
              <w:spacing w:before="77"/>
              <w:ind w:left="119" w:right="119"/>
              <w:textAlignment w:val="auto"/>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化疗药物检测解析</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部分</w:t>
            </w:r>
          </w:p>
        </w:tc>
      </w:tr>
      <w:tr w14:paraId="5F4C86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9852" w:type="dxa"/>
            <w:gridSpan w:val="3"/>
            <w:tcBorders>
              <w:tl2br w:val="nil"/>
              <w:tr2bl w:val="nil"/>
            </w:tcBorders>
            <w:shd w:val="clear" w:color="auto" w:fill="auto"/>
            <w:vAlign w:val="center"/>
          </w:tcPr>
          <w:p w14:paraId="79D93738">
            <w:pPr>
              <w:pStyle w:val="22"/>
              <w:keepNext w:val="0"/>
              <w:keepLines w:val="0"/>
              <w:pageBreakBefore w:val="0"/>
              <w:widowControl w:val="0"/>
              <w:kinsoku/>
              <w:wordWrap/>
              <w:overflowPunct/>
              <w:topLinePunct w:val="0"/>
              <w:autoSpaceDE/>
              <w:autoSpaceDN/>
              <w:bidi w:val="0"/>
              <w:adjustRightInd/>
              <w:snapToGrid/>
              <w:spacing w:before="77"/>
              <w:ind w:left="119" w:right="119"/>
              <w:textAlignment w:val="auto"/>
              <w:rPr>
                <w:rFonts w:ascii="Times New Roman" w:hAnsi="Times New Roman" w:eastAsia="微软雅黑" w:cs="Times New Roman"/>
                <w:sz w:val="21"/>
                <w:szCs w:val="21"/>
                <w:lang w:eastAsia="zh-CN"/>
              </w:rPr>
            </w:pPr>
            <w:r>
              <w:rPr>
                <w:rFonts w:hint="eastAsia" w:ascii="Times New Roman" w:hAnsi="Times New Roman" w:eastAsia="微软雅黑" w:cs="黑体"/>
                <w:b/>
                <w:bCs/>
                <w:sz w:val="21"/>
                <w:lang w:eastAsia="zh-CN"/>
              </w:rPr>
              <w:t>{%tr endif %}</w:t>
            </w:r>
          </w:p>
        </w:tc>
      </w:tr>
      <w:tr w14:paraId="422E948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33B6CFDD">
            <w:pPr>
              <w:pStyle w:val="22"/>
              <w:keepNext w:val="0"/>
              <w:keepLines w:val="0"/>
              <w:pageBreakBefore w:val="0"/>
              <w:widowControl w:val="0"/>
              <w:kinsoku/>
              <w:wordWrap/>
              <w:overflowPunct/>
              <w:topLinePunct w:val="0"/>
              <w:autoSpaceDE/>
              <w:autoSpaceDN/>
              <w:bidi w:val="0"/>
              <w:adjustRightInd/>
              <w:snapToGrid/>
              <w:ind w:left="119"/>
              <w:textAlignment w:val="auto"/>
              <w:rPr>
                <w:rFonts w:ascii="Times New Roman" w:hAnsi="Times New Roman" w:eastAsia="微软雅黑" w:cs="Times New Roman"/>
                <w:sz w:val="21"/>
                <w:szCs w:val="21"/>
              </w:rPr>
            </w:pPr>
            <w:r>
              <w:rPr>
                <w:rFonts w:ascii="Times New Roman" w:hAnsi="Times New Roman" w:eastAsia="微软雅黑" w:cs="Times New Roman"/>
                <w:b/>
                <w:bCs/>
                <w:sz w:val="21"/>
                <w:szCs w:val="21"/>
              </w:rPr>
              <w:t>样品总体质量评估</w:t>
            </w:r>
          </w:p>
        </w:tc>
        <w:tc>
          <w:tcPr>
            <w:tcW w:w="5311" w:type="dxa"/>
            <w:tcBorders>
              <w:tl2br w:val="nil"/>
              <w:tr2bl w:val="nil"/>
            </w:tcBorders>
            <w:shd w:val="clear" w:color="auto" w:fill="auto"/>
            <w:vAlign w:val="center"/>
          </w:tcPr>
          <w:p w14:paraId="34868B7C">
            <w:pPr>
              <w:pStyle w:val="22"/>
              <w:keepNext w:val="0"/>
              <w:keepLines w:val="0"/>
              <w:pageBreakBefore w:val="0"/>
              <w:widowControl w:val="0"/>
              <w:kinsoku/>
              <w:wordWrap/>
              <w:overflowPunct/>
              <w:topLinePunct w:val="0"/>
              <w:autoSpaceDE/>
              <w:autoSpaceDN/>
              <w:bidi w:val="0"/>
              <w:adjustRightInd/>
              <w:snapToGrid/>
              <w:ind w:left="119" w:right="119"/>
              <w:jc w:val="both"/>
              <w:textAlignment w:val="auto"/>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17E52BFA">
      <w:pPr>
        <w:rPr>
          <w:rFonts w:ascii="Times New Roman" w:hAnsi="Times New Roman" w:eastAsia="微软雅黑" w:cs="黑体"/>
          <w:b/>
          <w:bCs/>
          <w:color w:val="00B050"/>
          <w:sz w:val="28"/>
          <w:szCs w:val="36"/>
          <w:lang w:eastAsia="zh-CN"/>
        </w:rPr>
      </w:pPr>
      <w:bookmarkStart w:id="36" w:name="_Toc21059"/>
      <w:bookmarkStart w:id="37" w:name="_Toc14270"/>
      <w:r>
        <w:rPr>
          <w:rFonts w:ascii="Times New Roman" w:hAnsi="Times New Roman" w:eastAsia="微软雅黑" w:cs="黑体"/>
          <w:b/>
          <w:bCs/>
          <w:color w:val="00B050"/>
          <w:sz w:val="28"/>
          <w:szCs w:val="36"/>
          <w:lang w:eastAsia="zh-CN"/>
        </w:rPr>
        <w:br w:type="page"/>
      </w:r>
    </w:p>
    <w:bookmarkEnd w:id="36"/>
    <w:bookmarkEnd w:id="37"/>
    <w:p w14:paraId="643E6541">
      <w:pPr>
        <w:pStyle w:val="3"/>
        <w:numPr>
          <w:ilvl w:val="255"/>
          <w:numId w:val="0"/>
        </w:numPr>
        <w:jc w:val="left"/>
        <w:rPr>
          <w:color w:val="auto"/>
          <w:sz w:val="30"/>
          <w:lang w:eastAsia="zh-CN"/>
        </w:rPr>
      </w:pPr>
      <w:bookmarkStart w:id="38" w:name="_Toc32621"/>
      <w:bookmarkStart w:id="39" w:name="_Toc149837255"/>
      <w:bookmarkStart w:id="40" w:name="_Toc19430"/>
      <w:bookmarkStart w:id="41" w:name="_Toc14062"/>
      <w:bookmarkStart w:id="42" w:name="_Toc20136_WPSOffice_Level1"/>
      <w:bookmarkStart w:id="43" w:name="_Toc22132"/>
      <w:bookmarkStart w:id="44" w:name="_Toc2781"/>
      <w:bookmarkStart w:id="45" w:name="_Toc12381"/>
      <w:bookmarkStart w:id="46" w:name="_Toc19184"/>
      <w:bookmarkStart w:id="47" w:name="_Toc284"/>
      <w:bookmarkStart w:id="48" w:name="_Toc19898_WPSOffice_Level1"/>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泛癌种</w:t>
      </w:r>
      <w:r>
        <w:rPr>
          <w:color w:val="auto"/>
          <w:sz w:val="30"/>
          <w:lang w:eastAsia="zh-CN"/>
        </w:rPr>
        <w:t>’</w:t>
      </w:r>
      <w:r>
        <w:rPr>
          <w:rFonts w:hint="eastAsia"/>
          <w:color w:val="auto"/>
          <w:sz w:val="30"/>
          <w:lang w:eastAsia="zh-CN"/>
        </w:rPr>
        <w:t>%}重要靶向药</w:t>
      </w:r>
      <w:r>
        <w:rPr>
          <w:rFonts w:hint="eastAsia"/>
          <w:color w:val="auto"/>
          <w:sz w:val="30"/>
          <w:lang w:val="en-US" w:eastAsia="zh-CN"/>
        </w:rPr>
        <w:t>物</w:t>
      </w:r>
      <w:r>
        <w:rPr>
          <w:color w:val="auto"/>
          <w:sz w:val="30"/>
          <w:lang w:eastAsia="zh-CN"/>
        </w:rPr>
        <w:t>{%else%}</w:t>
      </w:r>
      <w:r>
        <w:rPr>
          <w:rFonts w:hint="eastAsia"/>
          <w:color w:val="auto"/>
          <w:sz w:val="30"/>
          <w:lang w:eastAsia="zh-CN"/>
        </w:rPr>
        <w:t xml:space="preserve">{% if importantTargetedDiseaseName == </w:t>
      </w:r>
      <w:r>
        <w:rPr>
          <w:color w:val="auto"/>
          <w:sz w:val="30"/>
          <w:lang w:eastAsia="zh-CN"/>
        </w:rPr>
        <w:t>‘</w:t>
      </w:r>
      <w:r>
        <w:rPr>
          <w:rFonts w:hint="eastAsia"/>
          <w:color w:val="auto"/>
          <w:sz w:val="30"/>
          <w:lang w:eastAsia="zh-CN"/>
        </w:rPr>
        <w:t>肺癌</w:t>
      </w:r>
      <w:r>
        <w:rPr>
          <w:color w:val="auto"/>
          <w:sz w:val="30"/>
          <w:lang w:eastAsia="zh-CN"/>
        </w:rPr>
        <w:t>’</w:t>
      </w:r>
      <w:r>
        <w:rPr>
          <w:rFonts w:hint="eastAsia"/>
          <w:color w:val="auto"/>
          <w:sz w:val="30"/>
          <w:lang w:eastAsia="zh-CN"/>
        </w:rPr>
        <w:t xml:space="preserve">%}肺癌{% elif importantTargetedDiseaseName == </w:t>
      </w:r>
      <w:r>
        <w:rPr>
          <w:color w:val="auto"/>
          <w:sz w:val="30"/>
          <w:lang w:eastAsia="zh-CN"/>
        </w:rPr>
        <w:t>‘</w:t>
      </w:r>
      <w:r>
        <w:rPr>
          <w:rFonts w:hint="eastAsia"/>
          <w:color w:val="auto"/>
          <w:sz w:val="30"/>
          <w:lang w:eastAsia="zh-CN"/>
        </w:rPr>
        <w:t>结直肠癌</w:t>
      </w:r>
      <w:r>
        <w:rPr>
          <w:color w:val="auto"/>
          <w:sz w:val="30"/>
          <w:lang w:eastAsia="zh-CN"/>
        </w:rPr>
        <w:t>’</w:t>
      </w:r>
      <w:r>
        <w:rPr>
          <w:rFonts w:hint="eastAsia"/>
          <w:color w:val="auto"/>
          <w:sz w:val="30"/>
          <w:lang w:eastAsia="zh-CN"/>
        </w:rPr>
        <w:t xml:space="preserve"> %}结直肠癌{% elif importantTargetedDiseaseName == </w:t>
      </w:r>
      <w:r>
        <w:rPr>
          <w:color w:val="auto"/>
          <w:sz w:val="30"/>
          <w:lang w:eastAsia="zh-CN"/>
        </w:rPr>
        <w:t>‘</w:t>
      </w:r>
      <w:r>
        <w:rPr>
          <w:rFonts w:hint="eastAsia"/>
          <w:color w:val="auto"/>
          <w:sz w:val="30"/>
          <w:lang w:eastAsia="zh-CN"/>
        </w:rPr>
        <w:t>乳腺癌</w:t>
      </w:r>
      <w:r>
        <w:rPr>
          <w:color w:val="auto"/>
          <w:sz w:val="30"/>
          <w:lang w:eastAsia="zh-CN"/>
        </w:rPr>
        <w:t>’</w:t>
      </w:r>
      <w:r>
        <w:rPr>
          <w:rFonts w:hint="eastAsia"/>
          <w:color w:val="auto"/>
          <w:sz w:val="30"/>
          <w:lang w:eastAsia="zh-CN"/>
        </w:rPr>
        <w:t xml:space="preserve"> %}乳腺癌{% endif %}靶向药物{% endif %}相关基因结果汇总</w:t>
      </w:r>
      <w:bookmarkEnd w:id="38"/>
      <w:bookmarkEnd w:id="39"/>
      <w:bookmarkEnd w:id="40"/>
    </w:p>
    <w:p w14:paraId="78D16919">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5812"/>
        <w:gridCol w:w="2043"/>
      </w:tblGrid>
      <w:tr w14:paraId="1FF669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04" w:type="dxa"/>
            <w:tcBorders>
              <w:top w:val="nil"/>
              <w:bottom w:val="nil"/>
              <w:right w:val="single" w:color="FFFFFF" w:sz="18" w:space="0"/>
            </w:tcBorders>
            <w:shd w:val="clear" w:color="auto" w:fill="61BB41"/>
            <w:vAlign w:val="center"/>
          </w:tcPr>
          <w:p w14:paraId="185078AE">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5812" w:type="dxa"/>
            <w:tcBorders>
              <w:top w:val="nil"/>
              <w:left w:val="single" w:color="FFFFFF" w:sz="18" w:space="0"/>
              <w:bottom w:val="nil"/>
              <w:right w:val="single" w:color="FFFFFF" w:sz="18" w:space="0"/>
            </w:tcBorders>
            <w:shd w:val="clear" w:color="auto" w:fill="61BB41"/>
            <w:vAlign w:val="center"/>
          </w:tcPr>
          <w:p w14:paraId="41DF35EC">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43" w:type="dxa"/>
            <w:tcBorders>
              <w:top w:val="nil"/>
              <w:left w:val="single" w:color="FFFFFF" w:sz="18" w:space="0"/>
              <w:bottom w:val="nil"/>
            </w:tcBorders>
            <w:shd w:val="clear" w:color="auto" w:fill="61BB41"/>
            <w:vAlign w:val="center"/>
          </w:tcPr>
          <w:p w14:paraId="521FC98B">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变异丰度/拷贝数</w:t>
            </w:r>
          </w:p>
        </w:tc>
      </w:tr>
      <w:tr w14:paraId="3103CC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3"/>
            <w:tcBorders>
              <w:top w:val="nil"/>
              <w:bottom w:val="single" w:color="A4A4A4" w:sz="4" w:space="0"/>
            </w:tcBorders>
            <w:shd w:val="clear" w:color="auto" w:fill="auto"/>
            <w:noWrap/>
            <w:vAlign w:val="center"/>
          </w:tcPr>
          <w:p w14:paraId="3331102D">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0C93C7A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04" w:type="dxa"/>
            <w:tcBorders>
              <w:top w:val="single" w:color="A4A4A4" w:sz="4" w:space="0"/>
            </w:tcBorders>
            <w:shd w:val="clear" w:color="auto" w:fill="auto"/>
            <w:noWrap/>
            <w:vAlign w:val="center"/>
          </w:tcPr>
          <w:p w14:paraId="46B1F590">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5812" w:type="dxa"/>
            <w:tcBorders>
              <w:top w:val="single" w:color="A4A4A4" w:sz="4" w:space="0"/>
            </w:tcBorders>
            <w:shd w:val="clear" w:color="auto" w:fill="auto"/>
            <w:noWrap/>
            <w:vAlign w:val="center"/>
          </w:tcPr>
          <w:p w14:paraId="7C426DF3">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6700C369">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43" w:type="dxa"/>
            <w:tcBorders>
              <w:top w:val="single" w:color="A4A4A4" w:sz="4" w:space="0"/>
            </w:tcBorders>
            <w:shd w:val="clear" w:color="auto" w:fill="auto"/>
            <w:vAlign w:val="center"/>
          </w:tcPr>
          <w:p w14:paraId="50ED36D4">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23C4646D">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2F0D0D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3"/>
            <w:shd w:val="clear" w:color="auto" w:fill="auto"/>
            <w:noWrap/>
            <w:vAlign w:val="center"/>
          </w:tcPr>
          <w:p w14:paraId="7282A541">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5F77FBBE">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4515"/>
        <w:gridCol w:w="3340"/>
      </w:tblGrid>
      <w:tr w14:paraId="649E7C3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04" w:type="dxa"/>
            <w:tcBorders>
              <w:top w:val="nil"/>
              <w:bottom w:val="nil"/>
              <w:right w:val="single" w:color="FFFFFF" w:sz="18" w:space="0"/>
            </w:tcBorders>
            <w:shd w:val="clear" w:color="auto" w:fill="61BB41"/>
            <w:vAlign w:val="center"/>
          </w:tcPr>
          <w:p w14:paraId="51EB8685">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4515" w:type="dxa"/>
            <w:tcBorders>
              <w:top w:val="nil"/>
              <w:left w:val="single" w:color="FFFFFF" w:sz="18" w:space="0"/>
              <w:bottom w:val="nil"/>
              <w:right w:val="single" w:color="FFFFFF" w:sz="18" w:space="0"/>
            </w:tcBorders>
            <w:shd w:val="clear" w:color="auto" w:fill="61BB41"/>
            <w:vAlign w:val="center"/>
          </w:tcPr>
          <w:p w14:paraId="1E42AA14">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40" w:type="dxa"/>
            <w:tcBorders>
              <w:top w:val="nil"/>
              <w:left w:val="single" w:color="FFFFFF" w:sz="18" w:space="0"/>
              <w:bottom w:val="nil"/>
            </w:tcBorders>
            <w:shd w:val="clear" w:color="auto" w:fill="61BB41"/>
            <w:vAlign w:val="center"/>
          </w:tcPr>
          <w:p w14:paraId="2121713A">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eastAsia="zh-CN" w:bidi="ar"/>
              </w:rPr>
              <w:t>变异丰度/拷贝数/融合reads数</w:t>
            </w:r>
          </w:p>
        </w:tc>
      </w:tr>
      <w:tr w14:paraId="4AB0DB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3"/>
            <w:tcBorders>
              <w:top w:val="nil"/>
              <w:bottom w:val="single" w:color="A4A4A4" w:sz="4" w:space="0"/>
            </w:tcBorders>
            <w:shd w:val="clear" w:color="auto" w:fill="auto"/>
            <w:noWrap/>
            <w:vAlign w:val="center"/>
          </w:tcPr>
          <w:p w14:paraId="2B1346D8">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450CEA4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04" w:type="dxa"/>
            <w:tcBorders>
              <w:top w:val="single" w:color="A4A4A4" w:sz="4" w:space="0"/>
            </w:tcBorders>
            <w:shd w:val="clear" w:color="auto" w:fill="auto"/>
            <w:noWrap/>
            <w:vAlign w:val="center"/>
          </w:tcPr>
          <w:p w14:paraId="240A12CF">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4515" w:type="dxa"/>
            <w:tcBorders>
              <w:top w:val="single" w:color="A4A4A4" w:sz="4" w:space="0"/>
            </w:tcBorders>
            <w:shd w:val="clear" w:color="auto" w:fill="auto"/>
            <w:noWrap/>
            <w:vAlign w:val="center"/>
          </w:tcPr>
          <w:p w14:paraId="6452D78F">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0B1B6B98">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40" w:type="dxa"/>
            <w:tcBorders>
              <w:top w:val="single" w:color="A4A4A4" w:sz="4" w:space="0"/>
            </w:tcBorders>
            <w:shd w:val="clear" w:color="auto" w:fill="auto"/>
            <w:vAlign w:val="center"/>
          </w:tcPr>
          <w:p w14:paraId="0D395984">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37A69A51">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71D684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859" w:type="dxa"/>
            <w:gridSpan w:val="3"/>
            <w:shd w:val="clear" w:color="auto" w:fill="auto"/>
            <w:noWrap/>
            <w:vAlign w:val="center"/>
          </w:tcPr>
          <w:p w14:paraId="58F9244B">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3F1F559F">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13F8613F">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%}靶向药物密切相关的基因突变。{% endif %}</w:t>
      </w:r>
    </w:p>
    <w:p w14:paraId="6EC6A40B">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03EE331F">
      <w:pPr>
        <w:keepNext w:val="0"/>
        <w:keepLines w:val="0"/>
        <w:pageBreakBefore w:val="0"/>
        <w:widowControl w:val="0"/>
        <w:numPr>
          <w:ilvl w:val="0"/>
          <w:numId w:val="6"/>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lang w:eastAsia="zh-CN"/>
        </w:rPr>
      </w:pPr>
      <w:bookmarkStart w:id="198" w:name="_GoBack"/>
      <w:bookmarkEnd w:id="198"/>
      <w:r>
        <w:rPr>
          <w:rFonts w:hint="eastAsia" w:ascii="Times New Roman" w:hAnsi="Times New Roman" w:eastAsia="微软雅黑" w:cs="Times New Roman"/>
          <w:sz w:val="18"/>
          <w:lang w:eastAsia="zh-CN"/>
        </w:rPr>
        <w:t>"-"表示本次检测未发现相关变异。</w:t>
      </w:r>
    </w:p>
    <w:tbl>
      <w:tblPr>
        <w:tblStyle w:val="16"/>
        <w:tblpPr w:leftFromText="181" w:rightFromText="181" w:tblpXSpec="left" w:tblpYSpec="bottom"/>
        <w:tblOverlap w:val="never"/>
        <w:tblW w:w="9883" w:type="dxa"/>
        <w:tblInd w:w="108" w:type="dxa"/>
        <w:tblBorders>
          <w:top w:val="none" w:color="auto" w:sz="0" w:space="0"/>
          <w:left w:val="none" w:color="auto" w:sz="0" w:space="0"/>
          <w:bottom w:val="none" w:color="auto" w:sz="0"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3969"/>
        <w:gridCol w:w="5914"/>
      </w:tblGrid>
      <w:tr w14:paraId="54722A53">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c>
          <w:tcPr>
            <w:tcW w:w="9883" w:type="dxa"/>
            <w:gridSpan w:val="2"/>
            <w:vAlign w:val="top"/>
          </w:tcPr>
          <w:p w14:paraId="61407A96">
            <w:pPr>
              <w:keepNext w:val="0"/>
              <w:keepLines w:val="0"/>
              <w:pageBreakBefore w:val="0"/>
              <w:widowControl w:val="0"/>
              <w:kinsoku/>
              <w:wordWrap/>
              <w:overflowPunct/>
              <w:topLinePunct w:val="0"/>
              <w:autoSpaceDE/>
              <w:autoSpaceDN/>
              <w:bidi w:val="0"/>
              <w:adjustRightInd/>
              <w:snapToGrid/>
              <w:spacing w:after="63" w:afterLines="20" w:line="240" w:lineRule="auto"/>
              <w:ind w:left="621" w:leftChars="155" w:hanging="280" w:hangingChars="100"/>
              <w:textAlignment w:val="auto"/>
              <w:rPr>
                <w:rFonts w:eastAsia="微软雅黑"/>
                <w:b/>
                <w:color w:val="00B050"/>
                <w:sz w:val="28"/>
                <w:szCs w:val="28"/>
              </w:rPr>
            </w:pPr>
            <w:r>
              <w:rPr>
                <w:rFonts w:eastAsia="微软雅黑"/>
                <w:b/>
                <w:color w:val="00B050"/>
                <w:sz w:val="28"/>
                <w:szCs w:val="28"/>
                <w:lang w:eastAsia="zh-CN"/>
              </w:rPr>
              <w:drawing>
                <wp:anchor distT="0" distB="0" distL="114300" distR="114300" simplePos="0" relativeHeight="251661312" behindDoc="0" locked="0" layoutInCell="1" allowOverlap="1">
                  <wp:simplePos x="0" y="0"/>
                  <wp:positionH relativeFrom="column">
                    <wp:posOffset>-15240</wp:posOffset>
                  </wp:positionH>
                  <wp:positionV relativeFrom="paragraph">
                    <wp:posOffset>88900</wp:posOffset>
                  </wp:positionV>
                  <wp:extent cx="196215" cy="197485"/>
                  <wp:effectExtent l="0" t="0" r="1905" b="635"/>
                  <wp:wrapNone/>
                  <wp:docPr id="5" name="图片 5" descr="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0" y="0"/>
                            <a:ext cx="196215" cy="197485"/>
                          </a:xfrm>
                          <a:prstGeom prst="rect">
                            <a:avLst/>
                          </a:prstGeom>
                          <a:noFill/>
                          <a:ln>
                            <a:noFill/>
                          </a:ln>
                          <a:effectLst/>
                        </pic:spPr>
                      </pic:pic>
                    </a:graphicData>
                  </a:graphic>
                </wp:anchor>
              </w:drawing>
            </w:r>
            <w:r>
              <w:rPr>
                <w:rFonts w:eastAsia="微软雅黑"/>
                <w:b/>
                <w:color w:val="00B050"/>
                <w:sz w:val="28"/>
                <w:szCs w:val="28"/>
              </w:rPr>
              <w:t>说明</w:t>
            </w:r>
          </w:p>
          <w:p w14:paraId="25DCD24C">
            <w:pPr>
              <w:keepNext w:val="0"/>
              <w:keepLines w:val="0"/>
              <w:pageBreakBefore w:val="0"/>
              <w:widowControl/>
              <w:numPr>
                <w:ilvl w:val="0"/>
                <w:numId w:val="7"/>
              </w:numPr>
              <w:kinsoku/>
              <w:wordWrap/>
              <w:overflowPunct/>
              <w:topLinePunct w:val="0"/>
              <w:autoSpaceDE/>
              <w:autoSpaceDN/>
              <w:bidi w:val="0"/>
              <w:adjustRightInd/>
              <w:snapToGrid/>
              <w:spacing w:after="63" w:afterLines="20" w:line="240" w:lineRule="auto"/>
              <w:ind w:left="425" w:hanging="420"/>
              <w:textAlignment w:val="auto"/>
              <w:rPr>
                <w:rFonts w:eastAsia="微软雅黑"/>
                <w:b/>
                <w:sz w:val="21"/>
                <w:szCs w:val="21"/>
                <w:lang w:eastAsia="zh-CN"/>
              </w:rPr>
            </w:pPr>
            <w:r>
              <w:rPr>
                <w:rFonts w:eastAsia="微软雅黑"/>
                <w:b/>
                <w:sz w:val="21"/>
                <w:szCs w:val="21"/>
                <w:lang w:eastAsia="zh-CN"/>
              </w:rPr>
              <w:t>本报告为基因检测结果，基因、药物等信息列举未按照重要性排序。</w:t>
            </w:r>
          </w:p>
          <w:p w14:paraId="6C7EA439">
            <w:pPr>
              <w:keepNext w:val="0"/>
              <w:keepLines w:val="0"/>
              <w:pageBreakBefore w:val="0"/>
              <w:widowControl/>
              <w:numPr>
                <w:ilvl w:val="0"/>
                <w:numId w:val="7"/>
              </w:numPr>
              <w:kinsoku/>
              <w:wordWrap/>
              <w:overflowPunct/>
              <w:topLinePunct w:val="0"/>
              <w:autoSpaceDE/>
              <w:autoSpaceDN/>
              <w:bidi w:val="0"/>
              <w:adjustRightInd/>
              <w:snapToGrid/>
              <w:spacing w:after="63" w:afterLines="20" w:line="240" w:lineRule="auto"/>
              <w:ind w:left="425" w:hanging="420"/>
              <w:textAlignment w:val="auto"/>
              <w:rPr>
                <w:rFonts w:eastAsia="微软雅黑"/>
                <w:b/>
                <w:sz w:val="21"/>
                <w:szCs w:val="21"/>
                <w:lang w:eastAsia="zh-CN"/>
              </w:rPr>
            </w:pPr>
            <w:r>
              <w:rPr>
                <w:rFonts w:eastAsia="微软雅黑"/>
                <w:b/>
                <w:sz w:val="21"/>
                <w:szCs w:val="21"/>
                <w:lang w:eastAsia="zh-CN"/>
              </w:rPr>
              <w:t>检测结果仅供科学研究和临床用药参考，具体治疗方案请咨询主治医生。</w:t>
            </w:r>
          </w:p>
          <w:p w14:paraId="075E7493">
            <w:pPr>
              <w:keepNext w:val="0"/>
              <w:keepLines w:val="0"/>
              <w:pageBreakBefore w:val="0"/>
              <w:widowControl/>
              <w:numPr>
                <w:ilvl w:val="0"/>
                <w:numId w:val="7"/>
              </w:numPr>
              <w:kinsoku/>
              <w:wordWrap/>
              <w:overflowPunct/>
              <w:topLinePunct w:val="0"/>
              <w:autoSpaceDE/>
              <w:autoSpaceDN/>
              <w:bidi w:val="0"/>
              <w:adjustRightInd/>
              <w:snapToGrid/>
              <w:spacing w:after="63" w:afterLines="20" w:line="240" w:lineRule="auto"/>
              <w:ind w:left="425" w:hanging="420"/>
              <w:textAlignment w:val="auto"/>
              <w:rPr>
                <w:rFonts w:hint="eastAsia"/>
                <w:b/>
              </w:rPr>
            </w:pPr>
            <w:r>
              <w:rPr>
                <w:rFonts w:eastAsia="微软雅黑"/>
                <w:b/>
                <w:sz w:val="21"/>
                <w:szCs w:val="21"/>
                <w:lang w:eastAsia="zh-CN"/>
              </w:rPr>
              <w:t>本报告只对本次采集样本负责，如有疑问，请在15个工作日内与我们联系</w:t>
            </w:r>
            <w:r>
              <w:rPr>
                <w:rFonts w:hint="eastAsia" w:eastAsia="微软雅黑"/>
                <w:b/>
                <w:sz w:val="21"/>
                <w:szCs w:val="21"/>
                <w:lang w:eastAsia="zh-CN"/>
              </w:rPr>
              <w:t>023-</w:t>
            </w:r>
            <w:r>
              <w:rPr>
                <w:rFonts w:eastAsia="微软雅黑"/>
                <w:b/>
                <w:sz w:val="21"/>
                <w:szCs w:val="21"/>
                <w:lang w:eastAsia="zh-CN"/>
              </w:rPr>
              <w:t>68</w:t>
            </w:r>
            <w:r>
              <w:rPr>
                <w:rFonts w:hint="eastAsia" w:eastAsia="微软雅黑"/>
                <w:b/>
                <w:sz w:val="21"/>
                <w:szCs w:val="21"/>
                <w:lang w:eastAsia="zh-CN"/>
              </w:rPr>
              <w:t>815186</w:t>
            </w:r>
            <w:r>
              <w:rPr>
                <w:rFonts w:eastAsia="微软雅黑"/>
                <w:b/>
                <w:sz w:val="21"/>
                <w:szCs w:val="21"/>
                <w:lang w:eastAsia="zh-CN"/>
              </w:rPr>
              <w:t>。</w:t>
            </w:r>
          </w:p>
        </w:tc>
      </w:tr>
      <w:tr w14:paraId="50BDABFA">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c>
          <w:tcPr>
            <w:tcW w:w="3969" w:type="dxa"/>
            <w:tcBorders>
              <w:top w:val="single" w:color="auto" w:sz="12" w:space="0"/>
            </w:tcBorders>
          </w:tcPr>
          <w:p w14:paraId="46B2D463">
            <w:pPr>
              <w:snapToGrid w:val="0"/>
              <w:spacing w:before="120" w:beforeLines="50"/>
              <w:rPr>
                <w:b/>
                <w:szCs w:val="21"/>
              </w:rPr>
            </w:pPr>
            <w:r>
              <w:rPr>
                <w:rFonts w:hint="eastAsia"/>
                <w:b/>
              </w:rPr>
              <w:t>样本处理与分析：</w:t>
            </w:r>
          </w:p>
        </w:tc>
        <w:tc>
          <w:tcPr>
            <w:tcW w:w="5914" w:type="dxa"/>
            <w:tcBorders>
              <w:top w:val="single" w:color="auto" w:sz="12" w:space="0"/>
            </w:tcBorders>
          </w:tcPr>
          <w:p w14:paraId="43229D75">
            <w:pPr>
              <w:snapToGrid w:val="0"/>
              <w:spacing w:before="120" w:beforeLines="50"/>
              <w:rPr>
                <w:b/>
                <w:lang w:eastAsia="zh-CN"/>
              </w:rPr>
            </w:pPr>
            <w:r>
              <w:rPr>
                <w:rFonts w:hint="eastAsia"/>
                <w:b/>
              </w:rPr>
              <w:t xml:space="preserve">复核： </w:t>
            </w:r>
            <w:r>
              <w:rPr>
                <w:b/>
              </w:rPr>
              <w:t xml:space="preserve">                </w:t>
            </w:r>
            <w:r>
              <w:rPr>
                <w:rFonts w:hint="eastAsia"/>
                <w:b/>
              </w:rPr>
              <w:t>报告时间：</w:t>
            </w:r>
            <w:r>
              <w:rPr>
                <w:rFonts w:hint="eastAsia" w:ascii="宋体" w:hAnsi="宋体" w:eastAsia="宋体" w:cs="宋体"/>
                <w:b/>
              </w:rPr>
              <w:t>{{ reportdate }}</w:t>
            </w:r>
          </w:p>
        </w:tc>
      </w:tr>
    </w:tbl>
    <w:p w14:paraId="115109E1">
      <w:pPr>
        <w:keepNext w:val="0"/>
        <w:keepLines w:val="0"/>
        <w:pageBreakBefore w:val="0"/>
        <w:widowControl w:val="0"/>
        <w:numPr>
          <w:ilvl w:val="0"/>
          <w:numId w:val="0"/>
        </w:numPr>
        <w:kinsoku/>
        <w:wordWrap/>
        <w:overflowPunct/>
        <w:topLinePunct w:val="0"/>
        <w:autoSpaceDE/>
        <w:autoSpaceDN/>
        <w:bidi w:val="0"/>
        <w:adjustRightInd/>
        <w:snapToGrid/>
        <w:spacing w:line="216" w:lineRule="auto"/>
        <w:ind w:leftChars="0"/>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br w:type="page"/>
      </w:r>
    </w:p>
    <w:p w14:paraId="76EF208F">
      <w:pPr>
        <w:pStyle w:val="2"/>
        <w:numPr>
          <w:ilvl w:val="0"/>
          <w:numId w:val="0"/>
        </w:numPr>
        <w:jc w:val="both"/>
        <w:rPr>
          <w:rStyle w:val="36"/>
          <w:rFonts w:hint="default" w:ascii="Times New Roman" w:hAnsi="Times New Roman"/>
          <w:b/>
          <w:bCs/>
          <w:color w:val="62B541"/>
          <w:sz w:val="32"/>
          <w:szCs w:val="40"/>
          <w14:shadow w14:blurRad="50800" w14:dist="38100" w14:dir="10800000" w14:sx="100000" w14:sy="100000" w14:kx="0" w14:ky="0" w14:algn="r">
            <w14:srgbClr w14:val="62B541">
              <w14:alpha w14:val="60000"/>
            </w14:srgbClr>
          </w14:shadow>
        </w:rPr>
      </w:pPr>
      <w:bookmarkStart w:id="49" w:name="_Toc4408"/>
      <w:bookmarkStart w:id="50" w:name="_Toc30153"/>
      <w:r>
        <w:rPr>
          <w:rStyle w:val="36"/>
          <w:rFonts w:hint="default" w:ascii="Times New Roman" w:hAnsi="Times New Roman"/>
          <w:b/>
          <w:bCs/>
          <w:color w:val="62B541"/>
          <w:sz w:val="32"/>
          <w:szCs w:val="40"/>
          <w14:shadow w14:blurRad="50800" w14:dist="38100" w14:dir="10800000" w14:sx="100000" w14:sy="100000" w14:kx="0" w14:ky="0" w14:algn="r">
            <w14:srgbClr w14:val="62B541">
              <w14:alpha w14:val="60000"/>
            </w14:srgbClr>
          </w14:shadow>
        </w:rPr>
        <w:t>检测结果及用药提示</w:t>
      </w:r>
      <w:bookmarkEnd w:id="22"/>
      <w:bookmarkEnd w:id="41"/>
      <w:bookmarkEnd w:id="42"/>
      <w:bookmarkEnd w:id="43"/>
      <w:bookmarkEnd w:id="44"/>
      <w:bookmarkEnd w:id="45"/>
      <w:bookmarkEnd w:id="46"/>
      <w:bookmarkEnd w:id="47"/>
      <w:bookmarkEnd w:id="48"/>
      <w:bookmarkEnd w:id="49"/>
      <w:bookmarkEnd w:id="50"/>
    </w:p>
    <w:p w14:paraId="7F32AF78">
      <w:pPr>
        <w:rPr>
          <w:rFonts w:ascii="Times New Roman" w:hAnsi="Times New Roman" w:eastAsia="微软雅黑" w:cs="Times New Roman"/>
          <w:sz w:val="24"/>
          <w:szCs w:val="24"/>
          <w:lang w:eastAsia="zh-CN"/>
        </w:rPr>
      </w:pPr>
      <w:bookmarkStart w:id="51" w:name="_Toc19636"/>
      <w:bookmarkStart w:id="52" w:name="_Toc19159"/>
      <w:bookmarkStart w:id="53" w:name="_Toc20571"/>
      <w:bookmarkStart w:id="54" w:name="_Toc2962"/>
      <w:bookmarkStart w:id="55" w:name="_Toc106294397"/>
      <w:bookmarkStart w:id="56" w:name="_Toc23375"/>
      <w:bookmarkStart w:id="57" w:name="_Toc18062_WPSOffice_Level2"/>
      <w:bookmarkStart w:id="58" w:name="_Toc9088"/>
      <w:bookmarkStart w:id="59" w:name="_Toc11015_WPSOffice_Level2"/>
      <w:bookmarkStart w:id="60" w:name="_Toc15063"/>
      <w:r>
        <w:rPr>
          <w:rFonts w:hint="eastAsia" w:ascii="Times New Roman" w:hAnsi="Times New Roman" w:eastAsia="微软雅黑" w:cs="Times New Roman"/>
          <w:sz w:val="24"/>
          <w:szCs w:val="24"/>
          <w:lang w:eastAsia="zh-CN"/>
        </w:rPr>
        <w:t>{% if endometrialCarcinoma == True %}</w:t>
      </w:r>
    </w:p>
    <w:p w14:paraId="0A7D6D4A">
      <w:pPr>
        <w:pStyle w:val="3"/>
        <w:numPr>
          <w:ilvl w:val="255"/>
          <w:numId w:val="0"/>
        </w:numPr>
        <w:jc w:val="left"/>
        <w:rPr>
          <w:color w:val="auto"/>
          <w:sz w:val="30"/>
          <w:lang w:eastAsia="zh-CN"/>
        </w:rPr>
      </w:pPr>
      <w:bookmarkStart w:id="61" w:name="_Toc27772"/>
      <w:bookmarkStart w:id="62" w:name="_Toc149837257"/>
      <w:bookmarkStart w:id="63" w:name="_Toc8785"/>
      <w:r>
        <w:rPr>
          <w:rFonts w:hint="eastAsia"/>
          <w:color w:val="auto"/>
          <w:sz w:val="30"/>
          <w:lang w:eastAsia="zh-CN"/>
        </w:rPr>
        <w:t>子宫内膜癌TCGA分子分型检测结果</w:t>
      </w:r>
      <w:bookmarkEnd w:id="51"/>
      <w:bookmarkEnd w:id="52"/>
      <w:bookmarkEnd w:id="53"/>
      <w:bookmarkEnd w:id="54"/>
      <w:bookmarkEnd w:id="55"/>
      <w:bookmarkEnd w:id="61"/>
      <w:bookmarkEnd w:id="62"/>
      <w:bookmarkEnd w:id="63"/>
    </w:p>
    <w:tbl>
      <w:tblPr>
        <w:tblStyle w:val="16"/>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14:paraId="75A224A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258" w:hRule="atLeast"/>
          <w:jc w:val="center"/>
        </w:trPr>
        <w:tc>
          <w:tcPr>
            <w:tcW w:w="4328" w:type="dxa"/>
            <w:tcBorders>
              <w:top w:val="nil"/>
              <w:bottom w:val="nil"/>
              <w:right w:val="single" w:color="FFFFFF" w:themeColor="background1" w:sz="18" w:space="0"/>
            </w:tcBorders>
            <w:shd w:val="clear" w:color="auto" w:fill="62BC41"/>
            <w:vAlign w:val="center"/>
          </w:tcPr>
          <w:p w14:paraId="27C65FE0">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5535" w:type="dxa"/>
            <w:tcBorders>
              <w:top w:val="nil"/>
              <w:left w:val="single" w:color="FFFFFF" w:themeColor="background1" w:sz="18" w:space="0"/>
              <w:bottom w:val="nil"/>
            </w:tcBorders>
            <w:shd w:val="clear" w:color="auto" w:fill="62BC41"/>
            <w:vAlign w:val="center"/>
          </w:tcPr>
          <w:p w14:paraId="4CBE08CC">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结果</w:t>
            </w:r>
          </w:p>
        </w:tc>
      </w:tr>
      <w:tr w14:paraId="2D33D1BB">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42" w:hRule="atLeast"/>
          <w:jc w:val="center"/>
        </w:trPr>
        <w:tc>
          <w:tcPr>
            <w:tcW w:w="4328" w:type="dxa"/>
            <w:tcBorders>
              <w:top w:val="nil"/>
              <w:bottom w:val="single" w:color="A4A4A4" w:sz="4" w:space="0"/>
              <w:right w:val="single" w:color="A4A4A4" w:sz="4" w:space="0"/>
            </w:tcBorders>
            <w:shd w:val="clear" w:color="auto" w:fill="auto"/>
            <w:vAlign w:val="center"/>
          </w:tcPr>
          <w:p w14:paraId="29591406">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TCGA分子分型</w:t>
            </w:r>
          </w:p>
        </w:tc>
        <w:tc>
          <w:tcPr>
            <w:tcW w:w="5535" w:type="dxa"/>
            <w:tcBorders>
              <w:top w:val="nil"/>
              <w:left w:val="single" w:color="A4A4A4" w:sz="4" w:space="0"/>
              <w:bottom w:val="single" w:color="A4A4A4" w:sz="4" w:space="0"/>
            </w:tcBorders>
            <w:shd w:val="clear" w:color="auto" w:fill="auto"/>
            <w:vAlign w:val="center"/>
          </w:tcPr>
          <w:p w14:paraId="7F5221DE">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bl>
    <w:p w14:paraId="62914472">
      <w:pPr>
        <w:spacing w:before="47"/>
        <w:rPr>
          <w:rFonts w:ascii="Times New Roman" w:hAnsi="Times New Roman" w:eastAsia="微软雅黑" w:cs="Times New Roman"/>
          <w:sz w:val="18"/>
          <w:szCs w:val="18"/>
          <w:highlight w:val="yellow"/>
          <w:lang w:eastAsia="zh-CN"/>
        </w:rPr>
      </w:pPr>
      <w:r>
        <w:rPr>
          <w:rFonts w:hint="eastAsia" w:ascii="Times New Roman" w:hAnsi="Times New Roman" w:eastAsia="微软雅黑" w:cs="Times New Roman"/>
          <w:b/>
          <w:bCs/>
          <w:sz w:val="18"/>
          <w:szCs w:val="18"/>
          <w:lang w:eastAsia="zh-CN"/>
        </w:rPr>
        <w:t>注：</w:t>
      </w:r>
    </w:p>
    <w:p w14:paraId="7341B2EB">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2013年，癌症基因组图谱</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The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Cancer</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Geenome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Atlas</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TCGA</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多组学研究全面揭示了子宫内膜癌的分子遗传图谱，提出新的分子分型策略，依据多组学特征和预后的关联性分为4个亚型：POLE突变型、微卫星不稳定型（MSI-H</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、高拷贝型</w:t>
      </w:r>
      <w:r>
        <w:rPr>
          <w:rFonts w:hint="eastAsia" w:ascii="Times New Roman" w:hAnsi="Times New Roman" w:eastAsia="微软雅黑" w:cs="Times New Roman"/>
          <w:sz w:val="18"/>
          <w:lang w:eastAsia="zh-CN"/>
        </w:rPr>
        <w:t>（CN-H）</w:t>
      </w:r>
      <w:r>
        <w:rPr>
          <w:rFonts w:ascii="Times New Roman" w:hAnsi="Times New Roman" w:eastAsia="微软雅黑" w:cs="Times New Roman"/>
          <w:sz w:val="18"/>
          <w:lang w:eastAsia="zh-CN"/>
        </w:rPr>
        <w:t>和低拷贝型</w:t>
      </w:r>
      <w:r>
        <w:rPr>
          <w:rFonts w:hint="eastAsia" w:ascii="Times New Roman" w:hAnsi="Times New Roman" w:eastAsia="微软雅黑" w:cs="Times New Roman"/>
          <w:sz w:val="18"/>
          <w:lang w:eastAsia="zh-CN"/>
        </w:rPr>
        <w:t>（CN-L）</w:t>
      </w:r>
      <w:r>
        <w:rPr>
          <w:rFonts w:ascii="Times New Roman" w:hAnsi="Times New Roman" w:eastAsia="微软雅黑" w:cs="Times New Roman"/>
          <w:sz w:val="18"/>
          <w:lang w:eastAsia="zh-CN"/>
        </w:rPr>
        <w:t>，用于</w:t>
      </w:r>
      <w:r>
        <w:rPr>
          <w:rFonts w:hint="eastAsia" w:ascii="Times New Roman" w:hAnsi="Times New Roman" w:eastAsia="微软雅黑" w:cs="Times New Roman"/>
          <w:sz w:val="18"/>
          <w:lang w:eastAsia="zh-CN"/>
        </w:rPr>
        <w:t>子宫内膜癌</w:t>
      </w:r>
      <w:r>
        <w:rPr>
          <w:rFonts w:ascii="Times New Roman" w:hAnsi="Times New Roman" w:eastAsia="微软雅黑" w:cs="Times New Roman"/>
          <w:sz w:val="18"/>
          <w:lang w:eastAsia="zh-CN"/>
        </w:rPr>
        <w:t>患者预后和复发风险评估。当前，该分子分型策略已被纳入NCCN、ESGO等多个指南中，分型规则如下：</w:t>
      </w:r>
    </w:p>
    <w:p w14:paraId="111B5771">
      <w:pPr>
        <w:widowControl/>
        <w:jc w:val="center"/>
        <w:rPr>
          <w:rFonts w:ascii="Times New Roman" w:hAnsi="Times New Roman" w:eastAsia="微软雅黑" w:cs="Times New Roman"/>
          <w:lang w:eastAsia="zh-CN"/>
        </w:rPr>
      </w:pPr>
      <w:r>
        <w:rPr>
          <w:rFonts w:ascii="Times New Roman" w:hAnsi="Times New Roman" w:eastAsia="微软雅黑" w:cs="Times New Roman"/>
          <w:lang w:eastAsia="zh-CN"/>
        </w:rPr>
        <w:drawing>
          <wp:inline distT="0" distB="0" distL="114300" distR="114300">
            <wp:extent cx="5582285" cy="2188845"/>
            <wp:effectExtent l="0" t="0" r="10795" b="5715"/>
            <wp:docPr id="17" name="图片 17"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图片1"/>
                    <pic:cNvPicPr>
                      <a:picLocks noChangeAspect="1"/>
                    </pic:cNvPicPr>
                  </pic:nvPicPr>
                  <pic:blipFill>
                    <a:blip r:embed="rId10"/>
                    <a:stretch>
                      <a:fillRect/>
                    </a:stretch>
                  </pic:blipFill>
                  <pic:spPr>
                    <a:xfrm>
                      <a:off x="0" y="0"/>
                      <a:ext cx="5582285" cy="2188845"/>
                    </a:xfrm>
                    <a:prstGeom prst="rect">
                      <a:avLst/>
                    </a:prstGeom>
                  </pic:spPr>
                </pic:pic>
              </a:graphicData>
            </a:graphic>
          </wp:inline>
        </w:drawing>
      </w:r>
    </w:p>
    <w:p w14:paraId="2B16CB98">
      <w:pPr>
        <w:widowControl/>
        <w:rPr>
          <w:rFonts w:ascii="Times New Roman" w:hAnsi="Times New Roman" w:eastAsia="微软雅黑" w:cs="Times New Roman"/>
          <w:lang w:eastAsia="zh-CN"/>
        </w:rPr>
      </w:pPr>
    </w:p>
    <w:p w14:paraId="5217B0DA">
      <w:pPr>
        <w:widowControl/>
        <w:jc w:val="cente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图：子宫内膜癌分子分型规则（参考自</w:t>
      </w:r>
      <w:r>
        <w:rPr>
          <w:rFonts w:hint="eastAsia" w:ascii="Times New Roman" w:hAnsi="Times New Roman" w:eastAsia="微软雅黑" w:cs="Times New Roman"/>
          <w:color w:val="000000"/>
          <w:sz w:val="20"/>
          <w:szCs w:val="20"/>
          <w:lang w:eastAsia="zh-CN" w:bidi="ar"/>
        </w:rPr>
        <w:t>NCCN《子宫肿瘤临床实践指南》Version2.2022</w:t>
      </w:r>
      <w:r>
        <w:rPr>
          <w:rFonts w:hint="eastAsia" w:ascii="Times New Roman" w:hAnsi="Times New Roman" w:eastAsia="微软雅黑" w:cs="Times New Roman"/>
          <w:sz w:val="20"/>
          <w:szCs w:val="20"/>
          <w:lang w:eastAsia="zh-CN"/>
        </w:rPr>
        <w:t>）</w:t>
      </w:r>
    </w:p>
    <w:p w14:paraId="13E7FF66">
      <w:pPr>
        <w:rPr>
          <w:rFonts w:ascii="Times New Roman" w:hAnsi="Times New Roman" w:eastAsia="微软雅黑" w:cs="Times New Roman"/>
          <w:sz w:val="18"/>
          <w:lang w:eastAsia="zh-CN"/>
        </w:rPr>
      </w:pPr>
    </w:p>
    <w:p w14:paraId="4EE4D6DA">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根据TCGA分子分型可以对患者的预后进行预测，其中POLE突变型患者预后最好，微卫星不稳定型</w:t>
      </w:r>
      <w:r>
        <w:rPr>
          <w:rFonts w:hint="eastAsia" w:ascii="Times New Roman" w:hAnsi="Times New Roman" w:eastAsia="微软雅黑" w:cs="Times New Roman"/>
          <w:sz w:val="18"/>
          <w:lang w:eastAsia="zh-CN"/>
        </w:rPr>
        <w:t>和低</w:t>
      </w:r>
      <w:r>
        <w:rPr>
          <w:rFonts w:ascii="Times New Roman" w:hAnsi="Times New Roman" w:eastAsia="微软雅黑" w:cs="Times New Roman"/>
          <w:sz w:val="18"/>
          <w:lang w:eastAsia="zh-CN"/>
        </w:rPr>
        <w:t>拷贝数型患者预后中等</w:t>
      </w:r>
      <w:r>
        <w:rPr>
          <w:rFonts w:hint="eastAsia" w:ascii="Times New Roman" w:hAnsi="Times New Roman" w:eastAsia="微软雅黑" w:cs="Times New Roman"/>
          <w:sz w:val="18"/>
          <w:lang w:eastAsia="zh-CN"/>
        </w:rPr>
        <w:t>，高</w:t>
      </w:r>
      <w:r>
        <w:rPr>
          <w:rFonts w:ascii="Times New Roman" w:hAnsi="Times New Roman" w:eastAsia="微软雅黑" w:cs="Times New Roman"/>
          <w:sz w:val="18"/>
          <w:lang w:eastAsia="zh-CN"/>
        </w:rPr>
        <w:t>拷贝数型患者</w:t>
      </w:r>
      <w:r>
        <w:rPr>
          <w:rFonts w:hint="eastAsia" w:ascii="Times New Roman" w:hAnsi="Times New Roman" w:eastAsia="微软雅黑" w:cs="Times New Roman"/>
          <w:sz w:val="18"/>
          <w:lang w:eastAsia="zh-CN"/>
        </w:rPr>
        <w:t>预后最差。</w:t>
      </w:r>
    </w:p>
    <w:p w14:paraId="3718231E">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目前针对TCGA分子分型指导子宫内膜癌辅助治疗的临床应用</w:t>
      </w:r>
      <w:r>
        <w:rPr>
          <w:rFonts w:hint="eastAsia" w:ascii="Times New Roman" w:hAnsi="Times New Roman" w:eastAsia="微软雅黑" w:cs="Times New Roman"/>
          <w:sz w:val="18"/>
          <w:lang w:eastAsia="zh-CN"/>
        </w:rPr>
        <w:t>尚</w:t>
      </w:r>
      <w:r>
        <w:rPr>
          <w:rFonts w:ascii="Times New Roman" w:hAnsi="Times New Roman" w:eastAsia="微软雅黑" w:cs="Times New Roman"/>
          <w:sz w:val="18"/>
          <w:lang w:eastAsia="zh-CN"/>
        </w:rPr>
        <w:t>缺乏前瞻性研究结果，但欧洲妇科肿瘤学会（ESGO）、欧洲放射治疗和肿瘤学会（ESTRO）、欧洲病理学家协会（ESP）联合制定的</w:t>
      </w:r>
      <w:r>
        <w:rPr>
          <w:rFonts w:hint="eastAsia" w:ascii="Times New Roman" w:hAnsi="Times New Roman" w:eastAsia="微软雅黑" w:cs="Times New Roman"/>
          <w:sz w:val="18"/>
          <w:szCs w:val="18"/>
          <w:lang w:eastAsia="zh-CN"/>
        </w:rPr>
        <w:t>《ESGO/ESTRO/ESP指南：子宫内膜癌患者的管理（2020版）》</w:t>
      </w:r>
      <w:r>
        <w:rPr>
          <w:rFonts w:ascii="Times New Roman" w:hAnsi="Times New Roman" w:eastAsia="微软雅黑" w:cs="Times New Roman"/>
          <w:sz w:val="18"/>
          <w:lang w:eastAsia="zh-CN"/>
        </w:rPr>
        <w:t>，推荐将分子分型结果与临床、病理特征进行整合，对患者的复发风险进行分层，用于指导辅助治疗</w:t>
      </w:r>
      <w:r>
        <w:rPr>
          <w:rFonts w:hint="eastAsia" w:ascii="Times New Roman" w:hAnsi="Times New Roman" w:eastAsia="微软雅黑" w:cs="Times New Roman"/>
          <w:sz w:val="18"/>
          <w:lang w:eastAsia="zh-CN"/>
        </w:rPr>
        <w:t>。该风险分层和辅助治疗建议进一步被中国抗癌协会妇科肿瘤专业委员会制定的《子宫内膜癌诊断与治疗指南（2021版）》所引用和推荐。</w:t>
      </w:r>
      <w:r>
        <w:rPr>
          <w:rFonts w:ascii="Times New Roman" w:hAnsi="Times New Roman" w:eastAsia="微软雅黑" w:cs="Times New Roman"/>
          <w:sz w:val="18"/>
          <w:lang w:eastAsia="zh-CN"/>
        </w:rPr>
        <w:t>复发风险分层和辅助治疗建议见附录</w:t>
      </w:r>
      <w:r>
        <w:rPr>
          <w:rFonts w:hint="eastAsia" w:ascii="Times New Roman" w:hAnsi="Times New Roman" w:eastAsia="微软雅黑" w:cs="Times New Roman"/>
          <w:sz w:val="18"/>
          <w:lang w:eastAsia="zh-CN"/>
        </w:rPr>
        <w:t>[子宫内膜癌分子分型与预后的相关性]，</w:t>
      </w:r>
      <w:r>
        <w:rPr>
          <w:rFonts w:ascii="Times New Roman" w:hAnsi="Times New Roman" w:eastAsia="微软雅黑" w:cs="Times New Roman"/>
          <w:sz w:val="18"/>
          <w:lang w:eastAsia="zh-CN"/>
        </w:rPr>
        <w:t>具体治疗策略还需结合临床及病理特征综合判断，请遵医嘱</w:t>
      </w:r>
      <w:r>
        <w:rPr>
          <w:rFonts w:hint="eastAsia" w:ascii="Times New Roman" w:hAnsi="Times New Roman" w:eastAsia="微软雅黑" w:cs="Times New Roman"/>
          <w:sz w:val="18"/>
          <w:lang w:eastAsia="zh-CN"/>
        </w:rPr>
        <w:t>。</w:t>
      </w:r>
    </w:p>
    <w:p w14:paraId="0A077854">
      <w:pPr>
        <w:rPr>
          <w:rFonts w:ascii="Times New Roman" w:hAnsi="Times New Roman" w:eastAsia="微软雅黑" w:cs="Times New Roman"/>
          <w:sz w:val="24"/>
          <w:szCs w:val="24"/>
          <w:lang w:eastAsia="zh-CN"/>
        </w:rPr>
      </w:pPr>
      <w:r>
        <w:rPr>
          <w:rFonts w:hint="eastAsia" w:ascii="Times New Roman" w:hAnsi="Times New Roman"/>
          <w:sz w:val="30"/>
          <w:lang w:eastAsia="zh-CN"/>
        </w:rPr>
        <w:br w:type="page"/>
      </w:r>
      <w:r>
        <w:rPr>
          <w:rFonts w:hint="eastAsia" w:ascii="Times New Roman" w:hAnsi="Times New Roman" w:eastAsia="微软雅黑" w:cs="Times New Roman"/>
          <w:sz w:val="24"/>
          <w:szCs w:val="24"/>
          <w:lang w:eastAsia="zh-CN"/>
        </w:rPr>
        <w:t>{% endif %}</w:t>
      </w:r>
    </w:p>
    <w:bookmarkEnd w:id="56"/>
    <w:bookmarkEnd w:id="57"/>
    <w:bookmarkEnd w:id="58"/>
    <w:bookmarkEnd w:id="59"/>
    <w:bookmarkEnd w:id="60"/>
    <w:p w14:paraId="3672D994">
      <w:pPr>
        <w:pStyle w:val="3"/>
        <w:numPr>
          <w:ilvl w:val="255"/>
          <w:numId w:val="0"/>
        </w:numPr>
        <w:jc w:val="left"/>
        <w:rPr>
          <w:color w:val="auto"/>
          <w:sz w:val="30"/>
          <w:lang w:eastAsia="zh-CN"/>
        </w:rPr>
      </w:pPr>
      <w:bookmarkStart w:id="64" w:name="_Toc149837258"/>
      <w:bookmarkStart w:id="65" w:name="_Toc12296"/>
      <w:bookmarkStart w:id="66" w:name="_Toc10363"/>
      <w:r>
        <w:rPr>
          <w:rFonts w:hint="eastAsia"/>
          <w:color w:val="auto"/>
          <w:sz w:val="30"/>
          <w:lang w:eastAsia="zh-CN"/>
        </w:rPr>
        <w:t>体细胞变异分级提示</w:t>
      </w:r>
      <w:bookmarkEnd w:id="64"/>
      <w:bookmarkEnd w:id="65"/>
      <w:bookmarkEnd w:id="66"/>
    </w:p>
    <w:p w14:paraId="254B8F07">
      <w:pPr>
        <w:spacing w:after="240"/>
        <w:ind w:firstLine="420" w:firstLineChars="200"/>
        <w:rPr>
          <w:rFonts w:hint="eastAsia" w:ascii="Times New Roman" w:hAnsi="Times New Roman" w:eastAsia="微软雅黑" w:cs="Times New Roman"/>
          <w:b/>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9"/>
        <w:gridCol w:w="964"/>
        <w:gridCol w:w="1077"/>
        <w:gridCol w:w="2252"/>
        <w:gridCol w:w="2258"/>
      </w:tblGrid>
      <w:tr w14:paraId="29920B7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25712A8B">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6B0A23F8">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color w:val="FFFFFF" w:themeColor="background1"/>
                <w:sz w:val="21"/>
                <w:szCs w:val="21"/>
                <w14:textFill>
                  <w14:solidFill>
                    <w14:schemeClr w14:val="bg1"/>
                  </w14:solidFill>
                </w14:textFill>
              </w:rPr>
              <w:t>基因</w:t>
            </w:r>
          </w:p>
        </w:tc>
        <w:tc>
          <w:tcPr>
            <w:tcW w:w="759" w:type="pct"/>
            <w:tcBorders>
              <w:top w:val="nil"/>
              <w:left w:val="single" w:color="FFFFFF" w:sz="18" w:space="0"/>
              <w:bottom w:val="nil"/>
              <w:right w:val="single" w:color="FFFFFF" w:sz="18" w:space="0"/>
            </w:tcBorders>
            <w:shd w:val="clear" w:color="auto" w:fill="62B541"/>
            <w:vAlign w:val="center"/>
          </w:tcPr>
          <w:p w14:paraId="5D89B4E5">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319DFCBE">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14:paraId="3DF87ABB">
            <w:pPr>
              <w:pStyle w:val="22"/>
              <w:jc w:val="cente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pPr>
            <w:r>
              <w:rPr>
                <w:rFonts w:hint="eastAsia" w:ascii="微软雅黑" w:hAnsi="微软雅黑" w:eastAsia="微软雅黑" w:cs="微软雅黑"/>
                <w:b/>
                <w:bCs/>
                <w:color w:val="FFFFFF"/>
                <w:sz w:val="21"/>
                <w:szCs w:val="21"/>
                <w:highlight w:val="none"/>
                <w:lang w:eastAsia="zh-CN" w:bidi="ar"/>
              </w:rPr>
              <w:t>变异丰度</w:t>
            </w:r>
            <w:r>
              <w:rPr>
                <w:rFonts w:hint="eastAsia" w:ascii="微软雅黑" w:hAnsi="微软雅黑" w:eastAsia="微软雅黑" w:cs="微软雅黑"/>
                <w:b/>
                <w:bCs/>
                <w:color w:val="FFFFFF"/>
                <w:sz w:val="21"/>
                <w:szCs w:val="21"/>
                <w:highlight w:val="none"/>
                <w:lang w:val="en-US" w:eastAsia="zh-CN" w:bidi="ar"/>
              </w:rPr>
              <w:t>/</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 xml:space="preserve">拷贝数{% if readsFlag == </w:t>
            </w:r>
            <w:r>
              <w:rPr>
                <w:rFonts w:hint="eastAsia" w:ascii="Times New Roman" w:hAnsi="Times New Roman" w:eastAsia="微软雅黑" w:cs="Times New Roman"/>
                <w:b/>
                <w:color w:val="FFFFFF" w:themeColor="background1"/>
                <w:sz w:val="21"/>
                <w:szCs w:val="21"/>
                <w:highlight w:val="none"/>
                <w:lang w:val="en-US" w:eastAsia="zh-CN"/>
                <w14:textFill>
                  <w14:solidFill>
                    <w14:schemeClr w14:val="bg1"/>
                  </w14:solidFill>
                </w14:textFill>
              </w:rPr>
              <w:t>True</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 xml:space="preserve"> %}</w:t>
            </w:r>
          </w:p>
          <w:p w14:paraId="512A0C89">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highlight w:val="none"/>
                <w:lang w:val="en-US" w:eastAsia="zh-CN" w:bidi="ar"/>
              </w:rPr>
              <w:t>/</w:t>
            </w:r>
            <w:r>
              <w:rPr>
                <w:rFonts w:hint="eastAsia" w:ascii="Times New Roman" w:hAnsi="Times New Roman" w:eastAsia="微软雅黑" w:cs="Times New Roman"/>
                <w:b/>
                <w:color w:val="FFFFFF" w:themeColor="background1"/>
                <w:sz w:val="21"/>
                <w:szCs w:val="21"/>
                <w:highlight w:val="none"/>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62B541"/>
            <w:vAlign w:val="center"/>
          </w:tcPr>
          <w:p w14:paraId="710F3808">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14404404">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44DDD6C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28F188B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759E559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177A934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260B6DE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423084F">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9FC7471">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E4A387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CB2019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D62567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BDEEB9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4A48C2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051001E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8293E2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42840C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2E6BE4D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4B4C3D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828863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66B128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10D6B4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2A9A0E8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A94A16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7437F4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2FFACE7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222114F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35C504B">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EA0AEBA">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408F7EB">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D3227B7">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6E077A7">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4DFAD7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60AC825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5DD03B6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A4E6A8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87217B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7FA79C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259ADF4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22DE2DC">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1077"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4087749">
            <w:pPr>
              <w:ind w:left="162" w:leftChars="0" w:right="163" w:rightChars="0"/>
              <w:jc w:val="center"/>
              <w:rPr>
                <w:rFonts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tip.comutation</w:t>
            </w:r>
            <w:r>
              <w:rPr>
                <w:rFonts w:hint="eastAsia" w:ascii="Times New Roman" w:hAnsi="Times New Roman" w:eastAsia="微软雅黑" w:cs="Times New Roman"/>
                <w:b/>
                <w:sz w:val="21"/>
                <w:szCs w:val="21"/>
                <w:lang w:val="en-US" w:eastAsia="zh-CN"/>
              </w:rPr>
              <w:t>1</w:t>
            </w:r>
            <w:r>
              <w:rPr>
                <w:rFonts w:hint="default" w:ascii="Times New Roman" w:hAnsi="Times New Roman" w:eastAsia="微软雅黑" w:cs="Times New Roman"/>
                <w:b/>
                <w:sz w:val="21"/>
                <w:szCs w:val="21"/>
                <w:lang w:eastAsia="zh-CN"/>
              </w:rPr>
              <w:t xml:space="preserve"> }}</w:t>
            </w:r>
          </w:p>
        </w:tc>
        <w:tc>
          <w:tcPr>
            <w:tcW w:w="1529"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95EEB62">
            <w:pPr>
              <w:spacing w:before="2"/>
              <w:ind w:left="116" w:leftChars="0" w:right="116" w:rightChars="0"/>
              <w:jc w:val="center"/>
              <w:rPr>
                <w:rFonts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tip.comutation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D0165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BB3ADF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9F3B9C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937AB2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76E21C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31F75D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FF18A3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238F280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BC34E1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5683C6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F56DE0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700950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7F3392D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EC0848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71E254B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3D976F4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0D47CD8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9051E92">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C33A27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E400118">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E01D78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76ED9B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92B8A3D">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64C7422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16B6700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7B92E4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3BF702A4">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619877B1">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0B65B888">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7D70C14A">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727A1FD1">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1E0009CF">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2D053134">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077C6303">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5C9ACD7D">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2644E789">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54A32736">
      <w:pPr>
        <w:pStyle w:val="8"/>
        <w:numPr>
          <w:ilvl w:val="0"/>
          <w:numId w:val="9"/>
        </w:numPr>
        <w:rPr>
          <w:rFonts w:ascii="Times New Roman" w:hAnsi="Times New Roman" w:eastAsia="微软雅黑" w:cs="Times New Roman"/>
          <w:bCs/>
          <w:highlight w:val="none"/>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w:t>
      </w:r>
      <w:r>
        <w:rPr>
          <w:rFonts w:hint="eastAsia" w:ascii="Times New Roman" w:hAnsi="Times New Roman" w:eastAsia="微软雅黑" w:cs="Times New Roman"/>
          <w:highlight w:val="none"/>
          <w:lang w:eastAsia="zh-CN"/>
        </w:rPr>
        <w:t xml:space="preserve">{% if readsFlag == </w:t>
      </w:r>
      <w:r>
        <w:rPr>
          <w:rFonts w:hint="eastAsia" w:ascii="Times New Roman" w:hAnsi="Times New Roman" w:eastAsia="微软雅黑" w:cs="Times New Roman"/>
          <w:highlight w:val="none"/>
          <w:lang w:val="en-US" w:eastAsia="zh-CN"/>
        </w:rPr>
        <w:t>True</w:t>
      </w:r>
      <w:r>
        <w:rPr>
          <w:rFonts w:hint="eastAsia" w:ascii="Times New Roman" w:hAnsi="Times New Roman" w:eastAsia="微软雅黑" w:cs="Times New Roman"/>
          <w:highlight w:val="none"/>
          <w:lang w:eastAsia="zh-CN"/>
        </w:rPr>
        <w:t xml:space="preserve"> %}</w:t>
      </w:r>
    </w:p>
    <w:p w14:paraId="2A19564E">
      <w:pPr>
        <w:pStyle w:val="8"/>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highlight w:val="none"/>
          <w:lang w:eastAsia="zh-CN"/>
        </w:rPr>
        <w:t>reads数：RNA层面检测到的支持融合基因的片段数。</w:t>
      </w:r>
      <w:r>
        <w:rPr>
          <w:rFonts w:hint="eastAsia" w:ascii="Times New Roman" w:hAnsi="Times New Roman" w:eastAsia="微软雅黑" w:cs="Times New Roman"/>
          <w:highlight w:val="none"/>
          <w:lang w:eastAsia="zh-CN"/>
        </w:rPr>
        <w:t>{% endif %}</w:t>
      </w:r>
    </w:p>
    <w:p w14:paraId="3FC851C9">
      <w:pPr>
        <w:pStyle w:val="8"/>
        <w:numPr>
          <w:ilvl w:val="0"/>
          <w:numId w:val="9"/>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25609B2F">
      <w:pPr>
        <w:pStyle w:val="8"/>
        <w:numPr>
          <w:ilvl w:val="0"/>
          <w:numId w:val="9"/>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313F75B0">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68BCD9C5">
      <w:pPr>
        <w:pStyle w:val="3"/>
        <w:numPr>
          <w:ilvl w:val="255"/>
          <w:numId w:val="0"/>
        </w:numPr>
        <w:jc w:val="left"/>
      </w:pPr>
      <w:bookmarkStart w:id="67" w:name="_Toc18064"/>
      <w:bookmarkStart w:id="68" w:name="_Toc23722"/>
      <w:bookmarkStart w:id="69" w:name="_Toc149837259"/>
      <w:bookmarkStart w:id="70" w:name="_Toc626"/>
      <w:bookmarkStart w:id="71" w:name="_Toc1549"/>
      <w:bookmarkStart w:id="72" w:name="_Toc25737"/>
      <w:bookmarkStart w:id="73" w:name="_Toc4339"/>
      <w:bookmarkStart w:id="74" w:name="_Toc17410"/>
      <w:bookmarkStart w:id="75" w:name="_Toc7551_WPSOffice_Level2"/>
      <w:bookmarkStart w:id="76" w:name="_Toc6221_WPSOffice_Level2"/>
      <w:bookmarkStart w:id="77" w:name="_Toc25675"/>
      <w:r>
        <w:rPr>
          <w:rFonts w:hint="eastAsia"/>
          <w:color w:val="auto"/>
          <w:sz w:val="30"/>
          <w:lang w:eastAsia="zh-CN"/>
        </w:rPr>
        <w:t>胚系变异结果提示</w:t>
      </w:r>
      <w:bookmarkEnd w:id="67"/>
      <w:bookmarkEnd w:id="68"/>
      <w:bookmarkEnd w:id="69"/>
    </w:p>
    <w:p w14:paraId="001BEA24">
      <w:pPr>
        <w:spacing w:before="240" w:beforeLines="100" w:after="24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肿瘤遗传风险检测</w:t>
      </w:r>
    </w:p>
    <w:p w14:paraId="692542BE">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geneticCancerRiskInfo %}具体信息见“基因检测结果解析”。{% endif %}如果您有家族遗传史，可联系我们做进一步的检测。</w:t>
      </w:r>
    </w:p>
    <w:tbl>
      <w:tblPr>
        <w:tblStyle w:val="23"/>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703C3C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1255" w:type="dxa"/>
            <w:tcBorders>
              <w:top w:val="nil"/>
              <w:bottom w:val="nil"/>
              <w:right w:val="single" w:color="FFFFFF" w:sz="18" w:space="0"/>
            </w:tcBorders>
            <w:shd w:val="clear" w:color="auto" w:fill="62B541"/>
            <w:vAlign w:val="center"/>
          </w:tcPr>
          <w:p w14:paraId="3AF833B8">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bCs/>
                <w:color w:val="FFFFFF" w:themeColor="background1"/>
                <w:sz w:val="21"/>
                <w:szCs w:val="21"/>
                <w14:textFill>
                  <w14:solidFill>
                    <w14:schemeClr w14:val="bg1"/>
                  </w14:solidFill>
                </w14:textFill>
              </w:rPr>
              <w:t>基因</w:t>
            </w:r>
          </w:p>
        </w:tc>
        <w:tc>
          <w:tcPr>
            <w:tcW w:w="825" w:type="dxa"/>
            <w:tcBorders>
              <w:top w:val="nil"/>
              <w:left w:val="single" w:color="FFFFFF" w:sz="18" w:space="0"/>
              <w:bottom w:val="nil"/>
              <w:right w:val="single" w:color="FFFFFF" w:sz="18" w:space="0"/>
            </w:tcBorders>
            <w:shd w:val="clear" w:color="auto" w:fill="62B541"/>
            <w:vAlign w:val="center"/>
          </w:tcPr>
          <w:p w14:paraId="6ABF079D">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sz="18" w:space="0"/>
              <w:bottom w:val="nil"/>
              <w:right w:val="single" w:color="FFFFFF" w:sz="18" w:space="0"/>
            </w:tcBorders>
            <w:shd w:val="clear" w:color="auto" w:fill="62B541"/>
            <w:vAlign w:val="center"/>
          </w:tcPr>
          <w:p w14:paraId="613A6E37">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sz="18" w:space="0"/>
              <w:bottom w:val="nil"/>
              <w:right w:val="single" w:color="FFFFFF" w:sz="18" w:space="0"/>
            </w:tcBorders>
            <w:shd w:val="clear" w:color="auto" w:fill="62B541"/>
            <w:vAlign w:val="center"/>
          </w:tcPr>
          <w:p w14:paraId="3DF3708E">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sz="18" w:space="0"/>
              <w:bottom w:val="nil"/>
              <w:right w:val="single" w:color="FFFFFF" w:sz="18" w:space="0"/>
            </w:tcBorders>
            <w:shd w:val="clear" w:color="auto" w:fill="62B541"/>
            <w:vAlign w:val="center"/>
          </w:tcPr>
          <w:p w14:paraId="0D7D7203">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sz="18" w:space="0"/>
              <w:bottom w:val="nil"/>
              <w:right w:val="single" w:color="FFFFFF" w:sz="18" w:space="0"/>
            </w:tcBorders>
            <w:shd w:val="clear" w:color="auto" w:fill="62B541"/>
            <w:vAlign w:val="center"/>
          </w:tcPr>
          <w:p w14:paraId="7BB0F31A">
            <w:pPr>
              <w:pStyle w:val="22"/>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sz="18" w:space="0"/>
              <w:bottom w:val="nil"/>
              <w:right w:val="single" w:color="FFFFFF" w:sz="18" w:space="0"/>
            </w:tcBorders>
            <w:shd w:val="clear" w:color="auto" w:fill="62B541"/>
            <w:vAlign w:val="center"/>
          </w:tcPr>
          <w:p w14:paraId="082E2169">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30" w:type="dxa"/>
            <w:tcBorders>
              <w:top w:val="nil"/>
              <w:left w:val="single" w:color="FFFFFF" w:sz="18" w:space="0"/>
              <w:bottom w:val="nil"/>
              <w:right w:val="single" w:color="FFFFFF" w:sz="18" w:space="0"/>
            </w:tcBorders>
            <w:shd w:val="clear" w:color="auto" w:fill="62B541"/>
            <w:vAlign w:val="center"/>
          </w:tcPr>
          <w:p w14:paraId="5D004189">
            <w:pPr>
              <w:pStyle w:val="22"/>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sz="18" w:space="0"/>
              <w:bottom w:val="nil"/>
            </w:tcBorders>
            <w:shd w:val="clear" w:color="auto" w:fill="62B541"/>
            <w:vAlign w:val="center"/>
          </w:tcPr>
          <w:p w14:paraId="1AA8CBC8">
            <w:pPr>
              <w:pStyle w:val="22"/>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14:paraId="737837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nil"/>
            </w:tcBorders>
            <w:shd w:val="clear" w:color="auto" w:fill="auto"/>
            <w:vAlign w:val="center"/>
          </w:tcPr>
          <w:p w14:paraId="0BC4FFB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37FE48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2857D93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75A984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3A076561">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op w:val="nil"/>
            </w:tcBorders>
            <w:shd w:val="clear" w:color="auto" w:fill="auto"/>
            <w:vAlign w:val="center"/>
          </w:tcPr>
          <w:p w14:paraId="1506C13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nil"/>
            </w:tcBorders>
            <w:shd w:val="clear" w:color="auto" w:fill="auto"/>
            <w:vAlign w:val="center"/>
          </w:tcPr>
          <w:p w14:paraId="2CEDC08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nil"/>
            </w:tcBorders>
            <w:shd w:val="clear" w:color="auto" w:fill="auto"/>
            <w:vAlign w:val="center"/>
          </w:tcPr>
          <w:p w14:paraId="76A00EF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nil"/>
            </w:tcBorders>
            <w:shd w:val="clear" w:color="auto" w:fill="auto"/>
            <w:vAlign w:val="center"/>
          </w:tcPr>
          <w:p w14:paraId="74D8C23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nil"/>
            </w:tcBorders>
            <w:shd w:val="clear" w:color="auto" w:fill="auto"/>
            <w:vAlign w:val="center"/>
          </w:tcPr>
          <w:p w14:paraId="3F10F02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nil"/>
            </w:tcBorders>
            <w:shd w:val="clear" w:color="auto" w:fill="auto"/>
            <w:vAlign w:val="center"/>
          </w:tcPr>
          <w:p w14:paraId="715A106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nil"/>
            </w:tcBorders>
            <w:shd w:val="clear" w:color="auto" w:fill="auto"/>
            <w:vAlign w:val="center"/>
          </w:tcPr>
          <w:p w14:paraId="27319A2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nil"/>
            </w:tcBorders>
            <w:shd w:val="clear" w:color="auto" w:fill="auto"/>
            <w:vAlign w:val="center"/>
          </w:tcPr>
          <w:p w14:paraId="78DB5E2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702AFCF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2FA5662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1E76D4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4312A65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211578E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0C60C8C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nil"/>
            </w:tcBorders>
            <w:shd w:val="clear" w:color="auto" w:fill="auto"/>
            <w:vAlign w:val="center"/>
          </w:tcPr>
          <w:p w14:paraId="7D32A0B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nil"/>
            </w:tcBorders>
            <w:shd w:val="clear" w:color="auto" w:fill="auto"/>
            <w:vAlign w:val="center"/>
          </w:tcPr>
          <w:p w14:paraId="6BAFA40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nil"/>
            </w:tcBorders>
            <w:shd w:val="clear" w:color="auto" w:fill="auto"/>
            <w:vAlign w:val="center"/>
          </w:tcPr>
          <w:p w14:paraId="6A2EE13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nil"/>
            </w:tcBorders>
            <w:shd w:val="clear" w:color="auto" w:fill="auto"/>
            <w:vAlign w:val="center"/>
          </w:tcPr>
          <w:p w14:paraId="3136249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0CFFC14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25AD74D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nil"/>
            </w:tcBorders>
            <w:shd w:val="clear" w:color="auto" w:fill="auto"/>
            <w:vAlign w:val="center"/>
          </w:tcPr>
          <w:p w14:paraId="4F4B376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nil"/>
            </w:tcBorders>
            <w:shd w:val="clear" w:color="auto" w:fill="auto"/>
            <w:vAlign w:val="center"/>
          </w:tcPr>
          <w:p w14:paraId="099499F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3CAA08F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1CFCC35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4A1412CF">
      <w:pPr>
        <w:rPr>
          <w:rFonts w:ascii="Times New Roman" w:hAnsi="Times New Roman" w:eastAsia="微软雅黑" w:cs="Times New Roman"/>
          <w:sz w:val="24"/>
          <w:szCs w:val="24"/>
          <w:lang w:eastAsia="zh-CN"/>
        </w:rPr>
      </w:pPr>
    </w:p>
    <w:p w14:paraId="6C4B5512">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3"/>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9"/>
        <w:gridCol w:w="1292"/>
        <w:gridCol w:w="1076"/>
        <w:gridCol w:w="2252"/>
        <w:gridCol w:w="2256"/>
      </w:tblGrid>
      <w:tr w14:paraId="679D09E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14:paraId="29D42808">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color w:val="FFFFFF" w:themeColor="background1"/>
                <w:sz w:val="21"/>
                <w:szCs w:val="21"/>
                <w14:textFill>
                  <w14:solidFill>
                    <w14:schemeClr w14:val="bg1"/>
                  </w14:solidFill>
                </w14:textFill>
              </w:rPr>
              <w:t>基因</w:t>
            </w:r>
          </w:p>
        </w:tc>
        <w:tc>
          <w:tcPr>
            <w:tcW w:w="895" w:type="pct"/>
            <w:tcBorders>
              <w:top w:val="nil"/>
              <w:left w:val="single" w:color="FFFFFF" w:sz="18" w:space="0"/>
              <w:bottom w:val="nil"/>
              <w:right w:val="single" w:color="FFFFFF" w:sz="18" w:space="0"/>
            </w:tcBorders>
            <w:shd w:val="clear" w:color="auto" w:fill="62B541"/>
            <w:vAlign w:val="center"/>
          </w:tcPr>
          <w:p w14:paraId="372674EA">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14:paraId="467CF1AC">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14:paraId="418256A2">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62B541"/>
            <w:vAlign w:val="center"/>
          </w:tcPr>
          <w:p w14:paraId="571181D4">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14:paraId="04B1E336">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1BF888F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3403FF7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41AFBCB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7F3FE33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4B88318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5F862EE9">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72B475CC">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7B441D1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22698C7F">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4E5DB44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E57EAA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C3C929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9D2407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F573AE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168B012E">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C93FEC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29B04C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740AA4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F55AB2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704D6D3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FDE4DD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1269025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70584A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55B5D95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0A7E33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24A8E81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9786C1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2C981B67">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1648CBA3">
      <w:pPr>
        <w:pStyle w:val="24"/>
        <w:numPr>
          <w:ilvl w:val="0"/>
          <w:numId w:val="11"/>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33E8DE78">
      <w:pPr>
        <w:pStyle w:val="24"/>
        <w:numPr>
          <w:ilvl w:val="0"/>
          <w:numId w:val="11"/>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25AFA59E">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5D1A502B">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0233DF48">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69048D0D">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4C81E1C3">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2D33F032">
      <w:pPr>
        <w:numPr>
          <w:ilvl w:val="0"/>
          <w:numId w:val="11"/>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3E8B9B92">
      <w:pPr>
        <w:numPr>
          <w:ilvl w:val="0"/>
          <w:numId w:val="11"/>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1672D2CF">
      <w:pPr>
        <w:rPr>
          <w:rFonts w:hint="default" w:ascii="Times New Roman" w:hAnsi="Times New Roman" w:cs="Times New Roman"/>
          <w:color w:val="auto"/>
          <w:sz w:val="24"/>
          <w:szCs w:val="24"/>
          <w:lang w:eastAsia="zh-CN"/>
        </w:rPr>
      </w:pPr>
      <w:r>
        <w:rPr>
          <w:rFonts w:hint="eastAsia" w:ascii="Times New Roman" w:hAnsi="Times New Roman" w:eastAsia="微软雅黑" w:cs="黑体"/>
          <w:b/>
          <w:bCs/>
          <w:sz w:val="30"/>
          <w:szCs w:val="30"/>
          <w:lang w:eastAsia="zh-CN"/>
        </w:rPr>
        <w:br w:type="page"/>
      </w:r>
      <w:bookmarkEnd w:id="70"/>
      <w:bookmarkEnd w:id="71"/>
      <w:bookmarkEnd w:id="72"/>
      <w:bookmarkEnd w:id="73"/>
      <w:bookmarkEnd w:id="74"/>
      <w:bookmarkEnd w:id="75"/>
      <w:bookmarkEnd w:id="76"/>
      <w:bookmarkEnd w:id="77"/>
      <w:bookmarkStart w:id="78" w:name="_Toc28239"/>
      <w:bookmarkStart w:id="79" w:name="_Toc149837260"/>
      <w:bookmarkStart w:id="80" w:name="_Toc31713"/>
      <w:bookmarkStart w:id="81" w:name="_Toc7307_WPSOffice_Level3"/>
      <w:r>
        <w:rPr>
          <w:rFonts w:hint="default"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 xml:space="preserve">2531 not in </w:t>
      </w:r>
      <w:r>
        <w:rPr>
          <w:rFonts w:hint="default" w:ascii="Times New Roman" w:hAnsi="Times New Roman" w:eastAsia="微软雅黑" w:cs="Times New Roman"/>
          <w:sz w:val="24"/>
          <w:szCs w:val="24"/>
          <w:lang w:eastAsia="zh-CN"/>
        </w:rPr>
        <w:t>diseaseIdList %}</w:t>
      </w:r>
    </w:p>
    <w:p w14:paraId="598AB5E7">
      <w:pPr>
        <w:pStyle w:val="3"/>
        <w:numPr>
          <w:ilvl w:val="255"/>
          <w:numId w:val="0"/>
        </w:numPr>
        <w:jc w:val="left"/>
        <w:rPr>
          <w:lang w:eastAsia="zh-CN"/>
        </w:rPr>
      </w:pPr>
      <w:r>
        <w:rPr>
          <w:rFonts w:hint="eastAsia"/>
          <w:color w:val="auto"/>
          <w:sz w:val="30"/>
          <w:lang w:eastAsia="zh-CN"/>
        </w:rPr>
        <w:t>本癌种FDA/NMPA获批的其他可选靶向药物</w:t>
      </w:r>
      <w:bookmarkEnd w:id="78"/>
      <w:bookmarkEnd w:id="79"/>
      <w:bookmarkEnd w:id="80"/>
    </w:p>
    <w:tbl>
      <w:tblPr>
        <w:tblStyle w:val="17"/>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3A630E5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3103592B">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60DD800C">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456D68F2">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463959A5">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71270E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A20C13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562F217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092F317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3F146F6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702AD8B3">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3C81FAC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137FB76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36C04BD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2107C474">
      <w:pPr>
        <w:rPr>
          <w:rFonts w:hint="eastAsia"/>
          <w:color w:val="auto"/>
          <w:sz w:val="30"/>
          <w:lang w:eastAsia="zh-CN"/>
        </w:rPr>
      </w:pPr>
      <w:r>
        <w:rPr>
          <w:rFonts w:ascii="微软雅黑" w:hAnsi="微软雅黑" w:eastAsia="微软雅黑" w:cs="微软雅黑"/>
          <w:i w:val="0"/>
          <w:iCs w:val="0"/>
          <w:caps w:val="0"/>
          <w:color w:val="auto"/>
          <w:spacing w:val="0"/>
          <w:sz w:val="18"/>
          <w:szCs w:val="18"/>
          <w:shd w:val="clear" w:fill="FFFFFF"/>
        </w:rPr>
        <w:t>注：本模块药物筛选原则为获批于本癌种，但不以基因突变为匹配原则的多靶点抑制剂、单抗类药物及激素类药物等，请结合受检者临床资料谨慎用药</w:t>
      </w:r>
      <w:r>
        <w:rPr>
          <w:rFonts w:hint="eastAsia" w:ascii="微软雅黑" w:hAnsi="微软雅黑" w:eastAsia="微软雅黑" w:cs="微软雅黑"/>
          <w:i w:val="0"/>
          <w:iCs w:val="0"/>
          <w:caps w:val="0"/>
          <w:color w:val="auto"/>
          <w:spacing w:val="0"/>
          <w:sz w:val="18"/>
          <w:szCs w:val="18"/>
          <w:shd w:val="clear" w:fill="FFFFFF"/>
          <w:lang w:eastAsia="zh-CN"/>
        </w:rPr>
        <w:t>。</w:t>
      </w:r>
      <w:r>
        <w:rPr>
          <w:rFonts w:hint="default" w:ascii="Times New Roman" w:hAnsi="Times New Roman" w:cs="Times New Roman"/>
          <w:sz w:val="24"/>
          <w:szCs w:val="24"/>
          <w:lang w:eastAsia="zh-CN"/>
        </w:rPr>
        <w:br w:type="page"/>
      </w:r>
      <w:bookmarkEnd w:id="81"/>
      <w:bookmarkStart w:id="82" w:name="_Toc149837261"/>
      <w:bookmarkStart w:id="83" w:name="_Toc15033"/>
      <w:bookmarkStart w:id="84" w:name="_Toc2404"/>
      <w:r>
        <w:rPr>
          <w:rFonts w:hint="eastAsia" w:ascii="Times New Roman" w:hAnsi="Times New Roman" w:eastAsia="微软雅黑" w:cs="Times New Roman"/>
          <w:sz w:val="24"/>
          <w:szCs w:val="24"/>
          <w:lang w:eastAsia="zh-CN"/>
        </w:rPr>
        <w:t>{% endif %}</w:t>
      </w:r>
    </w:p>
    <w:p w14:paraId="6F3BF4BE">
      <w:pPr>
        <w:pStyle w:val="3"/>
        <w:numPr>
          <w:ilvl w:val="255"/>
          <w:numId w:val="0"/>
        </w:numPr>
        <w:jc w:val="left"/>
      </w:pPr>
      <w:r>
        <w:rPr>
          <w:rFonts w:hint="eastAsia"/>
          <w:color w:val="auto"/>
          <w:sz w:val="30"/>
          <w:lang w:eastAsia="zh-CN"/>
        </w:rPr>
        <w:t>免疫药物用药提示</w:t>
      </w:r>
      <w:bookmarkEnd w:id="82"/>
      <w:bookmarkEnd w:id="83"/>
      <w:bookmarkEnd w:id="84"/>
    </w:p>
    <w:p w14:paraId="36F4E93D">
      <w:pPr>
        <w:spacing w:before="120" w:beforeLines="50" w:after="192" w:afterLines="8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免疫用药</w:t>
      </w:r>
      <w:r>
        <w:rPr>
          <w:rFonts w:ascii="Times New Roman" w:hAnsi="Times New Roman" w:eastAsia="微软雅黑" w:cs="Times New Roman"/>
          <w:b/>
          <w:sz w:val="24"/>
          <w:szCs w:val="24"/>
          <w:lang w:eastAsia="zh-CN"/>
        </w:rPr>
        <w:t>检测结果</w:t>
      </w:r>
    </w:p>
    <w:tbl>
      <w:tblPr>
        <w:tblStyle w:val="16"/>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6"/>
        <w:gridCol w:w="2623"/>
        <w:gridCol w:w="3445"/>
      </w:tblGrid>
      <w:tr w14:paraId="4D74F6B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3870" w:type="dxa"/>
            <w:gridSpan w:val="2"/>
            <w:tcBorders>
              <w:top w:val="nil"/>
              <w:bottom w:val="nil"/>
              <w:right w:val="single" w:color="FFFFFF" w:sz="18" w:space="0"/>
            </w:tcBorders>
            <w:shd w:val="clear" w:color="auto" w:fill="62B541"/>
            <w:vAlign w:val="center"/>
          </w:tcPr>
          <w:p w14:paraId="0162D9B6">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检出指标/基因</w:t>
            </w:r>
          </w:p>
        </w:tc>
        <w:tc>
          <w:tcPr>
            <w:tcW w:w="2623" w:type="dxa"/>
            <w:tcBorders>
              <w:top w:val="nil"/>
              <w:left w:val="single" w:color="FFFFFF" w:sz="18" w:space="0"/>
              <w:bottom w:val="nil"/>
              <w:right w:val="single" w:color="FFFFFF" w:sz="18" w:space="0"/>
            </w:tcBorders>
            <w:shd w:val="clear" w:color="auto" w:fill="62B541"/>
            <w:vAlign w:val="center"/>
          </w:tcPr>
          <w:p w14:paraId="245327B7">
            <w:pPr>
              <w:widowControl/>
              <w:snapToGrid w:val="0"/>
              <w:jc w:val="center"/>
              <w:textAlignment w:val="center"/>
              <w:rPr>
                <w:rFonts w:ascii="Times New Roman" w:hAnsi="Times New Roman" w:eastAsia="微软雅黑" w:cs="Times New Roman"/>
                <w:b/>
                <w:bCs/>
                <w:color w:val="FFFFFF"/>
                <w:sz w:val="21"/>
                <w:szCs w:val="21"/>
              </w:rPr>
            </w:pPr>
            <w:r>
              <w:rPr>
                <w:rStyle w:val="45"/>
                <w:rFonts w:hint="default" w:ascii="Times New Roman" w:hAnsi="Times New Roman" w:cs="Times New Roman"/>
                <w:lang w:eastAsia="zh-CN" w:bidi="ar"/>
              </w:rPr>
              <w:t>检测结果</w:t>
            </w:r>
          </w:p>
        </w:tc>
        <w:tc>
          <w:tcPr>
            <w:tcW w:w="3445" w:type="dxa"/>
            <w:tcBorders>
              <w:top w:val="nil"/>
              <w:left w:val="single" w:color="FFFFFF" w:sz="18" w:space="0"/>
              <w:bottom w:val="nil"/>
            </w:tcBorders>
            <w:shd w:val="clear" w:color="auto" w:fill="62B541"/>
            <w:vAlign w:val="center"/>
          </w:tcPr>
          <w:p w14:paraId="6371836C">
            <w:pPr>
              <w:widowControl/>
              <w:snapToGrid w:val="0"/>
              <w:jc w:val="center"/>
              <w:textAlignment w:val="center"/>
              <w:rPr>
                <w:rFonts w:ascii="Times New Roman" w:hAnsi="Times New Roman" w:eastAsia="微软雅黑" w:cs="Times New Roman"/>
                <w:b/>
                <w:bCs/>
                <w:color w:val="FFFFFF"/>
                <w:sz w:val="21"/>
                <w:szCs w:val="21"/>
              </w:rPr>
            </w:pPr>
            <w:r>
              <w:rPr>
                <w:rStyle w:val="45"/>
                <w:rFonts w:hint="default" w:ascii="Times New Roman" w:hAnsi="Times New Roman" w:cs="Times New Roman"/>
                <w:lang w:eastAsia="zh-CN" w:bidi="ar"/>
              </w:rPr>
              <w:t>检测意义</w:t>
            </w:r>
          </w:p>
        </w:tc>
      </w:tr>
      <w:tr w14:paraId="054CBCB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134" w:hRule="atLeast"/>
        </w:trPr>
        <w:tc>
          <w:tcPr>
            <w:tcW w:w="3870" w:type="dxa"/>
            <w:gridSpan w:val="2"/>
            <w:shd w:val="clear" w:color="auto" w:fill="auto"/>
            <w:vAlign w:val="center"/>
          </w:tcPr>
          <w:p w14:paraId="36CC2F53">
            <w:pPr>
              <w:widowControl/>
              <w:snapToGrid w:val="0"/>
              <w:jc w:val="center"/>
              <w:textAlignment w:val="center"/>
              <w:rPr>
                <w:rFonts w:ascii="Times New Roman" w:hAnsi="Times New Roman" w:eastAsia="微软雅黑" w:cs="Times New Roman"/>
                <w:b/>
                <w:bCs/>
                <w:color w:val="000000"/>
                <w:sz w:val="21"/>
                <w:szCs w:val="21"/>
                <w:lang w:eastAsia="zh-CN"/>
              </w:rPr>
            </w:pPr>
            <w:r>
              <w:rPr>
                <w:rStyle w:val="48"/>
                <w:rFonts w:hint="default" w:ascii="Times New Roman" w:hAnsi="Times New Roman" w:cs="Times New Roman"/>
                <w:lang w:eastAsia="zh-CN" w:bidi="ar"/>
              </w:rPr>
              <w:t>微卫星不稳定（</w:t>
            </w:r>
            <w:r>
              <w:rPr>
                <w:rStyle w:val="46"/>
                <w:rFonts w:eastAsia="微软雅黑"/>
                <w:lang w:eastAsia="zh-CN" w:bidi="ar"/>
              </w:rPr>
              <w:t>MSI</w:t>
            </w:r>
            <w:r>
              <w:rPr>
                <w:rStyle w:val="48"/>
                <w:rFonts w:hint="default" w:ascii="Times New Roman" w:hAnsi="Times New Roman" w:cs="Times New Roman"/>
                <w:lang w:eastAsia="zh-CN" w:bidi="ar"/>
              </w:rPr>
              <w:t>）</w:t>
            </w:r>
          </w:p>
        </w:tc>
        <w:tc>
          <w:tcPr>
            <w:tcW w:w="2623" w:type="dxa"/>
            <w:shd w:val="clear" w:color="auto" w:fill="auto"/>
            <w:vAlign w:val="center"/>
          </w:tcPr>
          <w:p w14:paraId="39A55CDF">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45" w:type="dxa"/>
            <w:shd w:val="clear" w:color="auto" w:fill="auto"/>
            <w:vAlign w:val="center"/>
          </w:tcPr>
          <w:p w14:paraId="246EE766">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7"/>
                <w:rFonts w:hint="default" w:ascii="Times New Roman" w:hAnsi="Times New Roman" w:cs="Times New Roman"/>
                <w:lang w:eastAsia="zh-CN" w:bidi="ar"/>
              </w:rPr>
              <w:t>微卫星不稳定型（</w:t>
            </w:r>
            <w:r>
              <w:rPr>
                <w:rStyle w:val="49"/>
                <w:rFonts w:eastAsia="微软雅黑"/>
                <w:lang w:eastAsia="zh-CN" w:bidi="ar"/>
              </w:rPr>
              <w:t>MSI-H</w:t>
            </w:r>
            <w:r>
              <w:rPr>
                <w:rStyle w:val="47"/>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3285C1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restart"/>
            <w:shd w:val="clear" w:color="auto" w:fill="auto"/>
            <w:vAlign w:val="center"/>
          </w:tcPr>
          <w:p w14:paraId="44ECA627">
            <w:pPr>
              <w:widowControl/>
              <w:snapToGrid w:val="0"/>
              <w:jc w:val="center"/>
              <w:textAlignment w:val="center"/>
              <w:rPr>
                <w:rStyle w:val="48"/>
                <w:rFonts w:hint="default" w:ascii="Times New Roman" w:hAnsi="Times New Roman" w:cs="Times New Roman"/>
                <w:lang w:eastAsia="zh-CN" w:bidi="ar"/>
              </w:rPr>
            </w:pPr>
            <w:r>
              <w:rPr>
                <w:rStyle w:val="48"/>
                <w:rFonts w:hint="default" w:ascii="Times New Roman" w:hAnsi="Times New Roman" w:cs="Times New Roman"/>
                <w:lang w:eastAsia="zh-CN" w:bidi="ar"/>
              </w:rPr>
              <w:t>错配修复（</w:t>
            </w:r>
            <w:r>
              <w:rPr>
                <w:rStyle w:val="46"/>
                <w:rFonts w:eastAsia="微软雅黑"/>
                <w:lang w:eastAsia="zh-CN" w:bidi="ar"/>
              </w:rPr>
              <w:t>MMR</w:t>
            </w:r>
            <w:r>
              <w:rPr>
                <w:rStyle w:val="48"/>
                <w:rFonts w:hint="default" w:ascii="Times New Roman" w:hAnsi="Times New Roman" w:cs="Times New Roman"/>
                <w:lang w:eastAsia="zh-CN" w:bidi="ar"/>
              </w:rPr>
              <w:t>）</w:t>
            </w:r>
          </w:p>
          <w:p w14:paraId="5DBF55BD">
            <w:pPr>
              <w:widowControl/>
              <w:snapToGrid w:val="0"/>
              <w:jc w:val="center"/>
              <w:textAlignment w:val="center"/>
              <w:rPr>
                <w:rFonts w:ascii="Times New Roman" w:hAnsi="Times New Roman" w:eastAsia="微软雅黑" w:cs="Times New Roman"/>
                <w:b/>
                <w:bCs/>
                <w:color w:val="000000"/>
                <w:sz w:val="21"/>
                <w:szCs w:val="21"/>
                <w:lang w:eastAsia="zh-CN"/>
              </w:rPr>
            </w:pPr>
            <w:r>
              <w:rPr>
                <w:rStyle w:val="48"/>
                <w:rFonts w:hint="default" w:ascii="Times New Roman" w:hAnsi="Times New Roman" w:cs="Times New Roman"/>
                <w:lang w:eastAsia="zh-CN" w:bidi="ar"/>
              </w:rPr>
              <w:t>基因</w:t>
            </w:r>
          </w:p>
        </w:tc>
        <w:tc>
          <w:tcPr>
            <w:tcW w:w="2436" w:type="dxa"/>
            <w:shd w:val="clear" w:color="auto" w:fill="auto"/>
            <w:vAlign w:val="center"/>
          </w:tcPr>
          <w:p w14:paraId="1B48E36C">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MLH1</w:t>
            </w:r>
            <w:r>
              <w:rPr>
                <w:rStyle w:val="49"/>
                <w:rFonts w:hint="eastAsia" w:eastAsia="微软雅黑"/>
                <w:lang w:eastAsia="zh-CN" w:bidi="ar"/>
              </w:rPr>
              <w:t>失活突变</w:t>
            </w:r>
          </w:p>
        </w:tc>
        <w:tc>
          <w:tcPr>
            <w:tcW w:w="2623" w:type="dxa"/>
            <w:shd w:val="clear" w:color="auto" w:fill="auto"/>
            <w:vAlign w:val="center"/>
          </w:tcPr>
          <w:p w14:paraId="0D145BD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14:paraId="739EFB8F">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restart"/>
            <w:shd w:val="clear" w:color="auto" w:fill="auto"/>
            <w:vAlign w:val="center"/>
          </w:tcPr>
          <w:p w14:paraId="60D6F2CB">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14:paraId="222C54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5DBF23E3">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422D3315">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MSH2</w:t>
            </w:r>
            <w:r>
              <w:rPr>
                <w:rStyle w:val="49"/>
                <w:rFonts w:hint="eastAsia" w:eastAsia="微软雅黑"/>
                <w:lang w:eastAsia="zh-CN" w:bidi="ar"/>
              </w:rPr>
              <w:t>失活突变</w:t>
            </w:r>
          </w:p>
        </w:tc>
        <w:tc>
          <w:tcPr>
            <w:tcW w:w="2623" w:type="dxa"/>
            <w:shd w:val="clear" w:color="auto" w:fill="auto"/>
            <w:vAlign w:val="center"/>
          </w:tcPr>
          <w:p w14:paraId="2507CE0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9"/>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14:paraId="4E0A6153">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7EB0C305">
            <w:pPr>
              <w:snapToGrid w:val="0"/>
              <w:jc w:val="both"/>
              <w:rPr>
                <w:rFonts w:ascii="Times New Roman" w:hAnsi="Times New Roman" w:eastAsia="微软雅黑" w:cs="Times New Roman"/>
                <w:color w:val="000000"/>
                <w:sz w:val="21"/>
                <w:szCs w:val="21"/>
              </w:rPr>
            </w:pPr>
          </w:p>
        </w:tc>
      </w:tr>
      <w:tr w14:paraId="3409BB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1458BFD0">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3E39F08A">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MSH6</w:t>
            </w:r>
            <w:r>
              <w:rPr>
                <w:rStyle w:val="49"/>
                <w:rFonts w:hint="eastAsia" w:eastAsia="微软雅黑"/>
                <w:lang w:eastAsia="zh-CN" w:bidi="ar"/>
              </w:rPr>
              <w:t>失活突变</w:t>
            </w:r>
          </w:p>
        </w:tc>
        <w:tc>
          <w:tcPr>
            <w:tcW w:w="2623" w:type="dxa"/>
            <w:shd w:val="clear" w:color="auto" w:fill="auto"/>
            <w:vAlign w:val="center"/>
          </w:tcPr>
          <w:p w14:paraId="1A5074A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9"/>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14:paraId="23298A6C">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74F30E73">
            <w:pPr>
              <w:snapToGrid w:val="0"/>
              <w:jc w:val="both"/>
              <w:rPr>
                <w:rFonts w:ascii="Times New Roman" w:hAnsi="Times New Roman" w:eastAsia="微软雅黑" w:cs="Times New Roman"/>
                <w:color w:val="000000"/>
                <w:sz w:val="21"/>
                <w:szCs w:val="21"/>
              </w:rPr>
            </w:pPr>
          </w:p>
        </w:tc>
      </w:tr>
      <w:tr w14:paraId="76964E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1434" w:type="dxa"/>
            <w:vMerge w:val="continue"/>
            <w:shd w:val="clear" w:color="auto" w:fill="auto"/>
            <w:vAlign w:val="center"/>
          </w:tcPr>
          <w:p w14:paraId="78130610">
            <w:pPr>
              <w:snapToGrid w:val="0"/>
              <w:jc w:val="center"/>
              <w:rPr>
                <w:rFonts w:ascii="Times New Roman" w:hAnsi="Times New Roman" w:eastAsia="微软雅黑" w:cs="Times New Roman"/>
                <w:b/>
                <w:bCs/>
                <w:color w:val="000000"/>
                <w:sz w:val="21"/>
                <w:szCs w:val="21"/>
              </w:rPr>
            </w:pPr>
          </w:p>
        </w:tc>
        <w:tc>
          <w:tcPr>
            <w:tcW w:w="2436" w:type="dxa"/>
            <w:shd w:val="clear" w:color="auto" w:fill="auto"/>
            <w:vAlign w:val="center"/>
          </w:tcPr>
          <w:p w14:paraId="22F72359">
            <w:pPr>
              <w:widowControl/>
              <w:snapToGrid w:val="0"/>
              <w:textAlignment w:val="center"/>
              <w:rPr>
                <w:rFonts w:ascii="Times New Roman" w:hAnsi="Times New Roman" w:eastAsia="微软雅黑" w:cs="Times New Roman"/>
                <w:color w:val="000000"/>
                <w:sz w:val="21"/>
                <w:szCs w:val="21"/>
              </w:rPr>
            </w:pPr>
            <w:r>
              <w:rPr>
                <w:rStyle w:val="49"/>
                <w:rFonts w:eastAsia="微软雅黑"/>
                <w:lang w:eastAsia="zh-CN" w:bidi="ar"/>
              </w:rPr>
              <w:t>PMS2</w:t>
            </w:r>
            <w:r>
              <w:rPr>
                <w:rStyle w:val="49"/>
                <w:rFonts w:hint="eastAsia" w:eastAsia="微软雅黑"/>
                <w:lang w:eastAsia="zh-CN" w:bidi="ar"/>
              </w:rPr>
              <w:t>失活突变</w:t>
            </w:r>
          </w:p>
        </w:tc>
        <w:tc>
          <w:tcPr>
            <w:tcW w:w="2623" w:type="dxa"/>
            <w:shd w:val="clear" w:color="auto" w:fill="auto"/>
            <w:vAlign w:val="center"/>
          </w:tcPr>
          <w:p w14:paraId="4FC25AB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49"/>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14:paraId="05A79744">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shd w:val="clear" w:color="auto" w:fill="auto"/>
            <w:vAlign w:val="center"/>
          </w:tcPr>
          <w:p w14:paraId="72B68241">
            <w:pPr>
              <w:snapToGrid w:val="0"/>
              <w:jc w:val="both"/>
              <w:rPr>
                <w:rFonts w:ascii="Times New Roman" w:hAnsi="Times New Roman" w:eastAsia="微软雅黑" w:cs="Times New Roman"/>
                <w:color w:val="000000"/>
                <w:sz w:val="21"/>
                <w:szCs w:val="21"/>
              </w:rPr>
            </w:pPr>
          </w:p>
        </w:tc>
      </w:tr>
    </w:tbl>
    <w:p w14:paraId="0FAAA50A">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1C32246C">
      <w:pPr>
        <w:pStyle w:val="8"/>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0986DAC7">
      <w:pPr>
        <w:pStyle w:val="8"/>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6FFF4054">
      <w:pPr>
        <w:pStyle w:val="8"/>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5C154B6C">
      <w:pPr>
        <w:pStyle w:val="8"/>
        <w:numPr>
          <w:ilvl w:val="0"/>
          <w:numId w:val="12"/>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“-”表示本次检测未发现相关变异。</w:t>
      </w:r>
    </w:p>
    <w:p w14:paraId="0BFC6F65">
      <w:pPr>
        <w:rPr>
          <w:rFonts w:hint="eastAsia" w:ascii="Times New Roman" w:hAnsi="Times New Roman" w:eastAsia="微软雅黑" w:cs="Times New Roman"/>
          <w:bCs/>
          <w:sz w:val="24"/>
          <w:szCs w:val="24"/>
          <w:lang w:eastAsia="zh-CN"/>
        </w:rPr>
      </w:pPr>
      <w:r>
        <w:rPr>
          <w:rFonts w:hint="eastAsia" w:ascii="Times New Roman" w:hAnsi="Times New Roman" w:eastAsia="微软雅黑" w:cs="Times New Roman"/>
          <w:bCs/>
          <w:sz w:val="24"/>
          <w:szCs w:val="24"/>
          <w:lang w:eastAsia="zh-CN"/>
        </w:rPr>
        <w:br w:type="page"/>
      </w:r>
    </w:p>
    <w:p w14:paraId="6AD13345">
      <w:pPr>
        <w:rPr>
          <w:sz w:val="30"/>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323B808F">
      <w:pPr>
        <w:pStyle w:val="3"/>
        <w:numPr>
          <w:ilvl w:val="255"/>
          <w:numId w:val="0"/>
        </w:numPr>
        <w:jc w:val="left"/>
        <w:rPr>
          <w:color w:val="auto"/>
          <w:sz w:val="30"/>
          <w:lang w:eastAsia="zh-CN"/>
        </w:rPr>
      </w:pPr>
      <w:bookmarkStart w:id="85" w:name="_Toc28063"/>
      <w:bookmarkStart w:id="86" w:name="_Toc149837262"/>
      <w:bookmarkStart w:id="87" w:name="_Toc20454"/>
      <w:r>
        <w:rPr>
          <w:rFonts w:hint="eastAsia"/>
          <w:color w:val="auto"/>
          <w:sz w:val="30"/>
          <w:lang w:eastAsia="zh-CN"/>
        </w:rPr>
        <w:t>PD-L1检测结果</w:t>
      </w:r>
      <w:bookmarkEnd w:id="85"/>
      <w:bookmarkEnd w:id="86"/>
      <w:bookmarkEnd w:id="87"/>
    </w:p>
    <w:p w14:paraId="63C0D397">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7"/>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50E18421">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7ED715FD">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7393A083">
            <w:pPr>
              <w:pStyle w:val="42"/>
            </w:pPr>
            <w:r>
              <w:rPr>
                <w:rFonts w:hint="eastAsia"/>
              </w:rPr>
              <w:t>{{</w:t>
            </w:r>
            <w:r>
              <w:t xml:space="preserve"> PDInfo</w:t>
            </w:r>
            <w:r>
              <w:rPr>
                <w:rFonts w:hint="eastAsia"/>
              </w:rPr>
              <w:t>.</w:t>
            </w:r>
            <w:r>
              <w:t>Tumor_cell_count</w:t>
            </w:r>
            <w:r>
              <w:rPr>
                <w:rFonts w:hint="eastAsia"/>
              </w:rPr>
              <w:t xml:space="preserve"> }}</w:t>
            </w:r>
          </w:p>
        </w:tc>
      </w:tr>
      <w:tr w14:paraId="16146FE1">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668565CE">
            <w:pPr>
              <w:pStyle w:val="43"/>
            </w:pPr>
            <w:r>
              <w:t>镜下描述：</w:t>
            </w:r>
            <w:r>
              <w:rPr>
                <w:rFonts w:hint="eastAsia"/>
              </w:rPr>
              <w:t>{{</w:t>
            </w:r>
            <w:r>
              <w:t xml:space="preserve"> PDInfo</w:t>
            </w:r>
            <w:r>
              <w:rPr>
                <w:rFonts w:hint="eastAsia"/>
              </w:rPr>
              <w:t>.</w:t>
            </w:r>
            <w:r>
              <w:t>Seen_microscopically</w:t>
            </w:r>
            <w:r>
              <w:rPr>
                <w:rFonts w:hint="eastAsia"/>
              </w:rPr>
              <w:t xml:space="preserve"> }}</w:t>
            </w:r>
          </w:p>
        </w:tc>
      </w:tr>
    </w:tbl>
    <w:p w14:paraId="50BB2265">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4AF3E228">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7047BD68">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09AFB087">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6"/>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1CE2898A">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7B28BCF7">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138E4E37">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1D5C4E54">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3989CDAD">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25A6A083">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4C9FCAB2">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193AAF47">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5E148963">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7B2A83E2">
            <w:pPr>
              <w:pStyle w:val="44"/>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539255F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4F9420F8">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62154E7">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2BE9E4D1">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109BB4E4">
            <w:pPr>
              <w:pStyle w:val="44"/>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1A3917EF">
      <w:pPr>
        <w:spacing w:line="276" w:lineRule="auto"/>
        <w:ind w:right="449" w:rightChars="204"/>
        <w:rPr>
          <w:rFonts w:ascii="微软雅黑" w:hAnsi="微软雅黑" w:eastAsia="微软雅黑" w:cs="微软雅黑"/>
          <w:b/>
          <w:color w:val="000000"/>
          <w:sz w:val="18"/>
          <w:szCs w:val="18"/>
        </w:rPr>
      </w:pPr>
    </w:p>
    <w:p w14:paraId="22809301">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69D7ED64">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6CC22B7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4B3919A5">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13C024D7">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541E1D07">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30EE795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274F9B9">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6CFBA679">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56DB73BC">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6DA4B188">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7"/>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30D8577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2D89C2C7">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333A42B7">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0E775792">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1C17F74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DD22FF5">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58E18162">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4045CD4A">
            <w:pPr>
              <w:spacing w:line="276" w:lineRule="auto"/>
              <w:jc w:val="left"/>
              <w:rPr>
                <w:rFonts w:ascii="Times New Roman" w:hAnsi="Times New Roman" w:eastAsia="微软雅黑" w:cs="Times New Roman"/>
                <w:sz w:val="18"/>
                <w:szCs w:val="18"/>
                <w:shd w:val="clear" w:color="auto" w:fill="FFFFFF"/>
                <w:lang w:eastAsia="zh-CN"/>
              </w:rPr>
            </w:pPr>
          </w:p>
        </w:tc>
      </w:tr>
      <w:tr w14:paraId="18C8B88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00C24BCC">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38E779AE">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02614096">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35A5C03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0FC10401">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381F908F">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4282CAA6">
            <w:pPr>
              <w:spacing w:line="276" w:lineRule="auto"/>
              <w:jc w:val="left"/>
              <w:rPr>
                <w:rFonts w:ascii="Times New Roman" w:hAnsi="Times New Roman" w:eastAsia="微软雅黑" w:cs="Times New Roman"/>
                <w:sz w:val="18"/>
                <w:szCs w:val="18"/>
                <w:shd w:val="clear" w:color="auto" w:fill="FFFFFF"/>
                <w:lang w:eastAsia="zh-CN"/>
              </w:rPr>
            </w:pPr>
          </w:p>
        </w:tc>
      </w:tr>
    </w:tbl>
    <w:p w14:paraId="79933233">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2A0E679E">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4D1108CF">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3062AB3A">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73029C83">
      <w:pPr>
        <w:pStyle w:val="8"/>
        <w:spacing w:before="18"/>
        <w:rPr>
          <w:b/>
          <w:sz w:val="6"/>
        </w:rPr>
      </w:pPr>
    </w:p>
    <w:tbl>
      <w:tblPr>
        <w:tblStyle w:val="16"/>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F9A761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53147D8A">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40EBDE60">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4C81D986">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6C5D3AF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52FDBED2">
            <w:pPr>
              <w:pStyle w:val="22"/>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4632CD95">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6FE21D52">
            <w:pPr>
              <w:pStyle w:val="22"/>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5CD15C09">
            <w:pPr>
              <w:pStyle w:val="22"/>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332DD244">
            <w:pPr>
              <w:pStyle w:val="22"/>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2B876A44">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1044D5C5">
            <w:pPr>
              <w:pStyle w:val="22"/>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4E418C5D">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08A89900">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09DC1BDF">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for ia in immuneAll %}</w:t>
      </w:r>
    </w:p>
    <w:tbl>
      <w:tblPr>
        <w:tblStyle w:val="16"/>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2DD8101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62BC41"/>
            <w:vAlign w:val="center"/>
          </w:tcPr>
          <w:p w14:paraId="1F5A73F7">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62BC41"/>
            <w:vAlign w:val="center"/>
          </w:tcPr>
          <w:p w14:paraId="28E0DAB9">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FFFFFF"/>
                <w:lang w:eastAsia="zh-CN"/>
              </w:rPr>
              <w:t>{% hm %}</w:t>
            </w:r>
            <w:r>
              <w:rPr>
                <w:rFonts w:ascii="Times New Roman" w:hAnsi="Times New Roman" w:eastAsia="微软雅黑" w:cs="Times New Roman"/>
                <w:b/>
                <w:color w:val="FFFFFF"/>
                <w:lang w:eastAsia="zh-CN"/>
              </w:rPr>
              <w:t>目前各癌种已批准的免疫治疗药物</w:t>
            </w:r>
          </w:p>
        </w:tc>
        <w:tc>
          <w:tcPr>
            <w:tcW w:w="3061" w:type="dxa"/>
            <w:tcBorders>
              <w:tl2br w:val="nil"/>
              <w:tr2bl w:val="nil"/>
            </w:tcBorders>
            <w:shd w:val="clear" w:color="auto" w:fill="62BC41"/>
            <w:vAlign w:val="center"/>
          </w:tcPr>
          <w:p w14:paraId="474C09DA">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5A39D1D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2584F230">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6161A462">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2E5DE62A">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4C7AB620">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62BC41"/>
            <w:vAlign w:val="center"/>
          </w:tcPr>
          <w:p w14:paraId="0B04D199">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62BC41"/>
            <w:vAlign w:val="center"/>
          </w:tcPr>
          <w:p w14:paraId="509803D5">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 for i in immune[key] | nl() %}{%if loop.last%}{{ i }}{%else%}{{ i }}</w:t>
            </w:r>
          </w:p>
          <w:p w14:paraId="4F34DE14">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62BC41"/>
            <w:vAlign w:val="center"/>
          </w:tcPr>
          <w:p w14:paraId="73D8D929">
            <w:pPr>
              <w:spacing w:line="240" w:lineRule="exact"/>
              <w:ind w:left="8"/>
              <w:jc w:val="center"/>
              <w:rPr>
                <w:rFonts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{%tc endfor %}</w:t>
            </w:r>
          </w:p>
        </w:tc>
      </w:tr>
      <w:tr w14:paraId="3B555B4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088B2CF7">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1CC9997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30126DAF">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6152A36B">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14:paraId="24376E40">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347B8F27">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14:paraId="0F5C911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7F116F7B">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14:paraId="6D935B4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08246B90">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34BACDD5">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4A838DC2">
      <w:pP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w:t>
      </w:r>
      <w:r>
        <w:rPr>
          <w:rFonts w:hint="eastAsia" w:ascii="Times New Roman" w:hAnsi="Times New Roman" w:eastAsia="微软雅黑" w:cs="Times New Roman"/>
          <w:sz w:val="24"/>
          <w:szCs w:val="24"/>
          <w:lang w:val="en-US" w:eastAsia="zh-CN"/>
        </w:rPr>
        <w:t>for</w:t>
      </w:r>
      <w:r>
        <w:rPr>
          <w:rFonts w:hint="eastAsia" w:ascii="Times New Roman" w:hAnsi="Times New Roman" w:eastAsia="微软雅黑" w:cs="Times New Roman"/>
          <w:sz w:val="24"/>
          <w:szCs w:val="24"/>
          <w:lang w:eastAsia="zh-CN"/>
        </w:rPr>
        <w:t xml:space="preserve"> %}</w:t>
      </w:r>
    </w:p>
    <w:p w14:paraId="455CDB66">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88" w:name="_Toc4331_WPSOffice_Level1"/>
      <w:bookmarkStart w:id="89" w:name="_Toc23846_WPSOffice_Level1"/>
      <w:bookmarkStart w:id="90" w:name="_Toc23903"/>
      <w:bookmarkStart w:id="91" w:name="_Toc32443_WPSOffice_Level1"/>
      <w:bookmarkStart w:id="92" w:name="_Toc149837263"/>
      <w:bookmarkStart w:id="93" w:name="_Toc30705"/>
      <w:bookmarkStart w:id="94" w:name="_Toc2289"/>
      <w:bookmarkStart w:id="95" w:name="_Toc180"/>
      <w:bookmarkStart w:id="96" w:name="_Toc25727"/>
      <w:bookmarkStart w:id="97" w:name="_Toc32468"/>
      <w:bookmarkStart w:id="98" w:name="_Toc20694"/>
      <w:bookmarkStart w:id="99" w:name="_Toc29383"/>
      <w:bookmarkStart w:id="100" w:name="_Toc6784"/>
      <w:bookmarkStart w:id="101" w:name="_Toc26395"/>
      <w:r>
        <w:rPr>
          <w:color w:val="62B541"/>
          <w:sz w:val="32"/>
          <w14:shadow w14:blurRad="50800" w14:dist="38100" w14:dir="10800000" w14:sx="100000" w14:sy="100000" w14:kx="0" w14:ky="0" w14:algn="r">
            <w14:srgbClr w14:val="62B541">
              <w14:alpha w14:val="60000"/>
            </w14:srgbClr>
          </w14:shadow>
        </w:rPr>
        <w:t>基因检测结果解析</w:t>
      </w:r>
      <w:bookmarkEnd w:id="88"/>
      <w:bookmarkEnd w:id="89"/>
      <w:bookmarkEnd w:id="90"/>
      <w:bookmarkEnd w:id="91"/>
      <w:bookmarkEnd w:id="92"/>
      <w:bookmarkEnd w:id="93"/>
      <w:bookmarkEnd w:id="94"/>
      <w:bookmarkEnd w:id="95"/>
      <w:bookmarkEnd w:id="96"/>
    </w:p>
    <w:p w14:paraId="312E5EB8">
      <w:pP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{%if BodyDrugDrugDetectionStr or unknownVarAnalysisStr %}</w:t>
      </w:r>
    </w:p>
    <w:p w14:paraId="0EB65DE7">
      <w:pPr>
        <w:pStyle w:val="3"/>
        <w:numPr>
          <w:ilvl w:val="255"/>
          <w:numId w:val="0"/>
        </w:numPr>
        <w:jc w:val="left"/>
        <w:rPr>
          <w:rFonts w:hint="eastAsia"/>
          <w:color w:val="auto"/>
          <w:sz w:val="30"/>
          <w:lang w:eastAsia="zh-CN"/>
        </w:rPr>
      </w:pPr>
      <w:bookmarkStart w:id="102" w:name="_Toc27407"/>
      <w:bookmarkStart w:id="103" w:name="_Toc23606"/>
      <w:bookmarkStart w:id="104" w:name="_Toc28062"/>
      <w:bookmarkStart w:id="105" w:name="_Toc32302"/>
      <w:bookmarkStart w:id="106" w:name="_Toc32443_WPSOffice_Level2"/>
      <w:bookmarkStart w:id="107" w:name="_Toc4331_WPSOffice_Level2"/>
      <w:bookmarkStart w:id="108" w:name="_Toc149837264"/>
      <w:r>
        <w:rPr>
          <w:rFonts w:hint="eastAsia"/>
          <w:color w:val="auto"/>
          <w:sz w:val="30"/>
          <w:lang w:eastAsia="zh-CN"/>
        </w:rPr>
        <w:t>体细胞变异结果解析</w:t>
      </w:r>
      <w:bookmarkEnd w:id="102"/>
      <w:bookmarkEnd w:id="103"/>
      <w:bookmarkEnd w:id="104"/>
      <w:bookmarkEnd w:id="105"/>
      <w:bookmarkEnd w:id="106"/>
      <w:bookmarkEnd w:id="107"/>
    </w:p>
    <w:p w14:paraId="4F86DB94">
      <w:pPr>
        <w:numPr>
          <w:ilvl w:val="255"/>
          <w:numId w:val="0"/>
        </w:numPr>
        <w:jc w:val="left"/>
        <w:outlineLvl w:val="9"/>
        <w:rPr>
          <w:rFonts w:hint="eastAsia" w:ascii="Times New Roman" w:hAnsi="Times New Roman"/>
          <w:color w:val="auto"/>
          <w:sz w:val="30"/>
          <w:lang w:eastAsia="zh-CN"/>
        </w:rPr>
      </w:pPr>
      <w:r>
        <w:rPr>
          <w:rFonts w:hint="eastAsia" w:ascii="Times New Roman" w:hAnsi="Times New Roman" w:eastAsia="微软雅黑" w:cs="Times New Roman"/>
          <w:b/>
          <w:bCs w:val="0"/>
          <w:color w:val="auto"/>
          <w:sz w:val="24"/>
          <w:szCs w:val="24"/>
          <w:lang w:val="en-US" w:eastAsia="zh-CN" w:bidi="ar-SA"/>
        </w:rPr>
        <w:t>{% for tdd in BodyDrugNoComplexStr %}</w:t>
      </w:r>
      <w:bookmarkEnd w:id="108"/>
    </w:p>
    <w:p w14:paraId="68AB126D">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61A11A6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378C498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2FEC7EC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3440A3F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6DECC01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0F7BFDD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6EB4AC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E4B5624">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7C335B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FFB0CA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DF76E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D1FDC5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F43B6C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F4F68B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FF7196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8E8FAC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6920C7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21F2AA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2BB459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C26A04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CF7504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191F3F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F6E109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2D11158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5943A9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FE96F2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FA727A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28D59E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CC731A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51264C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2DD001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B46FDC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1938BC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5A6CB40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E6BC9E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3624EB3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BB1FAD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E60D76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0133C8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0C53A2D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5CD05AE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0DB1E8A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64108185">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6BD6E431">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378320F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7B7E802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39BD8D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4668567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0D682FB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25ADE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E92320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34245D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CD06D22">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4FFD88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23798D3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AC36F5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ACB4B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32119DD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B1612B8">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0A47870">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530A0F8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F81123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1C72D2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7ED40A8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5EC5A6C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EC4CE6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062B5D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01BBA62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42C4331">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BB5464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033EF87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614AB0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96C511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5CAC8F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FE40BC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37FE07FC">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403E26F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1C1E6B5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100947C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7B1BEB2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1DE65FF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43FAAFA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3FC85BB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521B3B8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09723A9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09BAF0E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69BC4D6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324724B">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638BC3A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68A8C5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239FD9F1">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22573727">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45A9358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742F5F4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05CD084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5024E844">
      <w:pPr>
        <w:pStyle w:val="27"/>
        <w:rPr>
          <w:color w:val="auto"/>
        </w:rPr>
      </w:pPr>
      <w:r>
        <w:rPr>
          <w:rFonts w:hint="eastAsia"/>
          <w:color w:val="auto"/>
        </w:rPr>
        <w:t>{% endif %}{% endfor %}{% for vus in unknownVarAnalysisStr %}</w:t>
      </w:r>
    </w:p>
    <w:p w14:paraId="46E73E6F">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6"/>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5C79F29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329" w:hRule="atLeast"/>
        </w:trPr>
        <w:tc>
          <w:tcPr>
            <w:tcW w:w="1843" w:type="dxa"/>
            <w:tcBorders>
              <w:top w:val="nil"/>
              <w:left w:val="nil"/>
              <w:bottom w:val="single" w:color="FFFFFF" w:sz="18" w:space="0"/>
              <w:right w:val="nil"/>
            </w:tcBorders>
            <w:shd w:val="clear" w:color="auto" w:fill="62B541"/>
            <w:vAlign w:val="center"/>
          </w:tcPr>
          <w:p w14:paraId="3926EBA1">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4C2D2CE2">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715081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3C252D62">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0FF27969">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02553CE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76393E8E">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5AA0CD22">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4ED391F8">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2A26D0E1">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w:t>
      </w:r>
      <w:r>
        <w:rPr>
          <w:rFonts w:hint="eastAsia" w:ascii="Times New Roman" w:hAnsi="Times New Roman" w:eastAsia="微软雅黑" w:cs="Times New Roman"/>
          <w:b/>
          <w:sz w:val="24"/>
          <w:szCs w:val="24"/>
          <w:lang w:val="en-US" w:eastAsia="zh-CN"/>
        </w:rPr>
        <w:t>1</w:t>
      </w:r>
      <w:r>
        <w:rPr>
          <w:rFonts w:hint="eastAsia" w:ascii="Times New Roman" w:hAnsi="Times New Roman" w:eastAsia="微软雅黑" w:cs="Times New Roman"/>
          <w:b/>
          <w:sz w:val="24"/>
          <w:szCs w:val="24"/>
          <w:lang w:eastAsia="zh-CN"/>
        </w:rPr>
        <w:t xml:space="preserv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1CAB47E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2E6A939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48AEC20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{{tdd.comutation}}</w:t>
            </w:r>
          </w:p>
        </w:tc>
      </w:tr>
      <w:tr w14:paraId="342F9A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19DDAA5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374FBE1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380720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8544A6D">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2F7060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093F74C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ABDFD6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1E96D9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B664FE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0CC5D4D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C796BA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8286F9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85164F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67AD5E9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FCE92F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8905A6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249D26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6F106D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4BC286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1EDB774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421F62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5A1D35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2A9D5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A0BEFE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0FBC1B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E66AB7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2BE5E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A9E4D4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77CE10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526C99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42713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3156945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8C2824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4C6305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3296A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5EE1726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27D4B54E">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6F5278C4">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57252C0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60512744">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8847F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D90882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971C10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18EB1C1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11F5DA1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A7BB0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145A99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6816B3B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AAFD97F">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831F6F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24E8AC6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69DB08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9A1722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DCF15A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F4FB163">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1FAF9D38">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03258A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627EF7A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1991C60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3F7B81B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28123DE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D34131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76E77F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550B678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54C0D60">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C2E5F1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C732EC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3E65691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F665EC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A448AC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D0FD92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1F91D37D">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2AE79F9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6C3632B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453D6DB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302DF9F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3DC7CA8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2B87432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6E79506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6CB57C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2A5B81B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07B345E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2F3BA30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151537E2">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17C0525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3DC4ECF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2BA9F33">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2BD278CE">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994C3C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4E8CB96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E6A07F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416142E5">
      <w:pPr>
        <w:outlineLvl w:val="9"/>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%}{%if geneticCancerRiskInfo %}</w:t>
      </w:r>
    </w:p>
    <w:p w14:paraId="57905C53">
      <w:pPr>
        <w:pStyle w:val="3"/>
        <w:numPr>
          <w:ilvl w:val="255"/>
          <w:numId w:val="0"/>
        </w:numPr>
        <w:jc w:val="left"/>
        <w:rPr>
          <w:rFonts w:hint="eastAsia"/>
          <w:color w:val="auto"/>
          <w:sz w:val="30"/>
          <w:lang w:eastAsia="zh-CN"/>
        </w:rPr>
      </w:pPr>
      <w:bookmarkStart w:id="109" w:name="_Toc5527"/>
      <w:bookmarkStart w:id="110" w:name="_Toc17445"/>
      <w:bookmarkStart w:id="111" w:name="_Toc149837265"/>
      <w:r>
        <w:rPr>
          <w:rFonts w:hint="eastAsia"/>
          <w:color w:val="auto"/>
          <w:sz w:val="30"/>
          <w:lang w:eastAsia="zh-CN"/>
        </w:rPr>
        <w:t>胚系变异结果解析</w:t>
      </w:r>
      <w:bookmarkEnd w:id="109"/>
      <w:bookmarkEnd w:id="110"/>
    </w:p>
    <w:p w14:paraId="7141D6F9">
      <w:pPr>
        <w:numPr>
          <w:ilvl w:val="255"/>
          <w:numId w:val="0"/>
        </w:numPr>
        <w:jc w:val="left"/>
        <w:outlineLvl w:val="9"/>
        <w:rPr>
          <w:rFonts w:hint="eastAsia" w:ascii="Times New Roman" w:hAnsi="Times New Roman" w:eastAsia="微软雅黑" w:cs="Times New Roman"/>
          <w:b/>
          <w:bCs w:val="0"/>
          <w:color w:val="auto"/>
          <w:sz w:val="30"/>
          <w:szCs w:val="30"/>
          <w:lang w:val="en-US" w:eastAsia="zh-CN" w:bidi="ar-SA"/>
        </w:rPr>
      </w:pPr>
      <w:r>
        <w:rPr>
          <w:rFonts w:hint="eastAsia" w:ascii="Times New Roman" w:hAnsi="Times New Roman" w:eastAsia="微软雅黑" w:cs="Times New Roman"/>
          <w:b/>
          <w:bCs w:val="0"/>
          <w:color w:val="auto"/>
          <w:sz w:val="24"/>
          <w:szCs w:val="24"/>
          <w:lang w:val="en-US" w:eastAsia="zh-CN" w:bidi="ar-SA"/>
        </w:rPr>
        <w:t>{% for tdd in geneticCancerRiskInfo %}</w:t>
      </w:r>
      <w:bookmarkEnd w:id="111"/>
    </w:p>
    <w:p w14:paraId="62A62211">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3042CD1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7CF893D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6FDCCC8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0A54A3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26BD9B1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tdd.mutFreq</w:t>
            </w:r>
            <w:r>
              <w:rPr>
                <w:rFonts w:hint="eastAsia" w:ascii="Times New Roman" w:hAnsi="Times New Roman" w:eastAsia="微软雅黑" w:cs="Times New Roman"/>
                <w:b/>
                <w:color w:val="FFFFFF" w:themeColor="background1"/>
                <w:sz w:val="18"/>
                <w:szCs w:val="18"/>
                <w:highlight w:val="none"/>
                <w:lang w:val="en-US" w:eastAsia="zh-CN"/>
                <w14:textFill>
                  <w14:solidFill>
                    <w14:schemeClr w14:val="bg1"/>
                  </w14:solidFill>
                </w14:textFill>
              </w:rPr>
              <w:t>Type</w:t>
            </w:r>
            <w:r>
              <w:rPr>
                <w:rFonts w:hint="eastAsia" w:ascii="Times New Roman" w:hAnsi="Times New Roman" w:eastAsia="微软雅黑" w:cs="Times New Roman"/>
                <w:b/>
                <w:color w:val="FFFFFF" w:themeColor="background1"/>
                <w:sz w:val="18"/>
                <w:szCs w:val="18"/>
                <w:highlight w:val="none"/>
                <w:lang w:eastAsia="zh-CN"/>
                <w14:textFill>
                  <w14:solidFill>
                    <w14:schemeClr w14:val="bg1"/>
                  </w14:solidFill>
                </w14:textFill>
              </w:rPr>
              <w:t xml:space="preserve"> }}</w:t>
            </w:r>
          </w:p>
        </w:tc>
        <w:tc>
          <w:tcPr>
            <w:tcW w:w="8247" w:type="dxa"/>
            <w:tcBorders>
              <w:top w:val="single" w:color="A4A4A4" w:sz="4" w:space="0"/>
              <w:left w:val="nil"/>
              <w:bottom w:val="single" w:color="A4A4A4" w:sz="4" w:space="0"/>
              <w:right w:val="nil"/>
            </w:tcBorders>
            <w:vAlign w:val="center"/>
          </w:tcPr>
          <w:p w14:paraId="2E54C6C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512E7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2B2A70F">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F0D9B8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2F4719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332AA4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9CC81F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AC0E58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521C5B0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6C02B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D82B62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DCD505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CF574C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33FFCB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770DF5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BE9FA7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16A9152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06B858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67493BF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5895D5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0B78389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616DF5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483FFB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304B9F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8AB1AE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1F84A5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2CBE2D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057136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3D79365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532088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0888EF8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685B8C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74A1F9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9F270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3E57007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67C968B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02C8596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7D34FF55">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4EA57C1C">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2BEAC23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13E4C2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712C25E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0C0AE56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04FC750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F4229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52C194C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564B71C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8AD7DC5">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2228DF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1F55386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5664F5F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216EBC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433911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B1DC95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42FB6C30">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72CAE7E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3CE290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1991EB2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61E9578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6AD24CC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5CC8F0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D21A9C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7457A5D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EFB7ECC">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75A6E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75446AE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741EC6B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393CE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3B09B7B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80AA3F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4D69DBD5">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4151869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09D95AD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15B554C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1173BB3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0A4E9D2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0059BC8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08290D7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848141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26CCAE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70C0F8A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32A227D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6E5B12FB">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6CAAA9C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3656176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23CA65FA">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3D9AFC0F">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531B174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57C2BE6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B46440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59503C7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sz w:val="16"/>
        </w:rPr>
        <w:br w:type="page"/>
      </w:r>
      <w:r>
        <w:rPr>
          <w:rFonts w:hint="eastAsia" w:ascii="Times New Roman" w:hAnsi="Times New Roman" w:eastAsia="微软雅黑" w:cs="Times New Roman"/>
          <w:b/>
          <w:sz w:val="24"/>
          <w:szCs w:val="24"/>
          <w:lang w:eastAsia="zh-CN"/>
        </w:rPr>
        <w:t>{% endif %}</w:t>
      </w:r>
    </w:p>
    <w:p w14:paraId="057686FD">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112" w:name="_Toc28121"/>
      <w:bookmarkStart w:id="113" w:name="_Toc1284"/>
      <w:r>
        <w:rPr>
          <w:rFonts w:hint="eastAsia" w:ascii="Times New Roman" w:hAnsi="Times New Roman"/>
          <w:color w:val="auto"/>
          <w:sz w:val="30"/>
          <w:lang w:eastAsia="zh-CN"/>
        </w:rPr>
        <w:t>免疫检测结果解析</w:t>
      </w:r>
      <w:bookmarkEnd w:id="97"/>
      <w:bookmarkEnd w:id="98"/>
      <w:bookmarkEnd w:id="99"/>
      <w:bookmarkEnd w:id="100"/>
      <w:bookmarkEnd w:id="112"/>
      <w:bookmarkEnd w:id="113"/>
    </w:p>
    <w:bookmarkEnd w:id="101"/>
    <w:p w14:paraId="451BBE1C">
      <w:pPr>
        <w:spacing w:before="29"/>
        <w:rPr>
          <w:rFonts w:ascii="Times New Roman" w:hAnsi="Times New Roman" w:eastAsia="微软雅黑" w:cs="Times New Roman"/>
          <w:b/>
          <w:sz w:val="24"/>
          <w:szCs w:val="24"/>
          <w:lang w:eastAsia="zh-CN"/>
        </w:rPr>
      </w:pPr>
      <w:bookmarkStart w:id="114" w:name="_Toc11562_WPSOffice_Level3"/>
      <w:r>
        <w:rPr>
          <w:rFonts w:ascii="Times New Roman" w:hAnsi="Times New Roman" w:eastAsia="微软雅黑" w:cs="Times New Roman"/>
          <w:b/>
          <w:sz w:val="24"/>
          <w:szCs w:val="24"/>
          <w:lang w:eastAsia="zh-CN"/>
        </w:rPr>
        <w:t>微卫星不稳定（MSI）检测结果解析</w:t>
      </w:r>
    </w:p>
    <w:tbl>
      <w:tblPr>
        <w:tblStyle w:val="16"/>
        <w:tblW w:w="9848"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554"/>
        <w:gridCol w:w="4294"/>
      </w:tblGrid>
      <w:tr w14:paraId="5509522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62" w:hRule="atLeast"/>
          <w:jc w:val="center"/>
        </w:trPr>
        <w:tc>
          <w:tcPr>
            <w:tcW w:w="5554" w:type="dxa"/>
            <w:tcBorders>
              <w:top w:val="nil"/>
              <w:bottom w:val="nil"/>
              <w:right w:val="single" w:color="FFFFFF" w:sz="18" w:space="0"/>
            </w:tcBorders>
            <w:shd w:val="clear" w:color="auto" w:fill="62BC41"/>
            <w:vAlign w:val="center"/>
          </w:tcPr>
          <w:p w14:paraId="6A20F38E">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62BC41"/>
            <w:vAlign w:val="center"/>
          </w:tcPr>
          <w:p w14:paraId="1BB10056">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5CEADA5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85" w:hRule="atLeast"/>
          <w:jc w:val="center"/>
        </w:trPr>
        <w:tc>
          <w:tcPr>
            <w:tcW w:w="5554" w:type="dxa"/>
            <w:tcBorders>
              <w:top w:val="nil"/>
              <w:bottom w:val="single" w:color="A4A4A4" w:themeColor="background1" w:themeShade="A5" w:sz="4" w:space="0"/>
            </w:tcBorders>
            <w:shd w:val="clear" w:color="auto" w:fill="auto"/>
            <w:vAlign w:val="center"/>
          </w:tcPr>
          <w:p w14:paraId="20D4F4F5">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94" w:type="dxa"/>
            <w:tcBorders>
              <w:top w:val="nil"/>
              <w:bottom w:val="single" w:color="A4A4A4" w:themeColor="background1" w:themeShade="A5" w:sz="4" w:space="0"/>
            </w:tcBorders>
            <w:shd w:val="clear" w:color="auto" w:fill="auto"/>
            <w:vAlign w:val="center"/>
          </w:tcPr>
          <w:p w14:paraId="2FD299F0">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09FF5C2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91" w:hRule="atLeast"/>
          <w:jc w:val="center"/>
        </w:trPr>
        <w:tc>
          <w:tcPr>
            <w:tcW w:w="5554"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072BF327">
            <w:pPr>
              <w:spacing w:before="13" w:line="252" w:lineRule="auto"/>
              <w:ind w:right="174"/>
              <w:jc w:val="center"/>
              <w:rPr>
                <w:rFonts w:ascii="Times New Roman" w:hAnsi="Times New Roman" w:eastAsia="微软雅黑" w:cs="Times New Roman"/>
                <w:b/>
                <w:bCs/>
                <w:sz w:val="15"/>
                <w:szCs w:val="15"/>
                <w:lang w:eastAsia="zh-CN"/>
              </w:rPr>
            </w:pPr>
          </w:p>
        </w:tc>
        <w:tc>
          <w:tcPr>
            <w:tcW w:w="4294"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5E3826FD">
            <w:pPr>
              <w:spacing w:before="13" w:line="252" w:lineRule="auto"/>
              <w:ind w:right="174"/>
              <w:jc w:val="center"/>
              <w:rPr>
                <w:rFonts w:ascii="Times New Roman" w:hAnsi="Times New Roman" w:eastAsia="微软雅黑" w:cs="Times New Roman"/>
                <w:sz w:val="15"/>
                <w:szCs w:val="15"/>
                <w:lang w:eastAsia="zh-CN"/>
              </w:rPr>
            </w:pPr>
          </w:p>
        </w:tc>
      </w:tr>
      <w:tr w14:paraId="6A2A804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848" w:type="dxa"/>
            <w:gridSpan w:val="2"/>
            <w:tcBorders>
              <w:top w:val="nil"/>
              <w:bottom w:val="nil"/>
            </w:tcBorders>
            <w:shd w:val="clear" w:color="auto" w:fill="auto"/>
            <w:vAlign w:val="center"/>
          </w:tcPr>
          <w:p w14:paraId="2422241D">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4662CCA0">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0514F38B">
            <w:pPr>
              <w:rPr>
                <w:rFonts w:ascii="Times New Roman" w:hAnsi="Times New Roman" w:eastAsia="微软雅黑" w:cs="Times New Roman"/>
                <w:sz w:val="18"/>
                <w:shd w:val="clear" w:color="auto" w:fill="FFFFFF"/>
                <w:lang w:eastAsia="zh-CN"/>
              </w:rPr>
            </w:pPr>
          </w:p>
          <w:p w14:paraId="7DEA3141">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735CA5FB">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65CCA0C2">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36995B3F">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3585A51A">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0DA7995D">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3C8B1D91">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04BD0E3A">
            <w:pPr>
              <w:numPr>
                <w:ilvl w:val="0"/>
                <w:numId w:val="13"/>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6FC69449">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11E668F8">
            <w:pPr>
              <w:numPr>
                <w:ilvl w:val="0"/>
                <w:numId w:val="13"/>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47D08E67">
            <w:pPr>
              <w:numPr>
                <w:ilvl w:val="0"/>
                <w:numId w:val="13"/>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502FF164">
            <w:pPr>
              <w:numPr>
                <w:ilvl w:val="0"/>
                <w:numId w:val="13"/>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315874F4">
            <w:pPr>
              <w:rPr>
                <w:rFonts w:ascii="Times New Roman" w:hAnsi="Times New Roman" w:eastAsia="微软雅黑" w:cs="Times New Roman"/>
                <w:b/>
                <w:sz w:val="18"/>
                <w:shd w:val="clear" w:color="auto" w:fill="FFFFFF"/>
                <w:lang w:eastAsia="zh-CN"/>
              </w:rPr>
            </w:pPr>
          </w:p>
          <w:p w14:paraId="33B4295F">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51D0061F">
            <w:pPr>
              <w:numPr>
                <w:ilvl w:val="0"/>
                <w:numId w:val="14"/>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3ABCB1E1">
            <w:pPr>
              <w:numPr>
                <w:ilvl w:val="0"/>
                <w:numId w:val="14"/>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bookmarkEnd w:id="114"/>
    </w:tbl>
    <w:p w14:paraId="3F722D6D">
      <w:pPr>
        <w:widowControl/>
        <w:rPr>
          <w:rFonts w:ascii="Times New Roman" w:hAnsi="Times New Roman" w:eastAsia="微软雅黑" w:cs="Times New Roman"/>
          <w:b/>
          <w:bCs/>
          <w:color w:val="0070C0"/>
          <w:sz w:val="15"/>
          <w:szCs w:val="15"/>
          <w:lang w:eastAsia="zh-CN"/>
        </w:rPr>
      </w:pPr>
      <w:r>
        <w:rPr>
          <w:rFonts w:ascii="Times New Roman" w:hAnsi="Times New Roman" w:eastAsia="微软雅黑" w:cs="Times New Roman"/>
          <w:b/>
          <w:bCs/>
          <w:color w:val="0070C0"/>
          <w:sz w:val="15"/>
          <w:szCs w:val="15"/>
          <w:lang w:eastAsia="zh-CN"/>
        </w:rPr>
        <w:br w:type="page"/>
      </w:r>
    </w:p>
    <w:p w14:paraId="598317FD">
      <w:pPr>
        <w:spacing w:before="29"/>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错配修复（MMR）相关基因检测结果</w:t>
      </w:r>
    </w:p>
    <w:tbl>
      <w:tblPr>
        <w:tblStyle w:val="16"/>
        <w:tblW w:w="9848"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251"/>
        <w:gridCol w:w="3117"/>
        <w:gridCol w:w="1849"/>
        <w:gridCol w:w="2631"/>
      </w:tblGrid>
      <w:tr w14:paraId="7AFE95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51" w:type="dxa"/>
            <w:tcBorders>
              <w:top w:val="nil"/>
              <w:bottom w:val="nil"/>
              <w:right w:val="single" w:color="FFFFFF" w:sz="18" w:space="0"/>
            </w:tcBorders>
            <w:shd w:val="clear" w:color="auto" w:fill="62BC41"/>
            <w:vAlign w:val="center"/>
          </w:tcPr>
          <w:p w14:paraId="7DD8A46C">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62BC41"/>
            <w:vAlign w:val="center"/>
          </w:tcPr>
          <w:p w14:paraId="0E433115">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62BC41"/>
            <w:vAlign w:val="center"/>
          </w:tcPr>
          <w:p w14:paraId="72B822DD">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2631" w:type="dxa"/>
            <w:tcBorders>
              <w:top w:val="nil"/>
              <w:left w:val="single" w:color="FFFFFF" w:sz="18" w:space="0"/>
              <w:bottom w:val="nil"/>
            </w:tcBorders>
            <w:shd w:val="clear" w:color="auto" w:fill="62BC41"/>
            <w:vAlign w:val="center"/>
          </w:tcPr>
          <w:p w14:paraId="277E725D">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7205612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48" w:type="dxa"/>
            <w:gridSpan w:val="4"/>
            <w:tcBorders>
              <w:top w:val="nil"/>
            </w:tcBorders>
            <w:shd w:val="clear" w:color="auto" w:fill="auto"/>
            <w:vAlign w:val="center"/>
          </w:tcPr>
          <w:p w14:paraId="6F6556F4">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14:paraId="4BA30F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51" w:type="dxa"/>
            <w:tcBorders>
              <w:top w:val="nil"/>
            </w:tcBorders>
            <w:shd w:val="clear" w:color="auto" w:fill="auto"/>
            <w:vAlign w:val="center"/>
          </w:tcPr>
          <w:p w14:paraId="31F56A1F">
            <w:pPr>
              <w:spacing w:before="13" w:line="252" w:lineRule="auto"/>
              <w:ind w:right="174"/>
              <w:jc w:val="center"/>
              <w:rPr>
                <w:b/>
                <w:bCs/>
              </w:rPr>
            </w:pPr>
            <w:r>
              <w:rPr>
                <w:rFonts w:hint="eastAsia"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70B16F54">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42E2A75E">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70CEE9F8">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14:paraId="2114A1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48" w:type="dxa"/>
            <w:gridSpan w:val="4"/>
            <w:tcBorders>
              <w:top w:val="nil"/>
            </w:tcBorders>
            <w:shd w:val="clear" w:color="auto" w:fill="auto"/>
            <w:vAlign w:val="center"/>
          </w:tcPr>
          <w:p w14:paraId="35C47F79">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14:paraId="45D2626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251" w:type="dxa"/>
            <w:tcBorders>
              <w:top w:val="nil"/>
              <w:left w:val="single" w:color="FFFFFF" w:sz="4" w:space="0"/>
              <w:bottom w:val="nil"/>
              <w:right w:val="single" w:color="FFFFFF" w:sz="4" w:space="0"/>
            </w:tcBorders>
            <w:shd w:val="clear" w:color="auto" w:fill="auto"/>
            <w:vAlign w:val="center"/>
          </w:tcPr>
          <w:p w14:paraId="6130ABE5">
            <w:pPr>
              <w:spacing w:before="13" w:line="252" w:lineRule="auto"/>
              <w:ind w:right="174"/>
              <w:jc w:val="center"/>
              <w:rPr>
                <w:rFonts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32B45A09">
            <w:pPr>
              <w:spacing w:before="13" w:line="252" w:lineRule="auto"/>
              <w:ind w:right="174"/>
              <w:jc w:val="center"/>
              <w:rPr>
                <w:rFonts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556D60C9">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21268CED">
            <w:pPr>
              <w:spacing w:before="13" w:line="252" w:lineRule="auto"/>
              <w:ind w:right="174"/>
              <w:jc w:val="center"/>
              <w:rPr>
                <w:rFonts w:ascii="Times New Roman" w:hAnsi="Times New Roman" w:eastAsia="微软雅黑" w:cs="Times New Roman"/>
                <w:b/>
                <w:bCs/>
                <w:sz w:val="21"/>
                <w:szCs w:val="21"/>
                <w:lang w:eastAsia="zh-CN"/>
              </w:rPr>
            </w:pPr>
          </w:p>
        </w:tc>
      </w:tr>
      <w:tr w14:paraId="1116477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848" w:type="dxa"/>
            <w:gridSpan w:val="4"/>
            <w:tcBorders>
              <w:top w:val="nil"/>
              <w:bottom w:val="nil"/>
            </w:tcBorders>
            <w:shd w:val="clear" w:color="auto" w:fill="auto"/>
            <w:vAlign w:val="center"/>
          </w:tcPr>
          <w:p w14:paraId="610F62D9">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2810611C">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49183264">
            <w:pPr>
              <w:ind w:firstLine="360" w:firstLineChars="200"/>
              <w:rPr>
                <w:rFonts w:ascii="Times New Roman" w:hAnsi="Times New Roman" w:eastAsia="微软雅黑" w:cs="Times New Roman"/>
                <w:sz w:val="18"/>
                <w:shd w:val="clear" w:color="auto" w:fill="FFFFFF"/>
                <w:lang w:eastAsia="zh-CN"/>
              </w:rPr>
            </w:pPr>
          </w:p>
          <w:p w14:paraId="7F7A2921">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3A9F3CA1">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54271533">
            <w:pPr>
              <w:ind w:firstLine="360" w:firstLineChars="200"/>
              <w:rPr>
                <w:rFonts w:ascii="Times New Roman" w:hAnsi="Times New Roman" w:eastAsia="微软雅黑" w:cs="Times New Roman"/>
                <w:sz w:val="18"/>
                <w:shd w:val="clear" w:color="auto" w:fill="FFFFFF"/>
                <w:lang w:eastAsia="zh-CN"/>
              </w:rPr>
            </w:pPr>
          </w:p>
          <w:p w14:paraId="21770F40">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17916D0B">
            <w:pPr>
              <w:numPr>
                <w:ilvl w:val="0"/>
                <w:numId w:val="15"/>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14:paraId="74DC7F25">
            <w:pPr>
              <w:numPr>
                <w:ilvl w:val="0"/>
                <w:numId w:val="15"/>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14:paraId="23027FD5">
            <w:pPr>
              <w:numPr>
                <w:ilvl w:val="0"/>
                <w:numId w:val="15"/>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MMR基因检测体系/胚系突变。</w:t>
            </w:r>
          </w:p>
          <w:p w14:paraId="6279F285">
            <w:pPr>
              <w:numPr>
                <w:ilvl w:val="0"/>
                <w:numId w:val="15"/>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14:paraId="07D84E46">
      <w:pPr>
        <w:rPr>
          <w:rFonts w:ascii="微软雅黑" w:hAnsi="微软雅黑" w:eastAsia="微软雅黑" w:cs="微软雅黑"/>
          <w:sz w:val="18"/>
          <w:szCs w:val="18"/>
          <w:shd w:val="clear" w:color="auto" w:fill="FFFFFF"/>
          <w:lang w:eastAsia="zh-CN" w:bidi="ar"/>
        </w:rPr>
      </w:pPr>
      <w:r>
        <w:rPr>
          <w:rFonts w:ascii="微软雅黑" w:hAnsi="微软雅黑" w:eastAsia="微软雅黑" w:cs="微软雅黑"/>
          <w:sz w:val="18"/>
          <w:szCs w:val="18"/>
          <w:shd w:val="clear" w:color="auto" w:fill="FFFFFF"/>
          <w:lang w:eastAsia="zh-CN" w:bidi="ar"/>
        </w:rPr>
        <w:br w:type="page"/>
      </w:r>
    </w:p>
    <w:p w14:paraId="3915986F">
      <w:pPr>
        <w:pStyle w:val="27"/>
        <w:rPr>
          <w:color w:val="000000" w:themeColor="text1"/>
          <w14:textFill>
            <w14:solidFill>
              <w14:schemeClr w14:val="tx1"/>
            </w14:solidFill>
          </w14:textFill>
        </w:rPr>
      </w:pPr>
      <w:bookmarkStart w:id="115" w:name="_Toc13196_WPSOffice_Level1"/>
      <w:bookmarkStart w:id="116" w:name="_Toc28240"/>
      <w:bookmarkStart w:id="117" w:name="_Toc1707_WPSOffice_Level1"/>
      <w:bookmarkStart w:id="118" w:name="_Toc18680"/>
      <w:bookmarkStart w:id="119" w:name="_Toc16594"/>
      <w:bookmarkStart w:id="120" w:name="_Toc21764_WPSOffice_Level1"/>
      <w:bookmarkStart w:id="121" w:name="_Toc2409"/>
      <w:bookmarkStart w:id="122" w:name="_Toc27302"/>
      <w:bookmarkStart w:id="123" w:name="_Toc12505"/>
      <w:r>
        <w:rPr>
          <w:rFonts w:hint="eastAsia"/>
          <w:color w:val="000000" w:themeColor="text1"/>
          <w14:textFill>
            <w14:solidFill>
              <w14:schemeClr w14:val="tx1"/>
            </w14:solidFill>
          </w14:textFill>
        </w:rPr>
        <w:t>{% if gastrointestinalStromalTumor == True %}</w:t>
      </w:r>
    </w:p>
    <w:p w14:paraId="7734D1BC">
      <w:pPr>
        <w:pStyle w:val="3"/>
        <w:numPr>
          <w:ilvl w:val="255"/>
          <w:numId w:val="0"/>
        </w:numPr>
        <w:jc w:val="both"/>
        <w:rPr>
          <w:color w:val="auto"/>
          <w:sz w:val="30"/>
          <w:lang w:eastAsia="zh-CN"/>
        </w:rPr>
      </w:pPr>
      <w:bookmarkStart w:id="124" w:name="_Toc14132"/>
      <w:bookmarkStart w:id="125" w:name="_Toc149837267"/>
      <w:bookmarkStart w:id="126" w:name="_Toc16347"/>
      <w:bookmarkStart w:id="127" w:name="_Toc16054"/>
      <w:bookmarkStart w:id="128" w:name="_Toc21764_WPSOffice_Level2"/>
      <w:bookmarkStart w:id="129" w:name="_Toc1707_WPSOffice_Level2"/>
      <w:bookmarkStart w:id="130" w:name="_Toc26649"/>
      <w:bookmarkStart w:id="131" w:name="_Toc29437"/>
      <w:r>
        <w:rPr>
          <w:color w:val="auto"/>
          <w:sz w:val="30"/>
          <w:lang w:eastAsia="zh-CN"/>
        </w:rPr>
        <w:t>化疗药物检测解析</w:t>
      </w:r>
      <w:bookmarkEnd w:id="124"/>
      <w:bookmarkEnd w:id="125"/>
      <w:bookmarkEnd w:id="126"/>
      <w:bookmarkEnd w:id="127"/>
      <w:bookmarkEnd w:id="128"/>
      <w:bookmarkEnd w:id="129"/>
      <w:bookmarkEnd w:id="130"/>
      <w:bookmarkEnd w:id="131"/>
    </w:p>
    <w:p w14:paraId="5BAC817D">
      <w:pPr>
        <w:spacing w:before="26" w:after="120" w:afterLines="50"/>
        <w:rPr>
          <w:lang w:eastAsia="zh-CN"/>
        </w:rPr>
      </w:pPr>
      <w:r>
        <w:rPr>
          <w:rFonts w:ascii="Times New Roman" w:hAnsi="Times New Roman" w:eastAsia="微软雅黑" w:cs="Times New Roman"/>
          <w:b/>
          <w:sz w:val="24"/>
          <w:lang w:eastAsia="zh-CN"/>
        </w:rPr>
        <w:t>化疗药物用药提示</w:t>
      </w:r>
    </w:p>
    <w:tbl>
      <w:tblPr>
        <w:tblStyle w:val="17"/>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4391A3A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nil"/>
              <w:left w:val="nil"/>
              <w:bottom w:val="single" w:color="FFFFFF" w:sz="18" w:space="0"/>
              <w:right w:val="nil"/>
            </w:tcBorders>
            <w:shd w:val="clear" w:color="auto" w:fill="62BC41"/>
            <w:vAlign w:val="center"/>
          </w:tcPr>
          <w:p w14:paraId="29717B8E">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7CA0B3ED">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7A5064D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FFFFFF" w:sz="18" w:space="0"/>
              <w:left w:val="nil"/>
              <w:bottom w:val="single" w:color="FFFFFF" w:sz="18" w:space="0"/>
              <w:right w:val="nil"/>
            </w:tcBorders>
            <w:shd w:val="clear" w:color="auto" w:fill="62BC41"/>
            <w:vAlign w:val="center"/>
          </w:tcPr>
          <w:p w14:paraId="525C4F36">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54B692CF">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2A9EF48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FFFFFF" w:sz="18" w:space="0"/>
              <w:left w:val="nil"/>
              <w:bottom w:val="nil"/>
              <w:right w:val="nil"/>
            </w:tcBorders>
            <w:shd w:val="clear" w:color="auto" w:fill="62BC41"/>
            <w:vAlign w:val="center"/>
          </w:tcPr>
          <w:p w14:paraId="3A47E0A6">
            <w:pPr>
              <w:widowControl/>
              <w:jc w:val="cente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7EAB6240">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434654C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nil"/>
              <w:left w:val="nil"/>
              <w:bottom w:val="nil"/>
              <w:right w:val="nil"/>
              <w:tl2br w:val="nil"/>
              <w:tr2bl w:val="nil"/>
            </w:tcBorders>
            <w:shd w:val="clear" w:color="auto" w:fill="62BC41"/>
            <w:vAlign w:val="center"/>
          </w:tcPr>
          <w:p w14:paraId="7EBB14E6">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06057FCB">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50CEDD9F">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63BDFB68">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1F3E20EA">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253C3380">
      <w:pPr>
        <w:numPr>
          <w:ilvl w:val="0"/>
          <w:numId w:val="16"/>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6BA425E9">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7703F143">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7A721398">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18B125E7">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04D867E5">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60DB4E92">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351CED42">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40ECA38F">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13981BE3">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2EB45DB7">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6AEB385C">
      <w:pPr>
        <w:spacing w:before="26" w:after="120" w:afterLines="50"/>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化疗药物用药解析</w:t>
      </w:r>
    </w:p>
    <w:tbl>
      <w:tblPr>
        <w:tblStyle w:val="16"/>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7"/>
        <w:gridCol w:w="2779"/>
        <w:gridCol w:w="1406"/>
        <w:gridCol w:w="1153"/>
        <w:gridCol w:w="916"/>
        <w:gridCol w:w="1186"/>
        <w:gridCol w:w="1025"/>
        <w:gridCol w:w="556"/>
      </w:tblGrid>
      <w:tr w14:paraId="73556FCC">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62BC41"/>
            <w:vAlign w:val="center"/>
          </w:tcPr>
          <w:p w14:paraId="5953A3C2">
            <w:pPr>
              <w:spacing w:line="206"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62BC41"/>
            <w:vAlign w:val="center"/>
          </w:tcPr>
          <w:p w14:paraId="0C38C5B3">
            <w:pPr>
              <w:spacing w:line="206" w:lineRule="exact"/>
              <w:jc w:val="center"/>
              <w:rPr>
                <w:rFonts w:ascii="Times New Roman" w:hAnsi="Times New Roman" w:eastAsia="微软雅黑" w:cs="Times New Roman"/>
                <w:b/>
                <w:bCs/>
                <w:color w:val="FFFFFF" w:themeColor="background1"/>
                <w:sz w:val="18"/>
                <w:szCs w:val="18"/>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62BC41"/>
            <w:vAlign w:val="center"/>
          </w:tcPr>
          <w:p w14:paraId="17C57979">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62BC41"/>
            <w:vAlign w:val="center"/>
          </w:tcPr>
          <w:p w14:paraId="11D40B2A">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62BC41"/>
            <w:vAlign w:val="center"/>
          </w:tcPr>
          <w:p w14:paraId="28205A30">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62BC41"/>
            <w:vAlign w:val="center"/>
          </w:tcPr>
          <w:p w14:paraId="5EF4D62D">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62BC41"/>
            <w:vAlign w:val="center"/>
          </w:tcPr>
          <w:p w14:paraId="6CE96950">
            <w:pPr>
              <w:spacing w:line="204" w:lineRule="exact"/>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62BC41"/>
            <w:vAlign w:val="center"/>
          </w:tcPr>
          <w:p w14:paraId="74B49B8E">
            <w:pPr>
              <w:spacing w:line="204" w:lineRule="exact"/>
              <w:jc w:val="center"/>
              <w:rPr>
                <w:rFonts w:ascii="Times New Roman" w:hAnsi="Times New Roman" w:eastAsia="微软雅黑" w:cs="Times New Roman"/>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7319DF7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1CFD84D9">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5AB0FF9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4BA303D1">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5A8C53B6">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6314EC25">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7DE60123">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7F78193A">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15A380DB">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0A2BE0B6">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3ABF44B7">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1E6E2BA7">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1F8D4AAE">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008A550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E2AB908">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7B7CE44C">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2CC31E1D">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6BA37BDC">
      <w:pPr>
        <w:pStyle w:val="32"/>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0A9E42CC">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1E75AA07">
      <w:pPr>
        <w:numPr>
          <w:ilvl w:val="0"/>
          <w:numId w:val="17"/>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1FEEC3AE">
      <w:pPr>
        <w:rPr>
          <w:rFonts w:ascii="Times New Roman" w:hAnsi="Times New Roman" w:eastAsia="微软雅黑" w:cs="Times New Roman"/>
          <w:sz w:val="18"/>
          <w:lang w:eastAsia="zh-CN"/>
        </w:rPr>
      </w:pPr>
      <w:r>
        <w:rPr>
          <w:lang w:eastAsia="zh-CN"/>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60E5961C">
      <w:pPr>
        <w:numPr>
          <w:ilvl w:val="-1"/>
          <w:numId w:val="0"/>
        </w:numPr>
        <w:ind w:left="0" w:firstLine="0"/>
        <w:jc w:val="both"/>
        <w:outlineLvl w:val="0"/>
        <w:rPr>
          <w:rStyle w:val="36"/>
          <w:rFonts w:hint="eastAsia" w:ascii="微软雅黑" w:hAnsi="微软雅黑" w:eastAsia="微软雅黑" w:cs="微软雅黑"/>
          <w:b/>
          <w:bCs/>
          <w:color w:val="62B541"/>
          <w:sz w:val="32"/>
          <w:szCs w:val="32"/>
          <w14:shadow w14:blurRad="50800" w14:dist="38100" w14:dir="10800000" w14:sx="100000" w14:sy="100000" w14:kx="0" w14:ky="0" w14:algn="r">
            <w14:srgbClr w14:val="62B541">
              <w14:alpha w14:val="60000"/>
            </w14:srgbClr>
          </w14:shadow>
        </w:rPr>
      </w:pPr>
      <w:bookmarkStart w:id="132" w:name="_Toc15012"/>
      <w:bookmarkStart w:id="133" w:name="_Toc32388"/>
      <w:r>
        <w:rPr>
          <w:rStyle w:val="36"/>
          <w:rFonts w:hint="eastAsia" w:ascii="微软雅黑" w:hAnsi="微软雅黑" w:eastAsia="微软雅黑" w:cs="微软雅黑"/>
          <w:b/>
          <w:bCs/>
          <w:color w:val="62B541"/>
          <w:sz w:val="32"/>
          <w:szCs w:val="32"/>
          <w14:shadow w14:blurRad="50800" w14:dist="38100" w14:dir="10800000" w14:sx="100000" w14:sy="100000" w14:kx="0" w14:ky="0" w14:algn="r">
            <w14:srgbClr w14:val="62B541">
              <w14:alpha w14:val="60000"/>
            </w14:srgbClr>
          </w14:shadow>
        </w:rPr>
        <w:t>附录</w:t>
      </w:r>
      <w:bookmarkEnd w:id="115"/>
      <w:bookmarkEnd w:id="116"/>
      <w:bookmarkEnd w:id="117"/>
      <w:bookmarkEnd w:id="118"/>
      <w:bookmarkEnd w:id="119"/>
      <w:bookmarkEnd w:id="120"/>
      <w:bookmarkEnd w:id="121"/>
      <w:bookmarkEnd w:id="122"/>
      <w:bookmarkEnd w:id="123"/>
      <w:bookmarkEnd w:id="132"/>
      <w:bookmarkEnd w:id="133"/>
    </w:p>
    <w:p w14:paraId="7C712955">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val="en-US" w:eastAsia="zh-CN"/>
        </w:rPr>
      </w:pPr>
      <w:bookmarkStart w:id="134" w:name="_Toc9066"/>
      <w:bookmarkStart w:id="135" w:name="_Toc32005"/>
      <w:bookmarkStart w:id="136" w:name="_Toc12798"/>
      <w:bookmarkStart w:id="137" w:name="_Toc9914"/>
      <w:bookmarkStart w:id="138" w:name="_Toc3674"/>
      <w:bookmarkStart w:id="139" w:name="_Toc24085_WPSOffice_Level1"/>
      <w:bookmarkStart w:id="140" w:name="_Toc15840_WPSOffice_Level1"/>
      <w:bookmarkStart w:id="141" w:name="_Toc14255_WPSOffice_Level1"/>
      <w:r>
        <w:rPr>
          <w:rFonts w:hint="eastAsia" w:ascii="Times New Roman" w:hAnsi="Times New Roman"/>
          <w:color w:val="auto"/>
          <w:sz w:val="30"/>
          <w:lang w:val="en-US" w:eastAsia="zh-CN"/>
        </w:rPr>
        <w:t>样本质控情况</w:t>
      </w:r>
      <w:bookmarkEnd w:id="134"/>
      <w:bookmarkEnd w:id="135"/>
      <w:bookmarkEnd w:id="136"/>
      <w:bookmarkEnd w:id="137"/>
      <w:bookmarkEnd w:id="138"/>
      <w:bookmarkEnd w:id="139"/>
      <w:bookmarkEnd w:id="140"/>
      <w:bookmarkEnd w:id="141"/>
    </w:p>
    <w:p w14:paraId="55369DCD">
      <w:pPr>
        <w:rPr>
          <w:lang w:eastAsia="zh-CN"/>
        </w:rPr>
      </w:pPr>
    </w:p>
    <w:tbl>
      <w:tblPr>
        <w:tblStyle w:val="16"/>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14:paraId="0A4277FC">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7" w:type="dxa"/>
            <w:tcBorders>
              <w:top w:val="nil"/>
              <w:left w:val="nil"/>
              <w:bottom w:val="nil"/>
              <w:right w:val="single" w:color="FFFFFF" w:sz="18" w:space="0"/>
            </w:tcBorders>
            <w:shd w:val="clear" w:color="auto" w:fill="62BC41"/>
            <w:vAlign w:val="center"/>
          </w:tcPr>
          <w:p w14:paraId="41698A3A">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62BC41"/>
            <w:vAlign w:val="center"/>
          </w:tcPr>
          <w:p w14:paraId="34910F8A">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62BC41"/>
            <w:vAlign w:val="center"/>
          </w:tcPr>
          <w:p w14:paraId="50E9FE5D">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62BC41"/>
            <w:vAlign w:val="center"/>
          </w:tcPr>
          <w:p w14:paraId="4390E4FD">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7B9154A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tcBorders>
              <w:top w:val="nil"/>
              <w:left w:val="nil"/>
            </w:tcBorders>
            <w:vAlign w:val="center"/>
          </w:tcPr>
          <w:p w14:paraId="37D15FFB">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病理</w:t>
            </w:r>
            <w:r>
              <w:rPr>
                <w:rFonts w:hint="eastAsia" w:ascii="Times New Roman" w:hAnsi="Times New Roman" w:eastAsia="微软雅黑" w:cs="Times New Roman"/>
                <w:b/>
                <w:bCs w:val="0"/>
                <w:color w:val="auto"/>
                <w:sz w:val="21"/>
                <w:lang w:eastAsia="zh-CN"/>
              </w:rPr>
              <w:t>评估</w:t>
            </w:r>
          </w:p>
        </w:tc>
        <w:tc>
          <w:tcPr>
            <w:tcW w:w="2721" w:type="dxa"/>
            <w:tcBorders>
              <w:top w:val="nil"/>
            </w:tcBorders>
            <w:vAlign w:val="center"/>
          </w:tcPr>
          <w:p w14:paraId="6947F8C8">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肿瘤细胞含量</w:t>
            </w:r>
          </w:p>
        </w:tc>
        <w:tc>
          <w:tcPr>
            <w:tcW w:w="2381" w:type="dxa"/>
            <w:tcBorders>
              <w:top w:val="nil"/>
            </w:tcBorders>
            <w:vAlign w:val="center"/>
          </w:tcPr>
          <w:p w14:paraId="48D53BE4">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21" w:type="dxa"/>
            <w:tcBorders>
              <w:top w:val="nil"/>
              <w:right w:val="nil"/>
            </w:tcBorders>
            <w:vAlign w:val="center"/>
          </w:tcPr>
          <w:p w14:paraId="5E055BE9">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val="en-US" w:eastAsia="zh-CN" w:bidi="ar"/>
              </w:rPr>
              <w:t>2</w:t>
            </w:r>
            <w:r>
              <w:rPr>
                <w:rFonts w:ascii="Times New Roman" w:hAnsi="Times New Roman" w:eastAsia="微软雅黑" w:cs="Times New Roman"/>
                <w:sz w:val="21"/>
                <w:szCs w:val="21"/>
                <w:lang w:eastAsia="zh-CN" w:bidi="ar"/>
              </w:rPr>
              <w:t>0%</w:t>
            </w:r>
          </w:p>
        </w:tc>
      </w:tr>
      <w:tr w14:paraId="317D115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5A2C3B95">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hint="eastAsia" w:ascii="Times New Roman" w:hAnsi="Times New Roman" w:eastAsia="微软雅黑" w:cs="Times New Roman"/>
                <w:b/>
                <w:bCs w:val="0"/>
                <w:color w:val="auto"/>
                <w:sz w:val="21"/>
                <w:lang w:eastAsia="zh-CN"/>
              </w:rPr>
              <w:t>核酸质量评估</w:t>
            </w:r>
          </w:p>
        </w:tc>
        <w:tc>
          <w:tcPr>
            <w:tcW w:w="2721" w:type="dxa"/>
            <w:vAlign w:val="center"/>
          </w:tcPr>
          <w:p w14:paraId="6D19F5C6">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572091DC">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58BB087A">
            <w:pPr>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2EA64D51">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0DFCE1CE">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42986EE1">
            <w:pPr>
              <w:autoSpaceDE w:val="0"/>
              <w:ind w:left="110" w:leftChars="50"/>
              <w:jc w:val="center"/>
              <w:rPr>
                <w:rFonts w:ascii="Times New Roman" w:hAnsi="Times New Roman" w:eastAsia="微软雅黑" w:cs="Times New Roman"/>
                <w:bCs/>
                <w:sz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381" w:type="dxa"/>
            <w:vAlign w:val="center"/>
          </w:tcPr>
          <w:p w14:paraId="23CAEF69">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282601D1">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355F3FC0">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08815725">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38FA12D6">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267505CD">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717BA851">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2A31D63D">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5979FAB4">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测序</w:t>
            </w:r>
            <w:r>
              <w:rPr>
                <w:rFonts w:hint="eastAsia" w:ascii="Times New Roman" w:hAnsi="Times New Roman" w:eastAsia="微软雅黑" w:cs="Times New Roman"/>
                <w:b/>
                <w:bCs w:val="0"/>
                <w:color w:val="auto"/>
                <w:sz w:val="21"/>
                <w:lang w:eastAsia="zh-CN"/>
              </w:rPr>
              <w:t>质量评估</w:t>
            </w:r>
          </w:p>
        </w:tc>
        <w:tc>
          <w:tcPr>
            <w:tcW w:w="2721" w:type="dxa"/>
            <w:vAlign w:val="center"/>
          </w:tcPr>
          <w:p w14:paraId="1CE0D980">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平均测序深度</w:t>
            </w:r>
          </w:p>
        </w:tc>
        <w:tc>
          <w:tcPr>
            <w:tcW w:w="2381" w:type="dxa"/>
            <w:vAlign w:val="center"/>
          </w:tcPr>
          <w:p w14:paraId="6312080A">
            <w:pPr>
              <w:ind w:left="119" w:leftChars="0"/>
              <w:jc w:val="center"/>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4AE261AF">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71296C0C">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60F88194">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6E614086">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覆盖均一性</w:t>
            </w:r>
          </w:p>
        </w:tc>
        <w:tc>
          <w:tcPr>
            <w:tcW w:w="2381" w:type="dxa"/>
            <w:vAlign w:val="center"/>
          </w:tcPr>
          <w:p w14:paraId="2C1A7C25">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721" w:type="dxa"/>
            <w:tcBorders>
              <w:right w:val="nil"/>
            </w:tcBorders>
            <w:vAlign w:val="center"/>
          </w:tcPr>
          <w:p w14:paraId="2BFC6749">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4D9CFF5A">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53C6250F">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041860BD">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基因组比对率</w:t>
            </w:r>
          </w:p>
        </w:tc>
        <w:tc>
          <w:tcPr>
            <w:tcW w:w="2381" w:type="dxa"/>
            <w:vAlign w:val="center"/>
          </w:tcPr>
          <w:p w14:paraId="5AE9F419">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721" w:type="dxa"/>
            <w:tcBorders>
              <w:right w:val="nil"/>
            </w:tcBorders>
            <w:vAlign w:val="center"/>
          </w:tcPr>
          <w:p w14:paraId="752CCC0F">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3AAFC571">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764962FD">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06F25D3A">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381" w:type="dxa"/>
            <w:vAlign w:val="center"/>
          </w:tcPr>
          <w:p w14:paraId="1E15544D">
            <w:pPr>
              <w:autoSpaceDE w:val="0"/>
              <w:ind w:left="110" w:leftChars="5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21" w:type="dxa"/>
            <w:tcBorders>
              <w:right w:val="nil"/>
            </w:tcBorders>
            <w:vAlign w:val="center"/>
          </w:tcPr>
          <w:p w14:paraId="6EDF9DF4">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00C28744">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987" w:type="dxa"/>
            <w:tcBorders>
              <w:left w:val="nil"/>
            </w:tcBorders>
            <w:shd w:val="clear" w:color="auto" w:fill="F1F1F1"/>
            <w:vAlign w:val="center"/>
          </w:tcPr>
          <w:p w14:paraId="78F22A8D">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r>
              <w:rPr>
                <w:rFonts w:ascii="Times New Roman" w:hAnsi="Times New Roman" w:eastAsia="微软雅黑" w:cs="Times New Roman"/>
                <w:b/>
                <w:bCs w:val="0"/>
                <w:color w:val="auto"/>
                <w:sz w:val="21"/>
              </w:rPr>
              <w:t>总体质量评估</w:t>
            </w:r>
          </w:p>
        </w:tc>
        <w:tc>
          <w:tcPr>
            <w:tcW w:w="7823" w:type="dxa"/>
            <w:gridSpan w:val="3"/>
            <w:tcBorders>
              <w:right w:val="nil"/>
            </w:tcBorders>
            <w:shd w:val="clear" w:color="auto" w:fill="F1F1F1"/>
            <w:vAlign w:val="center"/>
          </w:tcPr>
          <w:p w14:paraId="7B72ABA1">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7A75A79D">
      <w:pPr>
        <w:pStyle w:val="8"/>
        <w:rPr>
          <w:b/>
          <w:sz w:val="6"/>
        </w:rPr>
      </w:pPr>
    </w:p>
    <w:p w14:paraId="5A29FA0F">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209CE8B5">
      <w:pPr>
        <w:numPr>
          <w:ilvl w:val="0"/>
          <w:numId w:val="18"/>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肿瘤细胞含量：送检样本经HE染色评估的肿瘤细胞含量。如送检样本不满足病理评估所需条件，则不进行此项评估。血浆cfDNA样本不做此项评估。</w:t>
      </w:r>
    </w:p>
    <w:p w14:paraId="34CBE20D">
      <w:pPr>
        <w:numPr>
          <w:ilvl w:val="0"/>
          <w:numId w:val="18"/>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DNA总量：送检样本的DNA提取总量。</w:t>
      </w:r>
    </w:p>
    <w:p w14:paraId="5CE7982A">
      <w:pPr>
        <w:numPr>
          <w:ilvl w:val="0"/>
          <w:numId w:val="18"/>
        </w:numP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DNA降解程度：cfDNA样本不适用于此项评估。</w:t>
      </w:r>
    </w:p>
    <w:p w14:paraId="5E3B5737">
      <w:pPr>
        <w:numPr>
          <w:ilvl w:val="0"/>
          <w:numId w:val="19"/>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6B1166DD">
      <w:pPr>
        <w:numPr>
          <w:ilvl w:val="0"/>
          <w:numId w:val="19"/>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67BB364D">
      <w:pPr>
        <w:numPr>
          <w:ilvl w:val="0"/>
          <w:numId w:val="19"/>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404905EE">
      <w:pPr>
        <w:numPr>
          <w:ilvl w:val="0"/>
          <w:numId w:val="19"/>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601D4015">
      <w:pPr>
        <w:numPr>
          <w:ilvl w:val="0"/>
          <w:numId w:val="18"/>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预文库总量：核酸片段经过接头连接和扩增纯化后中间产物的总量。</w:t>
      </w:r>
    </w:p>
    <w:p w14:paraId="10CC17B5">
      <w:pPr>
        <w:numPr>
          <w:ilvl w:val="0"/>
          <w:numId w:val="18"/>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平均测序深度：目标区域每个碱基被测到的平均次数。</w:t>
      </w:r>
    </w:p>
    <w:p w14:paraId="49F4E0ED">
      <w:pPr>
        <w:numPr>
          <w:ilvl w:val="0"/>
          <w:numId w:val="18"/>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覆盖均一性：测序深度达到平均测序深度20%的碱基占比。</w:t>
      </w:r>
    </w:p>
    <w:p w14:paraId="55ABEC6F">
      <w:pPr>
        <w:numPr>
          <w:ilvl w:val="0"/>
          <w:numId w:val="18"/>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基因组比对率：比对到参考基因组上的reads数目占比。</w:t>
      </w:r>
    </w:p>
    <w:p w14:paraId="0A4017EE">
      <w:pPr>
        <w:numPr>
          <w:ilvl w:val="0"/>
          <w:numId w:val="18"/>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碱基质量Q30占比：测序数据中碱基质量在Q30以上（即碱基识别错误率在千分之一以下）的占比。</w:t>
      </w:r>
    </w:p>
    <w:p w14:paraId="227DD68D">
      <w:pPr>
        <w:numPr>
          <w:ilvl w:val="0"/>
          <w:numId w:val="18"/>
        </w:numP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总体质量评估：根据 DNA 平均测序深度进行评估，分为“合格”、“警戒“、”不合格”三个等级。总体质量评估为“警戒“或者“不合格”时，均会影响检测的准确性和敏感性。</w:t>
      </w:r>
    </w:p>
    <w:p w14:paraId="3D52CF36">
      <w:bookmarkStart w:id="142" w:name="_Toc11812"/>
      <w:bookmarkStart w:id="143" w:name="_Toc20303"/>
      <w:bookmarkStart w:id="144" w:name="_Toc11193_WPSOffice_Level1"/>
      <w:bookmarkStart w:id="145" w:name="_Toc28810_WPSOffice_Level1"/>
      <w:bookmarkStart w:id="146" w:name="_Toc11896_WPSOffice_Level1"/>
      <w:bookmarkStart w:id="147" w:name="_Toc1779"/>
      <w:bookmarkStart w:id="148" w:name="_Toc4979"/>
      <w:r>
        <w:br w:type="page"/>
      </w:r>
    </w:p>
    <w:p w14:paraId="25001677">
      <w:pPr>
        <w:rPr>
          <w:rFonts w:ascii="Times New Roman" w:hAnsi="Times New Roman" w:eastAsia="微软雅黑" w:cs="Times New Roman"/>
          <w:lang w:eastAsia="zh-CN"/>
        </w:rPr>
      </w:pPr>
      <w:r>
        <w:rPr>
          <w:rFonts w:hint="eastAsia" w:ascii="Times New Roman" w:hAnsi="Times New Roman" w:eastAsia="微软雅黑" w:cs="Times New Roman"/>
          <w:sz w:val="24"/>
          <w:szCs w:val="24"/>
          <w:lang w:eastAsia="zh-CN"/>
        </w:rPr>
        <w:t>{% if endometrialCarcinoma == True %}</w:t>
      </w:r>
    </w:p>
    <w:p w14:paraId="53E3B934">
      <w:pPr>
        <w:pStyle w:val="3"/>
        <w:numPr>
          <w:ilvl w:val="255"/>
          <w:numId w:val="0"/>
        </w:numPr>
        <w:jc w:val="left"/>
        <w:rPr>
          <w:color w:val="auto"/>
          <w:sz w:val="30"/>
        </w:rPr>
      </w:pPr>
      <w:bookmarkStart w:id="149" w:name="_Toc3454"/>
      <w:bookmarkStart w:id="150" w:name="_Toc149837270"/>
      <w:bookmarkStart w:id="151" w:name="_Toc2165"/>
      <w:bookmarkStart w:id="152" w:name="_Toc106294408"/>
      <w:bookmarkStart w:id="153" w:name="_Toc6128"/>
      <w:bookmarkStart w:id="154" w:name="_Toc17216"/>
      <w:bookmarkStart w:id="155" w:name="_Toc11446"/>
      <w:r>
        <w:rPr>
          <w:rFonts w:hint="eastAsia"/>
          <w:color w:val="auto"/>
          <w:sz w:val="30"/>
        </w:rPr>
        <w:t>子宫内膜癌分子分型与预后的相关性</w:t>
      </w:r>
      <w:bookmarkEnd w:id="149"/>
      <w:bookmarkEnd w:id="150"/>
      <w:bookmarkEnd w:id="151"/>
      <w:bookmarkEnd w:id="152"/>
      <w:bookmarkEnd w:id="153"/>
      <w:bookmarkEnd w:id="154"/>
      <w:bookmarkEnd w:id="155"/>
    </w:p>
    <w:p w14:paraId="4578C471">
      <w:pPr>
        <w:spacing w:after="120" w:afterLines="50" w:line="440" w:lineRule="exact"/>
        <w:ind w:firstLine="440" w:firstLineChars="200"/>
        <w:jc w:val="both"/>
        <w:rPr>
          <w:rFonts w:ascii="Times New Roman" w:hAnsi="Times New Roman" w:eastAsia="微软雅黑" w:cs="Times New Roman"/>
          <w:lang w:eastAsia="zh-CN"/>
        </w:rPr>
      </w:pPr>
      <w:r>
        <w:rPr>
          <w:rFonts w:hint="eastAsia" w:ascii="Times New Roman" w:hAnsi="Times New Roman" w:eastAsia="微软雅黑" w:cs="Times New Roman"/>
          <w:lang w:eastAsia="zh-CN"/>
        </w:rPr>
        <w:t>关于子宫内膜癌预后危险因素定义和分组以及对应的术后辅助治疗建议的具体描述见表1，不同分子分型命名对照见表2。</w:t>
      </w:r>
    </w:p>
    <w:p w14:paraId="3D0B9E40">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表1. 预后危险因素定义和分组及术后辅助治疗方案</w:t>
      </w:r>
    </w:p>
    <w:tbl>
      <w:tblPr>
        <w:tblStyle w:val="17"/>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34"/>
        <w:gridCol w:w="2861"/>
        <w:gridCol w:w="2781"/>
        <w:gridCol w:w="3099"/>
      </w:tblGrid>
      <w:tr w14:paraId="60C87E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nil"/>
              <w:right w:val="single" w:color="FFFFFF" w:themeColor="background1" w:sz="18" w:space="0"/>
            </w:tcBorders>
            <w:shd w:val="clear" w:color="auto" w:fill="62BC41"/>
            <w:vAlign w:val="center"/>
          </w:tcPr>
          <w:p w14:paraId="4A3948FA">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危险分期</w:t>
            </w:r>
          </w:p>
        </w:tc>
        <w:tc>
          <w:tcPr>
            <w:tcW w:w="2861" w:type="dxa"/>
            <w:tcBorders>
              <w:top w:val="nil"/>
              <w:left w:val="single" w:color="FFFFFF" w:themeColor="background1" w:sz="18" w:space="0"/>
              <w:bottom w:val="nil"/>
              <w:right w:val="single" w:color="FFFFFF" w:themeColor="background1" w:sz="18" w:space="0"/>
            </w:tcBorders>
            <w:shd w:val="clear" w:color="auto" w:fill="62BC41"/>
            <w:vAlign w:val="center"/>
          </w:tcPr>
          <w:p w14:paraId="0EED91C4">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分子分型未知</w:t>
            </w:r>
          </w:p>
        </w:tc>
        <w:tc>
          <w:tcPr>
            <w:tcW w:w="2781" w:type="dxa"/>
            <w:tcBorders>
              <w:top w:val="nil"/>
              <w:left w:val="single" w:color="FFFFFF" w:themeColor="background1" w:sz="18" w:space="0"/>
              <w:bottom w:val="nil"/>
              <w:right w:val="nil"/>
            </w:tcBorders>
            <w:shd w:val="clear" w:color="auto" w:fill="62BC41"/>
            <w:vAlign w:val="center"/>
          </w:tcPr>
          <w:p w14:paraId="417A71A7">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分子分型已知△</w:t>
            </w:r>
          </w:p>
        </w:tc>
        <w:tc>
          <w:tcPr>
            <w:tcW w:w="3099" w:type="dxa"/>
            <w:tcBorders>
              <w:top w:val="nil"/>
              <w:left w:val="single" w:color="FFFFFF" w:themeColor="background1" w:sz="18" w:space="0"/>
              <w:bottom w:val="nil"/>
              <w:right w:val="nil"/>
            </w:tcBorders>
            <w:shd w:val="clear" w:color="auto" w:fill="62BC41"/>
            <w:vAlign w:val="center"/>
          </w:tcPr>
          <w:p w14:paraId="58D070D4">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辅助治疗方案</w:t>
            </w:r>
          </w:p>
        </w:tc>
      </w:tr>
      <w:tr w14:paraId="4EE420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single" w:color="BFBFBF" w:sz="4" w:space="0"/>
              <w:right w:val="single" w:color="BFBFBF" w:sz="4" w:space="0"/>
            </w:tcBorders>
            <w:vAlign w:val="center"/>
          </w:tcPr>
          <w:p w14:paraId="2AE9BCA7">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低危</w:t>
            </w:r>
          </w:p>
        </w:tc>
        <w:tc>
          <w:tcPr>
            <w:tcW w:w="2861" w:type="dxa"/>
            <w:tcBorders>
              <w:top w:val="nil"/>
              <w:left w:val="single" w:color="BFBFBF" w:sz="4" w:space="0"/>
              <w:bottom w:val="single" w:color="BFBFBF" w:sz="4" w:space="0"/>
              <w:right w:val="single" w:color="BFBFBF" w:sz="4" w:space="0"/>
            </w:tcBorders>
            <w:vAlign w:val="center"/>
          </w:tcPr>
          <w:p w14:paraId="17A3939B">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w:t>
            </w:r>
            <w:r>
              <w:rPr>
                <w:rFonts w:hint="eastAsia" w:ascii="Times New Roman" w:hAnsi="Times New Roman" w:eastAsia="微软雅黑" w:cs="Times New Roman"/>
                <w:sz w:val="16"/>
                <w:szCs w:val="16"/>
                <w:lang w:eastAsia="zh-CN"/>
              </w:rPr>
              <w:t>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w:t>
            </w:r>
          </w:p>
        </w:tc>
        <w:tc>
          <w:tcPr>
            <w:tcW w:w="2781" w:type="dxa"/>
            <w:tcBorders>
              <w:top w:val="nil"/>
              <w:left w:val="single" w:color="BFBFBF" w:sz="4" w:space="0"/>
              <w:bottom w:val="single" w:color="BFBFBF" w:sz="4" w:space="0"/>
              <w:right w:val="nil"/>
            </w:tcBorders>
            <w:vAlign w:val="center"/>
          </w:tcPr>
          <w:p w14:paraId="32F680E1">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Ⅱ</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i/>
                <w:iCs/>
                <w:sz w:val="16"/>
                <w:szCs w:val="16"/>
                <w:lang w:eastAsia="zh-CN"/>
              </w:rPr>
              <w:t>POLE</w:t>
            </w:r>
            <w:r>
              <w:rPr>
                <w:rFonts w:hint="eastAsia" w:ascii="Times New Roman" w:hAnsi="Times New Roman" w:eastAsia="微软雅黑" w:cs="Times New Roman"/>
                <w:b/>
                <w:bCs/>
                <w:sz w:val="16"/>
                <w:szCs w:val="16"/>
                <w:lang w:eastAsia="zh-CN"/>
              </w:rPr>
              <w:t xml:space="preserve"> mut</w:t>
            </w:r>
            <w:r>
              <w:rPr>
                <w:rFonts w:hint="eastAsia" w:ascii="Times New Roman" w:hAnsi="Times New Roman" w:eastAsia="微软雅黑" w:cs="Times New Roman"/>
                <w:sz w:val="16"/>
                <w:szCs w:val="16"/>
                <w:lang w:eastAsia="zh-CN"/>
              </w:rPr>
              <w:t>内膜样癌，无残留病灶</w:t>
            </w:r>
          </w:p>
          <w:p w14:paraId="284747A8">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A期，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hint="eastAsia" w:ascii="Times New Roman" w:hAnsi="Times New Roman" w:eastAsia="微软雅黑" w:cs="Times New Roman"/>
                <w:sz w:val="16"/>
                <w:szCs w:val="16"/>
                <w:vertAlign w:val="superscript"/>
                <w:lang w:eastAsia="zh-CN"/>
              </w:rPr>
              <w:t>*</w:t>
            </w:r>
            <w:r>
              <w:rPr>
                <w:rFonts w:hint="eastAsia" w:ascii="Times New Roman" w:hAnsi="Times New Roman" w:eastAsia="微软雅黑" w:cs="Times New Roman"/>
                <w:sz w:val="16"/>
                <w:szCs w:val="16"/>
                <w:lang w:eastAsia="zh-CN"/>
              </w:rPr>
              <w:t>+LVSI无或局灶</w:t>
            </w:r>
          </w:p>
        </w:tc>
        <w:tc>
          <w:tcPr>
            <w:tcW w:w="3099" w:type="dxa"/>
            <w:tcBorders>
              <w:top w:val="nil"/>
              <w:left w:val="single" w:color="BFBFBF" w:sz="4" w:space="0"/>
              <w:bottom w:val="single" w:color="BFBFBF" w:sz="4" w:space="0"/>
              <w:right w:val="nil"/>
            </w:tcBorders>
            <w:vAlign w:val="center"/>
          </w:tcPr>
          <w:p w14:paraId="7557AE1D">
            <w:pPr>
              <w:widowControl/>
              <w:numPr>
                <w:ilvl w:val="0"/>
                <w:numId w:val="20"/>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不推荐进行辅助治疗</w:t>
            </w:r>
          </w:p>
        </w:tc>
      </w:tr>
      <w:tr w14:paraId="6FB906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240A0FC5">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55F522C3">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27B04825">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4E740261">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ⅠA期非内膜样癌（浆液性癌、透明细胞癌、未分化癌、癌肉瘤、混合细胞癌）不伴肌层浸润</w:t>
            </w:r>
          </w:p>
        </w:tc>
        <w:tc>
          <w:tcPr>
            <w:tcW w:w="2781" w:type="dxa"/>
            <w:tcBorders>
              <w:top w:val="single" w:color="BFBFBF" w:sz="4" w:space="0"/>
              <w:left w:val="single" w:color="BFBFBF" w:sz="4" w:space="0"/>
              <w:bottom w:val="single" w:color="BFBFBF" w:sz="4" w:space="0"/>
              <w:right w:val="nil"/>
            </w:tcBorders>
            <w:vAlign w:val="center"/>
          </w:tcPr>
          <w:p w14:paraId="318AA504">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2BE975BC">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4353986B">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和（或）非内膜样癌（浆液性癌、透明细胞癌、未分化癌、癌肉瘤、混合细胞癌）不伴肌层浸润</w:t>
            </w:r>
          </w:p>
        </w:tc>
        <w:tc>
          <w:tcPr>
            <w:tcW w:w="3099" w:type="dxa"/>
            <w:tcBorders>
              <w:top w:val="single" w:color="BFBFBF" w:sz="4" w:space="0"/>
              <w:left w:val="single" w:color="BFBFBF" w:sz="4" w:space="0"/>
              <w:bottom w:val="single" w:color="BFBFBF" w:sz="4" w:space="0"/>
              <w:right w:val="nil"/>
            </w:tcBorders>
            <w:vAlign w:val="center"/>
          </w:tcPr>
          <w:p w14:paraId="06CACA9A">
            <w:pPr>
              <w:widowControl/>
              <w:numPr>
                <w:ilvl w:val="0"/>
                <w:numId w:val="20"/>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近距离腔内放疗可以减少中危子宫内膜癌患者的复发风险，对中危患者也可不进行辅助治疗，尤其是60岁以下的患者。已知分子分型后，</w:t>
            </w:r>
            <w:r>
              <w:rPr>
                <w:rFonts w:hint="eastAsia" w:ascii="Times New Roman" w:hAnsi="Times New Roman" w:eastAsia="微软雅黑" w:cs="Times New Roman"/>
                <w:b/>
                <w:bCs/>
                <w:sz w:val="16"/>
                <w:szCs w:val="16"/>
                <w:lang w:eastAsia="zh-CN"/>
              </w:rPr>
              <w:t>p53abn</w:t>
            </w:r>
            <w:r>
              <w:rPr>
                <w:rFonts w:hint="eastAsia" w:ascii="Times New Roman" w:hAnsi="Times New Roman" w:eastAsia="微软雅黑" w:cs="Times New Roman"/>
                <w:sz w:val="16"/>
                <w:szCs w:val="16"/>
                <w:lang w:eastAsia="zh-CN"/>
              </w:rPr>
              <w:t>内膜样癌局限于内膜层或不伴肌层浸润者，通常不建议辅助治疗。</w:t>
            </w:r>
          </w:p>
        </w:tc>
      </w:tr>
      <w:tr w14:paraId="75E783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6637C4D4">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665F440D">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 xml:space="preserve">期内膜样癌+弥漫LVSI，无论级别与浸润深度 </w:t>
            </w:r>
          </w:p>
          <w:p w14:paraId="3ACE5A55">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14C3559D">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p>
        </w:tc>
        <w:tc>
          <w:tcPr>
            <w:tcW w:w="2781" w:type="dxa"/>
            <w:tcBorders>
              <w:top w:val="single" w:color="BFBFBF" w:sz="4" w:space="0"/>
              <w:left w:val="single" w:color="BFBFBF" w:sz="4" w:space="0"/>
              <w:bottom w:val="single" w:color="BFBFBF" w:sz="4" w:space="0"/>
              <w:right w:val="nil"/>
            </w:tcBorders>
            <w:vAlign w:val="center"/>
          </w:tcPr>
          <w:p w14:paraId="67356D78">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内膜样癌+弥漫LVSI，无论级别或浸润深度 </w:t>
            </w:r>
          </w:p>
          <w:p w14:paraId="0F0DE3B2">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35490841">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w:t>
            </w:r>
          </w:p>
        </w:tc>
        <w:tc>
          <w:tcPr>
            <w:tcW w:w="3099" w:type="dxa"/>
            <w:tcBorders>
              <w:top w:val="single" w:color="BFBFBF" w:sz="4" w:space="0"/>
              <w:left w:val="single" w:color="BFBFBF" w:sz="4" w:space="0"/>
              <w:bottom w:val="single" w:color="BFBFBF" w:sz="4" w:space="0"/>
              <w:right w:val="nil"/>
            </w:tcBorders>
            <w:vAlign w:val="center"/>
          </w:tcPr>
          <w:p w14:paraId="6C0FF136">
            <w:pPr>
              <w:widowControl/>
              <w:numPr>
                <w:ilvl w:val="0"/>
                <w:numId w:val="20"/>
              </w:numPr>
              <w:jc w:val="both"/>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淋巴结分期为pN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77F711F6">
            <w:pPr>
              <w:widowControl/>
              <w:numPr>
                <w:ilvl w:val="0"/>
                <w:numId w:val="20"/>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未进行淋巴结分期手术（cN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/pN</w:t>
            </w:r>
            <w:r>
              <w:rPr>
                <w:rFonts w:hint="eastAsia" w:ascii="Times New Roman" w:hAnsi="Times New Roman" w:eastAsia="微软雅黑" w:cs="Times New Roman"/>
                <w:sz w:val="16"/>
                <w:szCs w:val="16"/>
                <w:vertAlign w:val="subscript"/>
                <w:lang w:eastAsia="zh-CN"/>
              </w:rPr>
              <w:t>x</w:t>
            </w:r>
            <w:r>
              <w:rPr>
                <w:rFonts w:hint="eastAsia" w:ascii="Times New Roman" w:hAnsi="Times New Roman" w:eastAsia="微软雅黑" w:cs="Times New Roman"/>
                <w:sz w:val="16"/>
                <w:szCs w:val="16"/>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60C1CB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4E5DA49E">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53FCCC4B">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Ⅲ~ⅣA</w:t>
            </w:r>
            <w:r>
              <w:rPr>
                <w:rFonts w:hint="eastAsia" w:ascii="Times New Roman" w:hAnsi="Times New Roman" w:eastAsia="微软雅黑" w:cs="Times New Roman"/>
                <w:sz w:val="16"/>
                <w:szCs w:val="16"/>
                <w:lang w:eastAsia="zh-CN"/>
              </w:rPr>
              <w:t xml:space="preserve">期，无残留病灶 </w:t>
            </w:r>
          </w:p>
          <w:p w14:paraId="2A5EAFE7">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Ⅰ~ⅣA期，非内膜样癌（浆液性癌、透明细胞癌、未分化癌、癌肉瘤、混合细胞癌）伴肌层浸润，无残留病灶</w:t>
            </w:r>
          </w:p>
          <w:p w14:paraId="26A9B504">
            <w:pPr>
              <w:widowControl/>
              <w:jc w:val="both"/>
              <w:rPr>
                <w:rFonts w:ascii="Times New Roman" w:hAnsi="Times New Roman" w:eastAsia="微软雅黑" w:cs="Times New Roman"/>
                <w:sz w:val="18"/>
                <w:szCs w:val="18"/>
                <w:lang w:eastAsia="zh-CN"/>
              </w:rPr>
            </w:pPr>
          </w:p>
        </w:tc>
        <w:tc>
          <w:tcPr>
            <w:tcW w:w="2781" w:type="dxa"/>
            <w:tcBorders>
              <w:top w:val="single" w:color="BFBFBF" w:sz="4" w:space="0"/>
              <w:left w:val="single" w:color="BFBFBF" w:sz="4" w:space="0"/>
              <w:bottom w:val="single" w:color="BFBFBF" w:sz="4" w:space="0"/>
              <w:right w:val="nil"/>
            </w:tcBorders>
            <w:vAlign w:val="center"/>
          </w:tcPr>
          <w:p w14:paraId="6E12AD1C">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内膜样癌无残留病灶 </w:t>
            </w:r>
          </w:p>
          <w:p w14:paraId="550116F9">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 xml:space="preserve">内膜样癌伴肌层浸润，无残留病灶 </w:t>
            </w:r>
          </w:p>
          <w:p w14:paraId="33744104">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Ⅰ~ⅣA期，</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非内膜样癌（浆液性癌、未分化癌、癌肉瘤），伴肌层浸润，无残留病灶</w:t>
            </w:r>
          </w:p>
        </w:tc>
        <w:tc>
          <w:tcPr>
            <w:tcW w:w="3099" w:type="dxa"/>
            <w:tcBorders>
              <w:top w:val="single" w:color="BFBFBF" w:sz="4" w:space="0"/>
              <w:left w:val="single" w:color="BFBFBF" w:sz="4" w:space="0"/>
              <w:bottom w:val="single" w:color="BFBFBF" w:sz="4" w:space="0"/>
              <w:right w:val="nil"/>
            </w:tcBorders>
            <w:vAlign w:val="center"/>
          </w:tcPr>
          <w:p w14:paraId="1FC78BDD">
            <w:pPr>
              <w:widowControl/>
              <w:numPr>
                <w:ilvl w:val="0"/>
                <w:numId w:val="20"/>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推荐术后进行盆腔外照射联合化疗。单纯化疗可作为替代方案。癌肉瘤的术后治疗参照高危内膜癌治疗方案，而不是子宫肉瘤方案。</w:t>
            </w:r>
          </w:p>
        </w:tc>
      </w:tr>
      <w:tr w14:paraId="39B7B0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7131033E">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晚期转移</w:t>
            </w:r>
          </w:p>
        </w:tc>
        <w:tc>
          <w:tcPr>
            <w:tcW w:w="2861" w:type="dxa"/>
            <w:tcBorders>
              <w:top w:val="single" w:color="BFBFBF" w:sz="4" w:space="0"/>
              <w:left w:val="single" w:color="BFBFBF" w:sz="4" w:space="0"/>
              <w:bottom w:val="single" w:color="BFBFBF" w:sz="4" w:space="0"/>
              <w:right w:val="single" w:color="BFBFBF" w:sz="4" w:space="0"/>
            </w:tcBorders>
            <w:vAlign w:val="center"/>
          </w:tcPr>
          <w:p w14:paraId="0579ED10">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 </w:t>
            </w:r>
          </w:p>
          <w:p w14:paraId="4E26B3B5">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w:t>
            </w:r>
          </w:p>
        </w:tc>
        <w:tc>
          <w:tcPr>
            <w:tcW w:w="2781" w:type="dxa"/>
            <w:tcBorders>
              <w:top w:val="single" w:color="BFBFBF" w:sz="4" w:space="0"/>
              <w:left w:val="single" w:color="BFBFBF" w:sz="4" w:space="0"/>
              <w:bottom w:val="single" w:color="BFBFBF" w:sz="4" w:space="0"/>
              <w:right w:val="nil"/>
            </w:tcBorders>
            <w:vAlign w:val="center"/>
          </w:tcPr>
          <w:p w14:paraId="18C6705E">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期，伴残留病灶，任何分子分型 </w:t>
            </w:r>
          </w:p>
          <w:p w14:paraId="54CD5636">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ⅣB期，任何分子分型</w:t>
            </w:r>
          </w:p>
        </w:tc>
        <w:tc>
          <w:tcPr>
            <w:tcW w:w="3099" w:type="dxa"/>
            <w:tcBorders>
              <w:top w:val="single" w:color="BFBFBF" w:sz="4" w:space="0"/>
              <w:left w:val="single" w:color="BFBFBF" w:sz="4" w:space="0"/>
              <w:bottom w:val="single" w:color="BFBFBF" w:sz="4" w:space="0"/>
              <w:right w:val="nil"/>
            </w:tcBorders>
            <w:vAlign w:val="center"/>
          </w:tcPr>
          <w:p w14:paraId="2BC1E69F">
            <w:pPr>
              <w:widowControl/>
              <w:numPr>
                <w:ilvl w:val="0"/>
                <w:numId w:val="20"/>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接受手术治疗的</w:t>
            </w:r>
            <w:r>
              <w:rPr>
                <w:rFonts w:ascii="Times New Roman" w:hAnsi="Times New Roman" w:eastAsia="微软雅黑" w:cs="Times New Roman"/>
                <w:sz w:val="16"/>
                <w:szCs w:val="16"/>
                <w:lang w:eastAsia="zh-CN"/>
              </w:rPr>
              <w:t>Ⅲ/Ⅳ</w:t>
            </w:r>
            <w:r>
              <w:rPr>
                <w:rFonts w:hint="eastAsia" w:ascii="Times New Roman" w:hAnsi="Times New Roman" w:eastAsia="微软雅黑" w:cs="Times New Roman"/>
                <w:sz w:val="16"/>
                <w:szCs w:val="16"/>
                <w:lang w:eastAsia="zh-CN"/>
              </w:rPr>
              <w:t>期子宫内膜癌患者，如果术后有残留的转移淋巴结病灶、术后切缘阳性（包括阴道切缘阳性、盆侧壁受累）、或盆腔内病灶残留者，应经MDT讨论，采用化疗±放疗的个体化治疗方法。</w:t>
            </w:r>
          </w:p>
        </w:tc>
      </w:tr>
    </w:tbl>
    <w:p w14:paraId="4B33B3B4">
      <w:pPr>
        <w:widowControl/>
        <w:spacing w:before="120" w:beforeLines="50"/>
        <w:rPr>
          <w:rFonts w:ascii="Times New Roman" w:hAnsi="Times New Roman" w:eastAsia="微软雅黑" w:cs="Times New Roman"/>
          <w:sz w:val="15"/>
          <w:szCs w:val="15"/>
          <w:lang w:eastAsia="zh-CN"/>
        </w:rPr>
      </w:pPr>
      <w:r>
        <w:rPr>
          <w:rFonts w:hint="eastAsia" w:ascii="Times New Roman" w:hAnsi="Times New Roman" w:eastAsia="微软雅黑" w:cs="Times New Roman"/>
          <w:b/>
          <w:bCs/>
          <w:sz w:val="16"/>
          <w:szCs w:val="16"/>
          <w:lang w:eastAsia="zh-CN"/>
        </w:rPr>
        <w:t>注：</w:t>
      </w:r>
      <w:r>
        <w:rPr>
          <w:rFonts w:ascii="Times New Roman" w:hAnsi="Times New Roman" w:eastAsia="微软雅黑" w:cs="Times New Roman"/>
          <w:sz w:val="18"/>
          <w:szCs w:val="18"/>
          <w:vertAlign w:val="superscript"/>
          <w:lang w:eastAsia="zh-CN"/>
        </w:rPr>
        <w:t>△</w:t>
      </w:r>
      <w:r>
        <w:rPr>
          <w:rFonts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：根据FIGO分级两分类，G1和G2定义为低级别，G3为高级别</w:t>
      </w:r>
      <w:r>
        <w:rPr>
          <w:rFonts w:hint="eastAsia" w:ascii="Times New Roman" w:hAnsi="Times New Roman" w:eastAsia="微软雅黑" w:cs="Times New Roman"/>
          <w:sz w:val="16"/>
          <w:szCs w:val="16"/>
          <w:lang w:eastAsia="zh-CN"/>
        </w:rPr>
        <w:t>。</w:t>
      </w:r>
    </w:p>
    <w:p w14:paraId="23507DBF">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表2 分子分型命名对照表</w:t>
      </w:r>
    </w:p>
    <w:tbl>
      <w:tblPr>
        <w:tblStyle w:val="17"/>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62"/>
        <w:gridCol w:w="1662"/>
        <w:gridCol w:w="1662"/>
        <w:gridCol w:w="1662"/>
        <w:gridCol w:w="1662"/>
        <w:gridCol w:w="1664"/>
      </w:tblGrid>
      <w:tr w14:paraId="049F26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nil"/>
              <w:right w:val="single" w:color="FFFFFF" w:themeColor="background1" w:sz="18" w:space="0"/>
            </w:tcBorders>
            <w:shd w:val="clear" w:color="auto" w:fill="62BC41"/>
            <w:vAlign w:val="center"/>
          </w:tcPr>
          <w:p w14:paraId="699A31D8">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WHO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40F8CF3E">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ESGO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59CB761A">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NCCN</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08AD9A57">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TCGA</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100F1DE7">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ProMisE</w:t>
            </w:r>
          </w:p>
        </w:tc>
        <w:tc>
          <w:tcPr>
            <w:tcW w:w="1664" w:type="dxa"/>
            <w:tcBorders>
              <w:top w:val="nil"/>
              <w:left w:val="single" w:color="FFFFFF" w:themeColor="background1" w:sz="18" w:space="0"/>
              <w:bottom w:val="nil"/>
              <w:right w:val="nil"/>
            </w:tcBorders>
            <w:shd w:val="clear" w:color="auto" w:fill="62BC41"/>
            <w:vAlign w:val="center"/>
          </w:tcPr>
          <w:p w14:paraId="4DB913CE">
            <w:pPr>
              <w:spacing w:before="13" w:line="252" w:lineRule="auto"/>
              <w:ind w:right="174"/>
              <w:jc w:val="center"/>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ascii="Times New Roman" w:hAnsi="Times New Roman" w:eastAsia="微软雅黑" w:cs="Times New Roman"/>
                <w:b/>
                <w:bCs/>
                <w:color w:val="FFFFFF" w:themeColor="background1"/>
                <w:sz w:val="18"/>
                <w:szCs w:val="18"/>
                <w:lang w:eastAsia="zh-CN"/>
                <w14:textFill>
                  <w14:solidFill>
                    <w14:schemeClr w14:val="bg1"/>
                  </w14:solidFill>
                </w14:textFill>
              </w:rPr>
              <w:t>Trans-PORTEC</w:t>
            </w:r>
          </w:p>
        </w:tc>
      </w:tr>
      <w:tr w14:paraId="68F1DD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single" w:color="BFBFBF" w:sz="4" w:space="0"/>
              <w:right w:val="single" w:color="BFBFBF" w:sz="4" w:space="0"/>
            </w:tcBorders>
            <w:vAlign w:val="center"/>
          </w:tcPr>
          <w:p w14:paraId="571C61F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68DDEBD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04A39049">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i/>
                <w:iCs/>
                <w:sz w:val="18"/>
                <w:szCs w:val="18"/>
                <w:lang w:eastAsia="zh-CN"/>
              </w:rPr>
              <w:t>POLE</w:t>
            </w:r>
          </w:p>
        </w:tc>
        <w:tc>
          <w:tcPr>
            <w:tcW w:w="1662" w:type="dxa"/>
            <w:tcBorders>
              <w:top w:val="nil"/>
              <w:left w:val="single" w:color="BFBFBF" w:sz="4" w:space="0"/>
              <w:bottom w:val="single" w:color="BFBFBF" w:sz="4" w:space="0"/>
              <w:right w:val="single" w:color="BFBFBF" w:sz="4" w:space="0"/>
            </w:tcBorders>
            <w:vAlign w:val="center"/>
          </w:tcPr>
          <w:p w14:paraId="7CB34222">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op w:val="nil"/>
              <w:left w:val="single" w:color="BFBFBF" w:sz="4" w:space="0"/>
              <w:bottom w:val="single" w:color="BFBFBF" w:sz="4" w:space="0"/>
              <w:right w:val="single" w:color="BFBFBF" w:sz="4" w:space="0"/>
            </w:tcBorders>
            <w:vAlign w:val="center"/>
          </w:tcPr>
          <w:p w14:paraId="044F5012">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op w:val="nil"/>
              <w:left w:val="single" w:color="BFBFBF" w:sz="4" w:space="0"/>
              <w:bottom w:val="single" w:color="BFBFBF" w:sz="4" w:space="0"/>
              <w:right w:val="nil"/>
            </w:tcBorders>
            <w:vAlign w:val="center"/>
          </w:tcPr>
          <w:p w14:paraId="7D2784AC">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14:paraId="49D37A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434700A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7C98798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79BAB9F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MSI-H</w:t>
            </w:r>
          </w:p>
        </w:tc>
        <w:tc>
          <w:tcPr>
            <w:tcW w:w="1662" w:type="dxa"/>
            <w:tcBorders>
              <w:top w:val="single" w:color="BFBFBF" w:sz="4" w:space="0"/>
              <w:left w:val="single" w:color="BFBFBF" w:sz="4" w:space="0"/>
              <w:bottom w:val="single" w:color="BFBFBF" w:sz="4" w:space="0"/>
              <w:right w:val="single" w:color="BFBFBF" w:sz="4" w:space="0"/>
            </w:tcBorders>
            <w:vAlign w:val="center"/>
          </w:tcPr>
          <w:p w14:paraId="46C3457C">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 (hypermutated)</w:t>
            </w:r>
          </w:p>
        </w:tc>
        <w:tc>
          <w:tcPr>
            <w:tcW w:w="1662" w:type="dxa"/>
            <w:tcBorders>
              <w:top w:val="single" w:color="BFBFBF" w:sz="4" w:space="0"/>
              <w:left w:val="single" w:color="BFBFBF" w:sz="4" w:space="0"/>
              <w:bottom w:val="single" w:color="BFBFBF" w:sz="4" w:space="0"/>
              <w:right w:val="single" w:color="BFBFBF" w:sz="4" w:space="0"/>
            </w:tcBorders>
            <w:vAlign w:val="center"/>
          </w:tcPr>
          <w:p w14:paraId="4AC16380">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4" w:type="dxa"/>
            <w:tcBorders>
              <w:top w:val="single" w:color="BFBFBF" w:sz="4" w:space="0"/>
              <w:left w:val="single" w:color="BFBFBF" w:sz="4" w:space="0"/>
              <w:bottom w:val="single" w:color="BFBFBF" w:sz="4" w:space="0"/>
              <w:right w:val="nil"/>
            </w:tcBorders>
            <w:vAlign w:val="center"/>
          </w:tcPr>
          <w:p w14:paraId="445BD405">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14:paraId="4DBCA0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12D978B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0353F565">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6FD88C4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w:t>
            </w:r>
          </w:p>
        </w:tc>
        <w:tc>
          <w:tcPr>
            <w:tcW w:w="1662" w:type="dxa"/>
            <w:tcBorders>
              <w:top w:val="single" w:color="BFBFBF" w:sz="4" w:space="0"/>
              <w:left w:val="single" w:color="BFBFBF" w:sz="4" w:space="0"/>
              <w:bottom w:val="single" w:color="BFBFBF" w:sz="4" w:space="0"/>
              <w:right w:val="single" w:color="BFBFBF" w:sz="4" w:space="0"/>
            </w:tcBorders>
            <w:vAlign w:val="center"/>
          </w:tcPr>
          <w:p w14:paraId="390A815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 (endometrioid)</w:t>
            </w:r>
          </w:p>
        </w:tc>
        <w:tc>
          <w:tcPr>
            <w:tcW w:w="1662" w:type="dxa"/>
            <w:tcBorders>
              <w:top w:val="single" w:color="BFBFBF" w:sz="4" w:space="0"/>
              <w:left w:val="single" w:color="BFBFBF" w:sz="4" w:space="0"/>
              <w:bottom w:val="single" w:color="BFBFBF" w:sz="4" w:space="0"/>
              <w:right w:val="single" w:color="BFBFBF" w:sz="4" w:space="0"/>
            </w:tcBorders>
            <w:vAlign w:val="center"/>
          </w:tcPr>
          <w:p w14:paraId="5487292C">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wt</w:t>
            </w:r>
          </w:p>
        </w:tc>
        <w:tc>
          <w:tcPr>
            <w:tcW w:w="1664" w:type="dxa"/>
            <w:tcBorders>
              <w:top w:val="single" w:color="BFBFBF" w:sz="4" w:space="0"/>
              <w:left w:val="single" w:color="BFBFBF" w:sz="4" w:space="0"/>
              <w:bottom w:val="single" w:color="BFBFBF" w:sz="4" w:space="0"/>
              <w:right w:val="nil"/>
            </w:tcBorders>
            <w:vAlign w:val="center"/>
          </w:tcPr>
          <w:p w14:paraId="2B55E58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14:paraId="5795F5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760E577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79D73104">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2A9B3CF6">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w:t>
            </w:r>
          </w:p>
        </w:tc>
        <w:tc>
          <w:tcPr>
            <w:tcW w:w="1662" w:type="dxa"/>
            <w:tcBorders>
              <w:top w:val="single" w:color="BFBFBF" w:sz="4" w:space="0"/>
              <w:left w:val="single" w:color="BFBFBF" w:sz="4" w:space="0"/>
              <w:bottom w:val="single" w:color="BFBFBF" w:sz="4" w:space="0"/>
              <w:right w:val="single" w:color="BFBFBF" w:sz="4" w:space="0"/>
            </w:tcBorders>
            <w:vAlign w:val="center"/>
          </w:tcPr>
          <w:p w14:paraId="73C40BA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 (serous-like)</w:t>
            </w:r>
          </w:p>
        </w:tc>
        <w:tc>
          <w:tcPr>
            <w:tcW w:w="1662" w:type="dxa"/>
            <w:tcBorders>
              <w:top w:val="single" w:color="BFBFBF" w:sz="4" w:space="0"/>
              <w:left w:val="single" w:color="BFBFBF" w:sz="4" w:space="0"/>
              <w:bottom w:val="single" w:color="BFBFBF" w:sz="4" w:space="0"/>
              <w:right w:val="single" w:color="BFBFBF" w:sz="4" w:space="0"/>
            </w:tcBorders>
            <w:vAlign w:val="center"/>
          </w:tcPr>
          <w:p w14:paraId="67D7FA4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4" w:type="dxa"/>
            <w:tcBorders>
              <w:top w:val="single" w:color="BFBFBF" w:sz="4" w:space="0"/>
              <w:left w:val="single" w:color="BFBFBF" w:sz="4" w:space="0"/>
              <w:bottom w:val="single" w:color="BFBFBF" w:sz="4" w:space="0"/>
              <w:right w:val="nil"/>
            </w:tcBorders>
            <w:vAlign w:val="center"/>
          </w:tcPr>
          <w:p w14:paraId="68AA38C2">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14:paraId="453E9E5A">
      <w:pPr>
        <w:widowControl/>
        <w:spacing w:before="120" w:beforeLines="50"/>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注：表1的预后危险因素定义和分组最初是引自ESGO/ESTRO/ESP 2020子宫内膜癌指南，它的分子分型方法与本报告采取的分子分型方法并非完全一致，所以对应的四组分型结果并不能保证完全重叠。因此，基于本报告的分子分型结果对应表1的预后风险信息仅供参考。</w:t>
      </w:r>
    </w:p>
    <w:p w14:paraId="00EA2EAE">
      <w:pPr>
        <w:rPr>
          <w:rFonts w:ascii="Times New Roman" w:hAnsi="Times New Roman" w:eastAsia="微软雅黑" w:cs="Times New Roman"/>
          <w:sz w:val="20"/>
          <w:szCs w:val="20"/>
          <w:lang w:eastAsia="zh-CN"/>
        </w:rPr>
      </w:pPr>
    </w:p>
    <w:p w14:paraId="0E57B03D">
      <w:pP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参考文献：</w:t>
      </w:r>
    </w:p>
    <w:p w14:paraId="0CD5D5B4">
      <w:pPr>
        <w:numPr>
          <w:ilvl w:val="0"/>
          <w:numId w:val="21"/>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《ESGO／ESTRO／ESP指南：子宫内膜癌患者的管理（2020版）》；</w:t>
      </w:r>
    </w:p>
    <w:p w14:paraId="1EB435A9">
      <w:pPr>
        <w:numPr>
          <w:ilvl w:val="0"/>
          <w:numId w:val="21"/>
        </w:numPr>
        <w:rPr>
          <w:rFonts w:ascii="Calibri" w:hAnsi="Calibri" w:eastAsia="微软雅黑" w:cs="Calibri"/>
          <w:sz w:val="18"/>
          <w:szCs w:val="18"/>
          <w:lang w:eastAsia="zh-CN"/>
        </w:rPr>
      </w:pPr>
      <w:r>
        <w:rPr>
          <w:rFonts w:hint="eastAsia" w:ascii="Times New Roman" w:hAnsi="Times New Roman" w:eastAsia="微软雅黑" w:cs="Times New Roman"/>
          <w:sz w:val="18"/>
          <w:szCs w:val="18"/>
          <w:lang w:eastAsia="zh-CN"/>
        </w:rPr>
        <w:t>《子宫内膜癌诊断与治疗指南（2021版）》；</w:t>
      </w:r>
    </w:p>
    <w:p w14:paraId="5F4EC41D">
      <w:pPr>
        <w:numPr>
          <w:ilvl w:val="0"/>
          <w:numId w:val="21"/>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《子宫内膜癌分子检测中国专家共识（2021版）》。</w:t>
      </w:r>
    </w:p>
    <w:p w14:paraId="101FCE04">
      <w:pPr>
        <w:rPr>
          <w:rFonts w:ascii="Times New Roman" w:hAnsi="Times New Roman"/>
          <w:sz w:val="30"/>
          <w:lang w:eastAsia="zh-CN"/>
        </w:rPr>
      </w:pPr>
      <w:r>
        <w:rPr>
          <w:rFonts w:hint="eastAsia" w:ascii="Times New Roman" w:hAnsi="Times New Roman"/>
          <w:sz w:val="30"/>
          <w:lang w:eastAsia="zh-CN"/>
        </w:rPr>
        <w:br w:type="page"/>
      </w:r>
    </w:p>
    <w:p w14:paraId="1C8D6E02">
      <w:pPr>
        <w:rPr>
          <w:rFonts w:hint="eastAsia" w:ascii="Times New Roman" w:hAnsi="Times New Roman"/>
          <w:color w:val="auto"/>
          <w:sz w:val="30"/>
          <w:lang w:eastAsia="zh-CN"/>
        </w:rPr>
      </w:pPr>
      <w:r>
        <w:rPr>
          <w:rFonts w:hint="eastAsia" w:ascii="Times New Roman" w:hAnsi="Times New Roman" w:eastAsia="微软雅黑" w:cs="Times New Roman"/>
          <w:sz w:val="24"/>
          <w:szCs w:val="24"/>
          <w:lang w:eastAsia="zh-CN"/>
        </w:rPr>
        <w:t xml:space="preserve">{% </w:t>
      </w:r>
      <w:r>
        <w:rPr>
          <w:rFonts w:hint="eastAsia" w:ascii="Times New Roman" w:hAnsi="Times New Roman" w:eastAsia="微软雅黑" w:cs="Times New Roman"/>
          <w:sz w:val="24"/>
          <w:szCs w:val="24"/>
          <w:lang w:val="en-US" w:eastAsia="zh-CN"/>
        </w:rPr>
        <w:t>end</w:t>
      </w:r>
      <w:r>
        <w:rPr>
          <w:rFonts w:hint="eastAsia" w:ascii="Times New Roman" w:hAnsi="Times New Roman" w:eastAsia="微软雅黑" w:cs="Times New Roman"/>
          <w:sz w:val="24"/>
          <w:szCs w:val="24"/>
          <w:lang w:eastAsia="zh-CN"/>
        </w:rPr>
        <w:t>if %}</w:t>
      </w:r>
    </w:p>
    <w:p w14:paraId="0A3A4D39">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ascii="Times New Roman" w:hAnsi="Times New Roman" w:eastAsia="微软雅黑" w:cs="Times New Roman"/>
          <w:sz w:val="20"/>
          <w:szCs w:val="20"/>
          <w:lang w:eastAsia="zh-CN"/>
        </w:rPr>
      </w:pPr>
      <w:bookmarkStart w:id="156" w:name="_Toc21183"/>
      <w:bookmarkStart w:id="157" w:name="_Toc6597"/>
      <w:r>
        <w:rPr>
          <w:rFonts w:hint="eastAsia" w:ascii="Times New Roman" w:hAnsi="Times New Roman"/>
          <w:color w:val="auto"/>
          <w:sz w:val="30"/>
          <w:lang w:eastAsia="zh-CN"/>
        </w:rPr>
        <w:t>常见靶向药物相关基因检测列表</w:t>
      </w:r>
      <w:bookmarkEnd w:id="142"/>
      <w:bookmarkEnd w:id="143"/>
      <w:bookmarkEnd w:id="144"/>
      <w:bookmarkEnd w:id="145"/>
      <w:bookmarkEnd w:id="146"/>
      <w:bookmarkEnd w:id="147"/>
      <w:bookmarkEnd w:id="148"/>
      <w:bookmarkEnd w:id="156"/>
      <w:bookmarkEnd w:id="157"/>
    </w:p>
    <w:tbl>
      <w:tblPr>
        <w:tblStyle w:val="17"/>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36D80E6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5C955110">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0F0AD889">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14:paraId="06BB62E2">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590E558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9815" w:type="dxa"/>
            <w:gridSpan w:val="3"/>
            <w:tcBorders>
              <w:top w:val="nil"/>
              <w:tl2br w:val="nil"/>
              <w:tr2bl w:val="nil"/>
            </w:tcBorders>
            <w:vAlign w:val="center"/>
          </w:tcPr>
          <w:p w14:paraId="07AC8511">
            <w:pPr>
              <w:spacing w:before="19"/>
              <w:ind w:right="-6"/>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w:t>
            </w:r>
            <w:r>
              <w:rPr>
                <w:rFonts w:hint="eastAsia" w:ascii="Times New Roman" w:hAnsi="Times New Roman" w:eastAsia="微软雅黑" w:cs="Times New Roman"/>
                <w:sz w:val="18"/>
                <w:lang w:val="en-US" w:eastAsia="zh-CN"/>
              </w:rPr>
              <w:t xml:space="preserve"> ct</w:t>
            </w:r>
            <w:r>
              <w:rPr>
                <w:rFonts w:hint="eastAsia" w:ascii="Times New Roman" w:hAnsi="Times New Roman" w:eastAsia="微软雅黑" w:cs="Times New Roman"/>
                <w:sz w:val="18"/>
                <w:lang w:eastAsia="zh-CN"/>
              </w:rPr>
              <w:t xml:space="preserve"> in commonTargetedDrug</w:t>
            </w:r>
            <w:r>
              <w:rPr>
                <w:rFonts w:hint="eastAsia" w:ascii="Times New Roman" w:hAnsi="Times New Roman" w:eastAsia="微软雅黑" w:cs="Times New Roman"/>
                <w:sz w:val="18"/>
                <w:lang w:val="en-US" w:eastAsia="zh-CN"/>
              </w:rPr>
              <w:t xml:space="preserve"> </w:t>
            </w:r>
            <w:r>
              <w:rPr>
                <w:rFonts w:hint="eastAsia" w:ascii="Times New Roman" w:hAnsi="Times New Roman" w:eastAsia="微软雅黑" w:cs="Times New Roman"/>
                <w:sz w:val="18"/>
                <w:lang w:eastAsia="zh-CN"/>
              </w:rPr>
              <w:t>%}</w:t>
            </w:r>
          </w:p>
        </w:tc>
      </w:tr>
      <w:tr w14:paraId="3C4A9A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838" w:type="dxa"/>
            <w:vAlign w:val="center"/>
          </w:tcPr>
          <w:p w14:paraId="0B8F4798">
            <w:pPr>
              <w:spacing w:line="206" w:lineRule="exact"/>
              <w:ind w:leftChars="-4" w:hanging="9" w:hangingChars="5"/>
              <w:jc w:val="center"/>
              <w:rPr>
                <w:rFonts w:hint="eastAsia" w:ascii="Times New Roman" w:hAnsi="Times New Roman" w:eastAsia="微软雅黑" w:cs="Times New Roman"/>
                <w:b/>
                <w:bCs/>
                <w:color w:val="auto"/>
                <w:sz w:val="18"/>
                <w:szCs w:val="18"/>
                <w:lang w:val="en-US" w:eastAsia="zh-CN"/>
              </w:rPr>
            </w:pPr>
            <w:r>
              <w:rPr>
                <w:rFonts w:hint="eastAsia" w:ascii="Times New Roman" w:hAnsi="Times New Roman" w:eastAsia="微软雅黑" w:cs="Times New Roman"/>
                <w:b/>
                <w:bCs/>
                <w:color w:val="auto"/>
                <w:sz w:val="18"/>
                <w:szCs w:val="18"/>
                <w:lang w:val="en-US" w:eastAsia="zh-CN"/>
              </w:rPr>
              <w:t>{% for b in ct.gene | nl() %}{%if loop.last%}{{ b }}{%else%}{{ b }}</w:t>
            </w:r>
          </w:p>
          <w:p w14:paraId="36E9BA1F">
            <w:pPr>
              <w:spacing w:line="206" w:lineRule="exact"/>
              <w:ind w:leftChars="-4" w:hanging="9" w:hangingChars="5"/>
              <w:jc w:val="center"/>
              <w:rPr>
                <w:rFonts w:hint="default" w:ascii="Times New Roman" w:hAnsi="Times New Roman" w:eastAsia="微软雅黑" w:cs="Times New Roman"/>
                <w:b/>
                <w:bCs/>
                <w:color w:val="416AAB"/>
                <w:sz w:val="18"/>
                <w:szCs w:val="18"/>
              </w:rPr>
            </w:pPr>
            <w:r>
              <w:rPr>
                <w:rFonts w:hint="eastAsia" w:ascii="Times New Roman" w:hAnsi="Times New Roman" w:eastAsia="微软雅黑" w:cs="Times New Roman"/>
                <w:b/>
                <w:bCs/>
                <w:color w:val="auto"/>
                <w:sz w:val="18"/>
                <w:szCs w:val="18"/>
                <w:lang w:val="en-US" w:eastAsia="zh-CN"/>
              </w:rPr>
              <w:t>{%endif%}{% endfor%}</w:t>
            </w:r>
          </w:p>
        </w:tc>
        <w:tc>
          <w:tcPr>
            <w:tcW w:w="611" w:type="dxa"/>
            <w:vAlign w:val="center"/>
          </w:tcPr>
          <w:p w14:paraId="50C8DCA9">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 for b in ct.detection_content | nl() %}{%if loop.last%}{{ b }}{%else%}{{ b }}</w:t>
            </w:r>
          </w:p>
          <w:p w14:paraId="2214A8D7">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default" w:ascii="Times New Roman" w:hAnsi="Times New Roman" w:eastAsia="微软雅黑" w:cs="Times New Roman"/>
                <w:sz w:val="18"/>
                <w:szCs w:val="18"/>
              </w:rPr>
            </w:pPr>
            <w:r>
              <w:rPr>
                <w:rFonts w:hint="eastAsia" w:ascii="Times New Roman" w:hAnsi="Times New Roman" w:eastAsia="微软雅黑" w:cs="Times New Roman"/>
                <w:sz w:val="18"/>
                <w:szCs w:val="18"/>
                <w:lang w:val="en-US" w:eastAsia="zh-CN"/>
              </w:rPr>
              <w:t>{%endif%}{% endfor%}</w:t>
            </w:r>
          </w:p>
        </w:tc>
        <w:tc>
          <w:tcPr>
            <w:tcW w:w="8366" w:type="dxa"/>
            <w:vAlign w:val="center"/>
          </w:tcPr>
          <w:p w14:paraId="0F534FE5">
            <w:pPr>
              <w:jc w:val="left"/>
              <w:rPr>
                <w:rFonts w:hint="eastAsia" w:ascii="Times New Roman" w:hAnsi="Times New Roman" w:eastAsia="微软雅黑" w:cs="Times New Roman"/>
                <w:b w:val="0"/>
                <w:bCs w:val="0"/>
                <w:color w:val="auto"/>
                <w:sz w:val="18"/>
                <w:szCs w:val="18"/>
                <w:highlight w:val="none"/>
                <w:lang w:val="en-US" w:eastAsia="zh-CN"/>
              </w:rPr>
            </w:pPr>
            <w:r>
              <w:rPr>
                <w:rFonts w:hint="eastAsia" w:ascii="Times New Roman" w:hAnsi="Times New Roman" w:eastAsia="微软雅黑" w:cs="Times New Roman"/>
                <w:b w:val="0"/>
                <w:bCs w:val="0"/>
                <w:color w:val="auto"/>
                <w:sz w:val="18"/>
                <w:szCs w:val="18"/>
                <w:highlight w:val="none"/>
                <w:lang w:val="en-US" w:eastAsia="zh-CN"/>
              </w:rPr>
              <w:t>{% for b in ct.targeted_drug | nl() %}{%if loop.last%}{% for i in b | nb() %}{%if loop.index % 2 == 0%}</w:t>
            </w:r>
            <w:r>
              <w:rPr>
                <w:rFonts w:hint="eastAsia" w:ascii="Times New Roman" w:hAnsi="Times New Roman" w:eastAsia="微软雅黑" w:cs="Times New Roman"/>
                <w:b/>
                <w:bCs/>
                <w:color w:val="auto"/>
                <w:sz w:val="18"/>
                <w:szCs w:val="18"/>
                <w:highlight w:val="none"/>
                <w:lang w:val="en-US" w:eastAsia="zh-CN"/>
              </w:rPr>
              <w:t>{{ i }}</w:t>
            </w:r>
            <w:r>
              <w:rPr>
                <w:rFonts w:hint="eastAsia" w:ascii="Times New Roman" w:hAnsi="Times New Roman" w:eastAsia="微软雅黑" w:cs="Times New Roman"/>
                <w:b w:val="0"/>
                <w:bCs w:val="0"/>
                <w:color w:val="auto"/>
                <w:sz w:val="18"/>
                <w:szCs w:val="18"/>
                <w:highlight w:val="none"/>
                <w:lang w:val="en-US" w:eastAsia="zh-CN"/>
              </w:rPr>
              <w:t>{%else%}{{ i }}{%endif%}{% endfor%}{%else%}{% for i in b | nb() %}{%if loop.index % 2 == 0%}</w:t>
            </w:r>
            <w:r>
              <w:rPr>
                <w:rFonts w:hint="eastAsia" w:ascii="Times New Roman" w:hAnsi="Times New Roman" w:eastAsia="微软雅黑" w:cs="Times New Roman"/>
                <w:b/>
                <w:bCs/>
                <w:color w:val="auto"/>
                <w:sz w:val="18"/>
                <w:szCs w:val="18"/>
                <w:highlight w:val="none"/>
                <w:lang w:val="en-US" w:eastAsia="zh-CN"/>
              </w:rPr>
              <w:t>{{ i }}</w:t>
            </w:r>
            <w:r>
              <w:rPr>
                <w:rFonts w:hint="eastAsia" w:ascii="Times New Roman" w:hAnsi="Times New Roman" w:eastAsia="微软雅黑" w:cs="Times New Roman"/>
                <w:b w:val="0"/>
                <w:bCs w:val="0"/>
                <w:color w:val="auto"/>
                <w:sz w:val="18"/>
                <w:szCs w:val="18"/>
                <w:highlight w:val="none"/>
                <w:lang w:val="en-US" w:eastAsia="zh-CN"/>
              </w:rPr>
              <w:t>{%else%}{{ i }}{%endif%}{% endfor%}</w:t>
            </w:r>
          </w:p>
          <w:p w14:paraId="729A091D">
            <w:pPr>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b w:val="0"/>
                <w:bCs w:val="0"/>
                <w:color w:val="auto"/>
                <w:sz w:val="18"/>
                <w:szCs w:val="18"/>
                <w:highlight w:val="none"/>
                <w:lang w:val="en-US" w:eastAsia="zh-CN"/>
              </w:rPr>
              <w:t>{%endif%}{% endfor%}</w:t>
            </w:r>
          </w:p>
        </w:tc>
      </w:tr>
      <w:tr w14:paraId="0B0F964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9815" w:type="dxa"/>
            <w:gridSpan w:val="3"/>
            <w:vAlign w:val="center"/>
          </w:tcPr>
          <w:p w14:paraId="354836C7">
            <w:pPr>
              <w:spacing w:before="19"/>
              <w:ind w:right="-6"/>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 xml:space="preserve">{%tr </w:t>
            </w:r>
            <w:r>
              <w:rPr>
                <w:rFonts w:hint="eastAsia" w:ascii="Times New Roman" w:hAnsi="Times New Roman" w:eastAsia="微软雅黑" w:cs="Times New Roman"/>
                <w:sz w:val="18"/>
                <w:lang w:val="en-US" w:eastAsia="zh-CN"/>
              </w:rPr>
              <w:t>end</w:t>
            </w:r>
            <w:r>
              <w:rPr>
                <w:rFonts w:hint="eastAsia" w:ascii="Times New Roman" w:hAnsi="Times New Roman" w:eastAsia="微软雅黑" w:cs="Times New Roman"/>
                <w:sz w:val="18"/>
                <w:lang w:eastAsia="zh-CN"/>
              </w:rPr>
              <w:t>for %}</w:t>
            </w:r>
          </w:p>
        </w:tc>
      </w:tr>
    </w:tbl>
    <w:p w14:paraId="39495316">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bookmarkEnd w:id="21"/>
    <w:p w14:paraId="16BFF134">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158" w:name="_Toc7549"/>
      <w:bookmarkStart w:id="159" w:name="_Toc28910_WPSOffice_Level1"/>
      <w:bookmarkStart w:id="160" w:name="_Toc19099"/>
      <w:bookmarkStart w:id="161" w:name="_Toc27070"/>
      <w:bookmarkStart w:id="162" w:name="_Toc6864"/>
      <w:bookmarkStart w:id="163" w:name="_Toc28537"/>
      <w:bookmarkStart w:id="164" w:name="_Toc29730"/>
      <w:bookmarkStart w:id="165" w:name="_Toc16368_WPSOffice_Level1"/>
      <w:bookmarkStart w:id="166" w:name="_Toc29242"/>
      <w:bookmarkStart w:id="167" w:name="_Toc8182"/>
      <w:bookmarkStart w:id="168" w:name="_Toc22484_WPSOffice_Level1"/>
      <w:r>
        <w:rPr>
          <w:rFonts w:hint="eastAsia" w:ascii="Times New Roman" w:hAnsi="Times New Roman"/>
          <w:color w:val="auto"/>
          <w:sz w:val="30"/>
          <w:lang w:eastAsia="zh-CN"/>
        </w:rPr>
        <w:t>检测基因列表</w:t>
      </w:r>
      <w:bookmarkEnd w:id="158"/>
      <w:bookmarkEnd w:id="159"/>
      <w:bookmarkEnd w:id="160"/>
      <w:bookmarkEnd w:id="161"/>
      <w:bookmarkEnd w:id="162"/>
      <w:bookmarkEnd w:id="163"/>
      <w:bookmarkEnd w:id="164"/>
      <w:bookmarkEnd w:id="165"/>
      <w:bookmarkEnd w:id="166"/>
      <w:bookmarkEnd w:id="167"/>
      <w:bookmarkEnd w:id="168"/>
    </w:p>
    <w:p w14:paraId="5BC25525">
      <w:pPr>
        <w:spacing w:line="259" w:lineRule="exact"/>
        <w:ind w:left="3328" w:right="3328"/>
        <w:jc w:val="center"/>
        <w:rPr>
          <w:rFonts w:hint="default" w:ascii="Times New Roman" w:hAnsi="Times New Roman" w:eastAsia="微软雅黑" w:cs="Times New Roman"/>
          <w:sz w:val="18"/>
          <w:szCs w:val="18"/>
          <w:lang w:eastAsia="zh-CN"/>
        </w:rPr>
      </w:pPr>
      <w:bookmarkStart w:id="169" w:name="_Toc3488_WPSOffice_Level2"/>
      <w:bookmarkStart w:id="170" w:name="_Toc6931_WPSOffice_Level2"/>
      <w:bookmarkStart w:id="171" w:name="_Toc31515_WPSOffice_Level2"/>
      <w:bookmarkStart w:id="172" w:name="_Toc6304_WPSOffice_Level2"/>
      <w:bookmarkStart w:id="173" w:name="_Toc11193_WPSOffice_Level2"/>
      <w:bookmarkStart w:id="174" w:name="_Toc19280_WPSOffice_Level2"/>
      <w:bookmarkStart w:id="175" w:name="_Toc17111_WPSOffice_Level2"/>
      <w:bookmarkStart w:id="176" w:name="_Toc28454_WPSOffice_Level1"/>
      <w:bookmarkStart w:id="177" w:name="_Toc26985_WPSOffice_Level1"/>
      <w:bookmarkStart w:id="178" w:name="_Toc20170_WPSOffice_Level1"/>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for gene_table in</w:t>
      </w:r>
      <w:r>
        <w:rPr>
          <w:rFonts w:hint="default" w:ascii="Times New Roman" w:hAnsi="Times New Roman" w:eastAsia="微软雅黑" w:cs="Times New Roman"/>
          <w:sz w:val="18"/>
          <w:szCs w:val="18"/>
          <w:lang w:eastAsia="zh-CN"/>
        </w:rPr>
        <w:t xml:space="preserve"> gene</w:t>
      </w:r>
      <w:r>
        <w:rPr>
          <w:rFonts w:hint="eastAsia" w:ascii="Times New Roman" w:hAnsi="Times New Roman" w:eastAsia="微软雅黑" w:cs="Times New Roman"/>
          <w:sz w:val="18"/>
          <w:szCs w:val="18"/>
          <w:lang w:val="en-US" w:eastAsia="zh-CN"/>
        </w:rPr>
        <w:t>.conf_genes</w:t>
      </w:r>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gene_tables</w:t>
      </w:r>
      <w:r>
        <w:rPr>
          <w:rFonts w:hint="default" w:ascii="Times New Roman" w:hAnsi="Times New Roman" w:eastAsia="微软雅黑" w:cs="Times New Roman"/>
          <w:sz w:val="18"/>
          <w:szCs w:val="18"/>
          <w:lang w:eastAsia="zh-CN"/>
        </w:rPr>
        <w:t>%}</w:t>
      </w:r>
      <w:bookmarkEnd w:id="169"/>
      <w:bookmarkEnd w:id="170"/>
      <w:bookmarkEnd w:id="171"/>
      <w:bookmarkEnd w:id="172"/>
      <w:bookmarkEnd w:id="173"/>
      <w:bookmarkEnd w:id="174"/>
      <w:bookmarkEnd w:id="175"/>
    </w:p>
    <w:p w14:paraId="79504118">
      <w:pPr>
        <w:spacing w:line="259" w:lineRule="exact"/>
        <w:ind w:left="3328" w:right="3328"/>
        <w:jc w:val="center"/>
        <w:rPr>
          <w:rFonts w:hint="eastAsia" w:ascii="微软雅黑" w:hAnsi="微软雅黑" w:eastAsia="微软雅黑" w:cs="微软雅黑"/>
          <w:b/>
          <w:bCs/>
          <w:sz w:val="21"/>
          <w:szCs w:val="21"/>
          <w:lang w:val="en-US" w:eastAsia="zh-CN"/>
        </w:rPr>
      </w:pPr>
      <w:r>
        <w:rPr>
          <w:rFonts w:hint="eastAsia" w:ascii="微软雅黑" w:hAnsi="微软雅黑" w:eastAsia="微软雅黑" w:cs="微软雅黑"/>
          <w:b/>
          <w:bCs/>
          <w:sz w:val="21"/>
          <w:szCs w:val="21"/>
          <w:lang w:val="en-US" w:eastAsia="zh-CN"/>
        </w:rPr>
        <w:t>{{gene_table.title}}</w:t>
      </w:r>
    </w:p>
    <w:tbl>
      <w:tblPr>
        <w:tblStyle w:val="23"/>
        <w:tblW w:w="986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3288"/>
        <w:gridCol w:w="3288"/>
        <w:gridCol w:w="3288"/>
      </w:tblGrid>
      <w:tr w14:paraId="7E6263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tcBorders>
              <w:top w:val="single" w:color="A1A1A1" w:sz="4" w:space="0"/>
              <w:bottom w:val="single" w:color="A1A1A1" w:sz="4" w:space="0"/>
            </w:tcBorders>
            <w:vAlign w:val="center"/>
          </w:tcPr>
          <w:p w14:paraId="1051BACB">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for genes in gene_table.genes%}</w:t>
            </w:r>
          </w:p>
        </w:tc>
      </w:tr>
      <w:tr w14:paraId="5B6D20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 w:hRule="atLeast"/>
          <w:jc w:val="center"/>
        </w:trPr>
        <w:tc>
          <w:tcPr>
            <w:tcW w:w="3288" w:type="dxa"/>
            <w:tcBorders>
              <w:top w:val="single" w:color="A1A1A1" w:sz="4" w:space="0"/>
            </w:tcBorders>
            <w:vAlign w:val="center"/>
          </w:tcPr>
          <w:p w14:paraId="4B99A4E7">
            <w:pPr>
              <w:widowControl/>
              <w:jc w:val="center"/>
              <w:textAlignment w:val="center"/>
              <w:rPr>
                <w:rFonts w:hint="default"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val="en-US" w:eastAsia="zh-CN"/>
              </w:rPr>
              <w:t>{%tc for gene in genes%}</w:t>
            </w:r>
          </w:p>
        </w:tc>
        <w:tc>
          <w:tcPr>
            <w:tcW w:w="3288" w:type="dxa"/>
            <w:tcBorders>
              <w:top w:val="single" w:color="A1A1A1" w:sz="4" w:space="0"/>
            </w:tcBorders>
            <w:vAlign w:val="center"/>
          </w:tcPr>
          <w:p w14:paraId="2A13CE31">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{{r gene}}</w:t>
            </w:r>
          </w:p>
        </w:tc>
        <w:tc>
          <w:tcPr>
            <w:tcW w:w="3288" w:type="dxa"/>
            <w:tcBorders>
              <w:top w:val="single" w:color="A1A1A1" w:sz="4" w:space="0"/>
            </w:tcBorders>
            <w:vAlign w:val="center"/>
          </w:tcPr>
          <w:p w14:paraId="248C2282">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{%tc endfor %}</w:t>
            </w:r>
          </w:p>
        </w:tc>
      </w:tr>
      <w:tr w14:paraId="2DD8AA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27" w:hRule="atLeast"/>
          <w:jc w:val="center"/>
        </w:trPr>
        <w:tc>
          <w:tcPr>
            <w:tcW w:w="9864" w:type="dxa"/>
            <w:gridSpan w:val="3"/>
            <w:vAlign w:val="center"/>
          </w:tcPr>
          <w:p w14:paraId="38186379">
            <w:pPr>
              <w:widowControl/>
              <w:jc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endfor %}</w:t>
            </w:r>
          </w:p>
        </w:tc>
      </w:tr>
    </w:tbl>
    <w:p w14:paraId="1881D97D">
      <w:pPr>
        <w:rPr>
          <w:lang w:eastAsia="zh-CN"/>
        </w:rPr>
      </w:pPr>
      <w:r>
        <w:rPr>
          <w:rFonts w:hint="eastAsia" w:ascii="Times New Roman" w:hAnsi="Times New Roman" w:eastAsia="微软雅黑" w:cs="Times New Roman"/>
          <w:b/>
          <w:bCs/>
          <w:sz w:val="18"/>
          <w:szCs w:val="18"/>
          <w:lang w:val="en-US" w:eastAsia="zh-CN"/>
        </w:rPr>
        <w:t>{% endfor %}</w:t>
      </w:r>
      <w:r>
        <w:rPr>
          <w:rFonts w:ascii="Times New Roman" w:hAnsi="Times New Roman" w:eastAsia="微软雅黑" w:cs="Times New Roman"/>
          <w:b/>
          <w:bCs/>
          <w:sz w:val="18"/>
          <w:szCs w:val="18"/>
          <w:highlight w:val="none"/>
          <w:lang w:eastAsia="zh-CN"/>
        </w:rPr>
        <w:t>注：</w:t>
      </w:r>
      <w:r>
        <w:rPr>
          <w:rFonts w:hint="eastAsia" w:ascii="Times New Roman" w:hAnsi="Times New Roman" w:eastAsia="微软雅黑" w:cs="Times New Roman"/>
          <w:sz w:val="18"/>
          <w:szCs w:val="18"/>
          <w:highlight w:val="none"/>
          <w:lang w:eastAsia="zh-CN"/>
        </w:rPr>
        <w:t>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基因表示本次检出结果阳性，无红色标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基因表示本次检出结果阴性。</w:t>
      </w:r>
      <w:r>
        <w:rPr>
          <w:lang w:eastAsia="zh-CN"/>
        </w:rPr>
        <w:br w:type="page"/>
      </w:r>
    </w:p>
    <w:bookmarkEnd w:id="176"/>
    <w:bookmarkEnd w:id="177"/>
    <w:bookmarkEnd w:id="178"/>
    <w:p w14:paraId="5078A5A4">
      <w:pPr>
        <w:pStyle w:val="3"/>
        <w:numPr>
          <w:ilvl w:val="255"/>
          <w:numId w:val="0"/>
        </w:numPr>
        <w:jc w:val="left"/>
        <w:rPr>
          <w:color w:val="auto"/>
          <w:sz w:val="30"/>
          <w:highlight w:val="none"/>
          <w:lang w:eastAsia="zh-CN"/>
        </w:rPr>
      </w:pPr>
      <w:bookmarkStart w:id="179" w:name="_Toc15114"/>
      <w:bookmarkStart w:id="180" w:name="_Toc20502"/>
      <w:bookmarkStart w:id="181" w:name="_Toc3409"/>
      <w:bookmarkStart w:id="182" w:name="_Toc9265"/>
      <w:bookmarkStart w:id="183" w:name="_Toc107825570"/>
      <w:bookmarkStart w:id="184" w:name="_Toc8911"/>
      <w:bookmarkStart w:id="185" w:name="_Toc27034"/>
      <w:bookmarkStart w:id="186" w:name="_Toc11901"/>
      <w:bookmarkStart w:id="187" w:name="_Toc4503"/>
      <w:bookmarkStart w:id="188" w:name="_Toc15630"/>
      <w:bookmarkStart w:id="189" w:name="_Toc27809"/>
      <w:bookmarkStart w:id="190" w:name="_Toc22623"/>
      <w:bookmarkStart w:id="191" w:name="_Toc19584_WPSOffice_Level1"/>
      <w:bookmarkStart w:id="192" w:name="_Toc13275"/>
      <w:bookmarkStart w:id="193" w:name="_Toc17792_WPSOffice_Level2"/>
      <w:bookmarkStart w:id="194" w:name="_Toc14611_WPSOffice_Level1"/>
      <w:bookmarkStart w:id="195" w:name="_Toc22162_WPSOffice_Level1"/>
      <w:r>
        <w:rPr>
          <w:rFonts w:hint="eastAsia"/>
          <w:color w:val="auto"/>
          <w:sz w:val="30"/>
          <w:highlight w:val="none"/>
          <w:lang w:eastAsia="zh-CN"/>
        </w:rPr>
        <w:t>检测方法与局限性</w:t>
      </w:r>
      <w:bookmarkEnd w:id="179"/>
      <w:bookmarkEnd w:id="180"/>
      <w:bookmarkEnd w:id="181"/>
      <w:bookmarkEnd w:id="182"/>
    </w:p>
    <w:p w14:paraId="3866158A">
      <w:pPr>
        <w:rPr>
          <w:highlight w:val="yellow"/>
          <w:lang w:eastAsia="zh-CN"/>
        </w:rPr>
      </w:pPr>
    </w:p>
    <w:p w14:paraId="3DACB8AB">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3A5DAD41">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本次检测采用目标区域探针捕获技术，利用脱氧核糖核酸测序对样本进行检测。</w:t>
      </w:r>
    </w:p>
    <w:p w14:paraId="73090908">
      <w:pPr>
        <w:spacing w:line="276" w:lineRule="auto"/>
        <w:ind w:firstLine="420" w:firstLineChars="200"/>
        <w:jc w:val="both"/>
        <w:rPr>
          <w:rFonts w:hint="default"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lang w:eastAsia="zh-CN"/>
        </w:rPr>
        <w:t>本次检测的突变类型包含单碱基变异、小片段插入缺失、拷贝数变异以及断点发生在Panel捕获范围内的基因融合，提供全面可信的检测结果。</w:t>
      </w:r>
    </w:p>
    <w:p w14:paraId="5A03D8EC">
      <w:pPr>
        <w:rPr>
          <w:rFonts w:hint="eastAsia" w:ascii="Times New Roman" w:hAnsi="Times New Roman" w:eastAsia="微软雅黑" w:cs="Times New Roman"/>
          <w:bCs/>
          <w:sz w:val="21"/>
          <w:szCs w:val="21"/>
          <w:lang w:eastAsia="zh-CN"/>
        </w:rPr>
      </w:pPr>
    </w:p>
    <w:p w14:paraId="56B60304">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445F22D2">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1.本检测仅为临床诊断及治疗决策提供参考和辅助。临床诊断及治疗决策应由临床医生结合受检者的全面临床信息进行综合判断。</w:t>
      </w:r>
    </w:p>
    <w:p w14:paraId="530C9D79">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2.本检测的分析和解读基于已发表的文献和公开的数据库，随着科学研究的发展和数据库的更新，变异解读可能发生一定的变更。</w:t>
      </w:r>
    </w:p>
    <w:p w14:paraId="62E659BA">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3.本检测适用于发现指定基因DNA水平的变异，不涉及DNA甲基化、RNA水平或蛋白质水平的检测。</w:t>
      </w:r>
    </w:p>
    <w:p w14:paraId="251B500C">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4.如未检出指定基因的变异(即阴性结果)不能排除存在低于检测下限的变异的可能性。</w:t>
      </w:r>
    </w:p>
    <w:p w14:paraId="60BB998A">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5.NGS检测得到的拷贝数可能会被所检测DNA样本中含有的正常细胞DNA所稀释，因此并不代表每个细胞内所含有的基因拷贝数。</w:t>
      </w:r>
    </w:p>
    <w:p w14:paraId="41E246AD">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6</w:t>
      </w:r>
      <w:r>
        <w:rPr>
          <w:rFonts w:hint="eastAsia" w:ascii="Times New Roman" w:hAnsi="Times New Roman" w:eastAsia="微软雅黑" w:cs="Times New Roman"/>
          <w:bCs/>
          <w:sz w:val="21"/>
          <w:szCs w:val="21"/>
          <w:lang w:eastAsia="zh-CN"/>
        </w:rPr>
        <w:t>.肿瘤是一种复杂的系统性疾病，评定是否为恶性肿瘤需要由临床医生综合多种检查结果进行判定。本检测不能用于确认或排除恶性肿瘤的存在。</w:t>
      </w:r>
    </w:p>
    <w:p w14:paraId="6B8E9243">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7</w:t>
      </w:r>
      <w:r>
        <w:rPr>
          <w:rFonts w:hint="eastAsia" w:ascii="Times New Roman" w:hAnsi="Times New Roman" w:eastAsia="微软雅黑" w:cs="Times New Roman"/>
          <w:bCs/>
          <w:sz w:val="21"/>
          <w:szCs w:val="21"/>
          <w:lang w:eastAsia="zh-CN"/>
        </w:rPr>
        <w:t>.部分患者不存在明确的靶向药物对应的基因突变，所以并非所有受检者都可以找到对应靶向药物或明确耐药机制。</w:t>
      </w:r>
    </w:p>
    <w:p w14:paraId="73FA45DD">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8</w:t>
      </w:r>
      <w:r>
        <w:rPr>
          <w:rFonts w:hint="eastAsia" w:ascii="Times New Roman" w:hAnsi="Times New Roman" w:eastAsia="微软雅黑" w:cs="Times New Roman"/>
          <w:bCs/>
          <w:sz w:val="21"/>
          <w:szCs w:val="21"/>
          <w:lang w:eastAsia="zh-CN"/>
        </w:rPr>
        <w:t>.检测范围外的基因变异和/或药物间相互作用等非基因变异因素均可能影响药物效果等临床表型。</w:t>
      </w:r>
    </w:p>
    <w:p w14:paraId="7B02814E">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9</w:t>
      </w:r>
      <w:r>
        <w:rPr>
          <w:rFonts w:hint="eastAsia" w:ascii="Times New Roman" w:hAnsi="Times New Roman" w:eastAsia="微软雅黑" w:cs="Times New Roman"/>
          <w:bCs/>
          <w:sz w:val="21"/>
          <w:szCs w:val="21"/>
          <w:lang w:eastAsia="zh-CN"/>
        </w:rPr>
        <w:t>.变异检出的敏感性受到送检样本中恶性肿瘤细胞比例的影响。{% if summaryOfRresults.type == “tissue” %}</w:t>
      </w:r>
    </w:p>
    <w:p w14:paraId="2CA70856">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10</w:t>
      </w:r>
      <w:r>
        <w:rPr>
          <w:rFonts w:hint="eastAsia" w:ascii="Times New Roman" w:hAnsi="Times New Roman" w:eastAsia="微软雅黑" w:cs="Times New Roman"/>
          <w:bCs/>
          <w:sz w:val="21"/>
          <w:szCs w:val="21"/>
          <w:lang w:eastAsia="zh-CN"/>
        </w:rPr>
        <w:t>.肿瘤发展或治疗过程中可能出现获得性基因变异，从而使癌症的突变谱发生变化，同时肿瘤也可能存在肿瘤间和肿瘤内的异质性。{% endif %}{% if summaryOfRresults.type == “</w:t>
      </w:r>
      <w:r>
        <w:rPr>
          <w:rFonts w:hint="eastAsia" w:ascii="Times New Roman" w:hAnsi="Times New Roman" w:eastAsia="微软雅黑" w:cs="Times New Roman"/>
          <w:bCs/>
          <w:sz w:val="21"/>
          <w:szCs w:val="21"/>
          <w:lang w:val="en-US" w:eastAsia="zh-CN"/>
        </w:rPr>
        <w:t>blood</w:t>
      </w:r>
      <w:r>
        <w:rPr>
          <w:rFonts w:hint="eastAsia" w:ascii="Times New Roman" w:hAnsi="Times New Roman" w:eastAsia="微软雅黑" w:cs="Times New Roman"/>
          <w:bCs/>
          <w:sz w:val="21"/>
          <w:szCs w:val="21"/>
          <w:lang w:eastAsia="zh-CN"/>
        </w:rPr>
        <w:t>” %}</w:t>
      </w:r>
    </w:p>
    <w:p w14:paraId="4882D3CC">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val="en-US" w:eastAsia="zh-CN"/>
        </w:rPr>
        <w:t>10</w:t>
      </w:r>
      <w:r>
        <w:rPr>
          <w:rFonts w:hint="eastAsia" w:ascii="Times New Roman" w:hAnsi="Times New Roman" w:eastAsia="微软雅黑" w:cs="Times New Roman"/>
          <w:bCs/>
          <w:sz w:val="21"/>
          <w:szCs w:val="21"/>
          <w:lang w:eastAsia="zh-CN"/>
        </w:rPr>
        <w:t>.外周血游离DNA(cfDNA)主要来自于正常细胞，其中的循环肿瘤DNA(ctDNA)占比一般极低。由于ctDNA占比受到肿瘤分期、肿瘤全身负荷、转移部位及当前治疗状况等多种因素的影响，ctDNA变异丰度与组织中的变异丰度不具备直接关联性；血浆中循环 DNA 源自病灶部位细胞释放入血液，并非所有病变细胞的变异都能释放入血，因此血浆中可检测到的变异可能无法完全反映病灶部位全部细胞变异情况。</w:t>
      </w:r>
    </w:p>
    <w:p w14:paraId="2E2EC64E">
      <w:pPr>
        <w:spacing w:line="276" w:lineRule="auto"/>
        <w:ind w:firstLine="420" w:firstLineChars="200"/>
        <w:jc w:val="both"/>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lang w:val="en-US" w:eastAsia="zh-CN"/>
        </w:rPr>
        <w:t>11</w:t>
      </w:r>
      <w:r>
        <w:rPr>
          <w:rFonts w:hint="eastAsia" w:ascii="Times New Roman" w:hAnsi="Times New Roman" w:eastAsia="微软雅黑" w:cs="Times New Roman"/>
          <w:bCs/>
          <w:sz w:val="21"/>
          <w:szCs w:val="21"/>
          <w:lang w:eastAsia="zh-CN"/>
        </w:rPr>
        <w:t>.肿瘤发展或治疗过程中可能出现获得性基因变异，从而使癌症的突变谱发生变化，同时肿瘤也可能存在肿瘤间和肿瘤内的异质性。{% endif %}</w:t>
      </w:r>
    </w:p>
    <w:p w14:paraId="5C16FA0E">
      <w:pPr>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eastAsia="zh-CN"/>
        </w:rPr>
        <w:br w:type="page"/>
      </w:r>
    </w:p>
    <w:bookmarkEnd w:id="183"/>
    <w:bookmarkEnd w:id="184"/>
    <w:bookmarkEnd w:id="185"/>
    <w:p w14:paraId="3BAF8A42">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196" w:name="_Toc13979"/>
      <w:bookmarkStart w:id="197" w:name="_Toc1660"/>
      <w:r>
        <w:rPr>
          <w:rFonts w:hint="eastAsia" w:ascii="Times New Roman" w:hAnsi="Times New Roman"/>
          <w:color w:val="auto"/>
          <w:sz w:val="30"/>
          <w:lang w:eastAsia="zh-CN"/>
        </w:rPr>
        <w:t>参考文献</w:t>
      </w:r>
      <w:bookmarkEnd w:id="186"/>
      <w:bookmarkEnd w:id="187"/>
      <w:bookmarkEnd w:id="188"/>
      <w:bookmarkEnd w:id="189"/>
      <w:bookmarkEnd w:id="196"/>
      <w:bookmarkEnd w:id="197"/>
    </w:p>
    <w:bookmarkEnd w:id="190"/>
    <w:bookmarkEnd w:id="191"/>
    <w:bookmarkEnd w:id="192"/>
    <w:bookmarkEnd w:id="193"/>
    <w:bookmarkEnd w:id="194"/>
    <w:bookmarkEnd w:id="195"/>
    <w:p w14:paraId="6E0F4AE2">
      <w:pPr>
        <w:keepNext w:val="0"/>
        <w:keepLines w:val="0"/>
        <w:pageBreakBefore w:val="0"/>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lang w:eastAsia="zh-CN" w:bidi="ar"/>
        </w:rPr>
        <w:t xml:space="preserve">Shaw AT, Bauer TM, de Marinis F, </w:t>
      </w:r>
      <w:r>
        <w:rPr>
          <w:rFonts w:ascii="Times New Roman" w:hAnsi="Times New Roman" w:cs="Times New Roman"/>
          <w:sz w:val="15"/>
          <w:szCs w:val="15"/>
          <w:shd w:val="clear" w:color="auto" w:fill="FFFFFF"/>
          <w:lang w:eastAsia="zh-CN" w:bidi="ar"/>
        </w:rPr>
        <w:t>et al</w:t>
      </w:r>
      <w:r>
        <w:rPr>
          <w:rFonts w:ascii="Times New Roman" w:hAnsi="Times New Roman" w:eastAsia="Segoe UI" w:cs="Times New Roman"/>
          <w:sz w:val="15"/>
          <w:szCs w:val="15"/>
          <w:shd w:val="clear" w:color="auto" w:fill="FFFFFF"/>
          <w:lang w:eastAsia="zh-CN" w:bidi="ar"/>
        </w:rPr>
        <w:t>. First-</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ine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orlatinib or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 xml:space="preserve">rizotinib in </w:t>
      </w:r>
      <w:r>
        <w:rPr>
          <w:rFonts w:ascii="Times New Roman" w:hAnsi="Times New Roman" w:cs="Times New Roman"/>
          <w:sz w:val="15"/>
          <w:szCs w:val="15"/>
          <w:shd w:val="clear" w:color="auto" w:fill="FFFFFF"/>
          <w:lang w:eastAsia="zh-CN" w:bidi="ar"/>
        </w:rPr>
        <w:t>a</w:t>
      </w:r>
      <w:r>
        <w:rPr>
          <w:rFonts w:ascii="Times New Roman" w:hAnsi="Times New Roman" w:eastAsia="Segoe UI" w:cs="Times New Roman"/>
          <w:sz w:val="15"/>
          <w:szCs w:val="15"/>
          <w:shd w:val="clear" w:color="auto" w:fill="FFFFFF"/>
          <w:lang w:eastAsia="zh-CN" w:bidi="ar"/>
        </w:rPr>
        <w:t>dvanced</w:t>
      </w:r>
      <w:r>
        <w:rPr>
          <w:rFonts w:hint="eastAsia" w:ascii="Times New Roman" w:hAnsi="Times New Roman" w:eastAsia="Segoe UI" w:cs="Times New Roman"/>
          <w:sz w:val="15"/>
          <w:szCs w:val="15"/>
          <w:shd w:val="clear" w:color="auto" w:fill="FFFFFF"/>
          <w:lang w:eastAsia="zh-CN" w:bidi="ar"/>
        </w:rPr>
        <w:t xml:space="preserve"> </w:t>
      </w:r>
      <w:r>
        <w:rPr>
          <w:rFonts w:ascii="Times New Roman" w:hAnsi="Times New Roman" w:eastAsia="Segoe UI" w:cs="Times New Roman"/>
          <w:sz w:val="15"/>
          <w:szCs w:val="15"/>
          <w:shd w:val="clear" w:color="auto" w:fill="FFFFFF"/>
          <w:lang w:eastAsia="zh-CN" w:bidi="ar"/>
        </w:rPr>
        <w:t>ALK-</w:t>
      </w:r>
      <w:r>
        <w:rPr>
          <w:rFonts w:ascii="Times New Roman" w:hAnsi="Times New Roman" w:cs="Times New Roman"/>
          <w:sz w:val="15"/>
          <w:szCs w:val="15"/>
          <w:shd w:val="clear" w:color="auto" w:fill="FFFFFF"/>
          <w:lang w:eastAsia="zh-CN" w:bidi="ar"/>
        </w:rPr>
        <w:t>p</w:t>
      </w:r>
      <w:r>
        <w:rPr>
          <w:rFonts w:ascii="Times New Roman" w:hAnsi="Times New Roman" w:eastAsia="Segoe UI" w:cs="Times New Roman"/>
          <w:sz w:val="15"/>
          <w:szCs w:val="15"/>
          <w:shd w:val="clear" w:color="auto" w:fill="FFFFFF"/>
          <w:lang w:eastAsia="zh-CN" w:bidi="ar"/>
        </w:rPr>
        <w:t xml:space="preserve">ositive </w:t>
      </w:r>
      <w:r>
        <w:rPr>
          <w:rFonts w:ascii="Times New Roman" w:hAnsi="Times New Roman" w:cs="Times New Roman"/>
          <w:sz w:val="15"/>
          <w:szCs w:val="15"/>
          <w:shd w:val="clear" w:color="auto" w:fill="FFFFFF"/>
          <w:lang w:eastAsia="zh-CN" w:bidi="ar"/>
        </w:rPr>
        <w:t>l</w:t>
      </w:r>
      <w:r>
        <w:rPr>
          <w:rFonts w:ascii="Times New Roman" w:hAnsi="Times New Roman" w:eastAsia="Segoe UI" w:cs="Times New Roman"/>
          <w:sz w:val="15"/>
          <w:szCs w:val="15"/>
          <w:shd w:val="clear" w:color="auto" w:fill="FFFFFF"/>
          <w:lang w:eastAsia="zh-CN" w:bidi="ar"/>
        </w:rPr>
        <w:t xml:space="preserve">ung </w:t>
      </w:r>
      <w:r>
        <w:rPr>
          <w:rFonts w:ascii="Times New Roman" w:hAnsi="Times New Roman" w:cs="Times New Roman"/>
          <w:sz w:val="15"/>
          <w:szCs w:val="15"/>
          <w:shd w:val="clear" w:color="auto" w:fill="FFFFFF"/>
          <w:lang w:eastAsia="zh-CN" w:bidi="ar"/>
        </w:rPr>
        <w:t>c</w:t>
      </w:r>
      <w:r>
        <w:rPr>
          <w:rFonts w:ascii="Times New Roman" w:hAnsi="Times New Roman" w:eastAsia="Segoe UI" w:cs="Times New Roman"/>
          <w:sz w:val="15"/>
          <w:szCs w:val="15"/>
          <w:shd w:val="clear" w:color="auto" w:fill="FFFFFF"/>
          <w:lang w:eastAsia="zh-CN" w:bidi="ar"/>
        </w:rPr>
        <w:t>ancer. N Engl J Med. 2020</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 xml:space="preserve">383(21):2018-2029. </w:t>
      </w:r>
      <w:r>
        <w:rPr>
          <w:rFonts w:ascii="Times New Roman" w:hAnsi="Times New Roman" w:cs="Times New Roman"/>
          <w:sz w:val="15"/>
          <w:szCs w:val="15"/>
          <w:shd w:val="clear" w:color="auto" w:fill="FFFFFF"/>
          <w:lang w:eastAsia="zh-CN" w:bidi="ar"/>
        </w:rPr>
        <w:t>[</w:t>
      </w:r>
      <w:r>
        <w:rPr>
          <w:rFonts w:ascii="Times New Roman" w:hAnsi="Times New Roman" w:eastAsia="Segoe UI" w:cs="Times New Roman"/>
          <w:sz w:val="15"/>
          <w:szCs w:val="15"/>
          <w:shd w:val="clear" w:color="auto" w:fill="FFFFFF"/>
          <w:lang w:eastAsia="zh-CN" w:bidi="ar"/>
        </w:rPr>
        <w:t>PMID: 33207094</w:t>
      </w:r>
      <w:r>
        <w:rPr>
          <w:rFonts w:ascii="Times New Roman" w:hAnsi="Times New Roman" w:cs="Times New Roman"/>
          <w:sz w:val="15"/>
          <w:szCs w:val="15"/>
          <w:shd w:val="clear" w:color="auto" w:fill="FFFFFF"/>
          <w:lang w:eastAsia="zh-CN" w:bidi="ar"/>
        </w:rPr>
        <w:t>]</w:t>
      </w:r>
    </w:p>
    <w:p w14:paraId="4C83F249">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rPr>
        <w:t>Fangusaro J, Onar-Thomas A, Poussaint TY, et al. Selumetinib in paediatric patients with BRAFaberrant or neurofibromatosis type 1-associated recurrent, refractory, or progressive low-grade glioma: a multicentre, phase 2 trial. Lancet Oncol 2019;20:1011-1022</w:t>
      </w:r>
      <w:r>
        <w:rPr>
          <w:rFonts w:ascii="Times New Roman" w:hAnsi="Times New Roman" w:cs="Times New Roman"/>
          <w:sz w:val="15"/>
          <w:szCs w:val="15"/>
          <w:lang w:eastAsia="zh-CN"/>
        </w:rPr>
        <w:t>. [PMID: 31151904]</w:t>
      </w:r>
    </w:p>
    <w:p w14:paraId="37C5ED9B">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cs="Times New Roman"/>
          <w:sz w:val="15"/>
          <w:szCs w:val="15"/>
        </w:rPr>
      </w:pPr>
      <w:r>
        <w:rPr>
          <w:rFonts w:ascii="Times New Roman" w:hAnsi="Times New Roman" w:cs="Times New Roman"/>
          <w:sz w:val="15"/>
          <w:szCs w:val="15"/>
        </w:rPr>
        <w:t xml:space="preserve">Gutzmer R, Stroyakovskiy D, Gogas H, et al. Atezolizumab, </w:t>
      </w:r>
      <w:r>
        <w:rPr>
          <w:rFonts w:ascii="Times New Roman" w:hAnsi="Times New Roman" w:cs="Times New Roman"/>
          <w:sz w:val="15"/>
          <w:szCs w:val="15"/>
          <w:lang w:eastAsia="zh-CN"/>
        </w:rPr>
        <w:t>v</w:t>
      </w:r>
      <w:r>
        <w:rPr>
          <w:rFonts w:ascii="Times New Roman" w:hAnsi="Times New Roman" w:cs="Times New Roman"/>
          <w:sz w:val="15"/>
          <w:szCs w:val="15"/>
        </w:rPr>
        <w:t xml:space="preserve">emurafenib, and </w:t>
      </w:r>
      <w:r>
        <w:rPr>
          <w:rFonts w:ascii="Times New Roman" w:hAnsi="Times New Roman" w:cs="Times New Roman"/>
          <w:sz w:val="15"/>
          <w:szCs w:val="15"/>
          <w:lang w:eastAsia="zh-CN"/>
        </w:rPr>
        <w:t>c</w:t>
      </w:r>
      <w:r>
        <w:rPr>
          <w:rFonts w:ascii="Times New Roman" w:hAnsi="Times New Roman" w:cs="Times New Roman"/>
          <w:sz w:val="15"/>
          <w:szCs w:val="15"/>
        </w:rPr>
        <w:t xml:space="preserve">obimetinib as </w:t>
      </w:r>
      <w:r>
        <w:rPr>
          <w:rFonts w:ascii="Times New Roman" w:hAnsi="Times New Roman" w:cs="Times New Roman"/>
          <w:sz w:val="15"/>
          <w:szCs w:val="15"/>
          <w:lang w:eastAsia="zh-CN"/>
        </w:rPr>
        <w:t>f</w:t>
      </w:r>
      <w:r>
        <w:rPr>
          <w:rFonts w:ascii="Times New Roman" w:hAnsi="Times New Roman" w:cs="Times New Roman"/>
          <w:sz w:val="15"/>
          <w:szCs w:val="15"/>
        </w:rPr>
        <w:t>irst-</w:t>
      </w:r>
      <w:r>
        <w:rPr>
          <w:rFonts w:ascii="Times New Roman" w:hAnsi="Times New Roman" w:cs="Times New Roman"/>
          <w:sz w:val="15"/>
          <w:szCs w:val="15"/>
          <w:lang w:eastAsia="zh-CN"/>
        </w:rPr>
        <w:t>l</w:t>
      </w:r>
      <w:r>
        <w:rPr>
          <w:rFonts w:ascii="Times New Roman" w:hAnsi="Times New Roman" w:cs="Times New Roman"/>
          <w:sz w:val="15"/>
          <w:szCs w:val="15"/>
        </w:rPr>
        <w:t>ine</w:t>
      </w:r>
      <w:r>
        <w:rPr>
          <w:rFonts w:ascii="Times New Roman" w:hAnsi="Times New Roman" w:cs="Times New Roman"/>
          <w:sz w:val="15"/>
          <w:szCs w:val="15"/>
          <w:lang w:eastAsia="zh-CN"/>
        </w:rPr>
        <w:t xml:space="preserve"> t</w:t>
      </w:r>
      <w:r>
        <w:rPr>
          <w:rFonts w:ascii="Times New Roman" w:hAnsi="Times New Roman" w:cs="Times New Roman"/>
          <w:sz w:val="15"/>
          <w:szCs w:val="15"/>
        </w:rPr>
        <w:t xml:space="preserve">reatment for </w:t>
      </w:r>
      <w:r>
        <w:rPr>
          <w:rFonts w:ascii="Times New Roman" w:hAnsi="Times New Roman" w:cs="Times New Roman"/>
          <w:sz w:val="15"/>
          <w:szCs w:val="15"/>
          <w:lang w:eastAsia="zh-CN"/>
        </w:rPr>
        <w:t>u</w:t>
      </w:r>
      <w:r>
        <w:rPr>
          <w:rFonts w:ascii="Times New Roman" w:hAnsi="Times New Roman" w:cs="Times New Roman"/>
          <w:sz w:val="15"/>
          <w:szCs w:val="15"/>
        </w:rPr>
        <w:t xml:space="preserve">nresectable </w:t>
      </w:r>
      <w:r>
        <w:rPr>
          <w:rFonts w:ascii="Times New Roman" w:hAnsi="Times New Roman" w:cs="Times New Roman"/>
          <w:sz w:val="15"/>
          <w:szCs w:val="15"/>
          <w:lang w:eastAsia="zh-CN"/>
        </w:rPr>
        <w:t>a</w:t>
      </w:r>
      <w:r>
        <w:rPr>
          <w:rFonts w:ascii="Times New Roman" w:hAnsi="Times New Roman" w:cs="Times New Roman"/>
          <w:sz w:val="15"/>
          <w:szCs w:val="15"/>
        </w:rPr>
        <w:t xml:space="preserve">dvanced BRAF V600 </w:t>
      </w:r>
      <w:r>
        <w:rPr>
          <w:rFonts w:ascii="Times New Roman" w:hAnsi="Times New Roman" w:cs="Times New Roman"/>
          <w:sz w:val="15"/>
          <w:szCs w:val="15"/>
          <w:lang w:eastAsia="zh-CN"/>
        </w:rPr>
        <w:t>m</w:t>
      </w:r>
      <w:r>
        <w:rPr>
          <w:rFonts w:ascii="Times New Roman" w:hAnsi="Times New Roman" w:cs="Times New Roman"/>
          <w:sz w:val="15"/>
          <w:szCs w:val="15"/>
        </w:rPr>
        <w:t>utation-</w:t>
      </w:r>
      <w:r>
        <w:rPr>
          <w:rFonts w:ascii="Times New Roman" w:hAnsi="Times New Roman" w:cs="Times New Roman"/>
          <w:sz w:val="15"/>
          <w:szCs w:val="15"/>
          <w:lang w:eastAsia="zh-CN"/>
        </w:rPr>
        <w:t>p</w:t>
      </w:r>
      <w:r>
        <w:rPr>
          <w:rFonts w:ascii="Times New Roman" w:hAnsi="Times New Roman" w:cs="Times New Roman"/>
          <w:sz w:val="15"/>
          <w:szCs w:val="15"/>
        </w:rPr>
        <w:t xml:space="preserve">ositive </w:t>
      </w:r>
      <w:r>
        <w:rPr>
          <w:rFonts w:ascii="Times New Roman" w:hAnsi="Times New Roman" w:cs="Times New Roman"/>
          <w:sz w:val="15"/>
          <w:szCs w:val="15"/>
          <w:lang w:eastAsia="zh-CN"/>
        </w:rPr>
        <w:t>m</w:t>
      </w:r>
      <w:r>
        <w:rPr>
          <w:rFonts w:ascii="Times New Roman" w:hAnsi="Times New Roman" w:cs="Times New Roman"/>
          <w:sz w:val="15"/>
          <w:szCs w:val="15"/>
        </w:rPr>
        <w:t xml:space="preserve">elanoma (IMspire150): Primary </w:t>
      </w:r>
      <w:r>
        <w:rPr>
          <w:rFonts w:ascii="Times New Roman" w:hAnsi="Times New Roman" w:cs="Times New Roman"/>
          <w:sz w:val="15"/>
          <w:szCs w:val="15"/>
          <w:lang w:eastAsia="zh-CN"/>
        </w:rPr>
        <w:t>a</w:t>
      </w:r>
      <w:r>
        <w:rPr>
          <w:rFonts w:ascii="Times New Roman" w:hAnsi="Times New Roman" w:cs="Times New Roman"/>
          <w:sz w:val="15"/>
          <w:szCs w:val="15"/>
        </w:rPr>
        <w:t xml:space="preserve">nalysis of the </w:t>
      </w:r>
      <w:r>
        <w:rPr>
          <w:rFonts w:ascii="Times New Roman" w:hAnsi="Times New Roman" w:cs="Times New Roman"/>
          <w:sz w:val="15"/>
          <w:szCs w:val="15"/>
          <w:lang w:eastAsia="zh-CN"/>
        </w:rPr>
        <w:t>r</w:t>
      </w:r>
      <w:r>
        <w:rPr>
          <w:rFonts w:ascii="Times New Roman" w:hAnsi="Times New Roman" w:cs="Times New Roman"/>
          <w:sz w:val="15"/>
          <w:szCs w:val="15"/>
        </w:rPr>
        <w:t xml:space="preserve">andomised, </w:t>
      </w:r>
      <w:r>
        <w:rPr>
          <w:rFonts w:ascii="Times New Roman" w:hAnsi="Times New Roman" w:cs="Times New Roman"/>
          <w:sz w:val="15"/>
          <w:szCs w:val="15"/>
          <w:lang w:eastAsia="zh-CN"/>
        </w:rPr>
        <w:t>d</w:t>
      </w:r>
      <w:r>
        <w:rPr>
          <w:rFonts w:ascii="Times New Roman" w:hAnsi="Times New Roman" w:cs="Times New Roman"/>
          <w:sz w:val="15"/>
          <w:szCs w:val="15"/>
        </w:rPr>
        <w:t>ouble-</w:t>
      </w:r>
      <w:r>
        <w:rPr>
          <w:rFonts w:ascii="Times New Roman" w:hAnsi="Times New Roman" w:cs="Times New Roman"/>
          <w:sz w:val="15"/>
          <w:szCs w:val="15"/>
          <w:lang w:eastAsia="zh-CN"/>
        </w:rPr>
        <w:t>b</w:t>
      </w:r>
      <w:r>
        <w:rPr>
          <w:rFonts w:ascii="Times New Roman" w:hAnsi="Times New Roman" w:cs="Times New Roman"/>
          <w:sz w:val="15"/>
          <w:szCs w:val="15"/>
        </w:rPr>
        <w:t xml:space="preserve">lind, </w:t>
      </w:r>
      <w:r>
        <w:rPr>
          <w:rFonts w:ascii="Times New Roman" w:hAnsi="Times New Roman" w:cs="Times New Roman"/>
          <w:sz w:val="15"/>
          <w:szCs w:val="15"/>
          <w:lang w:eastAsia="zh-CN"/>
        </w:rPr>
        <w:t>p</w:t>
      </w:r>
      <w:r>
        <w:rPr>
          <w:rFonts w:ascii="Times New Roman" w:hAnsi="Times New Roman" w:cs="Times New Roman"/>
          <w:sz w:val="15"/>
          <w:szCs w:val="15"/>
        </w:rPr>
        <w:t>lacebo-</w:t>
      </w:r>
      <w:r>
        <w:rPr>
          <w:rFonts w:ascii="Times New Roman" w:hAnsi="Times New Roman" w:cs="Times New Roman"/>
          <w:sz w:val="15"/>
          <w:szCs w:val="15"/>
          <w:lang w:eastAsia="zh-CN"/>
        </w:rPr>
        <w:t>c</w:t>
      </w:r>
      <w:r>
        <w:rPr>
          <w:rFonts w:ascii="Times New Roman" w:hAnsi="Times New Roman" w:cs="Times New Roman"/>
          <w:sz w:val="15"/>
          <w:szCs w:val="15"/>
        </w:rPr>
        <w:t xml:space="preserve">ontrolled, </w:t>
      </w:r>
      <w:r>
        <w:rPr>
          <w:rFonts w:ascii="Times New Roman" w:hAnsi="Times New Roman" w:cs="Times New Roman"/>
          <w:sz w:val="15"/>
          <w:szCs w:val="15"/>
          <w:lang w:eastAsia="zh-CN"/>
        </w:rPr>
        <w:t>p</w:t>
      </w:r>
      <w:r>
        <w:rPr>
          <w:rFonts w:ascii="Times New Roman" w:hAnsi="Times New Roman" w:cs="Times New Roman"/>
          <w:sz w:val="15"/>
          <w:szCs w:val="15"/>
        </w:rPr>
        <w:t xml:space="preserve">hase 3 </w:t>
      </w:r>
      <w:r>
        <w:rPr>
          <w:rFonts w:ascii="Times New Roman" w:hAnsi="Times New Roman" w:cs="Times New Roman"/>
          <w:sz w:val="15"/>
          <w:szCs w:val="15"/>
          <w:lang w:eastAsia="zh-CN"/>
        </w:rPr>
        <w:t>t</w:t>
      </w:r>
      <w:r>
        <w:rPr>
          <w:rFonts w:ascii="Times New Roman" w:hAnsi="Times New Roman" w:cs="Times New Roman"/>
          <w:sz w:val="15"/>
          <w:szCs w:val="15"/>
        </w:rPr>
        <w:t>rial. Lancet</w:t>
      </w:r>
      <w:r>
        <w:rPr>
          <w:rFonts w:ascii="Times New Roman" w:hAnsi="Times New Roman" w:cs="Times New Roman"/>
          <w:sz w:val="15"/>
          <w:szCs w:val="15"/>
          <w:lang w:eastAsia="zh-CN"/>
        </w:rPr>
        <w:t>.</w:t>
      </w:r>
      <w:r>
        <w:rPr>
          <w:rFonts w:ascii="Times New Roman" w:hAnsi="Times New Roman" w:cs="Times New Roman"/>
          <w:sz w:val="15"/>
          <w:szCs w:val="15"/>
        </w:rPr>
        <w:t xml:space="preserve"> 2020</w:t>
      </w:r>
      <w:r>
        <w:rPr>
          <w:rFonts w:ascii="Times New Roman" w:hAnsi="Times New Roman" w:cs="Times New Roman"/>
          <w:sz w:val="15"/>
          <w:szCs w:val="15"/>
          <w:lang w:eastAsia="zh-CN"/>
        </w:rPr>
        <w:t>;</w:t>
      </w:r>
      <w:r>
        <w:rPr>
          <w:rFonts w:ascii="Times New Roman" w:hAnsi="Times New Roman" w:cs="Times New Roman"/>
          <w:sz w:val="15"/>
          <w:szCs w:val="15"/>
        </w:rPr>
        <w:t>395(10240):1835-1844.</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32534646]</w:t>
      </w:r>
    </w:p>
    <w:p w14:paraId="7B17BE81">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Van Cutsem E, Hujberts S, Grothey A, et al. Binimetinib,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ncorafenib,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etuximab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 xml:space="preserve">riplet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herapy for</w:t>
      </w:r>
      <w:r>
        <w:rPr>
          <w:rFonts w:ascii="Times New Roman" w:hAnsi="Times New Roman" w:eastAsia="微软雅黑" w:cs="Times New Roman"/>
          <w:sz w:val="15"/>
          <w:szCs w:val="15"/>
          <w:lang w:eastAsia="zh-CN"/>
        </w:rPr>
        <w:t xml:space="preserve"> 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utant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etastatic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Safety </w:t>
      </w:r>
      <w:r>
        <w:rPr>
          <w:rFonts w:ascii="Times New Roman" w:hAnsi="Times New Roman" w:eastAsia="微软雅黑" w:cs="Times New Roman"/>
          <w:sz w:val="15"/>
          <w:szCs w:val="15"/>
          <w:lang w:eastAsia="zh-CN"/>
        </w:rPr>
        <w:t>l</w:t>
      </w:r>
      <w:r>
        <w:rPr>
          <w:rFonts w:ascii="Times New Roman" w:hAnsi="Times New Roman" w:eastAsia="微软雅黑" w:cs="Times New Roman"/>
          <w:sz w:val="15"/>
          <w:szCs w:val="15"/>
        </w:rPr>
        <w:t>ead-</w:t>
      </w:r>
      <w:r>
        <w:rPr>
          <w:rFonts w:ascii="Times New Roman" w:hAnsi="Times New Roman" w:eastAsia="微软雅黑" w:cs="Times New Roman"/>
          <w:sz w:val="15"/>
          <w:szCs w:val="15"/>
          <w:lang w:eastAsia="zh-CN"/>
        </w:rPr>
        <w:t>i</w:t>
      </w:r>
      <w:r>
        <w:rPr>
          <w:rFonts w:ascii="Times New Roman" w:hAnsi="Times New Roman" w:eastAsia="微软雅黑" w:cs="Times New Roman"/>
          <w:sz w:val="15"/>
          <w:szCs w:val="15"/>
        </w:rPr>
        <w:t xml:space="preserve">n </w:t>
      </w:r>
      <w:r>
        <w:rPr>
          <w:rFonts w:ascii="Times New Roman" w:hAnsi="Times New Roman" w:eastAsia="微软雅黑" w:cs="Times New Roman"/>
          <w:sz w:val="15"/>
          <w:szCs w:val="15"/>
          <w:lang w:eastAsia="zh-CN"/>
        </w:rPr>
        <w:t>r</w:t>
      </w:r>
      <w:r>
        <w:rPr>
          <w:rFonts w:ascii="Times New Roman" w:hAnsi="Times New Roman" w:eastAsia="微软雅黑" w:cs="Times New Roman"/>
          <w:sz w:val="15"/>
          <w:szCs w:val="15"/>
        </w:rPr>
        <w:t>esults</w:t>
      </w:r>
      <w:r>
        <w:rPr>
          <w:rFonts w:ascii="Times New Roman" w:hAnsi="Times New Roman" w:eastAsia="微软雅黑" w:cs="Times New Roman"/>
          <w:sz w:val="15"/>
          <w:szCs w:val="15"/>
          <w:lang w:eastAsia="zh-CN"/>
        </w:rPr>
        <w:t xml:space="preserve"> f</w:t>
      </w:r>
      <w:r>
        <w:rPr>
          <w:rFonts w:ascii="Times New Roman" w:hAnsi="Times New Roman" w:eastAsia="微软雅黑" w:cs="Times New Roman"/>
          <w:sz w:val="15"/>
          <w:szCs w:val="15"/>
        </w:rPr>
        <w:t xml:space="preserve">rom the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III BEACON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w:t>
      </w:r>
      <w:r>
        <w:rPr>
          <w:rFonts w:ascii="Times New Roman" w:hAnsi="Times New Roman" w:eastAsia="微软雅黑" w:cs="Times New Roman"/>
          <w:sz w:val="15"/>
          <w:szCs w:val="15"/>
          <w:lang w:eastAsia="zh-CN"/>
        </w:rPr>
        <w:t>s</w:t>
      </w:r>
      <w:r>
        <w:rPr>
          <w:rFonts w:ascii="Times New Roman" w:hAnsi="Times New Roman" w:eastAsia="微软雅黑" w:cs="Times New Roman"/>
          <w:sz w:val="15"/>
          <w:szCs w:val="15"/>
        </w:rPr>
        <w:t xml:space="preserve">tudy. J Clin Oncol. 2019;37(17):1460-1469. </w:t>
      </w:r>
      <w:r>
        <w:rPr>
          <w:rFonts w:ascii="Times New Roman" w:hAnsi="Times New Roman"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30892987</w:t>
      </w:r>
      <w:r>
        <w:rPr>
          <w:rFonts w:ascii="Times New Roman" w:hAnsi="Times New Roman" w:eastAsia="微软雅黑" w:cs="Times New Roman"/>
          <w:sz w:val="15"/>
          <w:szCs w:val="15"/>
          <w:lang w:eastAsia="zh-CN"/>
        </w:rPr>
        <w:t>]</w:t>
      </w:r>
    </w:p>
    <w:p w14:paraId="0CD6335F">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 xml:space="preserve">Kopetz S, Grothey A, Yaeger R, et al. Encorafenib, </w:t>
      </w:r>
      <w:r>
        <w:rPr>
          <w:rFonts w:ascii="Times New Roman" w:hAnsi="Times New Roman" w:eastAsia="微软雅黑" w:cs="Times New Roman"/>
          <w:sz w:val="15"/>
          <w:szCs w:val="15"/>
          <w:lang w:eastAsia="zh-CN"/>
        </w:rPr>
        <w:t>b</w:t>
      </w:r>
      <w:r>
        <w:rPr>
          <w:rFonts w:ascii="Times New Roman" w:hAnsi="Times New Roman" w:eastAsia="微软雅黑" w:cs="Times New Roman"/>
          <w:sz w:val="15"/>
          <w:szCs w:val="15"/>
        </w:rPr>
        <w:t xml:space="preserve">inimetinib, and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etuximab in BRAF V600E-</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olorectal </w:t>
      </w:r>
      <w:r>
        <w:rPr>
          <w:rFonts w:ascii="Times New Roman" w:hAnsi="Times New Roman" w:eastAsia="微软雅黑" w:cs="Times New Roman"/>
          <w:sz w:val="15"/>
          <w:szCs w:val="15"/>
          <w:lang w:eastAsia="zh-CN"/>
        </w:rPr>
        <w:t>c</w:t>
      </w:r>
      <w:r>
        <w:rPr>
          <w:rFonts w:ascii="Times New Roman" w:hAnsi="Times New Roman" w:eastAsia="微软雅黑" w:cs="Times New Roman"/>
          <w:sz w:val="15"/>
          <w:szCs w:val="15"/>
        </w:rPr>
        <w:t xml:space="preserve">ancer. N Engl J Med. 2019;381(17):1632-1643.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31566309</w:t>
      </w:r>
      <w:r>
        <w:rPr>
          <w:rFonts w:ascii="Times New Roman" w:hAnsi="Times New Roman" w:eastAsia="微软雅黑" w:cs="Times New Roman"/>
          <w:sz w:val="15"/>
          <w:szCs w:val="15"/>
          <w:lang w:eastAsia="zh-CN"/>
        </w:rPr>
        <w:t>]</w:t>
      </w:r>
    </w:p>
    <w:p w14:paraId="362BDB80">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 xml:space="preserve">Kopetz S, Grothey A, Van CutsemE,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t al. Encorafenib plus cetuximab with or without binimetinib for BRAF V600E-mutant metastatic colorectal cancer: Quality-of-life results from a randomized, three-arm, phase III study versus the choice of either irinotecan or FOLFIRI plus cetuximab (BEACON CRC). J Clin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2020;38(suppl 4</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abstr 8</w:t>
      </w:r>
      <w:r>
        <w:rPr>
          <w:rFonts w:ascii="Times New Roman" w:hAnsi="Times New Roman" w:eastAsia="微软雅黑" w:cs="Times New Roman"/>
          <w:sz w:val="15"/>
          <w:szCs w:val="15"/>
          <w:lang w:eastAsia="zh-CN"/>
        </w:rPr>
        <w:t>.</w:t>
      </w:r>
    </w:p>
    <w:p w14:paraId="3F680B4E">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Nakagawa K, Garon EB, Seto T,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Ramucirumab plus erlotinib in patients with untreated, EGFR-mutated, advanced non-small-cell lung cancer (RELAY): a randomised, double-blind, placebo-controlled, phase 3 trial. Lancet Oncol. 2019;20(12):1655-1669.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31591063</w:t>
      </w:r>
      <w:r>
        <w:rPr>
          <w:rFonts w:ascii="Times New Roman" w:hAnsi="Times New Roman" w:cs="Times New Roman"/>
          <w:sz w:val="15"/>
          <w:szCs w:val="15"/>
          <w:shd w:val="clear" w:color="auto" w:fill="FFFFFF"/>
          <w:lang w:eastAsia="zh-CN"/>
        </w:rPr>
        <w:t>]</w:t>
      </w:r>
    </w:p>
    <w:p w14:paraId="00CB3FA1">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Yang JCH, Camidge DR, Yang CT, et 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Safety,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fficacy, and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harmacokinetics of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lmonertinib (HS-10296) in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retreated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EGFR-</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dvanced NSCLC: A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ulticenter, </w:t>
      </w:r>
      <w:r>
        <w:rPr>
          <w:rFonts w:ascii="Times New Roman" w:hAnsi="Times New Roman" w:eastAsia="微软雅黑" w:cs="Times New Roman"/>
          <w:sz w:val="15"/>
          <w:szCs w:val="15"/>
          <w:lang w:eastAsia="zh-CN"/>
        </w:rPr>
        <w:t>o</w:t>
      </w:r>
      <w:r>
        <w:rPr>
          <w:rFonts w:ascii="Times New Roman" w:hAnsi="Times New Roman" w:eastAsia="微软雅黑" w:cs="Times New Roman"/>
          <w:sz w:val="15"/>
          <w:szCs w:val="15"/>
        </w:rPr>
        <w:t xml:space="preserve">pen-label,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1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rial. J Thorac Oncol. 2020;15(12):1907-1918.</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[PMID: 32916310]</w:t>
      </w:r>
    </w:p>
    <w:p w14:paraId="75320CA7">
      <w:pPr>
        <w:pStyle w:val="41"/>
        <w:keepNext w:val="0"/>
        <w:keepLines w:val="0"/>
        <w:pageBreakBefore w:val="0"/>
        <w:kinsoku/>
        <w:wordWrap/>
        <w:overflowPunct/>
        <w:topLinePunct w:val="0"/>
        <w:autoSpaceDE/>
        <w:autoSpaceDN/>
        <w:bidi w:val="0"/>
        <w:adjustRightInd w:val="0"/>
        <w:snapToGrid w:val="0"/>
        <w:spacing w:after="157" w:afterLines="50" w:line="240" w:lineRule="auto"/>
        <w:ind w:firstLine="0" w:firstLineChars="0"/>
        <w:jc w:val="both"/>
        <w:textAlignment w:val="auto"/>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Shi Y, Hu X, Zhang S, et al. Efficacy and safety of alflutinib (AST2818) in patients with T790M mutation-positive NSCLC: A phase IIb multicenter single-arm study. J Clin Oncol. 2020;38(suppl 15): abstr 9602.</w:t>
      </w:r>
    </w:p>
    <w:p w14:paraId="06A60F20">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cs="Times New Roman"/>
          <w:sz w:val="15"/>
          <w:szCs w:val="15"/>
          <w:lang w:eastAsia="zh-CN"/>
        </w:rPr>
      </w:pPr>
      <w:r>
        <w:rPr>
          <w:rFonts w:ascii="Times New Roman" w:hAnsi="Times New Roman" w:cs="Times New Roman"/>
          <w:sz w:val="15"/>
          <w:szCs w:val="15"/>
        </w:rPr>
        <w:t xml:space="preserve">Yun J, Lee SH, Kim SY, </w:t>
      </w:r>
      <w:r>
        <w:rPr>
          <w:rFonts w:ascii="Times New Roman" w:hAnsi="Times New Roman" w:cs="Times New Roman"/>
          <w:sz w:val="15"/>
          <w:szCs w:val="15"/>
          <w:lang w:eastAsia="zh-CN"/>
        </w:rPr>
        <w:t>et al</w:t>
      </w:r>
      <w:r>
        <w:rPr>
          <w:rFonts w:ascii="Times New Roman" w:hAnsi="Times New Roman" w:cs="Times New Roman"/>
          <w:sz w:val="15"/>
          <w:szCs w:val="15"/>
        </w:rPr>
        <w:t>. Antitumor Activity of Amivantamab (JNJ-61186372), an EGFR-MET Bispecific Antibody, in Diverse Models of EGFR Exon 20 Insertion-Driven NSCLC[J]. Cancer Discov. 2020</w:t>
      </w:r>
      <w:r>
        <w:rPr>
          <w:rFonts w:ascii="Times New Roman" w:hAnsi="Times New Roman" w:cs="Times New Roman"/>
          <w:sz w:val="15"/>
          <w:szCs w:val="15"/>
          <w:lang w:eastAsia="zh-CN"/>
        </w:rPr>
        <w:t xml:space="preserve">, </w:t>
      </w:r>
      <w:r>
        <w:rPr>
          <w:rFonts w:ascii="Times New Roman" w:hAnsi="Times New Roman" w:cs="Times New Roman"/>
          <w:sz w:val="15"/>
          <w:szCs w:val="15"/>
        </w:rPr>
        <w:t>10(8):1194-1209.</w:t>
      </w:r>
      <w:r>
        <w:rPr>
          <w:rFonts w:ascii="Times New Roman" w:hAnsi="Times New Roman" w:cs="Times New Roman"/>
          <w:sz w:val="15"/>
          <w:szCs w:val="15"/>
          <w:lang w:eastAsia="zh-CN"/>
        </w:rPr>
        <w:t xml:space="preserve"> [PMID: 32414908]</w:t>
      </w:r>
    </w:p>
    <w:p w14:paraId="74F64D38">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Abou-Alfa GK,</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Sahai V,</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Hollebecque A, et al. Pemigatinib for previously treated, locally advanced or metastatic cholangiocarcinoma: a multicentre, open-label, phase 2 study. Lancet Oncol. 2020;21(5):671-684.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32203698</w:t>
      </w:r>
      <w:r>
        <w:rPr>
          <w:rFonts w:ascii="Times New Roman" w:hAnsi="Times New Roman" w:eastAsia="微软雅黑" w:cs="Times New Roman"/>
          <w:sz w:val="15"/>
          <w:szCs w:val="15"/>
          <w:lang w:eastAsia="zh-CN"/>
        </w:rPr>
        <w:t>]</w:t>
      </w:r>
    </w:p>
    <w:p w14:paraId="637D7762">
      <w:pPr>
        <w:pStyle w:val="41"/>
        <w:keepNext w:val="0"/>
        <w:keepLines w:val="0"/>
        <w:pageBreakBefore w:val="0"/>
        <w:kinsoku/>
        <w:wordWrap/>
        <w:overflowPunct/>
        <w:topLinePunct w:val="0"/>
        <w:autoSpaceDE/>
        <w:autoSpaceDN/>
        <w:bidi w:val="0"/>
        <w:adjustRightInd w:val="0"/>
        <w:snapToGrid w:val="0"/>
        <w:spacing w:after="157" w:afterLines="50" w:line="240" w:lineRule="auto"/>
        <w:ind w:firstLine="0" w:firstLineChars="0"/>
        <w:jc w:val="both"/>
        <w:textAlignment w:val="auto"/>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Loriot Y, Necchi A, Park SH, et al. Erdafitinib in locally advanced or metastatic urothelial carcinoma. N Engl J Med. 2019;381(4):338-348. [PMID: 31340094]</w:t>
      </w:r>
    </w:p>
    <w:p w14:paraId="2FFC76EB">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cs="Times New Roman"/>
          <w:sz w:val="15"/>
          <w:szCs w:val="15"/>
        </w:rPr>
      </w:pPr>
      <w:r>
        <w:rPr>
          <w:rFonts w:ascii="Times New Roman" w:hAnsi="Times New Roman" w:eastAsia="Segoe UI" w:cs="Times New Roman"/>
          <w:sz w:val="15"/>
          <w:szCs w:val="15"/>
          <w:shd w:val="clear" w:color="auto" w:fill="FFFFFF"/>
          <w:lang w:eastAsia="zh-CN"/>
        </w:rPr>
        <w:t>Smit EF, Nakagawa K, Nagasaka M, et al. Trastuzumab deruxtecan (T-DXd; DS-8201) in patients with HER2-mutated metastatic non-small cell lung cancer (NSCLC): Interim results of DESTINY-Lung01. J Clin Oncol. 2020;38(suppl 15): abstr 9504.</w:t>
      </w:r>
    </w:p>
    <w:p w14:paraId="17A40941">
      <w:pPr>
        <w:pStyle w:val="41"/>
        <w:keepNext w:val="0"/>
        <w:keepLines w:val="0"/>
        <w:pageBreakBefore w:val="0"/>
        <w:kinsoku/>
        <w:wordWrap/>
        <w:overflowPunct/>
        <w:topLinePunct w:val="0"/>
        <w:autoSpaceDE/>
        <w:autoSpaceDN/>
        <w:bidi w:val="0"/>
        <w:adjustRightInd w:val="0"/>
        <w:snapToGrid w:val="0"/>
        <w:spacing w:after="157" w:afterLines="50" w:line="240" w:lineRule="auto"/>
        <w:ind w:firstLine="0" w:firstLineChars="0"/>
        <w:jc w:val="both"/>
        <w:textAlignment w:val="auto"/>
        <w:rPr>
          <w:rFonts w:ascii="Times New Roman" w:hAnsi="Times New Roman" w:cs="Times New Roman"/>
          <w:spacing w:val="-1"/>
          <w:sz w:val="15"/>
          <w:szCs w:val="15"/>
          <w:lang w:eastAsia="zh-CN"/>
        </w:rPr>
      </w:pPr>
      <w:r>
        <w:rPr>
          <w:rFonts w:ascii="Times New Roman" w:hAnsi="Times New Roman" w:cs="Times New Roman"/>
          <w:sz w:val="15"/>
          <w:szCs w:val="15"/>
        </w:rPr>
        <w:t>Chung HC, et al</w:t>
      </w:r>
      <w:r>
        <w:rPr>
          <w:rFonts w:ascii="Times New Roman" w:hAnsi="Times New Roman" w:cs="Times New Roman"/>
          <w:sz w:val="15"/>
          <w:szCs w:val="15"/>
          <w:lang w:eastAsia="zh-CN"/>
        </w:rPr>
        <w:t>.</w:t>
      </w:r>
      <w:r>
        <w:rPr>
          <w:rFonts w:ascii="Times New Roman" w:hAnsi="Times New Roman" w:cs="Times New Roman"/>
          <w:sz w:val="15"/>
          <w:szCs w:val="15"/>
        </w:rPr>
        <w:t xml:space="preserve"> First-line pembrolizumab/placebo plus trastuzumab and chemotherapy in HER2-positive advanced gastric cancer: KEYNOTE-811. Future Oncol 2021 Feb;17(5):491-501.</w:t>
      </w:r>
      <w:r>
        <w:rPr>
          <w:rFonts w:ascii="Times New Roman" w:hAnsi="Times New Roman" w:cs="Times New Roman"/>
          <w:sz w:val="15"/>
          <w:szCs w:val="15"/>
          <w:lang w:eastAsia="zh-CN"/>
        </w:rPr>
        <w:t xml:space="preserve"> [PMID: 33167735]</w:t>
      </w:r>
    </w:p>
    <w:p w14:paraId="4588DA64">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eastAsia="微软雅黑" w:cs="Times New Roman"/>
          <w:spacing w:val="-1"/>
          <w:sz w:val="15"/>
          <w:szCs w:val="15"/>
          <w:lang w:eastAsia="zh-CN"/>
        </w:rPr>
      </w:pPr>
      <w:r>
        <w:fldChar w:fldCharType="begin"/>
      </w:r>
      <w:r>
        <w:instrText xml:space="preserve"> HYPERLINK "https://pubmed.ncbi.nlm.nih.gov/?term=Lee+HW&amp;cauthor_id=32636318" </w:instrText>
      </w:r>
      <w:r>
        <w:fldChar w:fldCharType="separate"/>
      </w:r>
      <w:r>
        <w:rPr>
          <w:rFonts w:ascii="Times New Roman" w:hAnsi="Times New Roman" w:eastAsia="微软雅黑" w:cs="Times New Roman"/>
          <w:spacing w:val="-1"/>
          <w:sz w:val="15"/>
          <w:szCs w:val="15"/>
          <w:lang w:eastAsia="zh-CN"/>
        </w:rPr>
        <w:t>Lee</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HW,</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"https://pubmed.ncbi.nlm.nih.gov/?term=Sa+JK&amp;cauthor_id=32636318" </w:instrText>
      </w:r>
      <w:r>
        <w:fldChar w:fldCharType="separate"/>
      </w:r>
      <w:r>
        <w:rPr>
          <w:rFonts w:ascii="Times New Roman" w:hAnsi="Times New Roman" w:eastAsia="微软雅黑" w:cs="Times New Roman"/>
          <w:spacing w:val="-1"/>
          <w:sz w:val="15"/>
          <w:szCs w:val="15"/>
          <w:lang w:eastAsia="zh-CN"/>
        </w:rPr>
        <w:t>Sa</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JK,</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"https://pubmed.ncbi.nlm.nih.gov/?term=Gualberto+A&amp;cauthor_id=32636318" </w:instrText>
      </w:r>
      <w:r>
        <w:fldChar w:fldCharType="separate"/>
      </w:r>
      <w:r>
        <w:rPr>
          <w:rFonts w:ascii="Times New Roman" w:hAnsi="Times New Roman" w:eastAsia="微软雅黑" w:cs="Times New Roman"/>
          <w:spacing w:val="-1"/>
          <w:sz w:val="15"/>
          <w:szCs w:val="15"/>
          <w:lang w:eastAsia="zh-CN"/>
        </w:rPr>
        <w:t>Gualberto</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A, et al. A phase II trial of tipifarnib for patients with previously treated, metastatic urothelial carcinoma harboring HRAS mutations. Clin Cancer Res. 2020; 26(19): 5113-5119. [PMID: 32636318]</w:t>
      </w:r>
    </w:p>
    <w:p w14:paraId="7635EB9A">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cs="Times New Roman"/>
          <w:sz w:val="15"/>
          <w:szCs w:val="15"/>
          <w:shd w:val="clear" w:color="auto" w:fill="FFFFFF"/>
          <w:lang w:eastAsia="zh-CN"/>
        </w:rPr>
      </w:pPr>
      <w:r>
        <w:rPr>
          <w:rFonts w:ascii="Times New Roman" w:hAnsi="Times New Roman" w:cs="Times New Roman"/>
          <w:sz w:val="15"/>
          <w:szCs w:val="15"/>
        </w:rPr>
        <w:t xml:space="preserve">Hong DS, Fakih MG, Strickler JH, </w:t>
      </w:r>
      <w:r>
        <w:rPr>
          <w:rFonts w:ascii="Times New Roman" w:hAnsi="Times New Roman" w:cs="Times New Roman"/>
          <w:sz w:val="15"/>
          <w:szCs w:val="15"/>
          <w:lang w:eastAsia="zh-CN"/>
        </w:rPr>
        <w:t>et al</w:t>
      </w:r>
      <w:r>
        <w:rPr>
          <w:rFonts w:ascii="Times New Roman" w:hAnsi="Times New Roman" w:cs="Times New Roman"/>
          <w:sz w:val="15"/>
          <w:szCs w:val="15"/>
        </w:rPr>
        <w:t>. KRAS</w:t>
      </w:r>
      <w:r>
        <w:rPr>
          <w:rFonts w:ascii="Times New Roman" w:hAnsi="Times New Roman" w:cs="Times New Roman"/>
          <w:sz w:val="15"/>
          <w:szCs w:val="15"/>
          <w:lang w:eastAsia="zh-CN"/>
        </w:rPr>
        <w:t xml:space="preserve"> </w:t>
      </w:r>
      <w:r>
        <w:rPr>
          <w:rFonts w:ascii="Times New Roman" w:hAnsi="Times New Roman" w:cs="Times New Roman"/>
          <w:sz w:val="15"/>
          <w:szCs w:val="15"/>
        </w:rPr>
        <w:t>G12C Inhibition with Sotorasib in Advanced Solid Tumors[J]. N Engl J Med. 2020</w:t>
      </w:r>
      <w:r>
        <w:rPr>
          <w:rFonts w:ascii="Times New Roman" w:hAnsi="Times New Roman" w:cs="Times New Roman"/>
          <w:sz w:val="15"/>
          <w:szCs w:val="15"/>
          <w:lang w:eastAsia="zh-CN"/>
        </w:rPr>
        <w:t>,</w:t>
      </w:r>
      <w:r>
        <w:rPr>
          <w:rFonts w:ascii="Times New Roman" w:hAnsi="Times New Roman" w:cs="Times New Roman"/>
          <w:sz w:val="15"/>
          <w:szCs w:val="15"/>
        </w:rPr>
        <w:t xml:space="preserve"> 24;383(13):1207-1217.</w:t>
      </w:r>
      <w:r>
        <w:rPr>
          <w:rFonts w:ascii="Times New Roman" w:hAnsi="Times New Roman" w:cs="Times New Roman"/>
          <w:sz w:val="15"/>
          <w:szCs w:val="15"/>
          <w:lang w:eastAsia="zh-CN"/>
        </w:rPr>
        <w:t xml:space="preserve"> [PMID: 32955176]</w:t>
      </w:r>
    </w:p>
    <w:p w14:paraId="597A0D7A">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Wolf J, Seto T, Han JY, Reguart N,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Capmatinib in</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exon 14-mutated or</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ascii="Times New Roman" w:hAnsi="Times New Roman" w:eastAsia="Segoe UI" w:cs="Times New Roman"/>
          <w:sz w:val="15"/>
          <w:szCs w:val="15"/>
          <w:shd w:val="clear" w:color="auto" w:fill="FFFFFF"/>
        </w:rPr>
        <w:t>-amplified non-small-cell lung cancer. N Engl J Med. 2020;383(10):944-957.</w:t>
      </w:r>
      <w:r>
        <w:rPr>
          <w:rFonts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PMID: 32877583</w:t>
      </w:r>
      <w:r>
        <w:rPr>
          <w:rFonts w:ascii="Times New Roman" w:hAnsi="Times New Roman" w:cs="Times New Roman"/>
          <w:sz w:val="15"/>
          <w:szCs w:val="15"/>
          <w:shd w:val="clear" w:color="auto" w:fill="FFFFFF"/>
          <w:lang w:eastAsia="zh-CN"/>
        </w:rPr>
        <w:t>]</w:t>
      </w:r>
    </w:p>
    <w:p w14:paraId="7183FC59">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Lu S et al., Phase II study of savolitinib in patients with pulmonary sarcomatoid carcinoma and other types of non-small cell lung cancer harboring MET exon 14 skipping mutations. J Clin Oncol</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 xml:space="preserve"> 2020</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38(suppl</w:t>
      </w:r>
      <w:r>
        <w:rPr>
          <w:rFonts w:ascii="Times New Roman" w:hAnsi="Times New Roman" w:cs="Times New Roman"/>
          <w:sz w:val="15"/>
          <w:szCs w:val="15"/>
          <w:shd w:val="clear" w:color="auto" w:fill="FFFFFF"/>
          <w:lang w:eastAsia="zh-CN"/>
        </w:rPr>
        <w:t xml:space="preserve"> 15): </w:t>
      </w:r>
      <w:r>
        <w:rPr>
          <w:rFonts w:ascii="Times New Roman" w:hAnsi="Times New Roman" w:eastAsia="Segoe UI" w:cs="Times New Roman"/>
          <w:sz w:val="15"/>
          <w:szCs w:val="15"/>
          <w:shd w:val="clear" w:color="auto" w:fill="FFFFFF"/>
        </w:rPr>
        <w:t>abstr 9519</w:t>
      </w:r>
      <w:r>
        <w:rPr>
          <w:rFonts w:ascii="Times New Roman" w:hAnsi="Times New Roman" w:cs="Times New Roman"/>
          <w:sz w:val="15"/>
          <w:szCs w:val="15"/>
          <w:shd w:val="clear" w:color="auto" w:fill="FFFFFF"/>
          <w:lang w:eastAsia="zh-CN"/>
        </w:rPr>
        <w:t xml:space="preserve">. </w:t>
      </w:r>
    </w:p>
    <w:p w14:paraId="245E1A68">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Drilon A, Clark JW, Weiss J, Ou SI,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Antitumor activity of crizotinib in lung cancers harboring a MET exon 14 alteration. Nat Med. 2020;26(1):47-51.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31932802</w:t>
      </w:r>
      <w:r>
        <w:rPr>
          <w:rFonts w:ascii="Times New Roman" w:hAnsi="Times New Roman" w:cs="Times New Roman"/>
          <w:sz w:val="15"/>
          <w:szCs w:val="15"/>
          <w:shd w:val="clear" w:color="auto" w:fill="FFFFFF"/>
          <w:lang w:eastAsia="zh-CN"/>
        </w:rPr>
        <w:t>]</w:t>
      </w:r>
    </w:p>
    <w:p w14:paraId="4C9C0C34">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Paik PK, Felip E, Veillon R,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Tepotinib in non-small-cell lung cancer with</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 xml:space="preserve">exon 14 skipping mutations. N Engl J Med. 2020;383(10):931-943.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32469185</w:t>
      </w:r>
      <w:r>
        <w:rPr>
          <w:rFonts w:ascii="Times New Roman" w:hAnsi="Times New Roman" w:cs="Times New Roman"/>
          <w:sz w:val="15"/>
          <w:szCs w:val="15"/>
          <w:shd w:val="clear" w:color="auto" w:fill="FFFFFF"/>
          <w:lang w:eastAsia="zh-CN"/>
        </w:rPr>
        <w:t>]</w:t>
      </w:r>
    </w:p>
    <w:p w14:paraId="64B7D7FC">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cs="Times New Roman"/>
          <w:sz w:val="15"/>
          <w:szCs w:val="15"/>
        </w:rPr>
      </w:pPr>
      <w:r>
        <w:rPr>
          <w:rFonts w:ascii="Times New Roman" w:hAnsi="Times New Roman" w:cs="Times New Roman"/>
          <w:sz w:val="15"/>
          <w:szCs w:val="15"/>
        </w:rPr>
        <w:t xml:space="preserve">Doebele RC, Drilon A, Paz-Ares L, et al. Entrectinib in patients with advanced or metastatic NTRK fusion-positive solid tumours: integrated analysis of three phase 1-2 trials. Lancet Oncol. 2020;21(2):271-282. </w:t>
      </w:r>
      <w:r>
        <w:rPr>
          <w:rFonts w:ascii="Times New Roman" w:hAnsi="Times New Roman" w:cs="Times New Roman"/>
          <w:sz w:val="15"/>
          <w:szCs w:val="15"/>
          <w:lang w:eastAsia="zh-CN"/>
        </w:rPr>
        <w:t>[</w:t>
      </w:r>
      <w:r>
        <w:rPr>
          <w:rFonts w:ascii="Times New Roman" w:hAnsi="Times New Roman" w:cs="Times New Roman"/>
          <w:sz w:val="15"/>
          <w:szCs w:val="15"/>
        </w:rPr>
        <w:t>PMID: 31838007</w:t>
      </w:r>
      <w:r>
        <w:rPr>
          <w:rFonts w:ascii="Times New Roman" w:hAnsi="Times New Roman" w:cs="Times New Roman"/>
          <w:sz w:val="15"/>
          <w:szCs w:val="15"/>
          <w:lang w:eastAsia="zh-CN"/>
        </w:rPr>
        <w:t>]</w:t>
      </w:r>
    </w:p>
    <w:p w14:paraId="064D9DB8">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cs="Times New Roman"/>
          <w:sz w:val="15"/>
          <w:szCs w:val="15"/>
        </w:rPr>
      </w:pPr>
      <w:r>
        <w:rPr>
          <w:rFonts w:ascii="Times New Roman" w:hAnsi="Times New Roman" w:cs="Times New Roman"/>
          <w:sz w:val="15"/>
          <w:szCs w:val="15"/>
        </w:rPr>
        <w:t xml:space="preserve">Hong DS, DuBois SG, Kummar S, et al. Larotrectinib in patients with TRK fusion-positive solid tumours: a pooled analysis of three phase 1/2 clinical trials. Lancet Oncol. 2020;21(4):531-540. </w:t>
      </w:r>
      <w:r>
        <w:rPr>
          <w:rFonts w:ascii="Times New Roman" w:hAnsi="Times New Roman" w:cs="Times New Roman"/>
          <w:sz w:val="15"/>
          <w:szCs w:val="15"/>
          <w:lang w:eastAsia="zh-CN"/>
        </w:rPr>
        <w:t>[</w:t>
      </w:r>
      <w:r>
        <w:rPr>
          <w:rFonts w:ascii="Times New Roman" w:hAnsi="Times New Roman" w:cs="Times New Roman"/>
          <w:sz w:val="15"/>
          <w:szCs w:val="15"/>
        </w:rPr>
        <w:t>PMID: 32105622</w:t>
      </w:r>
      <w:r>
        <w:rPr>
          <w:rFonts w:ascii="Times New Roman" w:hAnsi="Times New Roman" w:cs="Times New Roman"/>
          <w:sz w:val="15"/>
          <w:szCs w:val="15"/>
          <w:lang w:eastAsia="zh-CN"/>
        </w:rPr>
        <w:t>]</w:t>
      </w:r>
    </w:p>
    <w:p w14:paraId="23061DF0">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cs="Times New Roman"/>
          <w:sz w:val="15"/>
          <w:szCs w:val="15"/>
        </w:rPr>
      </w:pPr>
      <w:r>
        <w:rPr>
          <w:rFonts w:ascii="Times New Roman" w:hAnsi="Times New Roman" w:cs="Times New Roman"/>
          <w:sz w:val="15"/>
          <w:szCs w:val="15"/>
        </w:rPr>
        <w:t xml:space="preserve">Jones RL, Serrano C, von Mehren M, et al. Avapritinib in unresectable or metastatic PDGFRA D842V-mutant gastrointestinal stromal tumours: Long-term efficacy and safety data from the NAVIGATOR phase I trial. Eur J Cancer. 2021;145:132-142. </w:t>
      </w:r>
      <w:r>
        <w:rPr>
          <w:rFonts w:ascii="Times New Roman" w:hAnsi="Times New Roman" w:cs="Times New Roman"/>
          <w:sz w:val="15"/>
          <w:szCs w:val="15"/>
          <w:lang w:eastAsia="zh-CN"/>
        </w:rPr>
        <w:t>[</w:t>
      </w:r>
      <w:r>
        <w:rPr>
          <w:rFonts w:ascii="Times New Roman" w:hAnsi="Times New Roman" w:cs="Times New Roman"/>
          <w:sz w:val="15"/>
          <w:szCs w:val="15"/>
        </w:rPr>
        <w:t>PMID: 33465704</w:t>
      </w:r>
      <w:r>
        <w:rPr>
          <w:rFonts w:ascii="Times New Roman" w:hAnsi="Times New Roman" w:cs="Times New Roman"/>
          <w:sz w:val="15"/>
          <w:szCs w:val="15"/>
          <w:lang w:eastAsia="zh-CN"/>
        </w:rPr>
        <w:t>]</w:t>
      </w:r>
    </w:p>
    <w:p w14:paraId="4611FF6A">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rPr>
        <w:t>Bradford D, Larkins E, Mushti SL, et al. FDA approval summary: Selpercatinib for the treatment of lung and thyroid cancers with RET gene mutations or fusions. Clin Cancer Res. 2021;27(8):2130-2135</w:t>
      </w:r>
      <w:r>
        <w:rPr>
          <w:rFonts w:ascii="Times New Roman" w:hAnsi="Times New Roman" w:eastAsia="微软雅黑" w:cs="Times New Roman"/>
          <w:sz w:val="15"/>
          <w:szCs w:val="15"/>
          <w:lang w:eastAsia="zh-CN"/>
        </w:rPr>
        <w:t>. [PMID: 33239432]</w:t>
      </w:r>
    </w:p>
    <w:p w14:paraId="2D919C87">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eastAsia="微软雅黑" w:cs="Times New Roman"/>
          <w:sz w:val="15"/>
          <w:szCs w:val="15"/>
        </w:rPr>
      </w:pPr>
      <w:r>
        <w:rPr>
          <w:rFonts w:ascii="Times New Roman" w:hAnsi="Times New Roman" w:eastAsia="微软雅黑" w:cs="Times New Roman"/>
          <w:sz w:val="15"/>
          <w:szCs w:val="15"/>
          <w:lang w:eastAsia="zh-CN"/>
        </w:rPr>
        <w:t>Drusbosky LM, Rodriguez E, Dawar R, et al. Therapeutic strategies in RET gene rearranged non-small cell lung cancer. J Hematol Oncol. 2021;14(1):50. [PMID: 33771190]</w:t>
      </w:r>
    </w:p>
    <w:p w14:paraId="07AFF5B2">
      <w:pPr>
        <w:pStyle w:val="41"/>
        <w:keepNext w:val="0"/>
        <w:keepLines w:val="0"/>
        <w:pageBreakBefore w:val="0"/>
        <w:kinsoku/>
        <w:wordWrap/>
        <w:overflowPunct/>
        <w:topLinePunct w:val="0"/>
        <w:autoSpaceDE/>
        <w:autoSpaceDN/>
        <w:bidi w:val="0"/>
        <w:adjustRightInd w:val="0"/>
        <w:snapToGrid w:val="0"/>
        <w:spacing w:after="157" w:afterLines="50" w:line="240" w:lineRule="auto"/>
        <w:ind w:firstLine="0" w:firstLineChars="0"/>
        <w:jc w:val="both"/>
        <w:textAlignment w:val="auto"/>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Drilon A, Siena S, Dziadziuszko R, et al. Entrectinib in ROS1 fusion-positive non-small-cell lung cancer: integrated analysis of three phase 1-2 trials. Lancet Oncol. 2020;21(2):261-270. [PMID: 31838015]</w:t>
      </w:r>
    </w:p>
    <w:p w14:paraId="657860AA">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Zhou C, Ramalingam SS, Kim TM, et al. Treatment Outcomes and Safety of Mobocertinib in Platinum-Pretreated Patients With EGFR Exon 20 Insertion-Positive Metastatic Non-Small Cell Lung Cancer: A Phase 1/2 Open-label Nonrandomized Clinical Trial. JAMA Oncol. 2021;7(12):e214761. [PMID: 34647988]</w:t>
      </w:r>
    </w:p>
    <w:p w14:paraId="7DE48C73">
      <w:pPr>
        <w:keepNext w:val="0"/>
        <w:keepLines w:val="0"/>
        <w:pageBreakBefore w:val="0"/>
        <w:widowControl/>
        <w:kinsoku/>
        <w:wordWrap/>
        <w:overflowPunct/>
        <w:topLinePunct w:val="0"/>
        <w:autoSpaceDE/>
        <w:autoSpaceDN/>
        <w:bidi w:val="0"/>
        <w:adjustRightInd w:val="0"/>
        <w:snapToGrid w:val="0"/>
        <w:spacing w:after="157" w:afterLines="50" w:line="240" w:lineRule="auto"/>
        <w:jc w:val="both"/>
        <w:textAlignment w:val="auto"/>
        <w:rPr>
          <w:rFonts w:ascii="Times New Roman" w:hAnsi="Times New Roman" w:eastAsia="等线"/>
          <w:sz w:val="15"/>
          <w:szCs w:val="15"/>
        </w:rPr>
      </w:pPr>
      <w:r>
        <w:rPr>
          <w:rFonts w:hint="eastAsia" w:ascii="Times New Roman" w:hAnsi="Times New Roman" w:eastAsia="微软雅黑" w:cs="Times New Roman"/>
          <w:sz w:val="15"/>
          <w:szCs w:val="15"/>
          <w:lang w:eastAsia="zh-CN"/>
        </w:rPr>
        <w:t>Zhao H, Yao W, Min X, et al. Apatinib Plus Gefitinib as First-Line Treatment in Advanced EGFR-Mutant NSCLC: The Phase III ACTIVE Study (CTONG1706). J Thorac Oncol. 2021;16(9):1533-1546. [PMID: 34033974]</w:t>
      </w:r>
    </w:p>
    <w:sectPr>
      <w:footerReference r:id="rId5" w:type="default"/>
      <w:pgSz w:w="11911" w:h="16838"/>
      <w:pgMar w:top="1037" w:right="1020" w:bottom="981" w:left="1020" w:header="567" w:footer="720" w:gutter="0"/>
      <w:pgBorders>
        <w:top w:val="none" w:sz="0" w:space="0"/>
        <w:left w:val="none" w:sz="0" w:space="0"/>
        <w:bottom w:val="none" w:sz="0" w:space="0"/>
        <w:right w:val="none" w:sz="0" w:space="0"/>
      </w:pgBorders>
      <w:pgNumType w:start="1"/>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Bookshelf Symbol 7">
    <w:panose1 w:val="05010101010101010101"/>
    <w:charset w:val="02"/>
    <w:family w:val="auto"/>
    <w:pitch w:val="default"/>
    <w:sig w:usb0="00000000" w:usb1="00000000" w:usb2="00000000" w:usb3="00000000" w:csb0="80000000" w:csb1="00000000"/>
  </w:font>
  <w:font w:name="Segoe UI">
    <w:panose1 w:val="020B0502040204020203"/>
    <w:charset w:val="00"/>
    <w:family w:val="swiss"/>
    <w:pitch w:val="default"/>
    <w:sig w:usb0="E4002EFF" w:usb1="C000E47F" w:usb2="00000009" w:usb3="00000000" w:csb0="200001F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E1C37F4">
    <w:pPr>
      <w:pStyle w:val="11"/>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7D25811">
    <w:pPr>
      <w:pStyle w:val="11"/>
    </w:pPr>
    <w:r>
      <w:rPr>
        <w:lang w:eastAsia="zh-CN"/>
      </w:rPr>
      <mc:AlternateContent>
        <mc:Choice Requires="wps">
          <w:drawing>
            <wp:anchor distT="0" distB="0" distL="114300" distR="114300" simplePos="0" relativeHeight="251659264" behindDoc="0" locked="0" layoutInCell="1" allowOverlap="1">
              <wp:simplePos x="0" y="0"/>
              <wp:positionH relativeFrom="margin">
                <wp:posOffset>2707005</wp:posOffset>
              </wp:positionH>
              <wp:positionV relativeFrom="paragraph">
                <wp:posOffset>73660</wp:posOffset>
              </wp:positionV>
              <wp:extent cx="870585" cy="177165"/>
              <wp:effectExtent l="0" t="0" r="0" b="0"/>
              <wp:wrapNone/>
              <wp:docPr id="33" name="文本框 33"/>
              <wp:cNvGraphicFramePr/>
              <a:graphic xmlns:a="http://schemas.openxmlformats.org/drawingml/2006/main">
                <a:graphicData uri="http://schemas.microsoft.com/office/word/2010/wordprocessingShape">
                  <wps:wsp>
                    <wps:cNvSpPr txBox="1"/>
                    <wps:spPr>
                      <a:xfrm>
                        <a:off x="0" y="0"/>
                        <a:ext cx="870585" cy="17716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88FEBFF">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w:instrText>
                          </w:r>
                          <w:r>
                            <w:rPr>
                              <w:rFonts w:ascii="Times New Roman" w:hAnsi="Times New Roman" w:eastAsia="微软雅黑" w:cs="Times New Roman"/>
                              <w:b/>
                              <w:bCs/>
                              <w:sz w:val="20"/>
                              <w:szCs w:val="20"/>
                              <w:lang w:eastAsia="zh-CN"/>
                            </w:rPr>
                            <w:instrText xml:space="preserve">=</w:instrTex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NUMPAGES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instrText xml:space="preserve">58</w:instrTex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eastAsia="zh-CN"/>
                            </w:rPr>
                            <w:instrText xml:space="preserve">-</w:instrText>
                          </w:r>
                          <w:r>
                            <w:rPr>
                              <w:rFonts w:hint="eastAsia" w:ascii="Times New Roman" w:hAnsi="Times New Roman" w:eastAsia="微软雅黑" w:cs="Times New Roman"/>
                              <w:b/>
                              <w:bCs/>
                              <w:sz w:val="20"/>
                              <w:szCs w:val="20"/>
                              <w:lang w:val="en-US" w:eastAsia="zh-CN"/>
                            </w:rPr>
                            <w:instrText xml:space="preserve">2</w:instrText>
                          </w:r>
                          <w:r>
                            <w:rPr>
                              <w:rFonts w:ascii="Times New Roman" w:hAnsi="Times New Roman" w:eastAsia="微软雅黑" w:cs="Times New Roman"/>
                              <w:b/>
                              <w:bCs/>
                              <w:sz w:val="20"/>
                              <w:szCs w:val="20"/>
                            </w:rPr>
                            <w:instrText xml:space="preserve">  \* MERGEFORMAT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t>54</w:t>
                          </w:r>
                          <w:r>
                            <w:rPr>
                              <w:rFonts w:ascii="Times New Roman" w:hAnsi="Times New Roman" w:eastAsia="微软雅黑" w:cs="Times New Roman"/>
                              <w:b/>
                              <w:bCs/>
                              <w:sz w:val="20"/>
                              <w:szCs w:val="20"/>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13.15pt;margin-top:5.8pt;height:13.95pt;width:68.55pt;mso-position-horizontal-relative:margin;z-index:251659264;mso-width-relative:page;mso-height-relative:page;" filled="f" stroked="f" coordsize="21600,21600" o:gfxdata="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D1EHlA2AAAAAkBAAAPAAAAAAAAAAEAIAAAACIAAABkcnMvZG93bnJldi54&#10;bWxQSwECFAAUAAAACACHTuJA3j3AYzMCAABXBAAADgAAAAAAAAABACAAAAAnAQAAZHJzL2Uyb0Rv&#10;Yy54bWxQSwUGAAAAAAYABgBZAQAAzAUAAAAA&#10;">
              <v:fill on="f" focussize="0,0"/>
              <v:stroke on="f" weight="0.5pt"/>
              <v:imagedata o:title=""/>
              <o:lock v:ext="edit" aspectratio="f"/>
              <v:textbox inset="0mm,0mm,0mm,0mm">
                <w:txbxContent>
                  <w:p w14:paraId="588FEBFF">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w:instrText>
                    </w:r>
                    <w:r>
                      <w:rPr>
                        <w:rFonts w:ascii="Times New Roman" w:hAnsi="Times New Roman" w:eastAsia="微软雅黑" w:cs="Times New Roman"/>
                        <w:b/>
                        <w:bCs/>
                        <w:sz w:val="20"/>
                        <w:szCs w:val="20"/>
                        <w:lang w:eastAsia="zh-CN"/>
                      </w:rPr>
                      <w:instrText xml:space="preserve">=</w:instrText>
                    </w:r>
                    <w:r>
                      <w:rPr>
                        <w:rFonts w:ascii="Times New Roman" w:hAnsi="Times New Roman" w:eastAsia="微软雅黑" w:cs="Times New Roman"/>
                        <w:b/>
                        <w:bCs/>
                        <w:sz w:val="20"/>
                        <w:szCs w:val="20"/>
                      </w:rPr>
                      <w:fldChar w:fldCharType="begin"/>
                    </w:r>
                    <w:r>
                      <w:rPr>
                        <w:rFonts w:ascii="Times New Roman" w:hAnsi="Times New Roman" w:eastAsia="微软雅黑" w:cs="Times New Roman"/>
                        <w:b/>
                        <w:bCs/>
                        <w:sz w:val="20"/>
                        <w:szCs w:val="20"/>
                      </w:rPr>
                      <w:instrText xml:space="preserve"> NUMPAGES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instrText xml:space="preserve">58</w:instrText>
                    </w:r>
                    <w:r>
                      <w:rPr>
                        <w:rFonts w:ascii="Times New Roman" w:hAnsi="Times New Roman" w:eastAsia="微软雅黑" w:cs="Times New Roman"/>
                        <w:b/>
                        <w:bCs/>
                        <w:sz w:val="20"/>
                        <w:szCs w:val="20"/>
                      </w:rPr>
                      <w:fldChar w:fldCharType="end"/>
                    </w:r>
                    <w:r>
                      <w:rPr>
                        <w:rFonts w:ascii="Times New Roman" w:hAnsi="Times New Roman" w:eastAsia="微软雅黑" w:cs="Times New Roman"/>
                        <w:b/>
                        <w:bCs/>
                        <w:sz w:val="20"/>
                        <w:szCs w:val="20"/>
                        <w:lang w:eastAsia="zh-CN"/>
                      </w:rPr>
                      <w:instrText xml:space="preserve">-</w:instrText>
                    </w:r>
                    <w:r>
                      <w:rPr>
                        <w:rFonts w:hint="eastAsia" w:ascii="Times New Roman" w:hAnsi="Times New Roman" w:eastAsia="微软雅黑" w:cs="Times New Roman"/>
                        <w:b/>
                        <w:bCs/>
                        <w:sz w:val="20"/>
                        <w:szCs w:val="20"/>
                        <w:lang w:val="en-US" w:eastAsia="zh-CN"/>
                      </w:rPr>
                      <w:instrText xml:space="preserve">2</w:instrText>
                    </w:r>
                    <w:r>
                      <w:rPr>
                        <w:rFonts w:ascii="Times New Roman" w:hAnsi="Times New Roman" w:eastAsia="微软雅黑" w:cs="Times New Roman"/>
                        <w:b/>
                        <w:bCs/>
                        <w:sz w:val="20"/>
                        <w:szCs w:val="20"/>
                      </w:rPr>
                      <w:instrText xml:space="preserve">  \* MERGEFORMAT </w:instrText>
                    </w:r>
                    <w:r>
                      <w:rPr>
                        <w:rFonts w:ascii="Times New Roman" w:hAnsi="Times New Roman" w:eastAsia="微软雅黑" w:cs="Times New Roman"/>
                        <w:b/>
                        <w:bCs/>
                        <w:sz w:val="20"/>
                        <w:szCs w:val="20"/>
                      </w:rPr>
                      <w:fldChar w:fldCharType="separate"/>
                    </w:r>
                    <w:r>
                      <w:rPr>
                        <w:rFonts w:ascii="Times New Roman" w:hAnsi="Times New Roman" w:eastAsia="微软雅黑" w:cs="Times New Roman"/>
                        <w:b/>
                        <w:bCs/>
                        <w:sz w:val="20"/>
                        <w:szCs w:val="20"/>
                      </w:rPr>
                      <w:t>54</w:t>
                    </w:r>
                    <w:r>
                      <w:rPr>
                        <w:rFonts w:ascii="Times New Roman" w:hAnsi="Times New Roman" w:eastAsia="微软雅黑" w:cs="Times New Roman"/>
                        <w:b/>
                        <w:bCs/>
                        <w:sz w:val="20"/>
                        <w:szCs w:val="20"/>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C8F1C76">
    <w:pPr>
      <w:pStyle w:val="12"/>
      <w:jc w:val="right"/>
      <w:rPr>
        <w:rFonts w:hint="eastAsia" w:ascii="Times New Roman" w:hAnsi="Times New Roman" w:eastAsia="微软雅黑" w:cs="Times New Roman"/>
        <w:bCs/>
        <w:color w:val="62B541"/>
        <w:sz w:val="21"/>
        <w:szCs w:val="21"/>
        <w:lang w:val="en-US" w:eastAsia="zh-CN"/>
      </w:rPr>
    </w:pPr>
    <w:r>
      <w:rPr>
        <w:rFonts w:hint="eastAsia" w:ascii="Times New Roman" w:hAnsi="Times New Roman" w:eastAsia="微软雅黑" w:cs="Times New Roman"/>
        <w:bCs/>
        <w:color w:val="62B541"/>
        <w:sz w:val="21"/>
        <w:szCs w:val="21"/>
        <w:lang w:val="en-US" w:eastAsia="zh-CN"/>
      </w:rPr>
      <w:t>{{ client }} {% if PDInfo == undefined %}实体瘤188基因检测{% else %}实体瘤188基因+PD-L1检测{% endif %}</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2">
    <w:nsid w:val="C4B0A655"/>
    <w:multiLevelType w:val="singleLevel"/>
    <w:tmpl w:val="C4B0A655"/>
    <w:lvl w:ilvl="0" w:tentative="0">
      <w:start w:val="1"/>
      <w:numFmt w:val="decimal"/>
      <w:suff w:val="space"/>
      <w:lvlText w:val="%1."/>
      <w:lvlJc w:val="left"/>
      <w:rPr>
        <w:rFonts w:hint="default"/>
        <w:sz w:val="18"/>
        <w:szCs w:val="18"/>
      </w:rPr>
    </w:lvl>
  </w:abstractNum>
  <w:abstractNum w:abstractNumId="3">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4">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5">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6">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7">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8">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9">
    <w:nsid w:val="33AC014C"/>
    <w:multiLevelType w:val="multilevel"/>
    <w:tmpl w:val="33AC014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0">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1">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2">
    <w:nsid w:val="3FE2A38E"/>
    <w:multiLevelType w:val="singleLevel"/>
    <w:tmpl w:val="3FE2A38E"/>
    <w:lvl w:ilvl="0" w:tentative="0">
      <w:start w:val="1"/>
      <w:numFmt w:val="decimal"/>
      <w:lvlText w:val="%1."/>
      <w:lvlJc w:val="left"/>
      <w:pPr>
        <w:ind w:left="425" w:hanging="425"/>
      </w:pPr>
      <w:rPr>
        <w:rFonts w:hint="default"/>
      </w:rPr>
    </w:lvl>
  </w:abstractNum>
  <w:abstractNum w:abstractNumId="13">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4">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5">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6">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7">
    <w:nsid w:val="632AD6FB"/>
    <w:multiLevelType w:val="singleLevel"/>
    <w:tmpl w:val="632AD6FB"/>
    <w:lvl w:ilvl="0" w:tentative="0">
      <w:start w:val="1"/>
      <w:numFmt w:val="bullet"/>
      <w:lvlText w:val=""/>
      <w:lvlJc w:val="left"/>
      <w:pPr>
        <w:tabs>
          <w:tab w:val="left" w:pos="215"/>
        </w:tabs>
        <w:ind w:left="215" w:leftChars="0" w:hanging="215" w:firstLineChars="0"/>
      </w:pPr>
      <w:rPr>
        <w:rFonts w:hint="default" w:ascii="Wingdings" w:hAnsi="Wingdings"/>
        <w:sz w:val="10"/>
      </w:rPr>
    </w:lvl>
  </w:abstractNum>
  <w:abstractNum w:abstractNumId="18">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9">
    <w:nsid w:val="7505B097"/>
    <w:multiLevelType w:val="multilevel"/>
    <w:tmpl w:val="7505B097"/>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20">
    <w:nsid w:val="7ED03DCE"/>
    <w:multiLevelType w:val="multilevel"/>
    <w:tmpl w:val="7ED03DCE"/>
    <w:lvl w:ilvl="0" w:tentative="0">
      <w:start w:val="1"/>
      <w:numFmt w:val="bullet"/>
      <w:lvlText w:val="?"/>
      <w:lvlJc w:val="left"/>
      <w:pPr>
        <w:ind w:left="840" w:hanging="420"/>
      </w:pPr>
      <w:rPr>
        <w:rFonts w:hint="default" w:ascii="Wingdings" w:hAnsi="Wingdings"/>
        <w:color w:val="00B050"/>
      </w:rPr>
    </w:lvl>
    <w:lvl w:ilvl="1" w:tentative="0">
      <w:start w:val="1"/>
      <w:numFmt w:val="bullet"/>
      <w:lvlText w:val="?"/>
      <w:lvlJc w:val="left"/>
      <w:pPr>
        <w:ind w:left="1260" w:hanging="420"/>
      </w:pPr>
      <w:rPr>
        <w:rFonts w:hint="default" w:ascii="Bookshelf Symbol 7" w:hAnsi="Bookshelf Symbol 7"/>
      </w:rPr>
    </w:lvl>
    <w:lvl w:ilvl="2" w:tentative="0">
      <w:start w:val="1"/>
      <w:numFmt w:val="bullet"/>
      <w:lvlText w:val="?"/>
      <w:lvlJc w:val="left"/>
      <w:pPr>
        <w:ind w:left="1680" w:hanging="420"/>
      </w:pPr>
      <w:rPr>
        <w:rFonts w:hint="default" w:ascii="Bookshelf Symbol 7" w:hAnsi="Bookshelf Symbol 7"/>
      </w:rPr>
    </w:lvl>
    <w:lvl w:ilvl="3" w:tentative="0">
      <w:start w:val="1"/>
      <w:numFmt w:val="bullet"/>
      <w:lvlText w:val="?"/>
      <w:lvlJc w:val="left"/>
      <w:pPr>
        <w:ind w:left="2100" w:hanging="420"/>
      </w:pPr>
      <w:rPr>
        <w:rFonts w:hint="default" w:ascii="Bookshelf Symbol 7" w:hAnsi="Bookshelf Symbol 7"/>
      </w:rPr>
    </w:lvl>
    <w:lvl w:ilvl="4" w:tentative="0">
      <w:start w:val="1"/>
      <w:numFmt w:val="bullet"/>
      <w:lvlText w:val="?"/>
      <w:lvlJc w:val="left"/>
      <w:pPr>
        <w:ind w:left="2520" w:hanging="420"/>
      </w:pPr>
      <w:rPr>
        <w:rFonts w:hint="default" w:ascii="Bookshelf Symbol 7" w:hAnsi="Bookshelf Symbol 7"/>
      </w:rPr>
    </w:lvl>
    <w:lvl w:ilvl="5" w:tentative="0">
      <w:start w:val="1"/>
      <w:numFmt w:val="bullet"/>
      <w:lvlText w:val="?"/>
      <w:lvlJc w:val="left"/>
      <w:pPr>
        <w:ind w:left="2940" w:hanging="420"/>
      </w:pPr>
      <w:rPr>
        <w:rFonts w:hint="default" w:ascii="Bookshelf Symbol 7" w:hAnsi="Bookshelf Symbol 7"/>
      </w:rPr>
    </w:lvl>
    <w:lvl w:ilvl="6" w:tentative="0">
      <w:start w:val="1"/>
      <w:numFmt w:val="bullet"/>
      <w:lvlText w:val="?"/>
      <w:lvlJc w:val="left"/>
      <w:pPr>
        <w:ind w:left="3360" w:hanging="420"/>
      </w:pPr>
      <w:rPr>
        <w:rFonts w:hint="default" w:ascii="Bookshelf Symbol 7" w:hAnsi="Bookshelf Symbol 7"/>
      </w:rPr>
    </w:lvl>
    <w:lvl w:ilvl="7" w:tentative="0">
      <w:start w:val="1"/>
      <w:numFmt w:val="bullet"/>
      <w:lvlText w:val="?"/>
      <w:lvlJc w:val="left"/>
      <w:pPr>
        <w:ind w:left="3780" w:hanging="420"/>
      </w:pPr>
      <w:rPr>
        <w:rFonts w:hint="default" w:ascii="Bookshelf Symbol 7" w:hAnsi="Bookshelf Symbol 7"/>
      </w:rPr>
    </w:lvl>
    <w:lvl w:ilvl="8" w:tentative="0">
      <w:start w:val="1"/>
      <w:numFmt w:val="bullet"/>
      <w:lvlText w:val="?"/>
      <w:lvlJc w:val="left"/>
      <w:pPr>
        <w:ind w:left="4200" w:hanging="420"/>
      </w:pPr>
      <w:rPr>
        <w:rFonts w:hint="default" w:ascii="Bookshelf Symbol 7" w:hAnsi="Bookshelf Symbol 7"/>
      </w:rPr>
    </w:lvl>
  </w:abstractNum>
  <w:num w:numId="1">
    <w:abstractNumId w:val="14"/>
  </w:num>
  <w:num w:numId="2">
    <w:abstractNumId w:val="18"/>
  </w:num>
  <w:num w:numId="3">
    <w:abstractNumId w:val="16"/>
  </w:num>
  <w:num w:numId="4">
    <w:abstractNumId w:val="8"/>
  </w:num>
  <w:num w:numId="5">
    <w:abstractNumId w:val="10"/>
  </w:num>
  <w:num w:numId="6">
    <w:abstractNumId w:val="3"/>
  </w:num>
  <w:num w:numId="7">
    <w:abstractNumId w:val="20"/>
  </w:num>
  <w:num w:numId="8">
    <w:abstractNumId w:val="9"/>
  </w:num>
  <w:num w:numId="9">
    <w:abstractNumId w:val="11"/>
  </w:num>
  <w:num w:numId="10">
    <w:abstractNumId w:val="7"/>
  </w:num>
  <w:num w:numId="11">
    <w:abstractNumId w:val="12"/>
  </w:num>
  <w:num w:numId="12">
    <w:abstractNumId w:val="13"/>
  </w:num>
  <w:num w:numId="13">
    <w:abstractNumId w:val="5"/>
  </w:num>
  <w:num w:numId="14">
    <w:abstractNumId w:val="0"/>
  </w:num>
  <w:num w:numId="15">
    <w:abstractNumId w:val="6"/>
  </w:num>
  <w:num w:numId="16">
    <w:abstractNumId w:val="4"/>
  </w:num>
  <w:num w:numId="17">
    <w:abstractNumId w:val="1"/>
  </w:num>
  <w:num w:numId="18">
    <w:abstractNumId w:val="19"/>
  </w:num>
  <w:num w:numId="19">
    <w:abstractNumId w:val="15"/>
  </w:num>
  <w:num w:numId="20">
    <w:abstractNumId w:val="17"/>
  </w:num>
  <w:num w:numId="21">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1"/>
  <w:bordersDoNotSurroundFooter w:val="1"/>
  <w:documentProtection w:enforcement="0"/>
  <w:defaultTabStop w:val="420"/>
  <w:drawingGridHorizontalSpacing w:val="220"/>
  <w:drawingGridVerticalSpacing w:val="99999990"/>
  <w:displayHorizont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00172A27"/>
    <w:rsid w:val="000358CD"/>
    <w:rsid w:val="000748DC"/>
    <w:rsid w:val="00081920"/>
    <w:rsid w:val="00095BC0"/>
    <w:rsid w:val="000B5B79"/>
    <w:rsid w:val="000C79AD"/>
    <w:rsid w:val="00154460"/>
    <w:rsid w:val="00172A27"/>
    <w:rsid w:val="002755FA"/>
    <w:rsid w:val="00276CD5"/>
    <w:rsid w:val="002A16C5"/>
    <w:rsid w:val="002E3CD6"/>
    <w:rsid w:val="002E7BF1"/>
    <w:rsid w:val="002F2A39"/>
    <w:rsid w:val="00390458"/>
    <w:rsid w:val="00391615"/>
    <w:rsid w:val="003D2994"/>
    <w:rsid w:val="004802BC"/>
    <w:rsid w:val="004B6099"/>
    <w:rsid w:val="00501F8B"/>
    <w:rsid w:val="00513BAF"/>
    <w:rsid w:val="0052321F"/>
    <w:rsid w:val="00644BC1"/>
    <w:rsid w:val="006A31A2"/>
    <w:rsid w:val="007010EF"/>
    <w:rsid w:val="007E782E"/>
    <w:rsid w:val="008B2982"/>
    <w:rsid w:val="00907638"/>
    <w:rsid w:val="00971A5F"/>
    <w:rsid w:val="009B46E2"/>
    <w:rsid w:val="009C044B"/>
    <w:rsid w:val="00A0169B"/>
    <w:rsid w:val="00AA4F7E"/>
    <w:rsid w:val="00AB6E82"/>
    <w:rsid w:val="00AE5DB4"/>
    <w:rsid w:val="00B01B75"/>
    <w:rsid w:val="00C31515"/>
    <w:rsid w:val="00D2107B"/>
    <w:rsid w:val="00D22BB0"/>
    <w:rsid w:val="00D40855"/>
    <w:rsid w:val="00D730DF"/>
    <w:rsid w:val="00D958FA"/>
    <w:rsid w:val="00DA2F2F"/>
    <w:rsid w:val="00E31BA8"/>
    <w:rsid w:val="00ED12E7"/>
    <w:rsid w:val="00F25C1E"/>
    <w:rsid w:val="00F678D5"/>
    <w:rsid w:val="00FF7BB1"/>
    <w:rsid w:val="011A030A"/>
    <w:rsid w:val="011A0D8B"/>
    <w:rsid w:val="011F6134"/>
    <w:rsid w:val="016F36A8"/>
    <w:rsid w:val="01883901"/>
    <w:rsid w:val="01A0337A"/>
    <w:rsid w:val="01DC799D"/>
    <w:rsid w:val="01F64392"/>
    <w:rsid w:val="022D1058"/>
    <w:rsid w:val="0281009B"/>
    <w:rsid w:val="02B55F77"/>
    <w:rsid w:val="02CA5230"/>
    <w:rsid w:val="031B6FF1"/>
    <w:rsid w:val="038726D8"/>
    <w:rsid w:val="03B664E0"/>
    <w:rsid w:val="03E921F1"/>
    <w:rsid w:val="04791D69"/>
    <w:rsid w:val="04871837"/>
    <w:rsid w:val="04A167FA"/>
    <w:rsid w:val="04C17114"/>
    <w:rsid w:val="04D33A92"/>
    <w:rsid w:val="0500466C"/>
    <w:rsid w:val="054C666C"/>
    <w:rsid w:val="05815BFE"/>
    <w:rsid w:val="05887898"/>
    <w:rsid w:val="05D63B33"/>
    <w:rsid w:val="05DD3D0D"/>
    <w:rsid w:val="06A61E8D"/>
    <w:rsid w:val="06E36A2C"/>
    <w:rsid w:val="06EB7F4D"/>
    <w:rsid w:val="074043CC"/>
    <w:rsid w:val="075A5285"/>
    <w:rsid w:val="07AB34E7"/>
    <w:rsid w:val="07CC37A4"/>
    <w:rsid w:val="07D36A00"/>
    <w:rsid w:val="07DB59EB"/>
    <w:rsid w:val="083F50A2"/>
    <w:rsid w:val="084E1932"/>
    <w:rsid w:val="088D7FF0"/>
    <w:rsid w:val="08E26C19"/>
    <w:rsid w:val="090834C0"/>
    <w:rsid w:val="09705B33"/>
    <w:rsid w:val="0A043ABA"/>
    <w:rsid w:val="0A4F2135"/>
    <w:rsid w:val="0A757891"/>
    <w:rsid w:val="0ADA7F11"/>
    <w:rsid w:val="0AEC09F3"/>
    <w:rsid w:val="0B0E35DB"/>
    <w:rsid w:val="0B38319D"/>
    <w:rsid w:val="0B7C2626"/>
    <w:rsid w:val="0BEA7418"/>
    <w:rsid w:val="0C1768CC"/>
    <w:rsid w:val="0C220DA0"/>
    <w:rsid w:val="0C3A0C95"/>
    <w:rsid w:val="0C3E5385"/>
    <w:rsid w:val="0C96240B"/>
    <w:rsid w:val="0CA77597"/>
    <w:rsid w:val="0CBE7A38"/>
    <w:rsid w:val="0CC26BD0"/>
    <w:rsid w:val="0D055CE8"/>
    <w:rsid w:val="0D1916CC"/>
    <w:rsid w:val="0D9819F1"/>
    <w:rsid w:val="0E11445D"/>
    <w:rsid w:val="0E372F34"/>
    <w:rsid w:val="0E3966AF"/>
    <w:rsid w:val="0E42718C"/>
    <w:rsid w:val="0E542351"/>
    <w:rsid w:val="0E632099"/>
    <w:rsid w:val="0EBF2A43"/>
    <w:rsid w:val="0EC52C9D"/>
    <w:rsid w:val="0EC61A6B"/>
    <w:rsid w:val="0EC91129"/>
    <w:rsid w:val="0ED843CC"/>
    <w:rsid w:val="0EF32D57"/>
    <w:rsid w:val="0EFC3D5A"/>
    <w:rsid w:val="0F79527D"/>
    <w:rsid w:val="0F890797"/>
    <w:rsid w:val="0FB9297A"/>
    <w:rsid w:val="0FD371B5"/>
    <w:rsid w:val="0FE54E7B"/>
    <w:rsid w:val="0FEF6595"/>
    <w:rsid w:val="10393EFC"/>
    <w:rsid w:val="10A519AE"/>
    <w:rsid w:val="10BE0EDD"/>
    <w:rsid w:val="110D3F98"/>
    <w:rsid w:val="11BE00BA"/>
    <w:rsid w:val="11E35EA1"/>
    <w:rsid w:val="126971EB"/>
    <w:rsid w:val="12850E64"/>
    <w:rsid w:val="12963DA1"/>
    <w:rsid w:val="12DD25BE"/>
    <w:rsid w:val="12F372F0"/>
    <w:rsid w:val="132612E4"/>
    <w:rsid w:val="13897526"/>
    <w:rsid w:val="13AB527B"/>
    <w:rsid w:val="13BA2629"/>
    <w:rsid w:val="147F528E"/>
    <w:rsid w:val="14872247"/>
    <w:rsid w:val="148972D9"/>
    <w:rsid w:val="149B7751"/>
    <w:rsid w:val="14B34D21"/>
    <w:rsid w:val="14C82A00"/>
    <w:rsid w:val="14E343DA"/>
    <w:rsid w:val="14E50274"/>
    <w:rsid w:val="150E31A1"/>
    <w:rsid w:val="15120D1F"/>
    <w:rsid w:val="15196B67"/>
    <w:rsid w:val="15226A5C"/>
    <w:rsid w:val="1524470F"/>
    <w:rsid w:val="152E3223"/>
    <w:rsid w:val="153F7D0D"/>
    <w:rsid w:val="15882940"/>
    <w:rsid w:val="15D73C77"/>
    <w:rsid w:val="165063E4"/>
    <w:rsid w:val="167138E8"/>
    <w:rsid w:val="1692185F"/>
    <w:rsid w:val="16A90098"/>
    <w:rsid w:val="16BD5BE8"/>
    <w:rsid w:val="16DA3CE9"/>
    <w:rsid w:val="16E67B0D"/>
    <w:rsid w:val="16F32DF9"/>
    <w:rsid w:val="173657F7"/>
    <w:rsid w:val="179E5A16"/>
    <w:rsid w:val="17DA52FE"/>
    <w:rsid w:val="17EF172D"/>
    <w:rsid w:val="182E68FA"/>
    <w:rsid w:val="18361E85"/>
    <w:rsid w:val="184F5A03"/>
    <w:rsid w:val="18780FC6"/>
    <w:rsid w:val="188B1EE6"/>
    <w:rsid w:val="188E10A8"/>
    <w:rsid w:val="1892589E"/>
    <w:rsid w:val="190F678D"/>
    <w:rsid w:val="19437087"/>
    <w:rsid w:val="199209CD"/>
    <w:rsid w:val="199369D8"/>
    <w:rsid w:val="199B3480"/>
    <w:rsid w:val="1A0652E5"/>
    <w:rsid w:val="1A2A270E"/>
    <w:rsid w:val="1A4E694B"/>
    <w:rsid w:val="1ABF3777"/>
    <w:rsid w:val="1AE262F7"/>
    <w:rsid w:val="1B28649B"/>
    <w:rsid w:val="1B570F0A"/>
    <w:rsid w:val="1B873036"/>
    <w:rsid w:val="1BA36B7F"/>
    <w:rsid w:val="1BAD3E87"/>
    <w:rsid w:val="1C4A1DC7"/>
    <w:rsid w:val="1C4D19D2"/>
    <w:rsid w:val="1C7A05D0"/>
    <w:rsid w:val="1C98707F"/>
    <w:rsid w:val="1CAC68FF"/>
    <w:rsid w:val="1CCD19AC"/>
    <w:rsid w:val="1CFB3D7D"/>
    <w:rsid w:val="1D0B7646"/>
    <w:rsid w:val="1D103BE7"/>
    <w:rsid w:val="1D6364E6"/>
    <w:rsid w:val="1E4A0C65"/>
    <w:rsid w:val="1E750919"/>
    <w:rsid w:val="1EA92622"/>
    <w:rsid w:val="1EAB0C6A"/>
    <w:rsid w:val="1EAF2912"/>
    <w:rsid w:val="1EB45DF2"/>
    <w:rsid w:val="1EBB7039"/>
    <w:rsid w:val="1EEB2832"/>
    <w:rsid w:val="1F2B7CAE"/>
    <w:rsid w:val="1F68534E"/>
    <w:rsid w:val="1F911825"/>
    <w:rsid w:val="1FA21F33"/>
    <w:rsid w:val="20205A20"/>
    <w:rsid w:val="20347D76"/>
    <w:rsid w:val="20370A70"/>
    <w:rsid w:val="20855B55"/>
    <w:rsid w:val="209432E5"/>
    <w:rsid w:val="20967C8E"/>
    <w:rsid w:val="20C205EB"/>
    <w:rsid w:val="214C43AC"/>
    <w:rsid w:val="21641D42"/>
    <w:rsid w:val="216A3F09"/>
    <w:rsid w:val="216F18A9"/>
    <w:rsid w:val="21D55A39"/>
    <w:rsid w:val="220A4AC0"/>
    <w:rsid w:val="22180203"/>
    <w:rsid w:val="22AA7C62"/>
    <w:rsid w:val="22DD5BDB"/>
    <w:rsid w:val="2306260B"/>
    <w:rsid w:val="2322058C"/>
    <w:rsid w:val="235C2C2A"/>
    <w:rsid w:val="23DC4798"/>
    <w:rsid w:val="23FF1819"/>
    <w:rsid w:val="242634A4"/>
    <w:rsid w:val="243A693D"/>
    <w:rsid w:val="245E0E58"/>
    <w:rsid w:val="24F86B97"/>
    <w:rsid w:val="253036C5"/>
    <w:rsid w:val="256C4478"/>
    <w:rsid w:val="259579AF"/>
    <w:rsid w:val="25F63B64"/>
    <w:rsid w:val="25FE0597"/>
    <w:rsid w:val="262A4A65"/>
    <w:rsid w:val="268C673B"/>
    <w:rsid w:val="26976104"/>
    <w:rsid w:val="271A3FF4"/>
    <w:rsid w:val="271C165B"/>
    <w:rsid w:val="276D638F"/>
    <w:rsid w:val="27870460"/>
    <w:rsid w:val="27F72D7E"/>
    <w:rsid w:val="28B74238"/>
    <w:rsid w:val="28B83CA7"/>
    <w:rsid w:val="28E502F9"/>
    <w:rsid w:val="28E9374F"/>
    <w:rsid w:val="29363F06"/>
    <w:rsid w:val="296F5B95"/>
    <w:rsid w:val="29AC777C"/>
    <w:rsid w:val="29DE0525"/>
    <w:rsid w:val="29EF70C8"/>
    <w:rsid w:val="2A221D03"/>
    <w:rsid w:val="2A2F3204"/>
    <w:rsid w:val="2A3716AB"/>
    <w:rsid w:val="2ABD762E"/>
    <w:rsid w:val="2ADE2A02"/>
    <w:rsid w:val="2B1F098C"/>
    <w:rsid w:val="2B3109E2"/>
    <w:rsid w:val="2B3B4C50"/>
    <w:rsid w:val="2B485DBB"/>
    <w:rsid w:val="2B692B05"/>
    <w:rsid w:val="2B69347C"/>
    <w:rsid w:val="2B8C0A94"/>
    <w:rsid w:val="2BDE1876"/>
    <w:rsid w:val="2C165FD1"/>
    <w:rsid w:val="2C427C83"/>
    <w:rsid w:val="2C580EC7"/>
    <w:rsid w:val="2D266C74"/>
    <w:rsid w:val="2DAD2E9F"/>
    <w:rsid w:val="2E0C0EE9"/>
    <w:rsid w:val="2E3D6CA4"/>
    <w:rsid w:val="2E7C3545"/>
    <w:rsid w:val="2EB35A8A"/>
    <w:rsid w:val="2F28730D"/>
    <w:rsid w:val="2F3A096F"/>
    <w:rsid w:val="2F6046E7"/>
    <w:rsid w:val="2F803098"/>
    <w:rsid w:val="2F8D7DD7"/>
    <w:rsid w:val="2FAC5A0D"/>
    <w:rsid w:val="30104E20"/>
    <w:rsid w:val="304862D7"/>
    <w:rsid w:val="30B02296"/>
    <w:rsid w:val="30C51137"/>
    <w:rsid w:val="30DA24F1"/>
    <w:rsid w:val="310959FE"/>
    <w:rsid w:val="3109732A"/>
    <w:rsid w:val="315E5833"/>
    <w:rsid w:val="319E2D8B"/>
    <w:rsid w:val="31C97B6E"/>
    <w:rsid w:val="32080EDC"/>
    <w:rsid w:val="32262809"/>
    <w:rsid w:val="328D69DF"/>
    <w:rsid w:val="32AB7EAB"/>
    <w:rsid w:val="32B71D27"/>
    <w:rsid w:val="32DE07F1"/>
    <w:rsid w:val="333113A7"/>
    <w:rsid w:val="33323300"/>
    <w:rsid w:val="33505C7F"/>
    <w:rsid w:val="338527AA"/>
    <w:rsid w:val="33A83053"/>
    <w:rsid w:val="33AE0711"/>
    <w:rsid w:val="34777EA9"/>
    <w:rsid w:val="347E1FD2"/>
    <w:rsid w:val="348573AD"/>
    <w:rsid w:val="352C7928"/>
    <w:rsid w:val="357E5409"/>
    <w:rsid w:val="35945D5F"/>
    <w:rsid w:val="35B3556B"/>
    <w:rsid w:val="35C10B61"/>
    <w:rsid w:val="35F5325E"/>
    <w:rsid w:val="360630CA"/>
    <w:rsid w:val="360A76FC"/>
    <w:rsid w:val="366A08A1"/>
    <w:rsid w:val="36BB64A0"/>
    <w:rsid w:val="371E73E3"/>
    <w:rsid w:val="376B45FB"/>
    <w:rsid w:val="376D57DD"/>
    <w:rsid w:val="379F227E"/>
    <w:rsid w:val="37E81DE8"/>
    <w:rsid w:val="37F204E2"/>
    <w:rsid w:val="38275D59"/>
    <w:rsid w:val="3848012E"/>
    <w:rsid w:val="38F86950"/>
    <w:rsid w:val="39525C52"/>
    <w:rsid w:val="3956425B"/>
    <w:rsid w:val="39A25744"/>
    <w:rsid w:val="39A64D30"/>
    <w:rsid w:val="3A120448"/>
    <w:rsid w:val="3A1A0369"/>
    <w:rsid w:val="3A202424"/>
    <w:rsid w:val="3A9E367D"/>
    <w:rsid w:val="3AE466CD"/>
    <w:rsid w:val="3AF45BE0"/>
    <w:rsid w:val="3AF460F5"/>
    <w:rsid w:val="3B6141E8"/>
    <w:rsid w:val="3B721C7C"/>
    <w:rsid w:val="3BEA5380"/>
    <w:rsid w:val="3C1C076F"/>
    <w:rsid w:val="3C3F24CA"/>
    <w:rsid w:val="3C5D7D9D"/>
    <w:rsid w:val="3CF4297B"/>
    <w:rsid w:val="3D1C54C3"/>
    <w:rsid w:val="3D346110"/>
    <w:rsid w:val="3D6C60E9"/>
    <w:rsid w:val="3D855C98"/>
    <w:rsid w:val="3E0063C6"/>
    <w:rsid w:val="3E2570E8"/>
    <w:rsid w:val="3E705E49"/>
    <w:rsid w:val="3EC949BD"/>
    <w:rsid w:val="3F1D1FAD"/>
    <w:rsid w:val="3F3917BB"/>
    <w:rsid w:val="3F453F96"/>
    <w:rsid w:val="3F9758B1"/>
    <w:rsid w:val="3FCB42E0"/>
    <w:rsid w:val="3FF2193A"/>
    <w:rsid w:val="40342F71"/>
    <w:rsid w:val="404F2B17"/>
    <w:rsid w:val="405979F4"/>
    <w:rsid w:val="40895D14"/>
    <w:rsid w:val="40AE34F0"/>
    <w:rsid w:val="40BA2B58"/>
    <w:rsid w:val="41C73588"/>
    <w:rsid w:val="41DE4F09"/>
    <w:rsid w:val="41EC43CC"/>
    <w:rsid w:val="41FF695D"/>
    <w:rsid w:val="42642ED6"/>
    <w:rsid w:val="42967F6B"/>
    <w:rsid w:val="42D665BD"/>
    <w:rsid w:val="43184C21"/>
    <w:rsid w:val="431B75AC"/>
    <w:rsid w:val="4327476D"/>
    <w:rsid w:val="4363766A"/>
    <w:rsid w:val="43821027"/>
    <w:rsid w:val="438F1360"/>
    <w:rsid w:val="44636E08"/>
    <w:rsid w:val="4518618B"/>
    <w:rsid w:val="452112A4"/>
    <w:rsid w:val="45457145"/>
    <w:rsid w:val="454A2BAB"/>
    <w:rsid w:val="4587377D"/>
    <w:rsid w:val="459308E1"/>
    <w:rsid w:val="45A93012"/>
    <w:rsid w:val="45D4644E"/>
    <w:rsid w:val="467E0A90"/>
    <w:rsid w:val="46B72EB2"/>
    <w:rsid w:val="46CE379B"/>
    <w:rsid w:val="46E84813"/>
    <w:rsid w:val="46F917F3"/>
    <w:rsid w:val="47172C63"/>
    <w:rsid w:val="47470DDB"/>
    <w:rsid w:val="474B7272"/>
    <w:rsid w:val="474F12EA"/>
    <w:rsid w:val="47711FF7"/>
    <w:rsid w:val="47B56EA9"/>
    <w:rsid w:val="4812704D"/>
    <w:rsid w:val="482A469C"/>
    <w:rsid w:val="483045AC"/>
    <w:rsid w:val="48732DFA"/>
    <w:rsid w:val="48A90552"/>
    <w:rsid w:val="48F33103"/>
    <w:rsid w:val="491B0BF5"/>
    <w:rsid w:val="494527BF"/>
    <w:rsid w:val="49820FCF"/>
    <w:rsid w:val="499E6F1D"/>
    <w:rsid w:val="49C56F37"/>
    <w:rsid w:val="4A1A1AFC"/>
    <w:rsid w:val="4A1C7F69"/>
    <w:rsid w:val="4A4A7BE5"/>
    <w:rsid w:val="4A693618"/>
    <w:rsid w:val="4A83553B"/>
    <w:rsid w:val="4A9A4826"/>
    <w:rsid w:val="4B313C34"/>
    <w:rsid w:val="4B315A79"/>
    <w:rsid w:val="4B670988"/>
    <w:rsid w:val="4B6F1602"/>
    <w:rsid w:val="4B8A014A"/>
    <w:rsid w:val="4BC14EAA"/>
    <w:rsid w:val="4C050246"/>
    <w:rsid w:val="4C0F23A4"/>
    <w:rsid w:val="4C120763"/>
    <w:rsid w:val="4C6263AC"/>
    <w:rsid w:val="4CC874A2"/>
    <w:rsid w:val="4D313EB4"/>
    <w:rsid w:val="4D5C535F"/>
    <w:rsid w:val="4D6A309D"/>
    <w:rsid w:val="4D777C4B"/>
    <w:rsid w:val="4D9E31C3"/>
    <w:rsid w:val="4DB61934"/>
    <w:rsid w:val="4DB6655A"/>
    <w:rsid w:val="4DC108F4"/>
    <w:rsid w:val="4DF0484B"/>
    <w:rsid w:val="4E0176F5"/>
    <w:rsid w:val="4E1B37B3"/>
    <w:rsid w:val="4E414BB2"/>
    <w:rsid w:val="4E7E4296"/>
    <w:rsid w:val="4E803067"/>
    <w:rsid w:val="4ED24E8A"/>
    <w:rsid w:val="4ED75229"/>
    <w:rsid w:val="4F2C4F1E"/>
    <w:rsid w:val="4F5624CB"/>
    <w:rsid w:val="4F9547EC"/>
    <w:rsid w:val="4FB467F9"/>
    <w:rsid w:val="4FCF187E"/>
    <w:rsid w:val="4FD02F65"/>
    <w:rsid w:val="5003298D"/>
    <w:rsid w:val="50425D9B"/>
    <w:rsid w:val="50E97B0D"/>
    <w:rsid w:val="510D07DF"/>
    <w:rsid w:val="512D6C02"/>
    <w:rsid w:val="519B28E7"/>
    <w:rsid w:val="52592ED4"/>
    <w:rsid w:val="52832C8D"/>
    <w:rsid w:val="528C0894"/>
    <w:rsid w:val="52AC1B52"/>
    <w:rsid w:val="52DA366E"/>
    <w:rsid w:val="52DB3A4A"/>
    <w:rsid w:val="52E57CC3"/>
    <w:rsid w:val="53061C45"/>
    <w:rsid w:val="5312550A"/>
    <w:rsid w:val="538B4DE8"/>
    <w:rsid w:val="539630F4"/>
    <w:rsid w:val="53DE69BF"/>
    <w:rsid w:val="541E45C6"/>
    <w:rsid w:val="545350EF"/>
    <w:rsid w:val="54723C47"/>
    <w:rsid w:val="54D723E8"/>
    <w:rsid w:val="54D9055F"/>
    <w:rsid w:val="54EB7031"/>
    <w:rsid w:val="550721D5"/>
    <w:rsid w:val="551D0BF2"/>
    <w:rsid w:val="55A47060"/>
    <w:rsid w:val="55AC19BF"/>
    <w:rsid w:val="55AC636A"/>
    <w:rsid w:val="55BD4114"/>
    <w:rsid w:val="55C15CC7"/>
    <w:rsid w:val="55D553DE"/>
    <w:rsid w:val="55EB6C18"/>
    <w:rsid w:val="563648E8"/>
    <w:rsid w:val="56A650A5"/>
    <w:rsid w:val="56A91B6A"/>
    <w:rsid w:val="56B62362"/>
    <w:rsid w:val="56B967C0"/>
    <w:rsid w:val="56BE67A9"/>
    <w:rsid w:val="56EE7782"/>
    <w:rsid w:val="56FB5DFE"/>
    <w:rsid w:val="5734146A"/>
    <w:rsid w:val="57550496"/>
    <w:rsid w:val="576B0D91"/>
    <w:rsid w:val="57830686"/>
    <w:rsid w:val="57C96345"/>
    <w:rsid w:val="57D17697"/>
    <w:rsid w:val="57D92384"/>
    <w:rsid w:val="57E06FC5"/>
    <w:rsid w:val="57EB60A6"/>
    <w:rsid w:val="58020827"/>
    <w:rsid w:val="581808D2"/>
    <w:rsid w:val="583B7EFB"/>
    <w:rsid w:val="588E3A11"/>
    <w:rsid w:val="58941028"/>
    <w:rsid w:val="58A44110"/>
    <w:rsid w:val="58DE21CC"/>
    <w:rsid w:val="5927169E"/>
    <w:rsid w:val="59531B7C"/>
    <w:rsid w:val="5973475B"/>
    <w:rsid w:val="59E12724"/>
    <w:rsid w:val="5ACF0373"/>
    <w:rsid w:val="5B093AF8"/>
    <w:rsid w:val="5B2616E5"/>
    <w:rsid w:val="5B313FD1"/>
    <w:rsid w:val="5B3A4C3E"/>
    <w:rsid w:val="5B3F2EF0"/>
    <w:rsid w:val="5B884B96"/>
    <w:rsid w:val="5BC17430"/>
    <w:rsid w:val="5BF93517"/>
    <w:rsid w:val="5CE95E81"/>
    <w:rsid w:val="5CEB3254"/>
    <w:rsid w:val="5D090FC9"/>
    <w:rsid w:val="5D0F6A83"/>
    <w:rsid w:val="5D480F4A"/>
    <w:rsid w:val="5D505AC6"/>
    <w:rsid w:val="5D5741CB"/>
    <w:rsid w:val="5D7217AC"/>
    <w:rsid w:val="5EEE0D63"/>
    <w:rsid w:val="5F2053F5"/>
    <w:rsid w:val="5FA2526B"/>
    <w:rsid w:val="5FAA3C47"/>
    <w:rsid w:val="5FC11647"/>
    <w:rsid w:val="5FF61953"/>
    <w:rsid w:val="600E54F4"/>
    <w:rsid w:val="604157B4"/>
    <w:rsid w:val="6058507F"/>
    <w:rsid w:val="607B75C7"/>
    <w:rsid w:val="608E5756"/>
    <w:rsid w:val="608E5A3C"/>
    <w:rsid w:val="60A827A3"/>
    <w:rsid w:val="60D51A59"/>
    <w:rsid w:val="60E82224"/>
    <w:rsid w:val="60F575C1"/>
    <w:rsid w:val="61147D5F"/>
    <w:rsid w:val="61220EC7"/>
    <w:rsid w:val="61672D60"/>
    <w:rsid w:val="61B17DFE"/>
    <w:rsid w:val="626A0523"/>
    <w:rsid w:val="62847EA7"/>
    <w:rsid w:val="628E214D"/>
    <w:rsid w:val="62DB637F"/>
    <w:rsid w:val="62E574A5"/>
    <w:rsid w:val="62FA10BA"/>
    <w:rsid w:val="62FA7D96"/>
    <w:rsid w:val="62FD5017"/>
    <w:rsid w:val="62FF376F"/>
    <w:rsid w:val="63296CF6"/>
    <w:rsid w:val="63532130"/>
    <w:rsid w:val="63CB5BE6"/>
    <w:rsid w:val="63D615FE"/>
    <w:rsid w:val="640B7333"/>
    <w:rsid w:val="64137DD0"/>
    <w:rsid w:val="6469117D"/>
    <w:rsid w:val="64871562"/>
    <w:rsid w:val="649A0130"/>
    <w:rsid w:val="64BE0404"/>
    <w:rsid w:val="64E42211"/>
    <w:rsid w:val="64EA7FB1"/>
    <w:rsid w:val="64EC6C5A"/>
    <w:rsid w:val="64FB4018"/>
    <w:rsid w:val="653D7AF3"/>
    <w:rsid w:val="657B0A8B"/>
    <w:rsid w:val="658968F6"/>
    <w:rsid w:val="659B1C8E"/>
    <w:rsid w:val="65B119A5"/>
    <w:rsid w:val="65DB70A8"/>
    <w:rsid w:val="65F916BF"/>
    <w:rsid w:val="6622535F"/>
    <w:rsid w:val="66565CBE"/>
    <w:rsid w:val="66A12CC1"/>
    <w:rsid w:val="670E76D1"/>
    <w:rsid w:val="67574E33"/>
    <w:rsid w:val="675F7AC4"/>
    <w:rsid w:val="67630CEF"/>
    <w:rsid w:val="67643342"/>
    <w:rsid w:val="67744584"/>
    <w:rsid w:val="67745B77"/>
    <w:rsid w:val="67D77C44"/>
    <w:rsid w:val="68645048"/>
    <w:rsid w:val="68816D21"/>
    <w:rsid w:val="6882763F"/>
    <w:rsid w:val="6884648C"/>
    <w:rsid w:val="690459DC"/>
    <w:rsid w:val="690B7AFD"/>
    <w:rsid w:val="693922AF"/>
    <w:rsid w:val="695140AB"/>
    <w:rsid w:val="69543567"/>
    <w:rsid w:val="69B036CF"/>
    <w:rsid w:val="69BE7BAE"/>
    <w:rsid w:val="6A180980"/>
    <w:rsid w:val="6A1D3E00"/>
    <w:rsid w:val="6A47420B"/>
    <w:rsid w:val="6A5135AE"/>
    <w:rsid w:val="6A6C4CEC"/>
    <w:rsid w:val="6A6D318E"/>
    <w:rsid w:val="6A90444F"/>
    <w:rsid w:val="6A930078"/>
    <w:rsid w:val="6AB63A2C"/>
    <w:rsid w:val="6AD94255"/>
    <w:rsid w:val="6AEA5EDC"/>
    <w:rsid w:val="6AFC4C50"/>
    <w:rsid w:val="6AFF6DD9"/>
    <w:rsid w:val="6B2031BA"/>
    <w:rsid w:val="6B29648C"/>
    <w:rsid w:val="6B3034CF"/>
    <w:rsid w:val="6B6721F6"/>
    <w:rsid w:val="6B713444"/>
    <w:rsid w:val="6B7A60D6"/>
    <w:rsid w:val="6B8620A1"/>
    <w:rsid w:val="6B9F6D44"/>
    <w:rsid w:val="6C203A9A"/>
    <w:rsid w:val="6C385BB0"/>
    <w:rsid w:val="6CA6506C"/>
    <w:rsid w:val="6CA77F53"/>
    <w:rsid w:val="6CB75CCD"/>
    <w:rsid w:val="6D2D26D4"/>
    <w:rsid w:val="6D3769F7"/>
    <w:rsid w:val="6D6F7597"/>
    <w:rsid w:val="6D7D5848"/>
    <w:rsid w:val="6E5F5ACC"/>
    <w:rsid w:val="6E9303C1"/>
    <w:rsid w:val="6EC55FDD"/>
    <w:rsid w:val="6ECF03D4"/>
    <w:rsid w:val="6EEA4B30"/>
    <w:rsid w:val="6EEB1850"/>
    <w:rsid w:val="6EEB4762"/>
    <w:rsid w:val="6F1D62F1"/>
    <w:rsid w:val="6F2C30CE"/>
    <w:rsid w:val="6F7A3C37"/>
    <w:rsid w:val="6FC02C16"/>
    <w:rsid w:val="6FEC219A"/>
    <w:rsid w:val="6FF6475E"/>
    <w:rsid w:val="70184EA3"/>
    <w:rsid w:val="706C77C5"/>
    <w:rsid w:val="70CB53E1"/>
    <w:rsid w:val="70E45041"/>
    <w:rsid w:val="7106655B"/>
    <w:rsid w:val="714E12CF"/>
    <w:rsid w:val="7164564C"/>
    <w:rsid w:val="71EB057A"/>
    <w:rsid w:val="7209016D"/>
    <w:rsid w:val="7231659C"/>
    <w:rsid w:val="7259341C"/>
    <w:rsid w:val="728B00C1"/>
    <w:rsid w:val="73214E54"/>
    <w:rsid w:val="733E3EC7"/>
    <w:rsid w:val="734521A8"/>
    <w:rsid w:val="73707E67"/>
    <w:rsid w:val="73BA58EC"/>
    <w:rsid w:val="73CA7D44"/>
    <w:rsid w:val="741F0C23"/>
    <w:rsid w:val="74216CE6"/>
    <w:rsid w:val="743439CA"/>
    <w:rsid w:val="74687938"/>
    <w:rsid w:val="748F3308"/>
    <w:rsid w:val="74BC7F66"/>
    <w:rsid w:val="74DD127A"/>
    <w:rsid w:val="74DD501D"/>
    <w:rsid w:val="75162ACF"/>
    <w:rsid w:val="754B1A74"/>
    <w:rsid w:val="754C5563"/>
    <w:rsid w:val="75686B98"/>
    <w:rsid w:val="75ED3955"/>
    <w:rsid w:val="765D6C48"/>
    <w:rsid w:val="7677072C"/>
    <w:rsid w:val="767E397C"/>
    <w:rsid w:val="76A00464"/>
    <w:rsid w:val="76A021B3"/>
    <w:rsid w:val="76B664D7"/>
    <w:rsid w:val="76BF1553"/>
    <w:rsid w:val="76E33575"/>
    <w:rsid w:val="76E52316"/>
    <w:rsid w:val="76EB2B73"/>
    <w:rsid w:val="76F275C9"/>
    <w:rsid w:val="770B0914"/>
    <w:rsid w:val="771116A8"/>
    <w:rsid w:val="77A33591"/>
    <w:rsid w:val="77D16924"/>
    <w:rsid w:val="77F43EF6"/>
    <w:rsid w:val="782C2784"/>
    <w:rsid w:val="78326601"/>
    <w:rsid w:val="78430D47"/>
    <w:rsid w:val="79276A37"/>
    <w:rsid w:val="797F7147"/>
    <w:rsid w:val="79BE2A91"/>
    <w:rsid w:val="79D03DC8"/>
    <w:rsid w:val="79FE23AA"/>
    <w:rsid w:val="7A2114BD"/>
    <w:rsid w:val="7A4F4C9D"/>
    <w:rsid w:val="7A992CC0"/>
    <w:rsid w:val="7AED28B0"/>
    <w:rsid w:val="7B3A50B0"/>
    <w:rsid w:val="7B7A2758"/>
    <w:rsid w:val="7B8B2C1D"/>
    <w:rsid w:val="7BB67DF0"/>
    <w:rsid w:val="7BCA3B47"/>
    <w:rsid w:val="7BD020E4"/>
    <w:rsid w:val="7BFF63DE"/>
    <w:rsid w:val="7C01614C"/>
    <w:rsid w:val="7C046E24"/>
    <w:rsid w:val="7C3403C9"/>
    <w:rsid w:val="7C6A1EB0"/>
    <w:rsid w:val="7CE64909"/>
    <w:rsid w:val="7D1110A6"/>
    <w:rsid w:val="7D4E0C16"/>
    <w:rsid w:val="7D742F05"/>
    <w:rsid w:val="7D793C28"/>
    <w:rsid w:val="7D8C0F6F"/>
    <w:rsid w:val="7DD60F10"/>
    <w:rsid w:val="7E092750"/>
    <w:rsid w:val="7E096CA7"/>
    <w:rsid w:val="7E283F85"/>
    <w:rsid w:val="7E511277"/>
    <w:rsid w:val="7E6009A4"/>
    <w:rsid w:val="7F4F291E"/>
    <w:rsid w:val="7F6A5445"/>
    <w:rsid w:val="7F704289"/>
    <w:rsid w:val="7F9F0756"/>
    <w:rsid w:val="7FCF6FF7"/>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0"/>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6"/>
    <w:autoRedefine/>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7"/>
    <w:autoRedefine/>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8"/>
    <w:autoRedefine/>
    <w:qFormat/>
    <w:uiPriority w:val="1"/>
    <w:pPr>
      <w:outlineLvl w:val="2"/>
    </w:pPr>
    <w:rPr>
      <w:rFonts w:ascii="宋体" w:hAnsi="宋体" w:eastAsia="微软雅黑"/>
      <w:b/>
      <w:sz w:val="28"/>
      <w:szCs w:val="30"/>
    </w:rPr>
  </w:style>
  <w:style w:type="paragraph" w:styleId="5">
    <w:name w:val="heading 4"/>
    <w:basedOn w:val="1"/>
    <w:next w:val="1"/>
    <w:autoRedefine/>
    <w:unhideWhenUsed/>
    <w:qFormat/>
    <w:uiPriority w:val="0"/>
    <w:pPr>
      <w:keepNext/>
      <w:keepLines/>
      <w:spacing w:before="280" w:beforeLines="0" w:beforeAutospacing="0" w:after="290" w:afterLines="0" w:afterAutospacing="0" w:line="372" w:lineRule="auto"/>
      <w:outlineLvl w:val="3"/>
    </w:pPr>
    <w:rPr>
      <w:rFonts w:ascii="Arial" w:hAnsi="Arial" w:eastAsia="微软雅黑"/>
      <w:b/>
      <w:sz w:val="28"/>
    </w:rPr>
  </w:style>
  <w:style w:type="paragraph" w:styleId="6">
    <w:name w:val="heading 5"/>
    <w:basedOn w:val="1"/>
    <w:next w:val="1"/>
    <w:autoRedefine/>
    <w:unhideWhenUsed/>
    <w:qFormat/>
    <w:uiPriority w:val="0"/>
    <w:pPr>
      <w:keepNext/>
      <w:keepLines/>
      <w:spacing w:before="280" w:beforeLines="0" w:beforeAutospacing="0" w:after="290" w:afterLines="0" w:afterAutospacing="0" w:line="240" w:lineRule="auto"/>
      <w:jc w:val="center"/>
      <w:outlineLvl w:val="4"/>
    </w:pPr>
    <w:rPr>
      <w:rFonts w:ascii="Times New Roman" w:hAnsi="Times New Roman" w:eastAsia="宋体"/>
      <w:b/>
      <w:color w:val="62B541"/>
      <w:sz w:val="24"/>
    </w:rPr>
  </w:style>
  <w:style w:type="character" w:default="1" w:styleId="18">
    <w:name w:val="Default Paragraph Font"/>
    <w:autoRedefine/>
    <w:semiHidden/>
    <w:unhideWhenUsed/>
    <w:qFormat/>
    <w:uiPriority w:val="1"/>
  </w:style>
  <w:style w:type="table" w:default="1" w:styleId="16">
    <w:name w:val="Normal Table"/>
    <w:autoRedefine/>
    <w:semiHidden/>
    <w:unhideWhenUsed/>
    <w:qFormat/>
    <w:uiPriority w:val="99"/>
    <w:tblPr>
      <w:tblCellMar>
        <w:top w:w="0" w:type="dxa"/>
        <w:left w:w="108" w:type="dxa"/>
        <w:bottom w:w="0" w:type="dxa"/>
        <w:right w:w="108" w:type="dxa"/>
      </w:tblCellMar>
    </w:tblPr>
  </w:style>
  <w:style w:type="paragraph" w:styleId="7">
    <w:name w:val="annotation text"/>
    <w:basedOn w:val="1"/>
    <w:autoRedefine/>
    <w:qFormat/>
    <w:uiPriority w:val="0"/>
  </w:style>
  <w:style w:type="paragraph" w:styleId="8">
    <w:name w:val="Body Text"/>
    <w:basedOn w:val="1"/>
    <w:autoRedefine/>
    <w:qFormat/>
    <w:uiPriority w:val="1"/>
    <w:rPr>
      <w:sz w:val="18"/>
      <w:szCs w:val="18"/>
    </w:rPr>
  </w:style>
  <w:style w:type="paragraph" w:styleId="9">
    <w:name w:val="toc 3"/>
    <w:basedOn w:val="1"/>
    <w:next w:val="1"/>
    <w:autoRedefine/>
    <w:qFormat/>
    <w:uiPriority w:val="0"/>
    <w:pPr>
      <w:ind w:left="840" w:leftChars="400"/>
    </w:pPr>
  </w:style>
  <w:style w:type="paragraph" w:styleId="10">
    <w:name w:val="Balloon Text"/>
    <w:basedOn w:val="1"/>
    <w:link w:val="35"/>
    <w:autoRedefine/>
    <w:qFormat/>
    <w:uiPriority w:val="0"/>
    <w:rPr>
      <w:sz w:val="18"/>
      <w:szCs w:val="18"/>
    </w:rPr>
  </w:style>
  <w:style w:type="paragraph" w:styleId="11">
    <w:name w:val="footer"/>
    <w:basedOn w:val="1"/>
    <w:autoRedefine/>
    <w:unhideWhenUsed/>
    <w:qFormat/>
    <w:uiPriority w:val="99"/>
    <w:pPr>
      <w:tabs>
        <w:tab w:val="center" w:pos="4153"/>
        <w:tab w:val="right" w:pos="8306"/>
      </w:tabs>
      <w:snapToGrid w:val="0"/>
    </w:pPr>
    <w:rPr>
      <w:sz w:val="18"/>
      <w:szCs w:val="18"/>
    </w:rPr>
  </w:style>
  <w:style w:type="paragraph" w:styleId="12">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autoRedefine/>
    <w:unhideWhenUsed/>
    <w:qFormat/>
    <w:uiPriority w:val="39"/>
    <w:rPr>
      <w:rFonts w:ascii="Times New Roman" w:hAnsi="Times New Roman" w:eastAsia="微软雅黑"/>
      <w:b/>
      <w:color w:val="62B541"/>
      <w:sz w:val="32"/>
    </w:rPr>
  </w:style>
  <w:style w:type="paragraph" w:styleId="14">
    <w:name w:val="toc 2"/>
    <w:basedOn w:val="1"/>
    <w:next w:val="1"/>
    <w:autoRedefine/>
    <w:unhideWhenUsed/>
    <w:qFormat/>
    <w:uiPriority w:val="39"/>
    <w:pPr>
      <w:ind w:left="420" w:leftChars="200"/>
    </w:pPr>
    <w:rPr>
      <w:rFonts w:ascii="Times New Roman" w:hAnsi="Times New Roman" w:eastAsia="微软雅黑"/>
      <w:color w:val="808080" w:themeColor="background1" w:themeShade="80"/>
      <w:sz w:val="28"/>
      <w:szCs w:val="28"/>
    </w:rPr>
  </w:style>
  <w:style w:type="paragraph" w:styleId="15">
    <w:name w:val="Normal (Web)"/>
    <w:basedOn w:val="1"/>
    <w:autoRedefine/>
    <w:qFormat/>
    <w:uiPriority w:val="0"/>
    <w:rPr>
      <w:sz w:val="24"/>
    </w:rPr>
  </w:style>
  <w:style w:type="table" w:styleId="17">
    <w:name w:val="Table Grid"/>
    <w:basedOn w:val="16"/>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9">
    <w:name w:val="Strong"/>
    <w:basedOn w:val="18"/>
    <w:autoRedefine/>
    <w:qFormat/>
    <w:uiPriority w:val="0"/>
    <w:rPr>
      <w:b/>
    </w:rPr>
  </w:style>
  <w:style w:type="character" w:styleId="20">
    <w:name w:val="Hyperlink"/>
    <w:basedOn w:val="18"/>
    <w:autoRedefine/>
    <w:unhideWhenUsed/>
    <w:qFormat/>
    <w:uiPriority w:val="99"/>
    <w:rPr>
      <w:color w:val="0563C1" w:themeColor="hyperlink"/>
      <w:u w:val="single"/>
      <w14:textFill>
        <w14:solidFill>
          <w14:schemeClr w14:val="hlink"/>
        </w14:solidFill>
      </w14:textFill>
    </w:rPr>
  </w:style>
  <w:style w:type="character" w:styleId="21">
    <w:name w:val="annotation reference"/>
    <w:basedOn w:val="18"/>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8"/>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Char"/>
    <w:basedOn w:val="18"/>
    <w:link w:val="10"/>
    <w:autoRedefine/>
    <w:qFormat/>
    <w:uiPriority w:val="0"/>
    <w:rPr>
      <w:rFonts w:ascii="宋体" w:hAnsi="宋体" w:cs="宋体"/>
      <w:sz w:val="18"/>
      <w:szCs w:val="18"/>
      <w:lang w:eastAsia="en-US"/>
    </w:rPr>
  </w:style>
  <w:style w:type="character" w:customStyle="1" w:styleId="36">
    <w:name w:val="标题 1 Char"/>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7">
    <w:name w:val="标题 2 Char"/>
    <w:link w:val="3"/>
    <w:autoRedefine/>
    <w:qFormat/>
    <w:uiPriority w:val="1"/>
    <w:rPr>
      <w:rFonts w:ascii="Times New Roman" w:hAnsi="Times New Roman" w:eastAsia="微软雅黑" w:cs="黑体"/>
      <w:b/>
      <w:bCs/>
      <w:color w:val="62B541"/>
      <w:sz w:val="30"/>
      <w:szCs w:val="30"/>
    </w:rPr>
  </w:style>
  <w:style w:type="character" w:customStyle="1" w:styleId="38">
    <w:name w:val="标题 3 Char"/>
    <w:link w:val="4"/>
    <w:autoRedefine/>
    <w:qFormat/>
    <w:uiPriority w:val="1"/>
    <w:rPr>
      <w:rFonts w:ascii="宋体" w:hAnsi="宋体" w:eastAsia="微软雅黑"/>
      <w:b/>
      <w:sz w:val="28"/>
      <w:szCs w:val="30"/>
    </w:rPr>
  </w:style>
  <w:style w:type="table" w:customStyle="1" w:styleId="39">
    <w:name w:val="ffzstable0"/>
    <w:basedOn w:val="17"/>
    <w:autoRedefine/>
    <w:qFormat/>
    <w:uiPriority w:val="0"/>
    <w:pPr>
      <w:jc w:val="center"/>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tcPr>
      <w:tcBorders>
        <w:top w:val="single" w:color="auto" w:sz="4" w:space="0"/>
        <w:left w:val="single" w:color="auto" w:sz="4" w:space="0"/>
        <w:bottom w:val="single" w:color="auto" w:sz="4" w:space="0"/>
        <w:right w:val="single" w:color="auto" w:sz="4" w:space="0"/>
      </w:tcBorders>
      <w:vAlign w:val="center"/>
    </w:tcPr>
  </w:style>
  <w:style w:type="table" w:customStyle="1" w:styleId="40">
    <w:name w:val="ffzstable1"/>
    <w:basedOn w:val="17"/>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1">
    <w:name w:val="List Paragraph"/>
    <w:basedOn w:val="1"/>
    <w:autoRedefine/>
    <w:qFormat/>
    <w:uiPriority w:val="99"/>
    <w:pPr>
      <w:ind w:firstLine="420" w:firstLineChars="200"/>
    </w:pPr>
  </w:style>
  <w:style w:type="paragraph" w:customStyle="1" w:styleId="42">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3">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4">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5">
    <w:name w:val="font21"/>
    <w:basedOn w:val="18"/>
    <w:autoRedefine/>
    <w:qFormat/>
    <w:uiPriority w:val="0"/>
    <w:rPr>
      <w:rFonts w:hint="eastAsia" w:ascii="微软雅黑" w:hAnsi="微软雅黑" w:eastAsia="微软雅黑" w:cs="微软雅黑"/>
      <w:b/>
      <w:bCs/>
      <w:color w:val="FFFFFF"/>
      <w:sz w:val="21"/>
      <w:szCs w:val="21"/>
      <w:u w:val="none"/>
    </w:rPr>
  </w:style>
  <w:style w:type="character" w:customStyle="1" w:styleId="46">
    <w:name w:val="font101"/>
    <w:basedOn w:val="18"/>
    <w:autoRedefine/>
    <w:qFormat/>
    <w:uiPriority w:val="0"/>
    <w:rPr>
      <w:rFonts w:hint="default" w:ascii="Times New Roman" w:hAnsi="Times New Roman" w:cs="Times New Roman"/>
      <w:b/>
      <w:bCs/>
      <w:color w:val="000000"/>
      <w:sz w:val="21"/>
      <w:szCs w:val="21"/>
      <w:u w:val="none"/>
    </w:rPr>
  </w:style>
  <w:style w:type="character" w:customStyle="1" w:styleId="47">
    <w:name w:val="font51"/>
    <w:basedOn w:val="18"/>
    <w:autoRedefine/>
    <w:qFormat/>
    <w:uiPriority w:val="0"/>
    <w:rPr>
      <w:rFonts w:hint="eastAsia" w:ascii="微软雅黑" w:hAnsi="微软雅黑" w:eastAsia="微软雅黑" w:cs="微软雅黑"/>
      <w:color w:val="000000"/>
      <w:sz w:val="21"/>
      <w:szCs w:val="21"/>
      <w:u w:val="none"/>
    </w:rPr>
  </w:style>
  <w:style w:type="character" w:customStyle="1" w:styleId="48">
    <w:name w:val="font31"/>
    <w:basedOn w:val="18"/>
    <w:autoRedefine/>
    <w:qFormat/>
    <w:uiPriority w:val="0"/>
    <w:rPr>
      <w:rFonts w:hint="eastAsia" w:ascii="微软雅黑" w:hAnsi="微软雅黑" w:eastAsia="微软雅黑" w:cs="微软雅黑"/>
      <w:b/>
      <w:bCs/>
      <w:color w:val="000000"/>
      <w:sz w:val="21"/>
      <w:szCs w:val="21"/>
      <w:u w:val="none"/>
    </w:rPr>
  </w:style>
  <w:style w:type="character" w:customStyle="1" w:styleId="49">
    <w:name w:val="font61"/>
    <w:basedOn w:val="18"/>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3.jpeg"/><Relationship Id="rId8" Type="http://schemas.openxmlformats.org/officeDocument/2006/relationships/image" Target="media/image2.png"/><Relationship Id="rId7" Type="http://schemas.openxmlformats.org/officeDocument/2006/relationships/image" Target="media/image1.jpeg"/><Relationship Id="rId6" Type="http://schemas.openxmlformats.org/officeDocument/2006/relationships/theme" Target="theme/theme1.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numbering" Target="numbering.xml"/><Relationship Id="rId11" Type="http://schemas.openxmlformats.org/officeDocument/2006/relationships/customXml" Target="../customXml/item1.xml"/><Relationship Id="rId10" Type="http://schemas.openxmlformats.org/officeDocument/2006/relationships/image" Target="media/image4.png"/><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7.jpeg"/><Relationship Id="rId2" Type="http://schemas.openxmlformats.org/officeDocument/2006/relationships/image" Target="media/image6.jpeg"/><Relationship Id="rId1" Type="http://schemas.openxmlformats.org/officeDocument/2006/relationships/image" Target="media/image5.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33</Pages>
  <Words>4269</Words>
  <Characters>10201</Characters>
  <Lines>874</Lines>
  <Paragraphs>246</Paragraphs>
  <TotalTime>0</TotalTime>
  <ScaleCrop>false</ScaleCrop>
  <LinksUpToDate>false</LinksUpToDate>
  <CharactersWithSpaces>11049</CharactersWithSpaces>
  <Application>WPS Office_12.1.0.26375_F1E327BC-269C-435d-A152-05C5408002CA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2026-06-03T06:03:55Z</dcterms:modified>
  <cp:revision>19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2052-12.1.0.26375</vt:lpwstr>
  </property>
  <property fmtid="{D5CDD505-2E9C-101B-9397-08002B2CF9AE}" pid="3" name="ICV">
    <vt:lpwstr>62483191EAF14FA9971D55A8C917EB07</vt:lpwstr>
  </property>
  <property fmtid="{D5CDD505-2E9C-101B-9397-08002B2CF9AE}" pid="4" name="KSOTemplateDocerSaveRecord">
    <vt:lpwstr>eyJoZGlkIjoiY2Y2NjU5MGIzZGFmM2M5NTIxMmI2NjdmNGQ0NDdjMDUiLCJ1c2VySWQiOiI2MjE3NDUxNTQifQ==</vt:lpwstr>
  </property>
</Properties>
</file>