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25C393">
      <w:pPr>
        <w:jc w:val="center"/>
        <w:rPr>
          <w:sz w:val="20"/>
          <w:lang w:eastAsia="zh-CN"/>
        </w:rPr>
      </w:pPr>
      <w:bookmarkStart w:id="0" w:name="_Toc12869"/>
      <w:bookmarkStart w:id="1" w:name="_Toc26189"/>
    </w:p>
    <w:p w14:paraId="63C0693B">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2" name="图片 2"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58813B56">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035017F3">
      <w:pPr>
        <w:snapToGrid w:val="0"/>
        <w:ind w:firstLine="1575" w:firstLineChars="750"/>
        <w:rPr>
          <w:i/>
          <w:color w:val="008080"/>
          <w:sz w:val="21"/>
          <w:szCs w:val="21"/>
        </w:rPr>
      </w:pPr>
      <w:r>
        <w:rPr>
          <w:i/>
          <w:color w:val="008080"/>
          <w:sz w:val="21"/>
          <w:szCs w:val="21"/>
        </w:rPr>
        <w:t>Molecular Medical Laboratory, Chongqing Medical University</w:t>
      </w:r>
    </w:p>
    <w:p w14:paraId="3AE36E9F">
      <w:pPr>
        <w:jc w:val="both"/>
        <w:rPr>
          <w:sz w:val="20"/>
          <w:lang w:eastAsia="zh-CN"/>
        </w:rPr>
      </w:pPr>
    </w:p>
    <w:p w14:paraId="64C2A67D">
      <w:pPr>
        <w:jc w:val="center"/>
        <w:rPr>
          <w:sz w:val="20"/>
          <w:lang w:eastAsia="zh-CN"/>
        </w:rPr>
      </w:pPr>
    </w:p>
    <w:p w14:paraId="02DE376D">
      <w:pPr>
        <w:jc w:val="center"/>
        <w:rPr>
          <w:sz w:val="20"/>
          <w:lang w:eastAsia="zh-CN"/>
        </w:rPr>
      </w:pPr>
    </w:p>
    <w:p w14:paraId="1906BDF9">
      <w:pPr>
        <w:jc w:val="center"/>
        <w:rPr>
          <w:sz w:val="20"/>
          <w:lang w:eastAsia="zh-CN"/>
        </w:rPr>
      </w:pPr>
    </w:p>
    <w:p w14:paraId="48D06B76">
      <w:pPr>
        <w:jc w:val="center"/>
        <w:rPr>
          <w:sz w:val="20"/>
          <w:lang w:eastAsia="zh-CN"/>
        </w:rPr>
      </w:pPr>
    </w:p>
    <w:p w14:paraId="74E8AC30">
      <w:pPr>
        <w:jc w:val="center"/>
        <w:rPr>
          <w:sz w:val="20"/>
          <w:lang w:eastAsia="zh-CN"/>
        </w:rPr>
      </w:pPr>
    </w:p>
    <w:p w14:paraId="4E4FA2EB">
      <w:pPr>
        <w:jc w:val="center"/>
        <w:rPr>
          <w:sz w:val="20"/>
          <w:lang w:eastAsia="zh-CN"/>
        </w:rPr>
      </w:pPr>
    </w:p>
    <w:p w14:paraId="7ED33F2F">
      <w:pPr>
        <w:jc w:val="center"/>
        <w:rPr>
          <w:sz w:val="20"/>
          <w:lang w:eastAsia="zh-CN"/>
        </w:rPr>
      </w:pPr>
    </w:p>
    <w:p w14:paraId="2D0F9F97">
      <w:pPr>
        <w:jc w:val="center"/>
        <w:rPr>
          <w:sz w:val="20"/>
          <w:lang w:eastAsia="zh-CN"/>
        </w:rPr>
      </w:pPr>
    </w:p>
    <w:p w14:paraId="32817BC7">
      <w:pPr>
        <w:jc w:val="center"/>
        <w:rPr>
          <w:rFonts w:hint="default" w:ascii="黑体" w:hAnsi="黑体" w:eastAsia="黑体" w:cs="黑体"/>
          <w:color w:val="548235" w:themeColor="accent6" w:themeShade="BF"/>
          <w:sz w:val="72"/>
          <w:szCs w:val="72"/>
          <w:lang w:eastAsia="zh-CN"/>
        </w:rPr>
      </w:pPr>
      <w:r>
        <w:rPr>
          <w:rFonts w:hint="eastAsia" w:ascii="微软雅黑" w:eastAsia="微软雅黑" w:cs="宋体"/>
          <w:b/>
          <w:sz w:val="48"/>
          <w:szCs w:val="48"/>
          <w:lang w:val="en-US" w:eastAsia="zh-CN" w:bidi="ar-SA"/>
        </w:rPr>
        <w:t>泛实体瘤</w:t>
      </w:r>
      <w:r>
        <w:rPr>
          <w:rFonts w:hint="eastAsia" w:ascii="微软雅黑" w:hAnsi="宋体" w:eastAsia="微软雅黑" w:cs="宋体"/>
          <w:b/>
          <w:sz w:val="48"/>
          <w:szCs w:val="48"/>
          <w:lang w:val="en-US" w:eastAsia="zh-CN" w:bidi="ar-SA"/>
        </w:rPr>
        <w:t>融合基因</w:t>
      </w:r>
      <w:r>
        <w:rPr>
          <w:rFonts w:hint="eastAsia" w:ascii="微软雅黑" w:eastAsia="微软雅黑" w:cs="宋体"/>
          <w:b/>
          <w:sz w:val="48"/>
          <w:szCs w:val="48"/>
          <w:lang w:val="en-US" w:eastAsia="zh-CN" w:bidi="ar-SA"/>
        </w:rPr>
        <w:t>谱</w:t>
      </w:r>
      <w:r>
        <w:rPr>
          <w:rFonts w:hint="eastAsia" w:ascii="微软雅黑" w:hAnsi="宋体" w:eastAsia="微软雅黑" w:cs="宋体"/>
          <w:b/>
          <w:sz w:val="48"/>
          <w:szCs w:val="48"/>
          <w:lang w:val="en-US" w:eastAsia="zh-CN" w:bidi="ar-SA"/>
        </w:rPr>
        <w:t>{% if PDInfo %}+PD-L1{% endif %}检测报告</w:t>
      </w:r>
    </w:p>
    <w:p w14:paraId="4BCA8A72">
      <w:pPr>
        <w:jc w:val="center"/>
        <w:rPr>
          <w:sz w:val="20"/>
          <w:lang w:eastAsia="zh-CN"/>
        </w:rPr>
      </w:pPr>
    </w:p>
    <w:p w14:paraId="5CB11CC1">
      <w:pPr>
        <w:jc w:val="center"/>
        <w:rPr>
          <w:sz w:val="20"/>
          <w:lang w:eastAsia="zh-CN"/>
        </w:rPr>
      </w:pPr>
    </w:p>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F366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601C7FE">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0693FCC">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1B2F7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EABA97C">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8DADE45">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237FF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C777FAC">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A35E8DD">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6C43D1E7">
      <w:pPr>
        <w:jc w:val="center"/>
        <w:rPr>
          <w:sz w:val="20"/>
          <w:lang w:eastAsia="zh-CN"/>
        </w:rPr>
      </w:pPr>
    </w:p>
    <w:p w14:paraId="1C4F6F85">
      <w:pPr>
        <w:jc w:val="center"/>
        <w:rPr>
          <w:sz w:val="20"/>
          <w:lang w:eastAsia="zh-CN"/>
        </w:rPr>
      </w:pPr>
    </w:p>
    <w:p w14:paraId="2D3147DF">
      <w:pPr>
        <w:jc w:val="center"/>
        <w:rPr>
          <w:sz w:val="20"/>
          <w:lang w:eastAsia="zh-CN"/>
        </w:rPr>
      </w:pPr>
    </w:p>
    <w:p w14:paraId="02EBA9EE">
      <w:pPr>
        <w:jc w:val="center"/>
        <w:rPr>
          <w:sz w:val="20"/>
          <w:lang w:eastAsia="zh-CN"/>
        </w:rPr>
      </w:pPr>
    </w:p>
    <w:p w14:paraId="2A9AB10A">
      <w:pPr>
        <w:jc w:val="center"/>
        <w:rPr>
          <w:sz w:val="20"/>
          <w:lang w:eastAsia="zh-CN"/>
        </w:rPr>
      </w:pPr>
    </w:p>
    <w:p w14:paraId="45EF75ED">
      <w:pPr>
        <w:jc w:val="center"/>
        <w:rPr>
          <w:sz w:val="20"/>
          <w:lang w:eastAsia="zh-CN"/>
        </w:rPr>
      </w:pPr>
    </w:p>
    <w:p w14:paraId="5463C4B6">
      <w:pPr>
        <w:jc w:val="center"/>
        <w:rPr>
          <w:sz w:val="20"/>
          <w:lang w:eastAsia="zh-CN"/>
        </w:rPr>
      </w:pPr>
    </w:p>
    <w:p w14:paraId="0171AF5F">
      <w:pPr>
        <w:jc w:val="center"/>
        <w:rPr>
          <w:sz w:val="20"/>
          <w:lang w:eastAsia="zh-CN"/>
        </w:rPr>
        <w:sectPr>
          <w:pgSz w:w="11911" w:h="16838"/>
          <w:pgMar w:top="1037" w:right="1020" w:bottom="981" w:left="1020" w:header="567" w:footer="680" w:gutter="0"/>
          <w:pgBorders>
            <w:top w:val="none" w:sz="0" w:space="0"/>
            <w:left w:val="none" w:sz="0" w:space="0"/>
            <w:bottom w:val="none" w:sz="0" w:space="0"/>
            <w:right w:val="none" w:sz="0" w:space="0"/>
          </w:pgBorders>
          <w:pgNumType w:start="1"/>
          <w:cols w:space="425" w:num="1"/>
        </w:sectPr>
      </w:pPr>
    </w:p>
    <w:bookmarkEnd w:id="0"/>
    <w:bookmarkEnd w:id="1"/>
    <w:p w14:paraId="35E6957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EE55AF8">
      <w:pPr>
        <w:jc w:val="center"/>
        <w:rPr>
          <w:sz w:val="24"/>
          <w:szCs w:val="24"/>
          <w:lang w:eastAsia="zh-CN"/>
        </w:rPr>
      </w:pPr>
      <w:r>
        <w:rPr>
          <w:rFonts w:hint="eastAsia" w:ascii="Times New Roman" w:hAnsi="Times New Roman" w:eastAsia="微软雅黑"/>
          <w:sz w:val="36"/>
          <w:szCs w:val="36"/>
          <w:lang w:eastAsia="zh-CN"/>
        </w:rPr>
        <w:t>Content</w:t>
      </w:r>
    </w:p>
    <w:p w14:paraId="7E55F1CE">
      <w:pPr>
        <w:jc w:val="center"/>
      </w:pPr>
    </w:p>
    <w:p w14:paraId="740404BE">
      <w:pPr>
        <w:jc w:val="center"/>
      </w:pPr>
    </w:p>
    <w:p w14:paraId="5AC9DED6">
      <w:pPr>
        <w:jc w:val="center"/>
      </w:pPr>
    </w:p>
    <w:p w14:paraId="1AF4FF7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Style w:val="19"/>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9"/>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9"/>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_Toc409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_Toc409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BE9132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_Toc16697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_Toc16697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EDE693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_Toc17731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_Toc17731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182E91E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_Toc10962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_Toc10962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B9BF61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_Toc13776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w:t>
      </w:r>
      <w:r>
        <w:rPr>
          <w:rFonts w:hint="eastAsia" w:ascii="Times New Roman" w:hAnsi="Times New Roman" w:eastAsia="微软雅黑" w:cs="Times New Roman"/>
          <w:b/>
          <w:color w:val="62B541"/>
          <w:sz w:val="32"/>
          <w:lang w:val="en-US" w:eastAsia="zh-CN"/>
        </w:rPr>
        <w:t>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_Toc13776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3</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eastAsia" w:ascii="Times New Roman" w:hAnsi="Times New Roman" w:eastAsia="微软雅黑" w:cs="黑体"/>
          <w:sz w:val="24"/>
          <w:szCs w:val="24"/>
          <w:highlight w:val="none"/>
          <w:lang w:val="en-US" w:eastAsia="zh-CN"/>
        </w:rPr>
        <w:t>{% if b</w:t>
      </w:r>
      <w:r>
        <w:rPr>
          <w:rFonts w:hint="default" w:ascii="Times New Roman" w:hAnsi="Times New Roman" w:eastAsia="微软雅黑" w:cs="黑体"/>
          <w:sz w:val="24"/>
          <w:szCs w:val="24"/>
          <w:highlight w:val="none"/>
          <w:lang w:val="en-US" w:eastAsia="zh-CN"/>
        </w:rPr>
        <w:t>rainGlioma</w:t>
      </w:r>
      <w:r>
        <w:rPr>
          <w:rFonts w:hint="eastAsia" w:ascii="Times New Roman" w:hAnsi="Times New Roman" w:eastAsia="微软雅黑" w:cs="黑体"/>
          <w:sz w:val="24"/>
          <w:szCs w:val="24"/>
          <w:highlight w:val="none"/>
          <w:lang w:val="en-US" w:eastAsia="zh-CN"/>
        </w:rPr>
        <w:t>Flag %}</w:t>
      </w:r>
    </w:p>
    <w:p w14:paraId="1A0A8D7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_Toc28615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脑胶质瘤相关分子标记物检测结果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_Toc28615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64325E8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_Toc18242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辅助诊断提示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_Toc18242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1A4B8CD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_Toc11808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靶向药物用药</w:t>
      </w:r>
      <w:r>
        <w:rPr>
          <w:rStyle w:val="19"/>
          <w:rFonts w:hint="eastAsia" w:ascii="Times New Roman" w:hAnsi="Times New Roman" w:eastAsia="微软雅黑" w:cs="Times New Roman"/>
          <w:sz w:val="28"/>
          <w:lang w:eastAsia="zh-CN"/>
        </w:rPr>
        <w:t>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_Toc11808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7A084A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_Toc31051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_Toc31051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eastAsia="微软雅黑" w:cs="Times New Roman"/>
          <w:sz w:val="24"/>
          <w:szCs w:val="24"/>
          <w:lang w:eastAsia="zh-CN"/>
        </w:rPr>
        <w:t>{%if BodyDrugDrugDetectionStr or unknownVarAnalysisStr %}</w:t>
      </w:r>
    </w:p>
    <w:p w14:paraId="74B4204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_Toc359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_Toc359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D3F7C8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_Toc12645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变异位点结果解析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_Toc12645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05870FE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_Toc30951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_Toc30951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14</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FE64FC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_Toc19101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_Toc19101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14</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kern w:val="0"/>
          <w:sz w:val="24"/>
          <w:szCs w:val="24"/>
          <w:lang w:val="en-US" w:eastAsia="zh-CN" w:bidi="ar"/>
        </w:rPr>
        <w:t xml:space="preserve">{% if </w:t>
      </w:r>
      <w:r>
        <w:rPr>
          <w:rFonts w:hint="eastAsia" w:ascii="Times New Roman" w:hAnsi="Times New Roman" w:eastAsia="微软雅黑" w:cs="Times New Roman"/>
          <w:kern w:val="0"/>
          <w:sz w:val="24"/>
          <w:szCs w:val="24"/>
          <w:lang w:val="en-US" w:eastAsia="zh-CN" w:bidi="ar"/>
        </w:rPr>
        <w:t>b</w:t>
      </w:r>
      <w:r>
        <w:rPr>
          <w:rFonts w:hint="default" w:ascii="Times New Roman" w:hAnsi="Times New Roman" w:eastAsia="微软雅黑" w:cs="黑体"/>
          <w:kern w:val="0"/>
          <w:sz w:val="24"/>
          <w:szCs w:val="24"/>
          <w:lang w:val="en-US" w:eastAsia="zh-CN" w:bidi="ar"/>
        </w:rPr>
        <w:t>rainGlioma</w:t>
      </w:r>
      <w:r>
        <w:rPr>
          <w:rFonts w:hint="eastAsia" w:ascii="Times New Roman" w:hAnsi="Times New Roman" w:eastAsia="微软雅黑" w:cs="黑体"/>
          <w:kern w:val="0"/>
          <w:sz w:val="24"/>
          <w:szCs w:val="24"/>
          <w:lang w:val="en-US" w:eastAsia="zh-CN" w:bidi="ar"/>
        </w:rPr>
        <w:t xml:space="preserve">Flag </w:t>
      </w:r>
      <w:r>
        <w:rPr>
          <w:rFonts w:hint="default" w:ascii="Times New Roman" w:hAnsi="Times New Roman" w:eastAsia="微软雅黑" w:cs="Times New Roman"/>
          <w:kern w:val="0"/>
          <w:sz w:val="24"/>
          <w:szCs w:val="24"/>
          <w:lang w:val="en-US" w:eastAsia="zh-CN" w:bidi="ar"/>
        </w:rPr>
        <w:t>%}</w:t>
      </w:r>
    </w:p>
    <w:p w14:paraId="5BFD7EA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_Toc4278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常见胶质瘤分型相关基因变异</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_Toc4278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kern w:val="0"/>
          <w:sz w:val="24"/>
          <w:szCs w:val="24"/>
          <w:lang w:val="en-US" w:eastAsia="zh-CN" w:bidi="ar"/>
        </w:rPr>
        <w:t xml:space="preserve">{% </w:t>
      </w:r>
      <w:r>
        <w:rPr>
          <w:rFonts w:hint="eastAsia" w:ascii="Times New Roman" w:hAnsi="Times New Roman" w:eastAsia="微软雅黑" w:cs="Times New Roman"/>
          <w:kern w:val="0"/>
          <w:sz w:val="24"/>
          <w:szCs w:val="24"/>
          <w:lang w:val="en-US" w:eastAsia="zh-CN" w:bidi="ar"/>
        </w:rPr>
        <w:t xml:space="preserve">endif </w:t>
      </w:r>
      <w:r>
        <w:rPr>
          <w:rFonts w:hint="default" w:ascii="Times New Roman" w:hAnsi="Times New Roman" w:eastAsia="微软雅黑" w:cs="Times New Roman"/>
          <w:kern w:val="0"/>
          <w:sz w:val="24"/>
          <w:szCs w:val="24"/>
          <w:lang w:val="en-US" w:eastAsia="zh-CN" w:bidi="ar"/>
        </w:rPr>
        <w:t>%}{% if disease.</w:t>
      </w:r>
      <w:r>
        <w:rPr>
          <w:rFonts w:hint="eastAsia" w:ascii="Times New Roman" w:hAnsi="Times New Roman" w:eastAsia="微软雅黑" w:cs="黑体"/>
          <w:kern w:val="0"/>
          <w:sz w:val="24"/>
          <w:szCs w:val="24"/>
          <w:lang w:val="en-US" w:eastAsia="zh-CN" w:bidi="ar"/>
        </w:rPr>
        <w:t xml:space="preserve">Midline </w:t>
      </w:r>
      <w:r>
        <w:rPr>
          <w:rFonts w:hint="default" w:ascii="Times New Roman" w:hAnsi="Times New Roman" w:eastAsia="微软雅黑" w:cs="Times New Roman"/>
          <w:kern w:val="0"/>
          <w:sz w:val="24"/>
          <w:szCs w:val="24"/>
          <w:lang w:val="en-US" w:eastAsia="zh-CN" w:bidi="ar"/>
        </w:rPr>
        <w:t>%}</w:t>
      </w:r>
    </w:p>
    <w:p w14:paraId="120046C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_Toc12522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中线癌相关分子标记物检测意义</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_Toc12522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16</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4333ADC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_Toc19525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分子定义的肾细胞癌的形态学和分子特征</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_Toc19525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4"/>
          <w:szCs w:val="24"/>
          <w:lang w:eastAsia="zh-CN"/>
        </w:rPr>
        <w:t>{% endif %}{% if disease.Sarcoma %}</w:t>
      </w:r>
    </w:p>
    <w:p w14:paraId="23D8ACF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_Toc19457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常见肉瘤分型相关基因变异</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_Toc19457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18</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56E9FD5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_Toc18001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检测基因列表（1166个基因）</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_Toc18001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28</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2E1A4E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_Toc24071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_Toc24071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1856ED3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_Toc26977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_Toc26977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30</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0FA5C5FE">
      <w:pPr>
        <w:spacing w:line="520" w:lineRule="atLeast"/>
        <w:rPr>
          <w:lang w:eastAsia="zh-CN"/>
        </w:rPr>
        <w:sectPr>
          <w:headerReference r:id="rId3" w:type="default"/>
          <w:footerReference r:id="rId4" w:type="default"/>
          <w:pgSz w:w="11911" w:h="16838"/>
          <w:pgMar w:top="1037" w:right="1020" w:bottom="981" w:left="1020" w:header="567" w:footer="680" w:gutter="0"/>
          <w:pgBorders>
            <w:top w:val="none" w:sz="0" w:space="0"/>
            <w:left w:val="none" w:sz="0" w:space="0"/>
            <w:bottom w:val="none" w:sz="0" w:space="0"/>
            <w:right w:val="none" w:sz="0" w:space="0"/>
          </w:pgBorders>
          <w:pgNumType w:start="1"/>
          <w:cols w:space="0" w:num="1"/>
          <w:docGrid w:linePitch="299" w:charSpace="0"/>
        </w:sectPr>
      </w:pPr>
      <w:r>
        <w:rPr>
          <w:lang w:eastAsia="zh-CN"/>
        </w:rPr>
        <w:fldChar w:fldCharType="end"/>
      </w:r>
      <w:r>
        <w:rPr>
          <w:lang w:eastAsia="zh-CN"/>
        </w:rPr>
        <w:br w:type="page"/>
      </w:r>
    </w:p>
    <w:p w14:paraId="4BB5DCF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14123"/>
      <w:bookmarkStart w:id="3" w:name="_Toc13806"/>
      <w:bookmarkStart w:id="4" w:name="_Toc21009_WPSOffice_Level1"/>
      <w:bookmarkStart w:id="5" w:name="_Toc107825547"/>
      <w:bookmarkStart w:id="6" w:name="_Toc21669"/>
      <w:bookmarkStart w:id="7" w:name="_Toc24178_WPSOffice_Level1"/>
      <w:bookmarkStart w:id="8" w:name="_Toc409"/>
      <w:bookmarkStart w:id="9" w:name="_Toc30143_WPSOffice_Level1"/>
      <w:bookmarkStart w:id="10" w:name="_Toc3619"/>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5"/>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54A711FC">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34D08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190A74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20000C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A01F4B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1DB4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D4B212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3F10C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if type == "tissue" %}{%if "胸腹水" in specimentype %}胸腹水{% else %}石蜡样本{% endif %}{% elif type == "blood" %}{%if "胸腹水(上清)" in specimentype %}胸腹水(上清){% else %}血液{% endif %}{% endif %}</w:t>
            </w:r>
          </w:p>
        </w:tc>
      </w:tr>
      <w:tr w14:paraId="4FE86AA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02ECC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008792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1F3F02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F9486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7C4AF01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31074BA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297D5C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6B33AD7B">
      <w:pPr>
        <w:rPr>
          <w:rFonts w:ascii="Times New Roman" w:hAnsi="Times New Roman" w:eastAsia="微软雅黑" w:cs="Times New Roman"/>
          <w:b/>
          <w:color w:val="00B050"/>
          <w:sz w:val="28"/>
          <w:szCs w:val="28"/>
          <w:lang w:eastAsia="zh-CN"/>
        </w:rPr>
      </w:pPr>
    </w:p>
    <w:p w14:paraId="462D054E">
      <w:pPr>
        <w:rPr>
          <w:rFonts w:ascii="Times New Roman" w:hAnsi="Times New Roman" w:eastAsia="微软雅黑" w:cs="Times New Roman"/>
          <w:b/>
          <w:color w:val="00B050"/>
          <w:sz w:val="28"/>
          <w:szCs w:val="28"/>
          <w:lang w:eastAsia="zh-CN"/>
        </w:rPr>
      </w:pPr>
    </w:p>
    <w:p w14:paraId="12F56EF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7021_WPSOffice_Level1"/>
      <w:bookmarkStart w:id="12" w:name="_Toc16697"/>
      <w:bookmarkStart w:id="13" w:name="_Toc18062_WPSOffice_Level1"/>
      <w:bookmarkStart w:id="14" w:name="_Toc29272"/>
      <w:bookmarkStart w:id="15" w:name="_Toc11015_WPSOffice_Level1"/>
      <w:bookmarkStart w:id="16" w:name="_Toc17451"/>
      <w:bookmarkStart w:id="17" w:name="_Toc107825548"/>
      <w:bookmarkStart w:id="18" w:name="_Toc2673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2F41C358">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hint="eastAsia" w:ascii="Times New Roman" w:hAnsi="Times New Roman" w:eastAsia="微软雅黑" w:cs="Times New Roman"/>
          <w:bCs/>
          <w:sz w:val="21"/>
          <w:szCs w:val="21"/>
          <w:lang w:eastAsia="zh-CN"/>
        </w:rPr>
        <w:t>利用探针杂交捕获技术和脱氧核糖核酸测序技术全面检测1166个基因，基于转录层面精准检测多种重排，包括已知、未知以及复杂融合变异类型，</w:t>
      </w:r>
      <w:r>
        <w:rPr>
          <w:rFonts w:hint="eastAsia" w:ascii="Times New Roman" w:hAnsi="Times New Roman" w:eastAsia="微软雅黑" w:cs="Times New Roman"/>
          <w:bCs/>
          <w:sz w:val="21"/>
          <w:szCs w:val="21"/>
          <w:highlight w:val="none"/>
          <w:lang w:val="en-US" w:eastAsia="zh-CN"/>
        </w:rPr>
        <w:t>开展{% if brainGliomaFlag or disease.Sarcoma or disease.Midline or disease.KidneyFlag %}分子</w:t>
      </w:r>
      <w:r>
        <w:rPr>
          <w:rFonts w:hint="eastAsia" w:ascii="Times New Roman" w:hAnsi="Times New Roman" w:eastAsia="微软雅黑" w:cs="Times New Roman"/>
          <w:bCs/>
          <w:sz w:val="21"/>
          <w:szCs w:val="21"/>
          <w:highlight w:val="none"/>
          <w:lang w:eastAsia="zh-CN"/>
        </w:rPr>
        <w:t>分型辅助诊断</w:t>
      </w:r>
      <w:r>
        <w:rPr>
          <w:rFonts w:hint="eastAsia" w:ascii="Times New Roman" w:hAnsi="Times New Roman" w:eastAsia="微软雅黑" w:cs="Times New Roman"/>
          <w:bCs/>
          <w:sz w:val="21"/>
          <w:szCs w:val="21"/>
          <w:highlight w:val="none"/>
          <w:lang w:val="en-US" w:eastAsia="zh-CN"/>
        </w:rPr>
        <w:t>和{% endif %}实体瘤靶药融合基因检测</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0A1DF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w:t>
      </w:r>
      <w:r>
        <w:rPr>
          <w:rFonts w:hint="eastAsia" w:ascii="Times New Roman" w:hAnsi="Times New Roman" w:eastAsia="微软雅黑" w:cs="Times New Roman"/>
          <w:bCs/>
          <w:sz w:val="21"/>
          <w:szCs w:val="21"/>
          <w:lang w:val="en-US" w:eastAsia="zh-CN"/>
        </w:rPr>
        <w:t>给出{% if brainGliomaFlag or disease.Sarcoma or disease.Midline or disease.KidneyFlag %}</w:t>
      </w:r>
      <w:r>
        <w:rPr>
          <w:rFonts w:hint="eastAsia" w:ascii="Times New Roman" w:hAnsi="Times New Roman" w:eastAsia="微软雅黑" w:cs="Times New Roman"/>
          <w:bCs/>
          <w:sz w:val="21"/>
          <w:szCs w:val="21"/>
          <w:lang w:eastAsia="zh-CN"/>
        </w:rPr>
        <w:t>肿瘤分型辅助诊断提示</w:t>
      </w:r>
      <w:r>
        <w:rPr>
          <w:rFonts w:hint="eastAsia" w:ascii="Times New Roman" w:hAnsi="Times New Roman" w:eastAsia="微软雅黑" w:cs="Times New Roman"/>
          <w:bCs/>
          <w:sz w:val="21"/>
          <w:szCs w:val="21"/>
          <w:lang w:val="en-US" w:eastAsia="zh-CN"/>
        </w:rPr>
        <w:t>和{% endif %}用药</w:t>
      </w:r>
      <w:r>
        <w:rPr>
          <w:rFonts w:hint="eastAsia" w:ascii="Times New Roman" w:hAnsi="Times New Roman" w:eastAsia="微软雅黑" w:cs="Times New Roman"/>
          <w:bCs/>
          <w:sz w:val="21"/>
          <w:szCs w:val="21"/>
          <w:highlight w:val="none"/>
          <w:lang w:val="en-US" w:eastAsia="zh-CN"/>
        </w:rPr>
        <w:t>提示</w:t>
      </w:r>
      <w:r>
        <w:rPr>
          <w:rFonts w:hint="eastAsia" w:ascii="Times New Roman" w:hAnsi="Times New Roman" w:eastAsia="微软雅黑" w:cs="Times New Roman"/>
          <w:bCs/>
          <w:sz w:val="21"/>
          <w:szCs w:val="21"/>
          <w:lang w:eastAsia="zh-CN"/>
        </w:rPr>
        <w:t>，从而为临床制定治疗方案提供参考信息。</w:t>
      </w:r>
    </w:p>
    <w:p w14:paraId="148A80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77C5D1">
      <w:pPr>
        <w:bidi w:val="0"/>
        <w:outlineLvl w:val="9"/>
        <w:rPr>
          <w:rFonts w:hint="eastAsia" w:ascii="微软雅黑" w:hAnsi="微软雅黑" w:eastAsia="微软雅黑" w:cs="微软雅黑"/>
          <w:sz w:val="32"/>
          <w:szCs w:val="32"/>
        </w:rPr>
      </w:pPr>
      <w:bookmarkStart w:id="21" w:name="_Toc115357585"/>
      <w:bookmarkStart w:id="22" w:name="_Toc27650"/>
    </w:p>
    <w:p w14:paraId="4D523A7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3" w:name="_Toc17731"/>
      <w:r>
        <w:rPr>
          <w:rFonts w:hint="eastAsia"/>
          <w:color w:val="62B541"/>
          <w:sz w:val="32"/>
          <w14:shadow w14:blurRad="50800" w14:dist="38100" w14:dir="10800000" w14:sx="100000" w14:sy="100000" w14:kx="0" w14:ky="0" w14:algn="r">
            <w14:srgbClr w14:val="62B541">
              <w14:alpha w14:val="60000"/>
            </w14:srgbClr>
          </w14:shadow>
        </w:rPr>
        <w:t>检测结果</w:t>
      </w:r>
      <w:bookmarkEnd w:id="21"/>
      <w:bookmarkEnd w:id="22"/>
      <w:r>
        <w:rPr>
          <w:rFonts w:hint="eastAsia"/>
          <w:color w:val="62B541"/>
          <w:sz w:val="32"/>
          <w14:shadow w14:blurRad="50800" w14:dist="38100" w14:dir="10800000" w14:sx="100000" w14:sy="100000" w14:kx="0" w14:ky="0" w14:algn="r">
            <w14:srgbClr w14:val="62B541">
              <w14:alpha w14:val="60000"/>
            </w14:srgbClr>
          </w14:shadow>
        </w:rPr>
        <w:t>总览</w:t>
      </w:r>
      <w:bookmarkEnd w:id="23"/>
    </w:p>
    <w:p w14:paraId="3196C41B">
      <w:pPr>
        <w:pStyle w:val="3"/>
        <w:keepNext w:val="0"/>
        <w:keepLines w:val="0"/>
        <w:pageBreakBefore w:val="0"/>
        <w:widowControl w:val="0"/>
        <w:numPr>
          <w:ilvl w:val="255"/>
          <w:numId w:val="0"/>
        </w:numPr>
        <w:kinsoku/>
        <w:wordWrap/>
        <w:overflowPunct/>
        <w:topLinePunct w:val="0"/>
        <w:autoSpaceDE/>
        <w:autoSpaceDN/>
        <w:bidi w:val="0"/>
        <w:adjustRightInd/>
        <w:snapToGrid/>
        <w:spacing w:before="120" w:beforeLines="50" w:afterAutospacing="0"/>
        <w:jc w:val="left"/>
        <w:textAlignment w:val="auto"/>
        <w:rPr>
          <w:lang w:eastAsia="zh-CN"/>
        </w:rPr>
      </w:pPr>
      <w:bookmarkStart w:id="24" w:name="_Toc149837254"/>
      <w:bookmarkStart w:id="25" w:name="_Toc10962"/>
      <w:r>
        <w:rPr>
          <w:rFonts w:hint="eastAsia"/>
          <w:color w:val="auto"/>
          <w:sz w:val="30"/>
          <w:lang w:eastAsia="zh-CN"/>
        </w:rPr>
        <w:t>检测结果小结</w:t>
      </w:r>
      <w:bookmarkEnd w:id="24"/>
      <w:bookmarkEnd w:id="25"/>
    </w:p>
    <w:tbl>
      <w:tblPr>
        <w:tblStyle w:val="15"/>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869"/>
        <w:gridCol w:w="6001"/>
      </w:tblGrid>
      <w:tr w14:paraId="7B1353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PrEx>
        <w:trPr>
          <w:trHeight w:val="490" w:hRule="atLeast"/>
          <w:jc w:val="center"/>
        </w:trPr>
        <w:tc>
          <w:tcPr>
            <w:tcW w:w="3869" w:type="dxa"/>
            <w:tcBorders>
              <w:top w:val="nil"/>
              <w:bottom w:val="nil"/>
              <w:right w:val="single" w:color="FFFFFF" w:sz="18" w:space="0"/>
            </w:tcBorders>
            <w:shd w:val="clear" w:color="auto" w:fill="62BC41"/>
            <w:vAlign w:val="center"/>
          </w:tcPr>
          <w:p w14:paraId="4C6B1CF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6001" w:type="dxa"/>
            <w:tcBorders>
              <w:top w:val="nil"/>
              <w:left w:val="single" w:color="FFFFFF" w:sz="18" w:space="0"/>
              <w:bottom w:val="nil"/>
            </w:tcBorders>
            <w:shd w:val="clear" w:color="auto" w:fill="62BC41"/>
            <w:vAlign w:val="center"/>
          </w:tcPr>
          <w:p w14:paraId="4E8A259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1A49AB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nil"/>
              <w:bottom w:val="nil"/>
              <w:tl2br w:val="nil"/>
              <w:tr2bl w:val="nil"/>
            </w:tcBorders>
            <w:shd w:val="clear" w:color="auto" w:fill="auto"/>
            <w:vAlign w:val="center"/>
          </w:tcPr>
          <w:p w14:paraId="760EB94D">
            <w:pPr>
              <w:pStyle w:val="13"/>
              <w:keepNext w:val="0"/>
              <w:keepLines w:val="0"/>
              <w:widowControl/>
              <w:suppressLineNumbers w:val="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brainGliomaFlag  %}</w:t>
            </w:r>
          </w:p>
        </w:tc>
      </w:tr>
      <w:tr w14:paraId="70FFAFC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4BE43BAC">
            <w:pPr>
              <w:pStyle w:val="21"/>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6001" w:type="dxa"/>
            <w:tcBorders>
              <w:top w:val="nil"/>
              <w:bottom w:val="single" w:color="A4A4A4" w:sz="4" w:space="0"/>
              <w:right w:val="nil"/>
            </w:tcBorders>
            <w:shd w:val="clear" w:color="auto" w:fill="auto"/>
            <w:vAlign w:val="center"/>
          </w:tcPr>
          <w:p w14:paraId="2B4C8345">
            <w:pPr>
              <w:pStyle w:val="21"/>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4244C3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284936D2">
            <w:pPr>
              <w:pStyle w:val="21"/>
              <w:spacing w:before="100" w:line="187" w:lineRule="auto"/>
              <w:ind w:left="119" w:leftChars="0" w:right="119" w:rightChars="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endif %}</w:t>
            </w:r>
          </w:p>
        </w:tc>
      </w:tr>
      <w:tr w14:paraId="5C88227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nil"/>
              <w:right w:val="nil"/>
              <w:tl2br w:val="nil"/>
              <w:tr2bl w:val="nil"/>
            </w:tcBorders>
            <w:shd w:val="clear" w:color="auto" w:fill="auto"/>
            <w:vAlign w:val="center"/>
          </w:tcPr>
          <w:p w14:paraId="01B1471D">
            <w:pPr>
              <w:pStyle w:val="21"/>
              <w:spacing w:before="100" w:line="187" w:lineRule="auto"/>
              <w:ind w:left="119" w:leftChars="0" w:right="119" w:rightChars="0"/>
              <w:rPr>
                <w:rFonts w:hint="eastAsia"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208D189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2ED2DC1C">
            <w:pPr>
              <w:pStyle w:val="21"/>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ascii="Times New Roman" w:hAnsi="Times New Roman" w:eastAsia="微软雅黑" w:cs="Times New Roman"/>
                <w:b/>
                <w:bCs/>
                <w:sz w:val="21"/>
                <w:szCs w:val="21"/>
                <w:lang w:eastAsia="zh-CN"/>
              </w:rPr>
              <w:t>诊断</w:t>
            </w:r>
          </w:p>
        </w:tc>
        <w:tc>
          <w:tcPr>
            <w:tcW w:w="6001" w:type="dxa"/>
            <w:tcBorders>
              <w:top w:val="nil"/>
              <w:bottom w:val="single" w:color="A4A4A4" w:sz="4" w:space="0"/>
              <w:right w:val="nil"/>
            </w:tcBorders>
            <w:shd w:val="clear" w:color="auto" w:fill="auto"/>
            <w:vAlign w:val="center"/>
          </w:tcPr>
          <w:p w14:paraId="03B5B44D">
            <w:pPr>
              <w:pStyle w:val="21"/>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169CC41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73546B79">
            <w:pPr>
              <w:pStyle w:val="21"/>
              <w:ind w:left="119"/>
              <w:rPr>
                <w:rFonts w:ascii="Times New Roman" w:hAnsi="Times New Roman" w:eastAsia="微软雅黑" w:cs="Times New Roman"/>
                <w:b/>
                <w:bCs/>
                <w:sz w:val="21"/>
                <w:szCs w:val="21"/>
              </w:rPr>
            </w:pPr>
            <w:r>
              <w:rPr>
                <w:rFonts w:hint="eastAsia" w:ascii="Times New Roman" w:hAnsi="Times New Roman" w:eastAsia="微软雅黑" w:cs="黑体"/>
                <w:sz w:val="21"/>
                <w:highlight w:val="none"/>
                <w:lang w:val="en-US" w:eastAsia="zh-CN"/>
              </w:rPr>
              <w:t>{%tr endif %}</w:t>
            </w:r>
          </w:p>
        </w:tc>
        <w:tc>
          <w:tcPr>
            <w:tcW w:w="6001" w:type="dxa"/>
            <w:tcBorders>
              <w:top w:val="single" w:color="A4A4A4" w:sz="4" w:space="0"/>
              <w:bottom w:val="single" w:color="A4A4A4" w:sz="4" w:space="0"/>
              <w:right w:val="nil"/>
              <w:tl2br w:val="nil"/>
              <w:tr2bl w:val="nil"/>
            </w:tcBorders>
            <w:shd w:val="clear" w:color="auto" w:fill="auto"/>
            <w:vAlign w:val="center"/>
          </w:tcPr>
          <w:p w14:paraId="155A04A1">
            <w:pPr>
              <w:pStyle w:val="21"/>
              <w:spacing w:before="100" w:line="187" w:lineRule="auto"/>
              <w:ind w:left="118" w:right="178"/>
              <w:rPr>
                <w:rFonts w:ascii="Times New Roman" w:hAnsi="Times New Roman" w:eastAsia="微软雅黑" w:cs="Times New Roman"/>
                <w:sz w:val="21"/>
                <w:lang w:eastAsia="zh-CN"/>
              </w:rPr>
            </w:pPr>
          </w:p>
        </w:tc>
      </w:tr>
      <w:tr w14:paraId="7A5F5A7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3D79936E">
            <w:pPr>
              <w:pStyle w:val="21"/>
              <w:ind w:left="119"/>
              <w:rPr>
                <w:rFonts w:hint="eastAsia" w:ascii="Times New Roman" w:hAnsi="Times New Roman" w:eastAsia="微软雅黑" w:cs="黑体"/>
                <w:sz w:val="21"/>
                <w:highlight w:val="none"/>
                <w:lang w:val="en-US" w:eastAsia="zh-CN"/>
              </w:rPr>
            </w:pPr>
            <w:r>
              <w:rPr>
                <w:rFonts w:ascii="Times New Roman" w:hAnsi="Times New Roman" w:eastAsia="微软雅黑" w:cs="Times New Roman"/>
                <w:b/>
                <w:bCs/>
                <w:sz w:val="21"/>
                <w:szCs w:val="21"/>
              </w:rPr>
              <w:t>靶向用药指导</w:t>
            </w:r>
          </w:p>
        </w:tc>
        <w:tc>
          <w:tcPr>
            <w:tcW w:w="6001" w:type="dxa"/>
            <w:tcBorders>
              <w:top w:val="single" w:color="A4A4A4" w:sz="4" w:space="0"/>
              <w:bottom w:val="single" w:color="A4A4A4" w:sz="4" w:space="0"/>
              <w:right w:val="nil"/>
              <w:tl2br w:val="nil"/>
              <w:tr2bl w:val="nil"/>
            </w:tcBorders>
            <w:shd w:val="clear" w:color="auto" w:fill="auto"/>
            <w:vAlign w:val="center"/>
          </w:tcPr>
          <w:p w14:paraId="6147A859">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24763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086F8DA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FC90DC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5A8375AF">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001" w:type="dxa"/>
            <w:tcBorders>
              <w:top w:val="single" w:color="A4A4A4" w:sz="4" w:space="0"/>
              <w:bottom w:val="single" w:color="A4A4A4" w:sz="4" w:space="0"/>
              <w:right w:val="nil"/>
              <w:tl2br w:val="nil"/>
              <w:tr2bl w:val="nil"/>
            </w:tcBorders>
            <w:shd w:val="clear" w:color="auto" w:fill="auto"/>
            <w:vAlign w:val="center"/>
          </w:tcPr>
          <w:p w14:paraId="2FB0F835">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8F4C2B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751F251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E54527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tl2br w:val="nil"/>
              <w:tr2bl w:val="nil"/>
            </w:tcBorders>
            <w:shd w:val="clear" w:color="auto" w:fill="auto"/>
            <w:vAlign w:val="center"/>
          </w:tcPr>
          <w:p w14:paraId="73A3951E">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001" w:type="dxa"/>
            <w:tcBorders>
              <w:top w:val="single" w:color="A4A4A4" w:sz="4" w:space="0"/>
              <w:right w:val="nil"/>
              <w:tl2br w:val="nil"/>
              <w:tr2bl w:val="nil"/>
            </w:tcBorders>
            <w:shd w:val="clear" w:color="auto" w:fill="auto"/>
            <w:vAlign w:val="center"/>
          </w:tcPr>
          <w:p w14:paraId="57E69FB8">
            <w:pPr>
              <w:pStyle w:val="21"/>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1BF9D209">
      <w:pPr>
        <w:numPr>
          <w:ilvl w:val="255"/>
          <w:numId w:val="0"/>
        </w:numPr>
        <w:jc w:val="left"/>
        <w:outlineLvl w:val="9"/>
        <w:rPr>
          <w:rFonts w:ascii="Times New Roman" w:hAnsi="Times New Roman" w:cs="Times New Roman"/>
          <w:b/>
          <w:bCs/>
          <w:color w:val="00B050"/>
          <w:sz w:val="28"/>
          <w:szCs w:val="36"/>
          <w:lang w:eastAsia="zh-CN"/>
        </w:rPr>
      </w:pPr>
    </w:p>
    <w:tbl>
      <w:tblPr>
        <w:tblStyle w:val="15"/>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54F2D6DD">
      <w:pPr>
        <w:pStyle w:val="2"/>
        <w:numPr>
          <w:ilvl w:val="255"/>
          <w:numId w:val="0"/>
        </w:numPr>
        <w:jc w:val="left"/>
        <w:rPr>
          <w:rFonts w:hint="eastAsia" w:eastAsia="微软雅黑"/>
          <w:color w:val="62B541"/>
          <w:sz w:val="32"/>
          <w:lang w:val="en-US" w:eastAsia="zh-CN"/>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2866"/>
      <w:bookmarkStart w:id="27" w:name="_Toc107825550"/>
      <w:bookmarkStart w:id="28" w:name="_Toc22132"/>
      <w:bookmarkStart w:id="29" w:name="_Toc20136_WPSOffice_Level1"/>
      <w:bookmarkStart w:id="30" w:name="_Toc13776"/>
      <w:bookmarkStart w:id="31" w:name="_Toc24235"/>
      <w:bookmarkStart w:id="32" w:name="_Toc19898_WPSOffice_Level1"/>
      <w:bookmarkStart w:id="33" w:name="_Toc2781"/>
      <w:r>
        <w:rPr>
          <w:rFonts w:hint="eastAsia"/>
          <w:color w:val="62B541"/>
          <w:sz w:val="32"/>
          <w14:shadow w14:blurRad="50800" w14:dist="38100" w14:dir="10800000" w14:sx="100000" w14:sy="100000" w14:kx="0" w14:ky="0" w14:algn="r">
            <w14:srgbClr w14:val="62B541">
              <w14:alpha w14:val="60000"/>
            </w14:srgbClr>
          </w14:shadow>
        </w:rPr>
        <w:t>检测结果</w:t>
      </w:r>
      <w:bookmarkEnd w:id="20"/>
      <w:bookmarkEnd w:id="26"/>
      <w:bookmarkEnd w:id="27"/>
      <w:bookmarkEnd w:id="28"/>
      <w:bookmarkEnd w:id="29"/>
      <w:bookmarkEnd w:id="30"/>
      <w:bookmarkEnd w:id="31"/>
      <w:bookmarkEnd w:id="32"/>
      <w:bookmarkEnd w:id="33"/>
      <w:bookmarkStart w:id="34" w:name="_Toc15109"/>
      <w:r>
        <w:rPr>
          <w:rFonts w:hint="eastAsia"/>
          <w:color w:val="62B541"/>
          <w:sz w:val="32"/>
          <w:lang w:val="en-US" w:eastAsia="zh-CN"/>
          <w14:shadow w14:blurRad="50800" w14:dist="38100" w14:dir="10800000" w14:sx="100000" w14:sy="100000" w14:kx="0" w14:ky="0" w14:algn="r">
            <w14:srgbClr w14:val="62B541">
              <w14:alpha w14:val="60000"/>
            </w14:srgbClr>
          </w14:shadow>
        </w:rPr>
        <w:t>及用药提示</w:t>
      </w:r>
    </w:p>
    <w:p w14:paraId="338A6195">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Style w:val="38"/>
          <w:color w:val="62B541"/>
          <w:sz w:val="21"/>
          <w:szCs w:val="21"/>
          <w14:shadow w14:blurRad="50800" w14:dist="38100" w14:dir="10800000" w14:sx="100000" w14:sy="100000" w14:kx="0" w14:ky="0" w14:algn="r">
            <w14:srgbClr w14:val="62B541">
              <w14:alpha w14:val="60000"/>
            </w14:srgbClr>
          </w14:shadow>
        </w:rPr>
      </w:pP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51C2995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35" w:name="_Toc28615"/>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34"/>
      <w:bookmarkEnd w:id="35"/>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5"/>
        <w:gridCol w:w="1519"/>
        <w:gridCol w:w="6297"/>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2" w:space="0"/>
            </w:tcBorders>
            <w:shd w:val="clear" w:color="auto" w:fill="62BC41"/>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分子标记物</w:t>
            </w:r>
          </w:p>
        </w:tc>
        <w:tc>
          <w:tcPr>
            <w:tcW w:w="1519" w:type="dxa"/>
            <w:tcBorders>
              <w:top w:val="nil"/>
              <w:left w:val="nil"/>
              <w:bottom w:val="single" w:color="A4A4A4" w:themeColor="background1" w:themeShade="A5" w:sz="4" w:space="0"/>
              <w:right w:val="dotted" w:color="00B050" w:sz="4" w:space="0"/>
            </w:tcBorders>
            <w:shd w:val="clear" w:color="auto" w:fill="62BC41"/>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检测结果</w:t>
            </w:r>
          </w:p>
        </w:tc>
        <w:tc>
          <w:tcPr>
            <w:tcW w:w="6297" w:type="dxa"/>
            <w:tcBorders>
              <w:top w:val="nil"/>
              <w:left w:val="single" w:color="FFFFFF" w:sz="12" w:space="0"/>
              <w:bottom w:val="single" w:color="A4A4A4" w:themeColor="background1" w:themeShade="A5" w:sz="4" w:space="0"/>
              <w:right w:val="nil"/>
            </w:tcBorders>
            <w:shd w:val="clear" w:color="auto" w:fill="62BC41"/>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3E9459">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BRAF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KIAA1549-BRAF 融合是毛细胞型星形细胞瘤的关键诊断指标。</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eastAsia" w:ascii="微软雅黑" w:hAnsi="微软雅黑" w:eastAsia="微软雅黑" w:cs="微软雅黑"/>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eastAsia" w:ascii="微软雅黑" w:hAnsi="微软雅黑" w:eastAsia="微软雅黑" w:cs="微软雅黑"/>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eastAsia" w:ascii="微软雅黑" w:hAnsi="微软雅黑" w:eastAsia="微软雅黑" w:cs="微软雅黑"/>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eastAsia" w:ascii="微软雅黑" w:hAnsi="微软雅黑" w:eastAsia="微软雅黑" w:cs="微软雅黑"/>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5F6AEA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B51B33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 vIII</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1416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w:t>
            </w:r>
            <w:r>
              <w:rPr>
                <w:rFonts w:hint="eastAsia" w:ascii="微软雅黑" w:hAnsi="微软雅黑" w:eastAsia="微软雅黑" w:cs="微软雅黑"/>
                <w:b w:val="0"/>
                <w:bCs w:val="0"/>
                <w:i w:val="0"/>
                <w:iCs w:val="0"/>
                <w:color w:val="000000"/>
                <w:kern w:val="0"/>
                <w:sz w:val="21"/>
                <w:szCs w:val="21"/>
                <w:u w:val="none"/>
                <w:lang w:val="en-US" w:eastAsia="zh-CN" w:bidi="ar"/>
              </w:rPr>
              <w:t xml:space="preserve">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185351">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21F29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1BDD0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RELA融合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2939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RELA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C93A8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31387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FA222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6C54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6A48B9F">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7725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B6FE7B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C010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F02815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71178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0D5F04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EA4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MYB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45462B0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病理类型为WHO II级的IDH野生型/H3野生型弥漫胶质瘤，如果其有如下分子特征：BRAF V600E，FGFR1变异，MYB/BYBL1重排则此类患者预后较好，肿瘤较为惰性，很少向高级别进行。</w:t>
            </w:r>
          </w:p>
        </w:tc>
      </w:tr>
      <w:tr w14:paraId="32496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7688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0069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408F5E6F">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p>
        </w:tc>
      </w:tr>
      <w:tr w14:paraId="70688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35ED5B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C558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MET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575885">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19004F63">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470EE2B9">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C6A1A6D">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w:t>
      </w:r>
      <w:r>
        <w:rPr>
          <w:rFonts w:hint="eastAsia" w:ascii="Times New Roman" w:hAnsi="Times New Roman" w:eastAsia="微软雅黑" w:cs="Times New Roman"/>
          <w:sz w:val="18"/>
          <w:szCs w:val="18"/>
          <w:lang w:val="en-US" w:eastAsia="zh-CN"/>
        </w:rPr>
        <w:t>转录</w:t>
      </w:r>
      <w:r>
        <w:rPr>
          <w:rFonts w:ascii="Times New Roman" w:hAnsi="Times New Roman" w:eastAsia="微软雅黑" w:cs="Times New Roman"/>
          <w:sz w:val="18"/>
          <w:szCs w:val="18"/>
          <w:lang w:eastAsia="zh-CN"/>
        </w:rPr>
        <w:t>层面检测融合变异形式，</w:t>
      </w:r>
      <w:r>
        <w:rPr>
          <w:rFonts w:hint="eastAsia" w:ascii="Times New Roman" w:hAnsi="Times New Roman" w:eastAsia="微软雅黑" w:cs="Times New Roman"/>
          <w:sz w:val="18"/>
          <w:szCs w:val="18"/>
          <w:lang w:val="en-US" w:eastAsia="zh-CN"/>
        </w:rPr>
        <w:t>转录</w:t>
      </w:r>
      <w:r>
        <w:rPr>
          <w:rFonts w:ascii="Times New Roman" w:hAnsi="Times New Roman" w:eastAsia="微软雅黑" w:cs="Times New Roman"/>
          <w:sz w:val="18"/>
          <w:szCs w:val="18"/>
          <w:lang w:eastAsia="zh-CN"/>
        </w:rPr>
        <w:t>层面检测融合更有可能翻译成蛋白，从而发挥功能，促进肿瘤的发生发展，其与临床的相关性更强。</w:t>
      </w:r>
    </w:p>
    <w:p w14:paraId="4C1BC308">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2B306C7">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6E64356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E341F4">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66FAC8DA">
      <w:pPr>
        <w:bidi w:val="0"/>
        <w:rPr>
          <w:rFonts w:hint="default"/>
          <w:sz w:val="24"/>
          <w:szCs w:val="24"/>
          <w:lang w:val="en-US" w:eastAsia="zh-CN"/>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pStyle w:val="3"/>
        <w:numPr>
          <w:ilvl w:val="255"/>
          <w:numId w:val="0"/>
        </w:numPr>
        <w:jc w:val="left"/>
        <w:rPr>
          <w:rStyle w:val="38"/>
          <w:b/>
          <w:bCs/>
          <w:color w:val="62B541"/>
          <w:sz w:val="32"/>
          <w:szCs w:val="40"/>
          <w14:shadow w14:blurRad="50800" w14:dist="38100" w14:dir="10800000" w14:sx="100000" w14:sy="100000" w14:kx="0" w14:ky="0" w14:algn="r">
            <w14:srgbClr w14:val="62B541">
              <w14:alpha w14:val="60000"/>
            </w14:srgbClr>
          </w14:shadow>
        </w:rPr>
      </w:pPr>
      <w:bookmarkStart w:id="36" w:name="_Toc9435"/>
      <w:bookmarkStart w:id="37" w:name="_Toc18242"/>
      <w:r>
        <w:rPr>
          <w:color w:val="auto"/>
          <w:sz w:val="30"/>
          <w:lang w:val="en-US" w:eastAsia="zh-CN"/>
        </w:rPr>
        <w:t>辅助诊断提示</w:t>
      </w:r>
      <w:bookmarkEnd w:id="36"/>
      <w:bookmarkEnd w:id="37"/>
    </w:p>
    <w:p w14:paraId="0966C4F7">
      <w:pPr>
        <w:spacing w:after="120"/>
        <w:ind w:firstLine="422"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436" w:type="dxa"/>
            <w:tcBorders>
              <w:top w:val="nil"/>
              <w:left w:val="nil"/>
              <w:bottom w:val="nil"/>
              <w:right w:val="single" w:color="FFFFFF" w:sz="18" w:space="0"/>
            </w:tcBorders>
            <w:shd w:val="clear" w:color="auto" w:fill="62B541"/>
            <w:vAlign w:val="center"/>
          </w:tcPr>
          <w:p w14:paraId="28527B6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2B541"/>
            <w:vAlign w:val="center"/>
          </w:tcPr>
          <w:p w14:paraId="0E8670F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0CC205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62B541"/>
            <w:vAlign w:val="center"/>
          </w:tcPr>
          <w:p w14:paraId="05F15E5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dotted" w:color="45A3A7" w:sz="4" w:space="0"/>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9"/>
        <w:gridCol w:w="1425"/>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309" w:type="dxa"/>
            <w:tcBorders>
              <w:top w:val="nil"/>
              <w:left w:val="nil"/>
              <w:bottom w:val="nil"/>
              <w:right w:val="single" w:color="FFFFFF" w:sz="18" w:space="0"/>
            </w:tcBorders>
            <w:shd w:val="clear" w:color="auto" w:fill="62B541"/>
            <w:vAlign w:val="center"/>
          </w:tcPr>
          <w:p w14:paraId="6BD0D62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5" w:type="dxa"/>
            <w:tcBorders>
              <w:top w:val="nil"/>
              <w:left w:val="single" w:color="FFFFFF" w:sz="18" w:space="0"/>
              <w:bottom w:val="nil"/>
              <w:right w:val="single" w:color="FFFFFF" w:sz="18" w:space="0"/>
            </w:tcBorders>
            <w:shd w:val="clear" w:color="auto" w:fill="62B541"/>
            <w:vAlign w:val="center"/>
          </w:tcPr>
          <w:p w14:paraId="1C69279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2692A96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62B541"/>
            <w:vAlign w:val="center"/>
          </w:tcPr>
          <w:p w14:paraId="10BC93E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309"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5"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309"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5"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w:t>
      </w:r>
      <w:r>
        <w:rPr>
          <w:rFonts w:hint="eastAsia" w:ascii="Times New Roman" w:hAnsi="Times New Roman" w:eastAsia="微软雅黑" w:cs="Times New Roman"/>
          <w:sz w:val="18"/>
          <w:szCs w:val="18"/>
          <w:lang w:val="en-US" w:eastAsia="zh-CN"/>
        </w:rPr>
        <w:t>转录</w:t>
      </w:r>
      <w:r>
        <w:rPr>
          <w:rFonts w:ascii="Times New Roman" w:hAnsi="Times New Roman" w:eastAsia="微软雅黑" w:cs="Times New Roman"/>
          <w:sz w:val="18"/>
          <w:szCs w:val="18"/>
          <w:lang w:eastAsia="zh-CN"/>
        </w:rPr>
        <w:t>层面检测融合变异形式，</w:t>
      </w:r>
      <w:r>
        <w:rPr>
          <w:rFonts w:hint="eastAsia" w:ascii="Times New Roman" w:hAnsi="Times New Roman" w:eastAsia="微软雅黑" w:cs="Times New Roman"/>
          <w:sz w:val="18"/>
          <w:szCs w:val="18"/>
          <w:lang w:val="en-US" w:eastAsia="zh-CN"/>
        </w:rPr>
        <w:t>转录</w:t>
      </w:r>
      <w:r>
        <w:rPr>
          <w:rFonts w:ascii="Times New Roman" w:hAnsi="Times New Roman" w:eastAsia="微软雅黑" w:cs="Times New Roman"/>
          <w:sz w:val="18"/>
          <w:szCs w:val="18"/>
          <w:lang w:eastAsia="zh-CN"/>
        </w:rPr>
        <w:t>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7DE00D9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5190AF63">
      <w:pPr>
        <w:bidi w:val="0"/>
        <w:rPr>
          <w:rFonts w:hint="default" w:ascii="Times New Roman" w:hAnsi="Times New Roman" w:cs="Times New Roman"/>
          <w:sz w:val="24"/>
          <w:szCs w:val="24"/>
          <w:lang w:val="en-US" w:eastAsia="zh-CN"/>
        </w:rPr>
      </w:pPr>
      <w:r>
        <w:rPr>
          <w:rFonts w:ascii="Times New Roman" w:hAnsi="Times New Roman" w:eastAsia="微软雅黑" w:cs="Times New Roman"/>
          <w:lang w:eastAsia="zh-CN"/>
        </w:rPr>
        <w:br w:type="page"/>
      </w:r>
      <w:bookmarkStart w:id="38" w:name="_Toc32489"/>
      <w:bookmarkStart w:id="39" w:name="_Toc149837258"/>
      <w:r>
        <w:rPr>
          <w:rFonts w:hint="default" w:ascii="Times New Roman" w:hAnsi="Times New Roman" w:cs="Times New Roman"/>
          <w:sz w:val="24"/>
          <w:szCs w:val="24"/>
          <w:lang w:val="en-US" w:eastAsia="zh-CN"/>
        </w:rPr>
        <w:t>{% endif %}</w:t>
      </w:r>
    </w:p>
    <w:p w14:paraId="4C29BFAA">
      <w:pPr>
        <w:pStyle w:val="3"/>
        <w:numPr>
          <w:ilvl w:val="255"/>
          <w:numId w:val="0"/>
        </w:numPr>
        <w:jc w:val="left"/>
        <w:rPr>
          <w:color w:val="auto"/>
          <w:sz w:val="30"/>
          <w:lang w:eastAsia="zh-CN"/>
        </w:rPr>
      </w:pPr>
      <w:bookmarkStart w:id="40" w:name="_Toc11808"/>
      <w:r>
        <w:rPr>
          <w:rFonts w:hint="eastAsia"/>
          <w:color w:val="auto"/>
          <w:sz w:val="30"/>
          <w:lang w:val="en-US" w:eastAsia="zh-CN"/>
        </w:rPr>
        <w:t>靶向药物用药</w:t>
      </w:r>
      <w:r>
        <w:rPr>
          <w:rFonts w:hint="eastAsia"/>
          <w:color w:val="auto"/>
          <w:sz w:val="30"/>
          <w:lang w:eastAsia="zh-CN"/>
        </w:rPr>
        <w:t>提示</w:t>
      </w:r>
      <w:bookmarkEnd w:id="38"/>
      <w:bookmarkEnd w:id="39"/>
      <w:bookmarkEnd w:id="40"/>
    </w:p>
    <w:p w14:paraId="06144E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2402E7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C41"/>
            <w:vAlign w:val="center"/>
          </w:tcPr>
          <w:p w14:paraId="667DB31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C41"/>
            <w:vAlign w:val="center"/>
          </w:tcPr>
          <w:p w14:paraId="49F53E3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C41"/>
            <w:vAlign w:val="center"/>
          </w:tcPr>
          <w:p w14:paraId="20DD9F4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C41"/>
            <w:vAlign w:val="center"/>
          </w:tcPr>
          <w:p w14:paraId="0F4AA0E4">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62BC41"/>
            <w:vAlign w:val="center"/>
          </w:tcPr>
          <w:p w14:paraId="0FFEE1F9">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8" w:type="pct"/>
            <w:tcBorders>
              <w:top w:val="nil"/>
              <w:left w:val="single" w:color="FFFFFF" w:sz="18" w:space="0"/>
              <w:bottom w:val="nil"/>
              <w:right w:val="single" w:color="FFFFFF" w:sz="18" w:space="0"/>
            </w:tcBorders>
            <w:shd w:val="clear" w:color="auto" w:fill="62BC41"/>
            <w:vAlign w:val="center"/>
          </w:tcPr>
          <w:p w14:paraId="37057A13">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C41"/>
            <w:vAlign w:val="center"/>
          </w:tcPr>
          <w:p w14:paraId="663661CA">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30714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4138FF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3C92C9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4AC7D301">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A015AFF">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554D8C6">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C34729C">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3C85685A">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6CE3EA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A4566D9">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B02597">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50517B">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BD360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38C00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8B6921">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4BDF627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D650DD">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1D1BEC47">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15601A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B8B5C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F656D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BD0B9E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B4B9F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0CBC87D">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A71677">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42118A">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4A22B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C5CAC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499B8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B935AD8">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79928C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634D8D7">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070F0A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87FECC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4EB8D5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95E29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9884C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469F93">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64D722">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72940C">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6E2ECD">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F31831D">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60896D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08F58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C2C82AD">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reads数：</w:t>
      </w:r>
      <w:r>
        <w:rPr>
          <w:rFonts w:hint="eastAsia" w:ascii="Times New Roman" w:hAnsi="Times New Roman" w:eastAsia="微软雅黑" w:cs="Times New Roman"/>
          <w:bCs/>
          <w:lang w:val="en-US" w:eastAsia="zh-CN"/>
        </w:rPr>
        <w:t>RNA</w:t>
      </w:r>
      <w:r>
        <w:rPr>
          <w:rFonts w:hint="eastAsia" w:ascii="Times New Roman" w:hAnsi="Times New Roman" w:eastAsia="微软雅黑" w:cs="Times New Roman"/>
          <w:bCs/>
          <w:lang w:eastAsia="zh-CN"/>
        </w:rPr>
        <w:t>层面检测到的支持融合基因的片段数。</w:t>
      </w:r>
    </w:p>
    <w:p w14:paraId="2A9A45B8">
      <w:pPr>
        <w:numPr>
          <w:ilvl w:val="0"/>
          <w:numId w:val="0"/>
        </w:numPr>
        <w:ind w:leftChars="0"/>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42B86AA">
      <w:pPr>
        <w:pStyle w:val="3"/>
        <w:numPr>
          <w:ilvl w:val="255"/>
          <w:numId w:val="0"/>
        </w:numPr>
        <w:jc w:val="left"/>
        <w:rPr>
          <w:color w:val="auto"/>
          <w:sz w:val="30"/>
          <w:lang w:eastAsia="zh-CN"/>
        </w:rPr>
      </w:pPr>
      <w:bookmarkStart w:id="41" w:name="_Toc20034"/>
      <w:bookmarkStart w:id="42" w:name="_Toc106719764"/>
      <w:bookmarkStart w:id="43" w:name="_Toc31051"/>
      <w:bookmarkStart w:id="44" w:name="_Toc10223"/>
      <w:r>
        <w:rPr>
          <w:rFonts w:hint="eastAsia"/>
          <w:color w:val="auto"/>
          <w:sz w:val="30"/>
          <w:lang w:eastAsia="zh-CN"/>
        </w:rPr>
        <w:t>PD-L1检测结果</w:t>
      </w:r>
      <w:bookmarkEnd w:id="41"/>
      <w:bookmarkEnd w:id="42"/>
      <w:bookmarkEnd w:id="43"/>
      <w:bookmarkEnd w:id="44"/>
    </w:p>
    <w:p w14:paraId="50BB295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C21BB7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3D9B32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79A8597">
            <w:pPr>
              <w:pStyle w:val="39"/>
            </w:pPr>
            <w:r>
              <w:rPr>
                <w:rFonts w:hint="eastAsia"/>
              </w:rPr>
              <w:t>{{</w:t>
            </w:r>
            <w:r>
              <w:t xml:space="preserve"> PDInfo</w:t>
            </w:r>
            <w:r>
              <w:rPr>
                <w:rFonts w:hint="eastAsia"/>
              </w:rPr>
              <w:t>.</w:t>
            </w:r>
            <w:r>
              <w:t>Tumor_cell_count</w:t>
            </w:r>
            <w:r>
              <w:rPr>
                <w:rFonts w:hint="eastAsia"/>
              </w:rPr>
              <w:t xml:space="preserve"> }}</w:t>
            </w:r>
          </w:p>
        </w:tc>
      </w:tr>
      <w:tr w14:paraId="0463C2A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5C8B868">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136AA9B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06136B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E5B17C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BE9405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9016FC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E49567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850B52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A4E46C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F0D54B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BB09F5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C582DA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DDC7A7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1BC0B5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91D7A79">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2E2E17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40B6CF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8BF7D9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1B56BC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F78C26E">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C837E31">
      <w:pPr>
        <w:spacing w:line="276" w:lineRule="auto"/>
        <w:ind w:right="449" w:rightChars="204"/>
        <w:rPr>
          <w:rFonts w:ascii="微软雅黑" w:hAnsi="微软雅黑" w:eastAsia="微软雅黑" w:cs="微软雅黑"/>
          <w:b/>
          <w:color w:val="000000"/>
          <w:sz w:val="18"/>
          <w:szCs w:val="18"/>
        </w:rPr>
      </w:pPr>
    </w:p>
    <w:p w14:paraId="4D9B85D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F66955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52858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55E2EFB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CA78ED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2F9D16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085CF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19D5B3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DBAA50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16876B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91EF41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28C66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DBEF45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97E5A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FF4636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252C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79EE41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9D695A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5A8D60B">
            <w:pPr>
              <w:spacing w:line="276" w:lineRule="auto"/>
              <w:jc w:val="left"/>
              <w:rPr>
                <w:rFonts w:ascii="Times New Roman" w:hAnsi="Times New Roman" w:eastAsia="微软雅黑" w:cs="Times New Roman"/>
                <w:sz w:val="18"/>
                <w:szCs w:val="18"/>
                <w:shd w:val="clear" w:color="auto" w:fill="FFFFFF"/>
                <w:lang w:eastAsia="zh-CN"/>
              </w:rPr>
            </w:pPr>
          </w:p>
        </w:tc>
      </w:tr>
      <w:tr w14:paraId="468BD7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B0005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FFC302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519F15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F6FFB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4882B6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F0B57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21233D">
            <w:pPr>
              <w:spacing w:line="276" w:lineRule="auto"/>
              <w:jc w:val="left"/>
              <w:rPr>
                <w:rFonts w:ascii="Times New Roman" w:hAnsi="Times New Roman" w:eastAsia="微软雅黑" w:cs="Times New Roman"/>
                <w:sz w:val="18"/>
                <w:szCs w:val="18"/>
                <w:shd w:val="clear" w:color="auto" w:fill="FFFFFF"/>
                <w:lang w:eastAsia="zh-CN"/>
              </w:rPr>
            </w:pPr>
          </w:p>
        </w:tc>
      </w:tr>
    </w:tbl>
    <w:p w14:paraId="31CC69A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79E2EFF">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84A03E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7F45B33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D49A24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E9C9A1A">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0D9934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40BC15B">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C7D6BC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BFEB6E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BB998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8808626">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760804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C65783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505D3A5">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213BCF5">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CF5F50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279AD09">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639F19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14:paraId="0A696CFB">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E6DC3E2">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67D2142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5" w:name="_Toc24960"/>
      <w:bookmarkStart w:id="46" w:name="_Toc4331_WPSOffice_Level1"/>
      <w:bookmarkStart w:id="47" w:name="_Toc359"/>
      <w:bookmarkStart w:id="48" w:name="_Toc32443_WPSOffice_Level1"/>
      <w:bookmarkStart w:id="49" w:name="_Toc23846_WPSOffice_Level1"/>
      <w:bookmarkStart w:id="50" w:name="_Toc23903"/>
      <w:bookmarkStart w:id="51" w:name="_Toc25727"/>
      <w:bookmarkStart w:id="52" w:name="_Toc107825555"/>
      <w:bookmarkStart w:id="53" w:name="_Toc29372"/>
      <w:bookmarkStart w:id="54" w:name="_Toc180"/>
      <w:r>
        <w:rPr>
          <w:color w:val="62B541"/>
          <w:sz w:val="32"/>
          <w14:shadow w14:blurRad="50800" w14:dist="38100" w14:dir="10800000" w14:sx="100000" w14:sy="100000" w14:kx="0" w14:ky="0" w14:algn="r">
            <w14:srgbClr w14:val="62B541">
              <w14:alpha w14:val="60000"/>
            </w14:srgbClr>
          </w14:shadow>
        </w:rPr>
        <w:t>检测结果解析</w:t>
      </w:r>
      <w:bookmarkEnd w:id="45"/>
      <w:bookmarkEnd w:id="46"/>
      <w:bookmarkEnd w:id="47"/>
      <w:bookmarkEnd w:id="48"/>
      <w:bookmarkEnd w:id="49"/>
      <w:bookmarkEnd w:id="50"/>
      <w:bookmarkEnd w:id="51"/>
      <w:bookmarkEnd w:id="52"/>
      <w:bookmarkEnd w:id="53"/>
      <w:bookmarkEnd w:id="54"/>
    </w:p>
    <w:p w14:paraId="0B390F8C">
      <w:pPr>
        <w:pStyle w:val="3"/>
        <w:numPr>
          <w:ilvl w:val="255"/>
          <w:numId w:val="0"/>
        </w:numPr>
        <w:jc w:val="left"/>
        <w:rPr>
          <w:color w:val="auto"/>
          <w:sz w:val="30"/>
          <w:lang w:eastAsia="zh-CN"/>
        </w:rPr>
      </w:pPr>
      <w:bookmarkStart w:id="55" w:name="_Toc1575"/>
      <w:bookmarkStart w:id="56" w:name="_Toc12645"/>
      <w:bookmarkStart w:id="57" w:name="_Toc149837264"/>
      <w:r>
        <w:rPr>
          <w:rFonts w:hint="eastAsia"/>
          <w:color w:val="auto"/>
          <w:sz w:val="30"/>
          <w:lang w:eastAsia="zh-CN"/>
        </w:rPr>
        <w:t>变异位点结果解析</w:t>
      </w:r>
      <w:bookmarkEnd w:id="55"/>
      <w:bookmarkEnd w:id="56"/>
    </w:p>
    <w:p w14:paraId="4208E73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ComplexDrugStr %}</w:t>
      </w:r>
    </w:p>
    <w:p w14:paraId="4E50657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FF44F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47D5C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085FE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E1BE3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7A71E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A9E7D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549E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DA2EC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350F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793B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F24A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54DAF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C3914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A23F1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E6D8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C8C24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F666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B3578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66E5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5C1F3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9F5D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8E1D7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892F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5C7B7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9977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1A6D0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38E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6D38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239A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4F63A8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E17E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9F9E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D01B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308622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5CF8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0250C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587F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5470BE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FC18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CDE87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F4EF70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FE3E0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3D822F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10CF5D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D66FD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BF63A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B602E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075F2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FDECB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0C506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04A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2520E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12CC4C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1CE8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DBC2A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2CF9B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3CA5E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B63B0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2EB98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BF680E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2F4DD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BBE54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320E7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EE323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8D0FC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E6A1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C68C19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A57EA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0FE88B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A5E76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68B75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F039B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D412C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223D3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2157D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9BB292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DA5F8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A5876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C2C0A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08EBA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7A3CD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297BA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B82AC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85A95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CD285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BBE7D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27AE4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53EA4C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40C2E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96BB7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C6C450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F14EB3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3D281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1198D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62D5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8B42A8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 for tdd in BodyDrugNoComplexStr %}</w:t>
      </w:r>
      <w:bookmarkEnd w:id="57"/>
    </w:p>
    <w:p w14:paraId="5FE7C87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15C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0EBD4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52BB8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eastAsia" w:ascii="Times New Roman" w:hAnsi="Times New Roman" w:eastAsia="微软雅黑" w:cs="Times New Roman"/>
                <w:bCs/>
                <w:sz w:val="18"/>
                <w:szCs w:val="18"/>
                <w:lang w:eastAsia="zh-CN"/>
              </w:rPr>
              <w:t xml:space="preserve"> }}</w:t>
            </w:r>
          </w:p>
        </w:tc>
      </w:tr>
      <w:tr w14:paraId="480186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BD773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AB4B3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91F83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C5438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E339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C9DC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2565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74B6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E6F5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00F7F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B3CC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96B4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E175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CEE4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F0CB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48F5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69C5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A658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C070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C350F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603F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D4FA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1C38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6F33A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EA98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63421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271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E3CBC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45A6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7771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4ABE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B572B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5C2A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62ABA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0155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95339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35387F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C009A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AEF4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34A5AA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F8D6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E392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92D39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5BFFD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E7A36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16AA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89A3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9546B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30544B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0814C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D5D9C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B5D23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5022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0A8A5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1A3F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617A28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FE23D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AACD9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D972D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13C87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63FD0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8F88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E2285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0CD6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F319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14A01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60765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090A3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E7B2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1C02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4B8AAF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696F6D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EAAB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D3EB6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95698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38BF8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15CD9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A547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8543F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766D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86C9F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40415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5DF6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D6B27F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226F2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4AF2E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1F9050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F2CAD0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C279B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5F7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24190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5D1C6BE">
      <w:pPr>
        <w:pStyle w:val="26"/>
        <w:rPr>
          <w:color w:val="auto"/>
        </w:rPr>
      </w:pPr>
      <w:r>
        <w:rPr>
          <w:rFonts w:hint="eastAsia"/>
          <w:color w:val="auto"/>
        </w:rPr>
        <w:t>{% endif %}{% endfor %}{% for vus in unknownVarAnalysisStr %}</w:t>
      </w:r>
    </w:p>
    <w:p w14:paraId="2D2C76E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B9E1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73C84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809C71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eastAsia" w:ascii="Times New Roman" w:hAnsi="Times New Roman" w:eastAsia="微软雅黑" w:cs="Times New Roman"/>
                <w:color w:val="000000"/>
                <w:sz w:val="18"/>
                <w:szCs w:val="18"/>
                <w:lang w:eastAsia="zh-CN"/>
              </w:rPr>
              <w:t xml:space="preserve"> }}</w:t>
            </w:r>
          </w:p>
        </w:tc>
      </w:tr>
      <w:tr w14:paraId="62968B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FCE0AE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5216C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88DF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9BA625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3E1D3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D55C0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57A115E4">
      <w:pPr>
        <w:outlineLvl w:val="0"/>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58" w:name="_Toc27302"/>
      <w:bookmarkStart w:id="59" w:name="_Toc13698"/>
      <w:bookmarkStart w:id="60" w:name="_Toc28240"/>
      <w:bookmarkStart w:id="61" w:name="_Toc1707_WPSOffice_Level1"/>
      <w:bookmarkStart w:id="62" w:name="_Toc11294"/>
      <w:bookmarkStart w:id="63" w:name="_Toc13196_WPSOffice_Level1"/>
      <w:bookmarkStart w:id="64" w:name="_Toc21764_WPSOffice_Level1"/>
      <w:bookmarkStart w:id="65" w:name="_Toc107825561"/>
      <w:bookmarkStart w:id="66" w:name="_Toc16835"/>
      <w:bookmarkStart w:id="67" w:name="_Toc30951"/>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58"/>
      <w:bookmarkEnd w:id="59"/>
      <w:bookmarkEnd w:id="60"/>
      <w:bookmarkEnd w:id="61"/>
      <w:bookmarkEnd w:id="62"/>
      <w:bookmarkEnd w:id="63"/>
      <w:bookmarkEnd w:id="64"/>
      <w:bookmarkEnd w:id="65"/>
    </w:p>
    <w:bookmarkEnd w:id="66"/>
    <w:bookmarkEnd w:id="67"/>
    <w:p w14:paraId="3487FCD1">
      <w:pPr>
        <w:pStyle w:val="3"/>
        <w:numPr>
          <w:ilvl w:val="255"/>
          <w:numId w:val="0"/>
        </w:numPr>
        <w:jc w:val="left"/>
        <w:rPr>
          <w:color w:val="auto"/>
          <w:sz w:val="30"/>
          <w:lang w:eastAsia="zh-CN"/>
        </w:rPr>
      </w:pPr>
      <w:bookmarkStart w:id="68" w:name="_Toc3674"/>
      <w:bookmarkStart w:id="69" w:name="_Toc9066"/>
      <w:bookmarkStart w:id="70" w:name="_Toc28605"/>
      <w:bookmarkStart w:id="71" w:name="_Toc14255_WPSOffice_Level1"/>
      <w:bookmarkStart w:id="72" w:name="_Toc24085_WPSOffice_Level1"/>
      <w:bookmarkStart w:id="73" w:name="_Toc15840_WPSOffice_Level1"/>
      <w:bookmarkStart w:id="74" w:name="_Toc32150"/>
      <w:bookmarkStart w:id="75" w:name="_Toc19101"/>
      <w:bookmarkStart w:id="76" w:name="_Toc27230"/>
      <w:bookmarkStart w:id="77" w:name="_Toc11193_WPSOffice_Level1"/>
      <w:bookmarkStart w:id="78" w:name="_Toc11896_WPSOffice_Level1"/>
      <w:bookmarkStart w:id="79" w:name="_Toc28810_WPSOffice_Level1"/>
      <w:bookmarkStart w:id="80" w:name="_Toc23688"/>
      <w:r>
        <w:rPr>
          <w:rFonts w:hint="eastAsia"/>
          <w:color w:val="auto"/>
          <w:sz w:val="30"/>
          <w:lang w:eastAsia="zh-CN"/>
        </w:rPr>
        <w:t>样本质控情况</w:t>
      </w:r>
      <w:bookmarkEnd w:id="68"/>
      <w:bookmarkEnd w:id="69"/>
      <w:bookmarkEnd w:id="70"/>
      <w:bookmarkEnd w:id="71"/>
      <w:bookmarkEnd w:id="72"/>
      <w:bookmarkEnd w:id="73"/>
      <w:bookmarkEnd w:id="74"/>
      <w:bookmarkEnd w:id="75"/>
      <w:bookmarkEnd w:id="76"/>
    </w:p>
    <w:tbl>
      <w:tblPr>
        <w:tblStyle w:val="15"/>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7B4D30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67F43E1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970C6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7B59FD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3B1C5D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C31A53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1627EB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B1284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3E020E6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52079A9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hint="eastAsia" w:ascii="Times New Roman" w:hAnsi="Times New Roman" w:eastAsia="微软雅黑" w:cs="Times New Roman"/>
                <w:bCs/>
                <w:sz w:val="21"/>
                <w:lang w:val="en-US" w:eastAsia="zh-CN"/>
              </w:rPr>
              <w:t>2</w:t>
            </w:r>
            <w:r>
              <w:rPr>
                <w:rFonts w:hint="eastAsia" w:ascii="Times New Roman" w:hAnsi="Times New Roman" w:eastAsia="微软雅黑" w:cs="Times New Roman"/>
                <w:bCs/>
                <w:sz w:val="21"/>
                <w:lang w:eastAsia="zh-CN"/>
              </w:rPr>
              <w:t>0%</w:t>
            </w:r>
          </w:p>
        </w:tc>
      </w:tr>
      <w:tr w14:paraId="5E46F88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CF7FA6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3D3CFE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69E50C3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5EA776E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6E5468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88A50B6">
            <w:pPr>
              <w:ind w:left="119"/>
              <w:jc w:val="center"/>
              <w:rPr>
                <w:rFonts w:ascii="Times New Roman" w:hAnsi="Times New Roman" w:eastAsia="微软雅黑" w:cs="Times New Roman"/>
                <w:b/>
                <w:sz w:val="21"/>
              </w:rPr>
            </w:pPr>
          </w:p>
        </w:tc>
        <w:tc>
          <w:tcPr>
            <w:tcW w:w="2721" w:type="dxa"/>
            <w:vAlign w:val="center"/>
          </w:tcPr>
          <w:p w14:paraId="3329ABD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2A09E15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1698BD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06C291B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277017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718D705">
            <w:pPr>
              <w:ind w:left="119"/>
              <w:jc w:val="center"/>
              <w:rPr>
                <w:rFonts w:ascii="Times New Roman" w:hAnsi="Times New Roman" w:eastAsia="微软雅黑" w:cs="Times New Roman"/>
                <w:b/>
                <w:sz w:val="21"/>
              </w:rPr>
            </w:pPr>
          </w:p>
        </w:tc>
        <w:tc>
          <w:tcPr>
            <w:tcW w:w="2721" w:type="dxa"/>
            <w:vAlign w:val="center"/>
          </w:tcPr>
          <w:p w14:paraId="4820E9A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24AE0A9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41A978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3A8610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EEA8C8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34C7E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62D0417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48C0B3C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1EB3BB4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9C75563">
            <w:pPr>
              <w:ind w:left="119"/>
              <w:jc w:val="center"/>
              <w:rPr>
                <w:rFonts w:ascii="Times New Roman" w:hAnsi="Times New Roman" w:eastAsia="微软雅黑" w:cs="Times New Roman"/>
                <w:b/>
                <w:sz w:val="21"/>
              </w:rPr>
            </w:pPr>
          </w:p>
        </w:tc>
        <w:tc>
          <w:tcPr>
            <w:tcW w:w="2721" w:type="dxa"/>
            <w:vAlign w:val="center"/>
          </w:tcPr>
          <w:p w14:paraId="60A31A5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48684F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042AE13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264E17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9D08A6">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D4EACF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CA2B56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894CC70">
      <w:pPr>
        <w:numPr>
          <w:ilvl w:val="0"/>
          <w:numId w:val="10"/>
        </w:numPr>
        <w:spacing w:before="53" w:line="301" w:lineRule="exact"/>
        <w:ind w:left="133"/>
        <w:rPr>
          <w:rFonts w:ascii="Times New Roman" w:hAnsi="Times New Roman" w:eastAsia="微软雅黑" w:cs="Times New Roman"/>
          <w:bCs/>
          <w:sz w:val="18"/>
          <w:szCs w:val="18"/>
          <w:lang w:eastAsia="zh-CN"/>
        </w:rPr>
      </w:pPr>
      <w:bookmarkStart w:id="81" w:name="_Toc107330130"/>
      <w:bookmarkStart w:id="82" w:name="_Toc4303"/>
      <w:bookmarkStart w:id="83" w:name="_Toc31843"/>
      <w:bookmarkStart w:id="84" w:name="_Toc24780"/>
      <w:bookmarkStart w:id="85" w:name="_Hlk3319041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C2E7553">
      <w:pPr>
        <w:numPr>
          <w:ilvl w:val="0"/>
          <w:numId w:val="10"/>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41E0ED75">
      <w:pPr>
        <w:numPr>
          <w:ilvl w:val="0"/>
          <w:numId w:val="10"/>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05B11438">
      <w:pPr>
        <w:numPr>
          <w:ilvl w:val="0"/>
          <w:numId w:val="10"/>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4BC89F20">
      <w:pPr>
        <w:numPr>
          <w:ilvl w:val="0"/>
          <w:numId w:val="10"/>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2E61ABAE">
      <w:pPr>
        <w:numPr>
          <w:ilvl w:val="0"/>
          <w:numId w:val="10"/>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14A7AAFD">
      <w:pPr>
        <w:numPr>
          <w:ilvl w:val="0"/>
          <w:numId w:val="10"/>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05BD6C93">
      <w:pPr>
        <w:bidi w:val="0"/>
        <w:rPr>
          <w:sz w:val="28"/>
          <w:szCs w:val="28"/>
        </w:rPr>
      </w:pPr>
      <w:r>
        <w:br w:type="page"/>
      </w:r>
      <w:bookmarkStart w:id="86" w:name="_Toc2337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3"/>
        <w:numPr>
          <w:ilvl w:val="255"/>
          <w:numId w:val="0"/>
        </w:numPr>
        <w:jc w:val="left"/>
        <w:rPr>
          <w:rFonts w:hint="eastAsia"/>
          <w:color w:val="auto"/>
          <w:sz w:val="30"/>
          <w:lang w:eastAsia="zh-CN"/>
        </w:rPr>
      </w:pPr>
      <w:bookmarkStart w:id="87" w:name="_Toc4278"/>
      <w:r>
        <w:rPr>
          <w:rFonts w:hint="eastAsia"/>
          <w:color w:val="auto"/>
          <w:sz w:val="30"/>
          <w:lang w:eastAsia="zh-CN"/>
        </w:rPr>
        <w:t>常见胶质瘤分型相关基因变异</w:t>
      </w:r>
      <w:bookmarkEnd w:id="86"/>
      <w:bookmarkEnd w:id="87"/>
    </w:p>
    <w:bookmarkEnd w:id="19"/>
    <w:bookmarkEnd w:id="77"/>
    <w:bookmarkEnd w:id="78"/>
    <w:bookmarkEnd w:id="79"/>
    <w:bookmarkEnd w:id="80"/>
    <w:bookmarkEnd w:id="81"/>
    <w:bookmarkEnd w:id="82"/>
    <w:bookmarkEnd w:id="83"/>
    <w:bookmarkEnd w:id="84"/>
    <w:bookmarkEnd w:id="85"/>
    <w:p w14:paraId="056BD978">
      <w:pPr>
        <w:numPr>
          <w:ilvl w:val="0"/>
          <w:numId w:val="11"/>
        </w:numPr>
        <w:rPr>
          <w:rFonts w:ascii="Times New Roman" w:hAnsi="Times New Roman" w:eastAsia="微软雅黑" w:cs="Times New Roman"/>
          <w:color w:val="000000"/>
          <w:sz w:val="21"/>
          <w:szCs w:val="21"/>
          <w:lang w:eastAsia="zh-Hans" w:bidi="ar"/>
        </w:rPr>
      </w:pPr>
      <w:bookmarkStart w:id="88" w:name="_Toc20170_WPSOffice_Level1"/>
      <w:bookmarkStart w:id="89" w:name="_Toc26985_WPSOffice_Level1"/>
      <w:bookmarkStart w:id="90" w:name="_Toc107825570"/>
      <w:bookmarkStart w:id="91" w:name="_Toc28454_WPSOffice_Level1"/>
      <w:bookmarkStart w:id="92" w:name="_Toc27034"/>
      <w:bookmarkStart w:id="93" w:name="_Toc8911"/>
      <w:bookmarkStart w:id="94" w:name="_Toc5476"/>
      <w:r>
        <w:rPr>
          <w:rFonts w:ascii="Times New Roman" w:hAnsi="Times New Roman" w:eastAsia="微软雅黑" w:cs="Times New Roman"/>
          <w:sz w:val="21"/>
          <w:szCs w:val="21"/>
          <w:lang w:eastAsia="zh-Hans"/>
        </w:rPr>
        <w:t>本部分内容参考：WHO-软组织与骨肿瘤指南</w:t>
      </w:r>
    </w:p>
    <w:tbl>
      <w:tblPr>
        <w:tblStyle w:val="15"/>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59"/>
        <w:gridCol w:w="7426"/>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318" w:type="pct"/>
            <w:tcBorders>
              <w:top w:val="nil"/>
              <w:left w:val="nil"/>
              <w:bottom w:val="nil"/>
              <w:right w:val="single" w:color="FFFFFF" w:sz="12" w:space="0"/>
            </w:tcBorders>
            <w:shd w:val="clear" w:color="auto" w:fill="62BC41"/>
            <w:vAlign w:val="center"/>
          </w:tcPr>
          <w:p w14:paraId="2BFF24C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CNS分子标记物</w:t>
            </w:r>
          </w:p>
        </w:tc>
        <w:tc>
          <w:tcPr>
            <w:tcW w:w="3681" w:type="pct"/>
            <w:tcBorders>
              <w:top w:val="nil"/>
              <w:left w:val="single" w:color="FFFFFF" w:sz="12" w:space="0"/>
              <w:bottom w:val="nil"/>
              <w:right w:val="nil"/>
            </w:tcBorders>
            <w:shd w:val="clear" w:color="auto" w:fill="62BC41"/>
            <w:vAlign w:val="center"/>
          </w:tcPr>
          <w:p w14:paraId="4FAC6165">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II级的IDH野生型</w:t>
            </w:r>
            <w:bookmarkStart w:id="115" w:name="_GoBack"/>
            <w:bookmarkEnd w:id="115"/>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3"/>
        <w:numPr>
          <w:ilvl w:val="255"/>
          <w:numId w:val="0"/>
        </w:numPr>
        <w:jc w:val="left"/>
        <w:rPr>
          <w:rFonts w:hint="eastAsia"/>
          <w:color w:val="auto"/>
          <w:sz w:val="30"/>
          <w:lang w:val="en-US" w:eastAsia="zh-CN"/>
        </w:rPr>
      </w:pPr>
      <w:bookmarkStart w:id="95" w:name="_Toc12522"/>
      <w:r>
        <w:rPr>
          <w:rFonts w:hint="eastAsia"/>
          <w:color w:val="auto"/>
          <w:sz w:val="30"/>
          <w:lang w:val="en-US" w:eastAsia="zh-CN"/>
        </w:rPr>
        <w:t>中线癌相关分子标记物检测意义</w:t>
      </w:r>
      <w:bookmarkEnd w:id="95"/>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3"/>
        <w:numPr>
          <w:ilvl w:val="255"/>
          <w:numId w:val="0"/>
        </w:numPr>
        <w:jc w:val="left"/>
        <w:rPr>
          <w:rFonts w:hint="default"/>
          <w:color w:val="auto"/>
          <w:sz w:val="30"/>
          <w:lang w:val="en-US" w:eastAsia="zh-CN"/>
        </w:rPr>
      </w:pPr>
      <w:bookmarkStart w:id="96" w:name="_Toc19525"/>
      <w:r>
        <w:rPr>
          <w:rFonts w:hint="eastAsia"/>
          <w:color w:val="auto"/>
          <w:sz w:val="30"/>
          <w:lang w:val="en-US" w:eastAsia="zh-CN"/>
        </w:rPr>
        <w:t>分子定义的肾细胞癌的形态学和分子特征</w:t>
      </w:r>
      <w:bookmarkEnd w:id="96"/>
    </w:p>
    <w:p w14:paraId="4DB8042F">
      <w:pPr>
        <w:numPr>
          <w:ilvl w:val="0"/>
          <w:numId w:val="11"/>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7BFB415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62B541"/>
            <w:noWrap/>
            <w:vAlign w:val="center"/>
          </w:tcPr>
          <w:p w14:paraId="4A1D2C8F">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62B541"/>
            <w:noWrap/>
            <w:vAlign w:val="center"/>
          </w:tcPr>
          <w:p w14:paraId="7A1DC14C">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62B541"/>
            <w:noWrap/>
            <w:vAlign w:val="center"/>
          </w:tcPr>
          <w:p w14:paraId="4DE14937">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62B541"/>
            <w:noWrap/>
            <w:vAlign w:val="center"/>
          </w:tcPr>
          <w:p w14:paraId="4F9E20B2">
            <w:pPr>
              <w:keepNext w:val="0"/>
              <w:keepLines w:val="0"/>
              <w:widowControl/>
              <w:suppressLineNumbers w:val="0"/>
              <w:jc w:val="center"/>
              <w:textAlignment w:val="cente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pPr>
            <w:r>
              <w:rPr>
                <w:rFonts w:hint="eastAsia" w:ascii="Arial" w:hAnsi="Arial" w:cs="Arial"/>
                <w:b/>
                <w:bCs/>
                <w:i w:val="0"/>
                <w:iCs w:val="0"/>
                <w:color w:val="FFFFFF" w:themeColor="background1"/>
                <w:kern w:val="0"/>
                <w:sz w:val="20"/>
                <w:szCs w:val="20"/>
                <w:u w:val="none"/>
                <w:lang w:val="en-US" w:eastAsia="zh-CN" w:bidi="ar"/>
                <w14:textFill>
                  <w14:solidFill>
                    <w14:schemeClr w14:val="bg1"/>
                  </w14:solidFill>
                </w14:textFill>
              </w:rPr>
              <w:t>临床意义</w:t>
            </w:r>
          </w:p>
        </w:tc>
      </w:tr>
      <w:tr w14:paraId="36CD0FE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2F9DE26B">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3AF470BA">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00488B4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2E08CD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4D8BC23E">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260677D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6A22433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20CE7ED1">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65DC51E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3547A083">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7D508F6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7972DA0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4DD0C7A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291D2DA0">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1D324E8B">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00FA72CE">
      <w:pPr>
        <w:outlineLvl w:val="9"/>
        <w:rPr>
          <w:rFonts w:hint="eastAsia" w:ascii="Times New Roman" w:hAnsi="Times New Roman"/>
          <w:sz w:val="21"/>
          <w:szCs w:val="21"/>
          <w:lang w:val="en-US" w:eastAsia="zh-CN"/>
        </w:rPr>
      </w:pPr>
      <w:r>
        <w:rPr>
          <w:rFonts w:hint="eastAsia" w:ascii="Times New Roman" w:hAnsi="Times New Roman"/>
          <w:sz w:val="21"/>
          <w:szCs w:val="21"/>
          <w:lang w:val="en-US" w:eastAsia="zh-CN"/>
        </w:rPr>
        <w:t>{% endif %}</w:t>
      </w:r>
      <w:r>
        <w:rPr>
          <w:rFonts w:hint="eastAsia" w:ascii="Times New Roman" w:hAnsi="Times New Roman" w:cs="Times New Roman"/>
          <w:b/>
          <w:bCs/>
          <w:sz w:val="21"/>
          <w:szCs w:val="21"/>
          <w:lang w:val="en-US" w:eastAsia="zh-CN"/>
        </w:rPr>
        <w:t>{% if disease.Sarcoma %}</w:t>
      </w:r>
    </w:p>
    <w:p w14:paraId="695BFCA8">
      <w:pPr>
        <w:pStyle w:val="3"/>
        <w:numPr>
          <w:ilvl w:val="255"/>
          <w:numId w:val="0"/>
        </w:numPr>
        <w:jc w:val="left"/>
        <w:rPr>
          <w:rFonts w:hint="eastAsia"/>
          <w:color w:val="auto"/>
          <w:sz w:val="30"/>
          <w:lang w:val="en-US" w:eastAsia="zh-CN"/>
        </w:rPr>
      </w:pPr>
      <w:bookmarkStart w:id="97" w:name="_Toc26621"/>
      <w:bookmarkStart w:id="98" w:name="_Toc19457"/>
      <w:r>
        <w:rPr>
          <w:rFonts w:hint="eastAsia"/>
          <w:color w:val="auto"/>
          <w:sz w:val="30"/>
          <w:lang w:val="en-US" w:eastAsia="zh-CN"/>
        </w:rPr>
        <w:t>常见肉瘤分型相关基因变异</w:t>
      </w:r>
      <w:bookmarkEnd w:id="97"/>
      <w:bookmarkEnd w:id="98"/>
    </w:p>
    <w:p w14:paraId="1988D020">
      <w:pPr>
        <w:numPr>
          <w:ilvl w:val="0"/>
          <w:numId w:val="11"/>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15"/>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62B541"/>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62B541"/>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5"/>
        <w:tblW w:w="1002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tblHeader/>
          <w:jc w:val="center"/>
        </w:trPr>
        <w:tc>
          <w:tcPr>
            <w:tcW w:w="5096" w:type="dxa"/>
            <w:tcBorders>
              <w:top w:val="nil"/>
              <w:bottom w:val="nil"/>
              <w:right w:val="single" w:color="FFFFFF" w:sz="18" w:space="0"/>
            </w:tcBorders>
            <w:shd w:val="clear" w:color="auto" w:fill="62B541"/>
            <w:vAlign w:val="center"/>
          </w:tcPr>
          <w:p w14:paraId="62C12211">
            <w:pPr>
              <w:keepNext w:val="0"/>
              <w:keepLines w:val="0"/>
              <w:pageBreakBefore w:val="0"/>
              <w:widowControl w:val="0"/>
              <w:kinsoku/>
              <w:wordWrap/>
              <w:overflowPunct/>
              <w:topLinePunct w:val="0"/>
              <w:autoSpaceDE/>
              <w:autoSpaceDN/>
              <w:bidi w:val="0"/>
              <w:adjustRightInd/>
              <w:snapToGrid/>
              <w:spacing w:before="32" w:beforeLines="10" w:line="206" w:lineRule="exact"/>
              <w:ind w:left="0" w:leftChars="0" w:firstLine="0" w:firstLineChars="0"/>
              <w:jc w:val="center"/>
              <w:textAlignment w:val="auto"/>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62B541"/>
            <w:vAlign w:val="center"/>
          </w:tcPr>
          <w:p w14:paraId="4731CC0D">
            <w:pPr>
              <w:keepNext w:val="0"/>
              <w:keepLines w:val="0"/>
              <w:pageBreakBefore w:val="0"/>
              <w:widowControl w:val="0"/>
              <w:kinsoku/>
              <w:wordWrap/>
              <w:overflowPunct/>
              <w:topLinePunct w:val="0"/>
              <w:autoSpaceDE/>
              <w:autoSpaceDN/>
              <w:bidi w:val="0"/>
              <w:adjustRightInd/>
              <w:snapToGrid/>
              <w:spacing w:before="32" w:beforeLines="10" w:line="206" w:lineRule="exact"/>
              <w:ind w:left="0" w:leftChars="0" w:firstLine="0" w:firstLineChars="0"/>
              <w:jc w:val="center"/>
              <w:textAlignment w:val="auto"/>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FD36ADF">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5C533EAD">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798BDFB">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5"/>
        <w:tblW w:w="9960"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4" w:hRule="atLeast"/>
          <w:tblHeader/>
          <w:jc w:val="center"/>
        </w:trPr>
        <w:tc>
          <w:tcPr>
            <w:tcW w:w="5082" w:type="dxa"/>
            <w:tcBorders>
              <w:top w:val="nil"/>
              <w:bottom w:val="nil"/>
              <w:right w:val="single" w:color="FFFFFF" w:sz="18" w:space="0"/>
            </w:tcBorders>
            <w:shd w:val="clear" w:color="auto" w:fill="62B541"/>
            <w:vAlign w:val="center"/>
          </w:tcPr>
          <w:p w14:paraId="36094A0E">
            <w:pPr>
              <w:keepNext w:val="0"/>
              <w:keepLines w:val="0"/>
              <w:pageBreakBefore w:val="0"/>
              <w:widowControl w:val="0"/>
              <w:kinsoku/>
              <w:wordWrap/>
              <w:overflowPunct/>
              <w:topLinePunct w:val="0"/>
              <w:autoSpaceDE/>
              <w:autoSpaceDN/>
              <w:bidi w:val="0"/>
              <w:adjustRightInd/>
              <w:snapToGrid/>
              <w:spacing w:before="32" w:beforeLines="10" w:line="206" w:lineRule="exact"/>
              <w:ind w:left="0" w:leftChars="0" w:firstLine="0" w:firstLineChars="0"/>
              <w:jc w:val="center"/>
              <w:textAlignment w:val="auto"/>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62B541"/>
            <w:vAlign w:val="center"/>
          </w:tcPr>
          <w:p w14:paraId="4B504A0F">
            <w:pPr>
              <w:keepNext w:val="0"/>
              <w:keepLines w:val="0"/>
              <w:pageBreakBefore w:val="0"/>
              <w:widowControl w:val="0"/>
              <w:kinsoku/>
              <w:wordWrap/>
              <w:overflowPunct/>
              <w:topLinePunct w:val="0"/>
              <w:autoSpaceDE/>
              <w:autoSpaceDN/>
              <w:bidi w:val="0"/>
              <w:adjustRightInd/>
              <w:snapToGrid/>
              <w:spacing w:before="32" w:beforeLines="10" w:line="206" w:lineRule="exact"/>
              <w:ind w:left="0" w:leftChars="0" w:firstLine="0" w:firstLineChars="0"/>
              <w:jc w:val="center"/>
              <w:textAlignment w:val="auto"/>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3"/>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7FB681A7">
      <w:pPr>
        <w:numPr>
          <w:ilvl w:val="0"/>
          <w:numId w:val="13"/>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4"/>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5"/>
        <w:tblW w:w="9977"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blHeader/>
          <w:jc w:val="center"/>
        </w:trPr>
        <w:tc>
          <w:tcPr>
            <w:tcW w:w="5083" w:type="dxa"/>
            <w:tcBorders>
              <w:top w:val="nil"/>
              <w:bottom w:val="nil"/>
              <w:right w:val="single" w:color="FFFFFF" w:sz="18" w:space="0"/>
            </w:tcBorders>
            <w:shd w:val="clear" w:color="auto" w:fill="62B541"/>
            <w:vAlign w:val="center"/>
          </w:tcPr>
          <w:p w14:paraId="33E42E1A">
            <w:pPr>
              <w:keepNext w:val="0"/>
              <w:keepLines w:val="0"/>
              <w:pageBreakBefore w:val="0"/>
              <w:widowControl w:val="0"/>
              <w:kinsoku/>
              <w:wordWrap/>
              <w:overflowPunct/>
              <w:topLinePunct w:val="0"/>
              <w:autoSpaceDE/>
              <w:autoSpaceDN/>
              <w:bidi w:val="0"/>
              <w:adjustRightInd/>
              <w:snapToGrid/>
              <w:spacing w:before="32" w:beforeLines="10" w:line="206" w:lineRule="exact"/>
              <w:ind w:left="0" w:leftChars="0" w:firstLine="0" w:firstLineChars="0"/>
              <w:jc w:val="center"/>
              <w:textAlignment w:val="auto"/>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62B541"/>
            <w:vAlign w:val="center"/>
          </w:tcPr>
          <w:p w14:paraId="5C64BE59">
            <w:pPr>
              <w:keepNext w:val="0"/>
              <w:keepLines w:val="0"/>
              <w:pageBreakBefore w:val="0"/>
              <w:widowControl w:val="0"/>
              <w:kinsoku/>
              <w:wordWrap/>
              <w:overflowPunct/>
              <w:topLinePunct w:val="0"/>
              <w:autoSpaceDE/>
              <w:autoSpaceDN/>
              <w:bidi w:val="0"/>
              <w:adjustRightInd/>
              <w:snapToGrid/>
              <w:spacing w:before="32" w:beforeLines="10" w:line="206" w:lineRule="exact"/>
              <w:ind w:left="0" w:leftChars="0" w:firstLine="0" w:firstLineChars="0"/>
              <w:jc w:val="center"/>
              <w:textAlignment w:val="auto"/>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7939251F">
      <w:pPr>
        <w:rPr>
          <w:rFonts w:ascii="Times New Roman" w:hAnsi="Times New Roman" w:eastAsia="微软雅黑" w:cs="Times New Roman"/>
          <w:color w:val="000000"/>
          <w:sz w:val="18"/>
          <w:szCs w:val="18"/>
          <w:lang w:eastAsia="zh-Hans" w:bidi="ar"/>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3C011AA8">
      <w:pPr>
        <w:rPr>
          <w:rFonts w:hint="default" w:ascii="Times New Roman" w:hAnsi="Times New Roman" w:eastAsia="微软雅黑" w:cs="Times New Roman"/>
          <w:color w:val="000000"/>
          <w:sz w:val="21"/>
          <w:szCs w:val="21"/>
          <w:lang w:val="en-US" w:eastAsia="zh-CN" w:bidi="ar"/>
        </w:rPr>
      </w:pPr>
      <w:r>
        <w:rPr>
          <w:rFonts w:ascii="Times New Roman" w:hAnsi="Times New Roman" w:eastAsia="微软雅黑" w:cs="Times New Roman"/>
          <w:color w:val="000000"/>
          <w:sz w:val="18"/>
          <w:szCs w:val="18"/>
          <w:lang w:eastAsia="zh-Hans" w:bidi="ar"/>
        </w:rPr>
        <w:br w:type="page"/>
      </w:r>
      <w:r>
        <w:rPr>
          <w:rFonts w:hint="default" w:ascii="Times New Roman" w:hAnsi="Times New Roman" w:cs="Times New Roman"/>
          <w:sz w:val="21"/>
          <w:szCs w:val="21"/>
          <w:lang w:val="en-US" w:eastAsia="zh-CN"/>
        </w:rPr>
        <w:t>{% endif %}</w:t>
      </w:r>
    </w:p>
    <w:p w14:paraId="750374D9">
      <w:pPr>
        <w:pStyle w:val="3"/>
        <w:numPr>
          <w:ilvl w:val="255"/>
          <w:numId w:val="0"/>
        </w:numPr>
        <w:jc w:val="left"/>
        <w:rPr>
          <w:rFonts w:hint="eastAsia"/>
          <w:color w:val="auto"/>
          <w:sz w:val="30"/>
          <w:lang w:val="en-US" w:eastAsia="zh-CN"/>
        </w:rPr>
      </w:pPr>
      <w:bookmarkStart w:id="99" w:name="_Toc18001"/>
      <w:r>
        <w:rPr>
          <w:rFonts w:hint="eastAsia"/>
          <w:color w:val="auto"/>
          <w:sz w:val="30"/>
          <w:lang w:val="en-US" w:eastAsia="zh-CN"/>
        </w:rPr>
        <w:t>检测基因列表（1166个基因）</w:t>
      </w:r>
      <w:bookmarkEnd w:id="99"/>
    </w:p>
    <w:tbl>
      <w:tblPr>
        <w:tblStyle w:val="15"/>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23D49BCF">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7DE0C9DC">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695AC2D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0BEEF9C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5BF3E08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2597992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09EAA04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595BCEA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4C989A5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6C0ED6A9">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1F173D11">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58279D51">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7CC3F68A">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383B99AB">
      <w:pPr>
        <w:rPr>
          <w:rFonts w:ascii="Times New Roman" w:hAnsi="Times New Roman"/>
          <w:sz w:val="30"/>
          <w:lang w:eastAsia="zh-CN"/>
        </w:rPr>
      </w:pPr>
    </w:p>
    <w:p w14:paraId="13254E49">
      <w:pPr>
        <w:rPr>
          <w:rFonts w:ascii="Times New Roman" w:hAnsi="Times New Roman"/>
          <w:sz w:val="30"/>
          <w:lang w:eastAsia="zh-CN"/>
        </w:rPr>
      </w:pPr>
      <w:r>
        <w:rPr>
          <w:rFonts w:hint="eastAsia" w:ascii="Times New Roman" w:hAnsi="Times New Roman"/>
          <w:sz w:val="30"/>
          <w:lang w:eastAsia="zh-CN"/>
        </w:rPr>
        <w:br w:type="page"/>
      </w:r>
    </w:p>
    <w:p w14:paraId="77B7B61B">
      <w:pPr>
        <w:pStyle w:val="3"/>
        <w:numPr>
          <w:ilvl w:val="255"/>
          <w:numId w:val="0"/>
        </w:numPr>
        <w:jc w:val="left"/>
        <w:rPr>
          <w:color w:val="auto"/>
          <w:sz w:val="30"/>
          <w:lang w:eastAsia="zh-CN"/>
        </w:rPr>
      </w:pPr>
      <w:bookmarkStart w:id="100" w:name="_Toc3409"/>
      <w:bookmarkStart w:id="101" w:name="_Toc24071"/>
      <w:bookmarkStart w:id="102" w:name="_Toc15114"/>
      <w:r>
        <w:rPr>
          <w:rFonts w:hint="eastAsia"/>
          <w:color w:val="auto"/>
          <w:sz w:val="30"/>
          <w:lang w:eastAsia="zh-CN"/>
        </w:rPr>
        <w:t>检测方法与局限性</w:t>
      </w:r>
      <w:bookmarkEnd w:id="100"/>
      <w:bookmarkEnd w:id="101"/>
      <w:bookmarkEnd w:id="102"/>
    </w:p>
    <w:p w14:paraId="723DC2B1">
      <w:pPr>
        <w:rPr>
          <w:highlight w:val="yellow"/>
          <w:lang w:eastAsia="zh-CN"/>
        </w:rPr>
      </w:pPr>
    </w:p>
    <w:p w14:paraId="60F40A2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BE43D7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2CA5879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w:t>
      </w:r>
      <w:r>
        <w:rPr>
          <w:rFonts w:hint="eastAsia" w:ascii="Times New Roman" w:hAnsi="Times New Roman" w:eastAsia="微软雅黑" w:cs="Times New Roman"/>
          <w:bCs/>
          <w:sz w:val="21"/>
          <w:szCs w:val="21"/>
          <w:lang w:val="en-US" w:eastAsia="zh-CN"/>
        </w:rPr>
        <w:t>从转录层面</w:t>
      </w:r>
      <w:r>
        <w:rPr>
          <w:rFonts w:hint="eastAsia" w:ascii="Times New Roman" w:hAnsi="Times New Roman" w:eastAsia="微软雅黑" w:cs="Times New Roman"/>
          <w:bCs/>
          <w:sz w:val="21"/>
          <w:szCs w:val="21"/>
          <w:lang w:eastAsia="zh-CN"/>
        </w:rPr>
        <w:t>检测与肿瘤发生发展相关的1166个基因，探针设计覆盖目标基因全转录本区域，可提供全面可信的融合基因检测。</w:t>
      </w:r>
    </w:p>
    <w:p w14:paraId="6B58C844">
      <w:pPr>
        <w:rPr>
          <w:rFonts w:ascii="Times New Roman" w:hAnsi="Times New Roman" w:eastAsia="微软雅黑" w:cs="Times New Roman"/>
          <w:bCs/>
          <w:sz w:val="21"/>
          <w:szCs w:val="21"/>
          <w:lang w:eastAsia="zh-CN"/>
        </w:rPr>
      </w:pPr>
    </w:p>
    <w:p w14:paraId="43F4ACA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B6BB4E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790B018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1CC712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3.本检测只适用于发现指定基因</w:t>
      </w:r>
      <w:r>
        <w:rPr>
          <w:rFonts w:hint="eastAsia" w:ascii="Times New Roman" w:hAnsi="Times New Roman" w:eastAsia="微软雅黑" w:cs="Times New Roman"/>
          <w:bCs/>
          <w:sz w:val="21"/>
          <w:szCs w:val="21"/>
          <w:lang w:val="en-US" w:eastAsia="zh-CN"/>
        </w:rPr>
        <w:t>转录层面</w:t>
      </w:r>
      <w:r>
        <w:rPr>
          <w:rFonts w:hint="eastAsia" w:ascii="Times New Roman" w:hAnsi="Times New Roman" w:eastAsia="微软雅黑" w:cs="Times New Roman"/>
          <w:bCs/>
          <w:sz w:val="21"/>
          <w:szCs w:val="21"/>
          <w:lang w:eastAsia="zh-CN"/>
        </w:rPr>
        <w:t>的融合变异检测，其它基因变异形式不在检测范围内。</w:t>
      </w:r>
    </w:p>
    <w:p w14:paraId="66E9E52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4.肿瘤是一种复杂的系统性疾病，评定是否为恶性肿瘤需要由临床医生综合多种检查结果进行判定。本检测不能用于确认或排除恶性肿瘤的存在。</w:t>
      </w:r>
    </w:p>
    <w:p w14:paraId="694EAA2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w:t>
      </w:r>
      <w:r>
        <w:rPr>
          <w:rFonts w:hint="eastAsia" w:ascii="Times New Roman" w:hAnsi="Times New Roman" w:eastAsia="微软雅黑" w:cs="Times New Roman"/>
          <w:bCs/>
          <w:sz w:val="21"/>
          <w:szCs w:val="21"/>
          <w:lang w:val="en-US" w:eastAsia="zh-CN"/>
        </w:rPr>
        <w:t>转录层面</w:t>
      </w:r>
      <w:r>
        <w:rPr>
          <w:rFonts w:hint="eastAsia" w:ascii="Times New Roman" w:hAnsi="Times New Roman" w:eastAsia="微软雅黑" w:cs="Times New Roman"/>
          <w:bCs/>
          <w:sz w:val="21"/>
          <w:szCs w:val="21"/>
          <w:lang w:eastAsia="zh-CN"/>
        </w:rPr>
        <w:t>融合检测的灵敏度，受基因表达水平、肿瘤细胞含量、送检样本质量影响，如未检出指定基因的变异（即阴性结果）不能排除存在低于检测下限的变异的可能性。</w:t>
      </w:r>
    </w:p>
    <w:p w14:paraId="615AA91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6.肿瘤发展或治疗过程中可能出现获得性基因变异，从而使癌症的突变谱发生变化。同时肿瘤也可能存在肿瘤间和肿瘤内的异质性，利用小块组织检测到的变异可能无法完全反映病灶部位全部细胞变异情况。</w:t>
      </w:r>
    </w:p>
    <w:p w14:paraId="1D693D7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8"/>
    <w:bookmarkEnd w:id="89"/>
    <w:bookmarkEnd w:id="90"/>
    <w:bookmarkEnd w:id="91"/>
    <w:bookmarkEnd w:id="92"/>
    <w:bookmarkEnd w:id="93"/>
    <w:bookmarkEnd w:id="94"/>
    <w:p w14:paraId="3DCBBEF1">
      <w:pPr>
        <w:pStyle w:val="3"/>
        <w:numPr>
          <w:ilvl w:val="255"/>
          <w:numId w:val="0"/>
        </w:numPr>
        <w:jc w:val="left"/>
        <w:rPr>
          <w:color w:val="auto"/>
          <w:sz w:val="30"/>
          <w:lang w:eastAsia="zh-CN"/>
        </w:rPr>
      </w:pPr>
      <w:bookmarkStart w:id="103" w:name="_Toc26977"/>
      <w:bookmarkStart w:id="104" w:name="_Toc16927"/>
      <w:bookmarkStart w:id="105" w:name="_Toc9662"/>
      <w:bookmarkStart w:id="106" w:name="_Toc107825571"/>
      <w:bookmarkStart w:id="107" w:name="_Toc21361"/>
      <w:bookmarkStart w:id="108" w:name="_Toc19584_WPSOffice_Level1"/>
      <w:bookmarkStart w:id="109" w:name="_Toc17792_WPSOffice_Level2"/>
      <w:bookmarkStart w:id="110" w:name="_Toc22162_WPSOffice_Level1"/>
      <w:bookmarkStart w:id="111" w:name="_Toc22623"/>
      <w:bookmarkStart w:id="112" w:name="_Toc14611_WPSOffice_Level1"/>
      <w:bookmarkStart w:id="113" w:name="_Toc13275"/>
      <w:r>
        <w:rPr>
          <w:rFonts w:hint="eastAsia"/>
          <w:color w:val="auto"/>
          <w:sz w:val="30"/>
          <w:lang w:eastAsia="zh-CN"/>
        </w:rPr>
        <w:t>参考文献</w:t>
      </w:r>
      <w:bookmarkEnd w:id="103"/>
      <w:bookmarkEnd w:id="104"/>
      <w:bookmarkEnd w:id="105"/>
      <w:bookmarkEnd w:id="106"/>
      <w:bookmarkEnd w:id="107"/>
    </w:p>
    <w:bookmarkEnd w:id="108"/>
    <w:bookmarkEnd w:id="109"/>
    <w:bookmarkEnd w:id="110"/>
    <w:bookmarkEnd w:id="111"/>
    <w:bookmarkEnd w:id="112"/>
    <w:bookmarkEnd w:id="113"/>
    <w:p w14:paraId="68C1F568">
      <w:pPr>
        <w:pStyle w:val="33"/>
        <w:widowControl/>
        <w:adjustRightInd w:val="0"/>
        <w:snapToGrid w:val="0"/>
        <w:spacing w:after="120" w:afterLines="50"/>
        <w:ind w:firstLine="0" w:firstLineChars="0"/>
        <w:jc w:val="both"/>
        <w:rPr>
          <w:rFonts w:hint="default" w:ascii="Times New Roman" w:hAnsi="Times New Roman" w:eastAsia="微软雅黑"/>
          <w:sz w:val="15"/>
          <w:szCs w:val="15"/>
        </w:rPr>
      </w:pPr>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NCCN临床实践指南：中枢神经系统肿瘤（2020.V3）</w:t>
      </w:r>
    </w:p>
    <w:p w14:paraId="57DF88EC">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00663F2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2022年版《中国抗癌协会脑胶质瘤整合诊治指南》</w:t>
      </w:r>
    </w:p>
    <w:p w14:paraId="7E8D156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bookmarkStart w:id="114" w:name="OLE_LINK1"/>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bookmarkEnd w:id="114"/>
    <w:p w14:paraId="1525612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33"/>
        <w:widowControl/>
        <w:adjustRightInd w:val="0"/>
        <w:snapToGrid w:val="0"/>
        <w:spacing w:after="120" w:afterLines="50"/>
        <w:ind w:firstLine="0" w:firstLineChars="0"/>
        <w:jc w:val="both"/>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33"/>
        <w:widowControl/>
        <w:adjustRightInd w:val="0"/>
        <w:snapToGrid w:val="0"/>
        <w:spacing w:after="120" w:afterLines="50"/>
        <w:ind w:firstLine="0" w:firstLineChars="0"/>
        <w:jc w:val="both"/>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1996CF5E">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3F458897">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 xml:space="preserve">中国临床肿瘤学会（CSCO）软组织肉瘤诊疗指南2021. 7. </w:t>
      </w:r>
    </w:p>
    <w:p w14:paraId="40BB38AF">
      <w:pPr>
        <w:pStyle w:val="33"/>
        <w:widowControl/>
        <w:adjustRightInd w:val="0"/>
        <w:snapToGrid w:val="0"/>
        <w:spacing w:after="120" w:afterLines="50"/>
        <w:ind w:firstLine="0" w:firstLineChars="0"/>
        <w:jc w:val="both"/>
        <w:rPr>
          <w:rFonts w:ascii="Times New Roman" w:hAnsi="Times New Roman" w:eastAsia="等线"/>
          <w:sz w:val="22"/>
          <w:lang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sectPr>
      <w:footerReference r:id="rId5" w:type="default"/>
      <w:pgSz w:w="11911" w:h="16838"/>
      <w:pgMar w:top="1037" w:right="1020" w:bottom="981" w:left="1020" w:header="567" w:footer="680" w:gutter="0"/>
      <w:pgBorders>
        <w:top w:val="none" w:sz="0" w:space="0"/>
        <w:left w:val="none" w:sz="0" w:space="0"/>
        <w:bottom w:val="none" w:sz="0" w:space="0"/>
        <w:right w:val="none" w:sz="0" w:space="0"/>
      </w:pgBorders>
      <w:pgNumType w:fmt="decimal"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FFF16C">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8D4F9">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874395" cy="245745"/>
              <wp:effectExtent l="0" t="0" r="0" b="0"/>
              <wp:wrapNone/>
              <wp:docPr id="4" name="文本框 4"/>
              <wp:cNvGraphicFramePr/>
              <a:graphic xmlns:a="http://schemas.openxmlformats.org/drawingml/2006/main">
                <a:graphicData uri="http://schemas.microsoft.com/office/word/2010/wordprocessingShape">
                  <wps:wsp>
                    <wps:cNvSpPr txBox="1"/>
                    <wps:spPr>
                      <a:xfrm>
                        <a:off x="0" y="0"/>
                        <a:ext cx="874395" cy="24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9.35pt;width:68.85pt;mso-position-horizontal:center;mso-position-horizontal-relative:margin;z-index:251659264;mso-width-relative:page;mso-height-relative:page;" filled="f" stroked="f" coordsize="21600,21600" o:gfxdata="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B7DgIXUAAAABAEAAA8AAAAAAAAAAQAgAAAAIgAAAGRycy9kb3ducmV2&#10;LnhtbFBLAQIUABQAAAAIAIdO4kCDVhBEOQIAAGEEAAAOAAAAAAAAAAEAIAAAACMBAABkcnMvZTJv&#10;RG9jLnhtbFBLBQYAAAAABgAGAFkBAADOBQAAAAA=&#10;">
              <v:fill on="f" focussize="0,0"/>
              <v:stroke on="f" weight="0.5pt"/>
              <v:imagedata o:title=""/>
              <o:lock v:ext="edit" aspectratio="f"/>
              <v:textbox inset="0mm,0mm,0mm,0mm">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FF9AE">
    <w:pPr>
      <w:jc w:val="right"/>
      <w:rPr>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泛实体瘤融合基因谱{% if PDInfo %}+PD-L1{% endif %}检测</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727A939"/>
    <w:multiLevelType w:val="singleLevel"/>
    <w:tmpl w:val="4727A939"/>
    <w:lvl w:ilvl="0" w:tentative="0">
      <w:start w:val="1"/>
      <w:numFmt w:val="decimal"/>
      <w:lvlText w:val="%1."/>
      <w:lvlJc w:val="left"/>
      <w:pPr>
        <w:tabs>
          <w:tab w:val="left" w:pos="312"/>
        </w:tabs>
      </w:p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10"/>
  </w:num>
  <w:num w:numId="2">
    <w:abstractNumId w:val="12"/>
  </w:num>
  <w:num w:numId="3">
    <w:abstractNumId w:val="11"/>
  </w:num>
  <w:num w:numId="4">
    <w:abstractNumId w:val="5"/>
  </w:num>
  <w:num w:numId="5">
    <w:abstractNumId w:val="7"/>
  </w:num>
  <w:num w:numId="6">
    <w:abstractNumId w:val="13"/>
  </w:num>
  <w:num w:numId="7">
    <w:abstractNumId w:val="3"/>
  </w:num>
  <w:num w:numId="8">
    <w:abstractNumId w:val="1"/>
  </w:num>
  <w:num w:numId="9">
    <w:abstractNumId w:val="8"/>
  </w:num>
  <w:num w:numId="10">
    <w:abstractNumId w:val="4"/>
  </w:num>
  <w:num w:numId="11">
    <w:abstractNumId w:val="0"/>
  </w:num>
  <w:num w:numId="12">
    <w:abstractNumId w:val="9"/>
  </w:num>
  <w:num w:numId="13">
    <w:abstractNumId w:val="6"/>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F1926"/>
    <w:rsid w:val="00107E39"/>
    <w:rsid w:val="001270E6"/>
    <w:rsid w:val="00154460"/>
    <w:rsid w:val="00172A27"/>
    <w:rsid w:val="00184059"/>
    <w:rsid w:val="00192B96"/>
    <w:rsid w:val="00195F33"/>
    <w:rsid w:val="001C358C"/>
    <w:rsid w:val="001F265E"/>
    <w:rsid w:val="001F4429"/>
    <w:rsid w:val="001F5C37"/>
    <w:rsid w:val="001F6B65"/>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60E44"/>
    <w:rsid w:val="004716C5"/>
    <w:rsid w:val="004D1395"/>
    <w:rsid w:val="004F34A2"/>
    <w:rsid w:val="005130C6"/>
    <w:rsid w:val="0052321F"/>
    <w:rsid w:val="00565986"/>
    <w:rsid w:val="005746B2"/>
    <w:rsid w:val="005A46FA"/>
    <w:rsid w:val="005C4908"/>
    <w:rsid w:val="005E26B2"/>
    <w:rsid w:val="00604E02"/>
    <w:rsid w:val="00635CB1"/>
    <w:rsid w:val="006A31A2"/>
    <w:rsid w:val="006A479C"/>
    <w:rsid w:val="006D0EFE"/>
    <w:rsid w:val="006F49BB"/>
    <w:rsid w:val="007139FD"/>
    <w:rsid w:val="00723F9A"/>
    <w:rsid w:val="00737E1E"/>
    <w:rsid w:val="007442EF"/>
    <w:rsid w:val="007600EB"/>
    <w:rsid w:val="00772573"/>
    <w:rsid w:val="007834F9"/>
    <w:rsid w:val="007856DE"/>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2008"/>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1B7144F"/>
    <w:rsid w:val="02235929"/>
    <w:rsid w:val="025117B2"/>
    <w:rsid w:val="027A5940"/>
    <w:rsid w:val="027C61F4"/>
    <w:rsid w:val="02B44A06"/>
    <w:rsid w:val="02CA5230"/>
    <w:rsid w:val="02F96864"/>
    <w:rsid w:val="030338CF"/>
    <w:rsid w:val="031B6FF1"/>
    <w:rsid w:val="0345216A"/>
    <w:rsid w:val="038726D8"/>
    <w:rsid w:val="039B4330"/>
    <w:rsid w:val="03AC1B29"/>
    <w:rsid w:val="03C81F92"/>
    <w:rsid w:val="03E921F1"/>
    <w:rsid w:val="04791D69"/>
    <w:rsid w:val="04820ADC"/>
    <w:rsid w:val="04871837"/>
    <w:rsid w:val="04A167FA"/>
    <w:rsid w:val="04C17114"/>
    <w:rsid w:val="04D24A99"/>
    <w:rsid w:val="051F43D2"/>
    <w:rsid w:val="05476D0D"/>
    <w:rsid w:val="05815BFE"/>
    <w:rsid w:val="05887898"/>
    <w:rsid w:val="05980479"/>
    <w:rsid w:val="05C86C09"/>
    <w:rsid w:val="05CC64B2"/>
    <w:rsid w:val="05D63B33"/>
    <w:rsid w:val="066833E1"/>
    <w:rsid w:val="0696420E"/>
    <w:rsid w:val="06A61E8D"/>
    <w:rsid w:val="06C726BC"/>
    <w:rsid w:val="06E36A2C"/>
    <w:rsid w:val="06EB7F4D"/>
    <w:rsid w:val="074043CC"/>
    <w:rsid w:val="074450F8"/>
    <w:rsid w:val="074468B9"/>
    <w:rsid w:val="077559CB"/>
    <w:rsid w:val="07AB34E7"/>
    <w:rsid w:val="07D36A00"/>
    <w:rsid w:val="07DB59EB"/>
    <w:rsid w:val="07F338EC"/>
    <w:rsid w:val="082B1C77"/>
    <w:rsid w:val="083F50A2"/>
    <w:rsid w:val="08521695"/>
    <w:rsid w:val="088D7FF0"/>
    <w:rsid w:val="08B07D5B"/>
    <w:rsid w:val="08BD53C7"/>
    <w:rsid w:val="08C413EB"/>
    <w:rsid w:val="09705B33"/>
    <w:rsid w:val="0974059C"/>
    <w:rsid w:val="09A9662A"/>
    <w:rsid w:val="09AC1BC1"/>
    <w:rsid w:val="09BC6232"/>
    <w:rsid w:val="0A043ABA"/>
    <w:rsid w:val="0A164154"/>
    <w:rsid w:val="0A360DE8"/>
    <w:rsid w:val="0A4A3E4A"/>
    <w:rsid w:val="0A4F2135"/>
    <w:rsid w:val="0A757891"/>
    <w:rsid w:val="0ADA7F11"/>
    <w:rsid w:val="0AEC09F3"/>
    <w:rsid w:val="0AF224C0"/>
    <w:rsid w:val="0B2C5085"/>
    <w:rsid w:val="0B3C2E84"/>
    <w:rsid w:val="0B7E7D58"/>
    <w:rsid w:val="0B9E14CB"/>
    <w:rsid w:val="0B9E4213"/>
    <w:rsid w:val="0BD32ECA"/>
    <w:rsid w:val="0BE77026"/>
    <w:rsid w:val="0C1768CC"/>
    <w:rsid w:val="0C2310C3"/>
    <w:rsid w:val="0C3A0C95"/>
    <w:rsid w:val="0C3E5385"/>
    <w:rsid w:val="0C423702"/>
    <w:rsid w:val="0C96240B"/>
    <w:rsid w:val="0CA25C70"/>
    <w:rsid w:val="0CC26BD0"/>
    <w:rsid w:val="0CCF21C8"/>
    <w:rsid w:val="0CFC3F9F"/>
    <w:rsid w:val="0D055CE8"/>
    <w:rsid w:val="0D0F4ED6"/>
    <w:rsid w:val="0D9819F1"/>
    <w:rsid w:val="0DAB0FFB"/>
    <w:rsid w:val="0DE0692F"/>
    <w:rsid w:val="0DEF3DA1"/>
    <w:rsid w:val="0E11445D"/>
    <w:rsid w:val="0E542351"/>
    <w:rsid w:val="0E632099"/>
    <w:rsid w:val="0EBF2A43"/>
    <w:rsid w:val="0EC91129"/>
    <w:rsid w:val="0ED843CC"/>
    <w:rsid w:val="0EDA08E0"/>
    <w:rsid w:val="0F221391"/>
    <w:rsid w:val="0F890797"/>
    <w:rsid w:val="0F8E6586"/>
    <w:rsid w:val="0FB9297A"/>
    <w:rsid w:val="0FC40D7D"/>
    <w:rsid w:val="0FCC6C3F"/>
    <w:rsid w:val="0FD33020"/>
    <w:rsid w:val="0FE820CC"/>
    <w:rsid w:val="0FEF6595"/>
    <w:rsid w:val="102D3EDB"/>
    <w:rsid w:val="103534AE"/>
    <w:rsid w:val="10393EFC"/>
    <w:rsid w:val="105635DE"/>
    <w:rsid w:val="10A519AE"/>
    <w:rsid w:val="10FD358E"/>
    <w:rsid w:val="110D3F98"/>
    <w:rsid w:val="114E32AC"/>
    <w:rsid w:val="117B0EEB"/>
    <w:rsid w:val="11A5284D"/>
    <w:rsid w:val="1212349F"/>
    <w:rsid w:val="12224D50"/>
    <w:rsid w:val="126971EB"/>
    <w:rsid w:val="12850E64"/>
    <w:rsid w:val="12963DA1"/>
    <w:rsid w:val="12984F1A"/>
    <w:rsid w:val="12AC6FD4"/>
    <w:rsid w:val="12E61DB3"/>
    <w:rsid w:val="12F372F0"/>
    <w:rsid w:val="13250E31"/>
    <w:rsid w:val="132612E4"/>
    <w:rsid w:val="135250D0"/>
    <w:rsid w:val="13772741"/>
    <w:rsid w:val="137F27FC"/>
    <w:rsid w:val="13897526"/>
    <w:rsid w:val="13AB527B"/>
    <w:rsid w:val="13EC27A3"/>
    <w:rsid w:val="14520ED9"/>
    <w:rsid w:val="1464050D"/>
    <w:rsid w:val="14872247"/>
    <w:rsid w:val="148972D9"/>
    <w:rsid w:val="149B7751"/>
    <w:rsid w:val="14A4287F"/>
    <w:rsid w:val="14C82A00"/>
    <w:rsid w:val="14E50274"/>
    <w:rsid w:val="150E31A1"/>
    <w:rsid w:val="15196B67"/>
    <w:rsid w:val="15237799"/>
    <w:rsid w:val="1524470F"/>
    <w:rsid w:val="152E3223"/>
    <w:rsid w:val="153F7D0D"/>
    <w:rsid w:val="155B77B8"/>
    <w:rsid w:val="156F1ACB"/>
    <w:rsid w:val="15D73C77"/>
    <w:rsid w:val="165063E4"/>
    <w:rsid w:val="16924078"/>
    <w:rsid w:val="16A76961"/>
    <w:rsid w:val="16BC00B5"/>
    <w:rsid w:val="16BD5BE8"/>
    <w:rsid w:val="16D03ECB"/>
    <w:rsid w:val="16E633BC"/>
    <w:rsid w:val="16E67B0D"/>
    <w:rsid w:val="17547636"/>
    <w:rsid w:val="179E5A16"/>
    <w:rsid w:val="17A631D1"/>
    <w:rsid w:val="17EC02EE"/>
    <w:rsid w:val="17EF172D"/>
    <w:rsid w:val="18043F40"/>
    <w:rsid w:val="18064B2E"/>
    <w:rsid w:val="184975D8"/>
    <w:rsid w:val="184F5A03"/>
    <w:rsid w:val="18553367"/>
    <w:rsid w:val="188B1EE6"/>
    <w:rsid w:val="188E10A8"/>
    <w:rsid w:val="18A73199"/>
    <w:rsid w:val="190E72BC"/>
    <w:rsid w:val="19246981"/>
    <w:rsid w:val="19437087"/>
    <w:rsid w:val="198744F7"/>
    <w:rsid w:val="198E1BE8"/>
    <w:rsid w:val="199369D8"/>
    <w:rsid w:val="1A03103B"/>
    <w:rsid w:val="1A071D61"/>
    <w:rsid w:val="1A7144F7"/>
    <w:rsid w:val="1A882AFB"/>
    <w:rsid w:val="1A8A011D"/>
    <w:rsid w:val="1AC27555"/>
    <w:rsid w:val="1AFB664C"/>
    <w:rsid w:val="1B1C0795"/>
    <w:rsid w:val="1B28649B"/>
    <w:rsid w:val="1B447D2D"/>
    <w:rsid w:val="1B574618"/>
    <w:rsid w:val="1B954E3D"/>
    <w:rsid w:val="1BA36B7F"/>
    <w:rsid w:val="1BAD3E87"/>
    <w:rsid w:val="1C052BBE"/>
    <w:rsid w:val="1C085913"/>
    <w:rsid w:val="1C7A05D0"/>
    <w:rsid w:val="1C896BF7"/>
    <w:rsid w:val="1C8A6328"/>
    <w:rsid w:val="1C98707F"/>
    <w:rsid w:val="1CA438BF"/>
    <w:rsid w:val="1CCD19AC"/>
    <w:rsid w:val="1CFB3D7D"/>
    <w:rsid w:val="1D0B7646"/>
    <w:rsid w:val="1D103BE7"/>
    <w:rsid w:val="1D76528B"/>
    <w:rsid w:val="1D855A32"/>
    <w:rsid w:val="1DB12F23"/>
    <w:rsid w:val="1DDA5C93"/>
    <w:rsid w:val="1E4E1501"/>
    <w:rsid w:val="1EA13888"/>
    <w:rsid w:val="1EAB0C6A"/>
    <w:rsid w:val="1EAF2912"/>
    <w:rsid w:val="1EB41ABE"/>
    <w:rsid w:val="1ED80F44"/>
    <w:rsid w:val="1EEB2832"/>
    <w:rsid w:val="1EF75EC5"/>
    <w:rsid w:val="1F0761CC"/>
    <w:rsid w:val="1F2B7CAE"/>
    <w:rsid w:val="1FA57A62"/>
    <w:rsid w:val="1FB7220A"/>
    <w:rsid w:val="1FEC44A1"/>
    <w:rsid w:val="20160A2B"/>
    <w:rsid w:val="20205A20"/>
    <w:rsid w:val="20617863"/>
    <w:rsid w:val="20635A0A"/>
    <w:rsid w:val="20740297"/>
    <w:rsid w:val="20855B55"/>
    <w:rsid w:val="208C320E"/>
    <w:rsid w:val="209432E5"/>
    <w:rsid w:val="20AC4ABE"/>
    <w:rsid w:val="20C205EB"/>
    <w:rsid w:val="20E701EC"/>
    <w:rsid w:val="213D29A6"/>
    <w:rsid w:val="216F18A9"/>
    <w:rsid w:val="21D55A39"/>
    <w:rsid w:val="22180203"/>
    <w:rsid w:val="22C97FF1"/>
    <w:rsid w:val="22F90B63"/>
    <w:rsid w:val="23007D7C"/>
    <w:rsid w:val="2322058C"/>
    <w:rsid w:val="235C2C2A"/>
    <w:rsid w:val="23DC4798"/>
    <w:rsid w:val="23DE28B4"/>
    <w:rsid w:val="23FF1819"/>
    <w:rsid w:val="240318F0"/>
    <w:rsid w:val="24072BAB"/>
    <w:rsid w:val="240A1E65"/>
    <w:rsid w:val="245142FB"/>
    <w:rsid w:val="24D35DD8"/>
    <w:rsid w:val="25037400"/>
    <w:rsid w:val="253036C5"/>
    <w:rsid w:val="253E4460"/>
    <w:rsid w:val="256C4478"/>
    <w:rsid w:val="25726076"/>
    <w:rsid w:val="258869DA"/>
    <w:rsid w:val="259979FD"/>
    <w:rsid w:val="25C6273E"/>
    <w:rsid w:val="25FD2582"/>
    <w:rsid w:val="260C7C1F"/>
    <w:rsid w:val="26137398"/>
    <w:rsid w:val="268C673B"/>
    <w:rsid w:val="26976104"/>
    <w:rsid w:val="271A3FF4"/>
    <w:rsid w:val="271C165B"/>
    <w:rsid w:val="273F083F"/>
    <w:rsid w:val="27870460"/>
    <w:rsid w:val="27DD40F7"/>
    <w:rsid w:val="27E3036D"/>
    <w:rsid w:val="280B1FC0"/>
    <w:rsid w:val="28135739"/>
    <w:rsid w:val="281C757A"/>
    <w:rsid w:val="284978CD"/>
    <w:rsid w:val="286B34B1"/>
    <w:rsid w:val="286F2FA1"/>
    <w:rsid w:val="287B12EA"/>
    <w:rsid w:val="2891291A"/>
    <w:rsid w:val="28B74238"/>
    <w:rsid w:val="28B83CA7"/>
    <w:rsid w:val="28BA2819"/>
    <w:rsid w:val="28CF73DA"/>
    <w:rsid w:val="28E502F9"/>
    <w:rsid w:val="29363F06"/>
    <w:rsid w:val="294921DF"/>
    <w:rsid w:val="296C36E3"/>
    <w:rsid w:val="296F5B95"/>
    <w:rsid w:val="29700F5B"/>
    <w:rsid w:val="29DE0525"/>
    <w:rsid w:val="29EF70C8"/>
    <w:rsid w:val="2A221D03"/>
    <w:rsid w:val="2A3716AB"/>
    <w:rsid w:val="2A7C3C18"/>
    <w:rsid w:val="2A8D72E7"/>
    <w:rsid w:val="2ABF25BE"/>
    <w:rsid w:val="2ADE2A02"/>
    <w:rsid w:val="2B243DEB"/>
    <w:rsid w:val="2B302D87"/>
    <w:rsid w:val="2B485DBB"/>
    <w:rsid w:val="2B692B05"/>
    <w:rsid w:val="2B8C0A94"/>
    <w:rsid w:val="2BB67139"/>
    <w:rsid w:val="2BDD6E53"/>
    <w:rsid w:val="2BDE1876"/>
    <w:rsid w:val="2BF64087"/>
    <w:rsid w:val="2C165FD1"/>
    <w:rsid w:val="2C427C83"/>
    <w:rsid w:val="2CC51381"/>
    <w:rsid w:val="2CFB5534"/>
    <w:rsid w:val="2D0D0130"/>
    <w:rsid w:val="2D2A3BDD"/>
    <w:rsid w:val="2D532F56"/>
    <w:rsid w:val="2D6F4BEE"/>
    <w:rsid w:val="2DAD2E9F"/>
    <w:rsid w:val="2DB046D4"/>
    <w:rsid w:val="2E0C0EE9"/>
    <w:rsid w:val="2E162111"/>
    <w:rsid w:val="2E3D6CA4"/>
    <w:rsid w:val="2E50390C"/>
    <w:rsid w:val="2E7C271A"/>
    <w:rsid w:val="2E7C3545"/>
    <w:rsid w:val="2EA73960"/>
    <w:rsid w:val="2EAF6A86"/>
    <w:rsid w:val="2EB35A8A"/>
    <w:rsid w:val="2ECC0B8E"/>
    <w:rsid w:val="2ED4504C"/>
    <w:rsid w:val="2F28730D"/>
    <w:rsid w:val="2F47605F"/>
    <w:rsid w:val="2F7554CE"/>
    <w:rsid w:val="301C551E"/>
    <w:rsid w:val="30396056"/>
    <w:rsid w:val="304862D7"/>
    <w:rsid w:val="30C51137"/>
    <w:rsid w:val="30CB109B"/>
    <w:rsid w:val="30CF7407"/>
    <w:rsid w:val="30DA24F1"/>
    <w:rsid w:val="30E81B43"/>
    <w:rsid w:val="30F65B02"/>
    <w:rsid w:val="3109019E"/>
    <w:rsid w:val="310959FE"/>
    <w:rsid w:val="3109732A"/>
    <w:rsid w:val="312E53DA"/>
    <w:rsid w:val="314C232E"/>
    <w:rsid w:val="315E5833"/>
    <w:rsid w:val="31840F63"/>
    <w:rsid w:val="319764DC"/>
    <w:rsid w:val="31DF35CD"/>
    <w:rsid w:val="32080EDC"/>
    <w:rsid w:val="32AB7EAB"/>
    <w:rsid w:val="32B71D27"/>
    <w:rsid w:val="32DA7D3C"/>
    <w:rsid w:val="32DE07F1"/>
    <w:rsid w:val="32F7059A"/>
    <w:rsid w:val="331534C4"/>
    <w:rsid w:val="33187C85"/>
    <w:rsid w:val="331D3C4A"/>
    <w:rsid w:val="33323300"/>
    <w:rsid w:val="335666F8"/>
    <w:rsid w:val="336439F5"/>
    <w:rsid w:val="33842A1C"/>
    <w:rsid w:val="338527AA"/>
    <w:rsid w:val="338C0DA0"/>
    <w:rsid w:val="339415E0"/>
    <w:rsid w:val="33AD7188"/>
    <w:rsid w:val="33AE0711"/>
    <w:rsid w:val="34067A65"/>
    <w:rsid w:val="343B507D"/>
    <w:rsid w:val="343F3919"/>
    <w:rsid w:val="344304E0"/>
    <w:rsid w:val="34476E90"/>
    <w:rsid w:val="34777EA9"/>
    <w:rsid w:val="34825981"/>
    <w:rsid w:val="348573AD"/>
    <w:rsid w:val="34AC4555"/>
    <w:rsid w:val="34F36D08"/>
    <w:rsid w:val="3519707B"/>
    <w:rsid w:val="35485482"/>
    <w:rsid w:val="357E5409"/>
    <w:rsid w:val="35945D5F"/>
    <w:rsid w:val="35B3556B"/>
    <w:rsid w:val="35BC7D52"/>
    <w:rsid w:val="35F5325E"/>
    <w:rsid w:val="360630CA"/>
    <w:rsid w:val="360A76FC"/>
    <w:rsid w:val="361231BE"/>
    <w:rsid w:val="36123FBF"/>
    <w:rsid w:val="366A08A1"/>
    <w:rsid w:val="36801FC3"/>
    <w:rsid w:val="36A92AAB"/>
    <w:rsid w:val="36C80B47"/>
    <w:rsid w:val="36CB703E"/>
    <w:rsid w:val="36EF163D"/>
    <w:rsid w:val="371E73E3"/>
    <w:rsid w:val="37334B21"/>
    <w:rsid w:val="374351D0"/>
    <w:rsid w:val="376A3DBD"/>
    <w:rsid w:val="37E81DE8"/>
    <w:rsid w:val="38127AB9"/>
    <w:rsid w:val="3848012E"/>
    <w:rsid w:val="387F6B81"/>
    <w:rsid w:val="38A11AEB"/>
    <w:rsid w:val="38C924A0"/>
    <w:rsid w:val="38F86950"/>
    <w:rsid w:val="390163DD"/>
    <w:rsid w:val="390F75B2"/>
    <w:rsid w:val="39117F66"/>
    <w:rsid w:val="39525C52"/>
    <w:rsid w:val="3956425B"/>
    <w:rsid w:val="396D50DB"/>
    <w:rsid w:val="39A22AAB"/>
    <w:rsid w:val="39A64D30"/>
    <w:rsid w:val="39BB523D"/>
    <w:rsid w:val="39C6291A"/>
    <w:rsid w:val="3A0C3554"/>
    <w:rsid w:val="3A202424"/>
    <w:rsid w:val="3A804354"/>
    <w:rsid w:val="3A8349F8"/>
    <w:rsid w:val="3ACE068F"/>
    <w:rsid w:val="3AD22BFA"/>
    <w:rsid w:val="3ADA55AC"/>
    <w:rsid w:val="3AF12A22"/>
    <w:rsid w:val="3AF460F5"/>
    <w:rsid w:val="3B0F7D65"/>
    <w:rsid w:val="3B261813"/>
    <w:rsid w:val="3B2748BB"/>
    <w:rsid w:val="3B721C7C"/>
    <w:rsid w:val="3BEA5380"/>
    <w:rsid w:val="3BF655CF"/>
    <w:rsid w:val="3BFF70BC"/>
    <w:rsid w:val="3C365B20"/>
    <w:rsid w:val="3C3F24CA"/>
    <w:rsid w:val="3C545137"/>
    <w:rsid w:val="3C5D7709"/>
    <w:rsid w:val="3C5D7D9D"/>
    <w:rsid w:val="3CA93488"/>
    <w:rsid w:val="3D1C54C3"/>
    <w:rsid w:val="3D23046C"/>
    <w:rsid w:val="3D333B35"/>
    <w:rsid w:val="3D6C60E9"/>
    <w:rsid w:val="3D855C98"/>
    <w:rsid w:val="3D996300"/>
    <w:rsid w:val="3DAE03CA"/>
    <w:rsid w:val="3DC72F9A"/>
    <w:rsid w:val="3EA66B99"/>
    <w:rsid w:val="3EA86ADD"/>
    <w:rsid w:val="3EB6778E"/>
    <w:rsid w:val="3EC949BD"/>
    <w:rsid w:val="3EEC20B5"/>
    <w:rsid w:val="3F1D1FAD"/>
    <w:rsid w:val="3F453F96"/>
    <w:rsid w:val="3F4A5777"/>
    <w:rsid w:val="3F547FD3"/>
    <w:rsid w:val="3F5A2EDA"/>
    <w:rsid w:val="3F6A7478"/>
    <w:rsid w:val="3F7F04C5"/>
    <w:rsid w:val="3FBA151A"/>
    <w:rsid w:val="3FCB42E0"/>
    <w:rsid w:val="3FCD0245"/>
    <w:rsid w:val="3FF2193A"/>
    <w:rsid w:val="402D0DF8"/>
    <w:rsid w:val="405979F4"/>
    <w:rsid w:val="405E0973"/>
    <w:rsid w:val="40667949"/>
    <w:rsid w:val="407A48B6"/>
    <w:rsid w:val="408706D4"/>
    <w:rsid w:val="40895D14"/>
    <w:rsid w:val="40BA2B58"/>
    <w:rsid w:val="40F91152"/>
    <w:rsid w:val="4123696B"/>
    <w:rsid w:val="412C4767"/>
    <w:rsid w:val="414D51AD"/>
    <w:rsid w:val="41541293"/>
    <w:rsid w:val="41544514"/>
    <w:rsid w:val="416A65A4"/>
    <w:rsid w:val="41C73588"/>
    <w:rsid w:val="41C8041D"/>
    <w:rsid w:val="41EC43CC"/>
    <w:rsid w:val="41FA16D6"/>
    <w:rsid w:val="41FB3136"/>
    <w:rsid w:val="41FF695D"/>
    <w:rsid w:val="42193403"/>
    <w:rsid w:val="42350DEA"/>
    <w:rsid w:val="42431596"/>
    <w:rsid w:val="42657ECE"/>
    <w:rsid w:val="42967F6B"/>
    <w:rsid w:val="42A10252"/>
    <w:rsid w:val="42AE237F"/>
    <w:rsid w:val="42D665BD"/>
    <w:rsid w:val="42E12561"/>
    <w:rsid w:val="4306667C"/>
    <w:rsid w:val="432B281E"/>
    <w:rsid w:val="43821027"/>
    <w:rsid w:val="43EE04C7"/>
    <w:rsid w:val="43F80311"/>
    <w:rsid w:val="44165A49"/>
    <w:rsid w:val="44190360"/>
    <w:rsid w:val="44395BA8"/>
    <w:rsid w:val="447F6FC8"/>
    <w:rsid w:val="4489635E"/>
    <w:rsid w:val="449874DC"/>
    <w:rsid w:val="44E01002"/>
    <w:rsid w:val="452112A4"/>
    <w:rsid w:val="454A2BAB"/>
    <w:rsid w:val="459308E1"/>
    <w:rsid w:val="45A93012"/>
    <w:rsid w:val="45D4644E"/>
    <w:rsid w:val="45DB483E"/>
    <w:rsid w:val="46386C71"/>
    <w:rsid w:val="46647CCF"/>
    <w:rsid w:val="46752E4C"/>
    <w:rsid w:val="468834C8"/>
    <w:rsid w:val="46B72EB2"/>
    <w:rsid w:val="46F92781"/>
    <w:rsid w:val="474002CC"/>
    <w:rsid w:val="47523EC7"/>
    <w:rsid w:val="47B53BAA"/>
    <w:rsid w:val="47CB6AB5"/>
    <w:rsid w:val="47DA2811"/>
    <w:rsid w:val="481C2D4F"/>
    <w:rsid w:val="486620A5"/>
    <w:rsid w:val="48941E44"/>
    <w:rsid w:val="48D90393"/>
    <w:rsid w:val="48F33103"/>
    <w:rsid w:val="49350E43"/>
    <w:rsid w:val="49544909"/>
    <w:rsid w:val="49692174"/>
    <w:rsid w:val="499E6F1D"/>
    <w:rsid w:val="49C56F37"/>
    <w:rsid w:val="49C822B9"/>
    <w:rsid w:val="49E2373B"/>
    <w:rsid w:val="4A1A1AFC"/>
    <w:rsid w:val="4A1A6A4D"/>
    <w:rsid w:val="4A1C7F69"/>
    <w:rsid w:val="4A3D2296"/>
    <w:rsid w:val="4A4A7BE5"/>
    <w:rsid w:val="4A693618"/>
    <w:rsid w:val="4A7E299A"/>
    <w:rsid w:val="4A83553B"/>
    <w:rsid w:val="4AB72EFA"/>
    <w:rsid w:val="4AC24D5B"/>
    <w:rsid w:val="4B315A79"/>
    <w:rsid w:val="4B64462A"/>
    <w:rsid w:val="4B996FB5"/>
    <w:rsid w:val="4B9A68A7"/>
    <w:rsid w:val="4BC14EAA"/>
    <w:rsid w:val="4BF977CF"/>
    <w:rsid w:val="4BFE0015"/>
    <w:rsid w:val="4C050246"/>
    <w:rsid w:val="4C0664BF"/>
    <w:rsid w:val="4C0F23A4"/>
    <w:rsid w:val="4C120763"/>
    <w:rsid w:val="4C150E22"/>
    <w:rsid w:val="4C4C20D1"/>
    <w:rsid w:val="4C6263AC"/>
    <w:rsid w:val="4CA920D2"/>
    <w:rsid w:val="4CAD5597"/>
    <w:rsid w:val="4CC53F3F"/>
    <w:rsid w:val="4CCC0113"/>
    <w:rsid w:val="4CEB1FF1"/>
    <w:rsid w:val="4D265BFE"/>
    <w:rsid w:val="4D443EBC"/>
    <w:rsid w:val="4D6A309D"/>
    <w:rsid w:val="4D9E31C3"/>
    <w:rsid w:val="4D9E333C"/>
    <w:rsid w:val="4DB6655A"/>
    <w:rsid w:val="4DC108F4"/>
    <w:rsid w:val="4DC67DC5"/>
    <w:rsid w:val="4DCE3A17"/>
    <w:rsid w:val="4E0176F5"/>
    <w:rsid w:val="4E0C0474"/>
    <w:rsid w:val="4E2F60B4"/>
    <w:rsid w:val="4E41374F"/>
    <w:rsid w:val="4E414BB2"/>
    <w:rsid w:val="4E482BE2"/>
    <w:rsid w:val="4E7E4296"/>
    <w:rsid w:val="4EC92B5C"/>
    <w:rsid w:val="4ED24E8A"/>
    <w:rsid w:val="4ED50D56"/>
    <w:rsid w:val="4ED75229"/>
    <w:rsid w:val="4EE2753C"/>
    <w:rsid w:val="4F0D5F85"/>
    <w:rsid w:val="4F206F52"/>
    <w:rsid w:val="4F2C4F1E"/>
    <w:rsid w:val="4F300D96"/>
    <w:rsid w:val="4F3351A1"/>
    <w:rsid w:val="4F4B4EC8"/>
    <w:rsid w:val="4F4C02F9"/>
    <w:rsid w:val="4F546E7B"/>
    <w:rsid w:val="4F5624CB"/>
    <w:rsid w:val="4F774B1B"/>
    <w:rsid w:val="4FB467F9"/>
    <w:rsid w:val="4FD02F65"/>
    <w:rsid w:val="4FF77627"/>
    <w:rsid w:val="50440CF8"/>
    <w:rsid w:val="50CA6717"/>
    <w:rsid w:val="510D07DF"/>
    <w:rsid w:val="514F1235"/>
    <w:rsid w:val="51895F8F"/>
    <w:rsid w:val="519B28E7"/>
    <w:rsid w:val="51A84DBE"/>
    <w:rsid w:val="51BA3724"/>
    <w:rsid w:val="51EA52E6"/>
    <w:rsid w:val="524D7E04"/>
    <w:rsid w:val="52832C8D"/>
    <w:rsid w:val="52CA29FF"/>
    <w:rsid w:val="52DB3A4A"/>
    <w:rsid w:val="52E57CC3"/>
    <w:rsid w:val="5312550A"/>
    <w:rsid w:val="534A1349"/>
    <w:rsid w:val="5359222A"/>
    <w:rsid w:val="5394125E"/>
    <w:rsid w:val="539F16B1"/>
    <w:rsid w:val="53B347B9"/>
    <w:rsid w:val="53DE69BF"/>
    <w:rsid w:val="53F046E7"/>
    <w:rsid w:val="53F65A75"/>
    <w:rsid w:val="53F7012F"/>
    <w:rsid w:val="541E45C6"/>
    <w:rsid w:val="54562E9A"/>
    <w:rsid w:val="54814F3D"/>
    <w:rsid w:val="54B75204"/>
    <w:rsid w:val="54D264E2"/>
    <w:rsid w:val="54D723E8"/>
    <w:rsid w:val="55043940"/>
    <w:rsid w:val="550721D5"/>
    <w:rsid w:val="552D03A4"/>
    <w:rsid w:val="55387C0D"/>
    <w:rsid w:val="554B10D3"/>
    <w:rsid w:val="555278C4"/>
    <w:rsid w:val="557347D9"/>
    <w:rsid w:val="558D4CD1"/>
    <w:rsid w:val="55A31786"/>
    <w:rsid w:val="55A47060"/>
    <w:rsid w:val="55AC636A"/>
    <w:rsid w:val="55C15CC7"/>
    <w:rsid w:val="56072347"/>
    <w:rsid w:val="56084A61"/>
    <w:rsid w:val="563648E8"/>
    <w:rsid w:val="569605B1"/>
    <w:rsid w:val="56A650A5"/>
    <w:rsid w:val="56B967C0"/>
    <w:rsid w:val="56BE67A9"/>
    <w:rsid w:val="56EE7782"/>
    <w:rsid w:val="57550496"/>
    <w:rsid w:val="576B0D91"/>
    <w:rsid w:val="57830686"/>
    <w:rsid w:val="57A9177C"/>
    <w:rsid w:val="57C96345"/>
    <w:rsid w:val="57D17697"/>
    <w:rsid w:val="57D92384"/>
    <w:rsid w:val="57E04F41"/>
    <w:rsid w:val="58020827"/>
    <w:rsid w:val="581808D2"/>
    <w:rsid w:val="5878114F"/>
    <w:rsid w:val="588E3A11"/>
    <w:rsid w:val="58941028"/>
    <w:rsid w:val="58980CA8"/>
    <w:rsid w:val="58A44110"/>
    <w:rsid w:val="58B42629"/>
    <w:rsid w:val="58D5714F"/>
    <w:rsid w:val="58DE21CC"/>
    <w:rsid w:val="5927169E"/>
    <w:rsid w:val="59302495"/>
    <w:rsid w:val="594B4BEF"/>
    <w:rsid w:val="59AF294E"/>
    <w:rsid w:val="5A442CE0"/>
    <w:rsid w:val="5A5F1744"/>
    <w:rsid w:val="5A782B46"/>
    <w:rsid w:val="5A853AE0"/>
    <w:rsid w:val="5B2616E5"/>
    <w:rsid w:val="5B3A4C3E"/>
    <w:rsid w:val="5B474BD0"/>
    <w:rsid w:val="5B884B96"/>
    <w:rsid w:val="5BF93517"/>
    <w:rsid w:val="5C435D6C"/>
    <w:rsid w:val="5C4B479B"/>
    <w:rsid w:val="5D090FC9"/>
    <w:rsid w:val="5D0B0832"/>
    <w:rsid w:val="5D0F0AB2"/>
    <w:rsid w:val="5D7217AC"/>
    <w:rsid w:val="5DAD34DD"/>
    <w:rsid w:val="5DB10733"/>
    <w:rsid w:val="5E070ED0"/>
    <w:rsid w:val="5E0B0A29"/>
    <w:rsid w:val="5E510750"/>
    <w:rsid w:val="5ED206DD"/>
    <w:rsid w:val="5F2F4877"/>
    <w:rsid w:val="5F45345B"/>
    <w:rsid w:val="5F5D6E5A"/>
    <w:rsid w:val="5FA2526B"/>
    <w:rsid w:val="5FA40847"/>
    <w:rsid w:val="5FAA3C47"/>
    <w:rsid w:val="5FCB432F"/>
    <w:rsid w:val="5FD448AC"/>
    <w:rsid w:val="5FF61953"/>
    <w:rsid w:val="5FFD6499"/>
    <w:rsid w:val="5FFE462F"/>
    <w:rsid w:val="600E54F4"/>
    <w:rsid w:val="60365B77"/>
    <w:rsid w:val="604157B4"/>
    <w:rsid w:val="607B75C7"/>
    <w:rsid w:val="608E3AB9"/>
    <w:rsid w:val="60A827A3"/>
    <w:rsid w:val="60D51A59"/>
    <w:rsid w:val="60E344FF"/>
    <w:rsid w:val="60E82224"/>
    <w:rsid w:val="60EF0A8D"/>
    <w:rsid w:val="60F12BA5"/>
    <w:rsid w:val="60F575C1"/>
    <w:rsid w:val="60F6689E"/>
    <w:rsid w:val="61147D5F"/>
    <w:rsid w:val="61461C93"/>
    <w:rsid w:val="61B17DFE"/>
    <w:rsid w:val="61CA13D9"/>
    <w:rsid w:val="61ED1E4C"/>
    <w:rsid w:val="61FC42CB"/>
    <w:rsid w:val="62261C1B"/>
    <w:rsid w:val="622E2E60"/>
    <w:rsid w:val="6260477F"/>
    <w:rsid w:val="62847EA7"/>
    <w:rsid w:val="62852ABE"/>
    <w:rsid w:val="62A615B2"/>
    <w:rsid w:val="62A974C8"/>
    <w:rsid w:val="62DB637F"/>
    <w:rsid w:val="62E00223"/>
    <w:rsid w:val="62FA10BA"/>
    <w:rsid w:val="62FD5017"/>
    <w:rsid w:val="63296CF6"/>
    <w:rsid w:val="63532130"/>
    <w:rsid w:val="63780255"/>
    <w:rsid w:val="637A23E2"/>
    <w:rsid w:val="63972103"/>
    <w:rsid w:val="63D615FE"/>
    <w:rsid w:val="64027326"/>
    <w:rsid w:val="640B7333"/>
    <w:rsid w:val="6469117D"/>
    <w:rsid w:val="64871562"/>
    <w:rsid w:val="64D52890"/>
    <w:rsid w:val="64D605E3"/>
    <w:rsid w:val="64EA7FB1"/>
    <w:rsid w:val="64EC6C5A"/>
    <w:rsid w:val="65211E78"/>
    <w:rsid w:val="653528A1"/>
    <w:rsid w:val="653D7AF3"/>
    <w:rsid w:val="6570487D"/>
    <w:rsid w:val="65771892"/>
    <w:rsid w:val="65B119A5"/>
    <w:rsid w:val="65BB38BC"/>
    <w:rsid w:val="65E25E59"/>
    <w:rsid w:val="65E652DD"/>
    <w:rsid w:val="65E83D85"/>
    <w:rsid w:val="65F916BF"/>
    <w:rsid w:val="661C2A65"/>
    <w:rsid w:val="6622535F"/>
    <w:rsid w:val="66346CA6"/>
    <w:rsid w:val="66565CBE"/>
    <w:rsid w:val="66602909"/>
    <w:rsid w:val="66E50CF7"/>
    <w:rsid w:val="66E8781C"/>
    <w:rsid w:val="66F823CA"/>
    <w:rsid w:val="670E76D1"/>
    <w:rsid w:val="67574E33"/>
    <w:rsid w:val="679B2764"/>
    <w:rsid w:val="67A35142"/>
    <w:rsid w:val="67CC71F3"/>
    <w:rsid w:val="67D77C44"/>
    <w:rsid w:val="68156FD0"/>
    <w:rsid w:val="686052D7"/>
    <w:rsid w:val="68645048"/>
    <w:rsid w:val="68752125"/>
    <w:rsid w:val="690459DC"/>
    <w:rsid w:val="690B7AFD"/>
    <w:rsid w:val="692A385D"/>
    <w:rsid w:val="69543567"/>
    <w:rsid w:val="698F0E71"/>
    <w:rsid w:val="699A6C05"/>
    <w:rsid w:val="6A6D318E"/>
    <w:rsid w:val="6A90444F"/>
    <w:rsid w:val="6A930078"/>
    <w:rsid w:val="6AB30BF9"/>
    <w:rsid w:val="6AE61DAD"/>
    <w:rsid w:val="6AEE31E1"/>
    <w:rsid w:val="6AF53AB4"/>
    <w:rsid w:val="6AFC4C50"/>
    <w:rsid w:val="6AFF6DD9"/>
    <w:rsid w:val="6B2031BA"/>
    <w:rsid w:val="6B3034CF"/>
    <w:rsid w:val="6B6721F6"/>
    <w:rsid w:val="6B713444"/>
    <w:rsid w:val="6B7A60D6"/>
    <w:rsid w:val="6B956E9A"/>
    <w:rsid w:val="6B983A82"/>
    <w:rsid w:val="6B9F6D44"/>
    <w:rsid w:val="6BB81397"/>
    <w:rsid w:val="6C203A9A"/>
    <w:rsid w:val="6C2A3FED"/>
    <w:rsid w:val="6C385BB0"/>
    <w:rsid w:val="6C6118DE"/>
    <w:rsid w:val="6CA21E49"/>
    <w:rsid w:val="6CA6506C"/>
    <w:rsid w:val="6CAD0466"/>
    <w:rsid w:val="6CB75CCD"/>
    <w:rsid w:val="6CBA18DE"/>
    <w:rsid w:val="6CCC3634"/>
    <w:rsid w:val="6CF450EA"/>
    <w:rsid w:val="6CF52602"/>
    <w:rsid w:val="6D2D26D4"/>
    <w:rsid w:val="6D2F4A11"/>
    <w:rsid w:val="6D3F691A"/>
    <w:rsid w:val="6D6F7597"/>
    <w:rsid w:val="6D8C0517"/>
    <w:rsid w:val="6DC02322"/>
    <w:rsid w:val="6DE5023A"/>
    <w:rsid w:val="6E8B1784"/>
    <w:rsid w:val="6E9303C1"/>
    <w:rsid w:val="6ECF03D4"/>
    <w:rsid w:val="6EEA4B30"/>
    <w:rsid w:val="6EEB1850"/>
    <w:rsid w:val="6F1D62F1"/>
    <w:rsid w:val="6F215C44"/>
    <w:rsid w:val="6F617B7A"/>
    <w:rsid w:val="6F71329B"/>
    <w:rsid w:val="6F7A3C37"/>
    <w:rsid w:val="6F7C514E"/>
    <w:rsid w:val="6F9B5E43"/>
    <w:rsid w:val="6FA474C8"/>
    <w:rsid w:val="6FC02C16"/>
    <w:rsid w:val="6FE836DF"/>
    <w:rsid w:val="6FF6475E"/>
    <w:rsid w:val="70184EA3"/>
    <w:rsid w:val="70321B8C"/>
    <w:rsid w:val="704269AA"/>
    <w:rsid w:val="7065127C"/>
    <w:rsid w:val="70683582"/>
    <w:rsid w:val="707053C2"/>
    <w:rsid w:val="70733926"/>
    <w:rsid w:val="7084049C"/>
    <w:rsid w:val="709A3A39"/>
    <w:rsid w:val="70A237D7"/>
    <w:rsid w:val="70C01024"/>
    <w:rsid w:val="70CB53E1"/>
    <w:rsid w:val="70E45041"/>
    <w:rsid w:val="71056F4E"/>
    <w:rsid w:val="714E12CF"/>
    <w:rsid w:val="71707E34"/>
    <w:rsid w:val="71CE5989"/>
    <w:rsid w:val="7209016D"/>
    <w:rsid w:val="72462B16"/>
    <w:rsid w:val="724D78E7"/>
    <w:rsid w:val="7259341C"/>
    <w:rsid w:val="728B00C1"/>
    <w:rsid w:val="72B40135"/>
    <w:rsid w:val="72BD2D00"/>
    <w:rsid w:val="72E74435"/>
    <w:rsid w:val="72FA299D"/>
    <w:rsid w:val="734446DC"/>
    <w:rsid w:val="734521A8"/>
    <w:rsid w:val="73486236"/>
    <w:rsid w:val="73707E67"/>
    <w:rsid w:val="7382217D"/>
    <w:rsid w:val="73AA3A2F"/>
    <w:rsid w:val="73BA58EC"/>
    <w:rsid w:val="73BB65D5"/>
    <w:rsid w:val="73CA7D44"/>
    <w:rsid w:val="73F538C3"/>
    <w:rsid w:val="741F0C23"/>
    <w:rsid w:val="74277859"/>
    <w:rsid w:val="743439CA"/>
    <w:rsid w:val="743B5D79"/>
    <w:rsid w:val="745E5DE3"/>
    <w:rsid w:val="748F3308"/>
    <w:rsid w:val="74BC7F66"/>
    <w:rsid w:val="74DD127A"/>
    <w:rsid w:val="753B75E2"/>
    <w:rsid w:val="75686B98"/>
    <w:rsid w:val="75CA1C7B"/>
    <w:rsid w:val="76446146"/>
    <w:rsid w:val="765E04EA"/>
    <w:rsid w:val="765F3D46"/>
    <w:rsid w:val="7677072C"/>
    <w:rsid w:val="76A00464"/>
    <w:rsid w:val="76A021B3"/>
    <w:rsid w:val="76B20F7F"/>
    <w:rsid w:val="76B664D7"/>
    <w:rsid w:val="76CC5FFF"/>
    <w:rsid w:val="76E33575"/>
    <w:rsid w:val="76EB2B73"/>
    <w:rsid w:val="770B0914"/>
    <w:rsid w:val="775B260D"/>
    <w:rsid w:val="77735805"/>
    <w:rsid w:val="77813724"/>
    <w:rsid w:val="77996CC0"/>
    <w:rsid w:val="779A64DA"/>
    <w:rsid w:val="77A33591"/>
    <w:rsid w:val="77B01315"/>
    <w:rsid w:val="77D16924"/>
    <w:rsid w:val="77DC2E5C"/>
    <w:rsid w:val="78047EB1"/>
    <w:rsid w:val="78063F96"/>
    <w:rsid w:val="782C2784"/>
    <w:rsid w:val="78326601"/>
    <w:rsid w:val="783976E2"/>
    <w:rsid w:val="784946D9"/>
    <w:rsid w:val="785C5998"/>
    <w:rsid w:val="78912C2B"/>
    <w:rsid w:val="78B6451A"/>
    <w:rsid w:val="78FB211C"/>
    <w:rsid w:val="790147C9"/>
    <w:rsid w:val="7919798C"/>
    <w:rsid w:val="792A6F66"/>
    <w:rsid w:val="795269EF"/>
    <w:rsid w:val="796D7AA9"/>
    <w:rsid w:val="797C23F5"/>
    <w:rsid w:val="797F7147"/>
    <w:rsid w:val="79BE2A91"/>
    <w:rsid w:val="7A3A5831"/>
    <w:rsid w:val="7A992CC0"/>
    <w:rsid w:val="7AD5704D"/>
    <w:rsid w:val="7AF95CC7"/>
    <w:rsid w:val="7B041FA2"/>
    <w:rsid w:val="7B1F37B5"/>
    <w:rsid w:val="7B3A50B0"/>
    <w:rsid w:val="7B867A45"/>
    <w:rsid w:val="7B8B2C1D"/>
    <w:rsid w:val="7BCA3B47"/>
    <w:rsid w:val="7BD020E4"/>
    <w:rsid w:val="7BD10626"/>
    <w:rsid w:val="7C01614C"/>
    <w:rsid w:val="7C3403C9"/>
    <w:rsid w:val="7C423C8F"/>
    <w:rsid w:val="7C89639D"/>
    <w:rsid w:val="7CD3004A"/>
    <w:rsid w:val="7CEF7382"/>
    <w:rsid w:val="7D062C5B"/>
    <w:rsid w:val="7D4E0A33"/>
    <w:rsid w:val="7D4E0C16"/>
    <w:rsid w:val="7D793C28"/>
    <w:rsid w:val="7D8C0F6F"/>
    <w:rsid w:val="7DA32B71"/>
    <w:rsid w:val="7DA909AA"/>
    <w:rsid w:val="7DBC1642"/>
    <w:rsid w:val="7E171363"/>
    <w:rsid w:val="7E5D1143"/>
    <w:rsid w:val="7EEE51D4"/>
    <w:rsid w:val="7EFC2718"/>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6"/>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563C1" w:themeColor="hyperlink"/>
      <w:u w:val="single"/>
      <w14:textFill>
        <w14:solidFill>
          <w14:schemeClr w14:val="hlink"/>
        </w14:solidFill>
      </w14:textFill>
    </w:rPr>
  </w:style>
  <w:style w:type="character" w:styleId="20">
    <w:name w:val="annotation reference"/>
    <w:basedOn w:val="17"/>
    <w:qFormat/>
    <w:uiPriority w:val="0"/>
    <w:rPr>
      <w:sz w:val="21"/>
      <w:szCs w:val="21"/>
    </w:rPr>
  </w:style>
  <w:style w:type="paragraph" w:customStyle="1" w:styleId="21">
    <w:name w:val="Table Paragraph"/>
    <w:basedOn w:val="1"/>
    <w:qFormat/>
    <w:uiPriority w:val="1"/>
  </w:style>
  <w:style w:type="table" w:customStyle="1" w:styleId="22">
    <w:name w:val="Table Normal1"/>
    <w:unhideWhenUsed/>
    <w:qFormat/>
    <w:uiPriority w:val="2"/>
    <w:tblPr>
      <w:tblCellMar>
        <w:top w:w="0" w:type="dxa"/>
        <w:left w:w="0" w:type="dxa"/>
        <w:bottom w:w="0" w:type="dxa"/>
        <w:right w:w="0" w:type="dxa"/>
      </w:tblCellMar>
    </w:tblPr>
  </w:style>
  <w:style w:type="paragraph" w:customStyle="1" w:styleId="23">
    <w:name w:val="List Paragraph1"/>
    <w:basedOn w:val="1"/>
    <w:qFormat/>
    <w:uiPriority w:val="34"/>
    <w:rPr>
      <w:rFonts w:asciiTheme="minorHAnsi" w:hAnsiTheme="minorHAnsi" w:eastAsiaTheme="minorEastAsia" w:cstheme="minorBidi"/>
    </w:rPr>
  </w:style>
  <w:style w:type="paragraph" w:customStyle="1" w:styleId="24">
    <w:name w:val="标题1-1"/>
    <w:basedOn w:val="2"/>
    <w:next w:val="1"/>
    <w:qFormat/>
    <w:uiPriority w:val="1"/>
    <w:pPr>
      <w:numPr>
        <w:numId w:val="3"/>
      </w:numPr>
    </w:pPr>
    <w:rPr>
      <w:rFonts w:cs="Times New Roman"/>
      <w:bCs w:val="0"/>
      <w:color w:val="45A3A7"/>
    </w:rPr>
  </w:style>
  <w:style w:type="paragraph" w:customStyle="1" w:styleId="25">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6">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qFormat/>
    <w:uiPriority w:val="1"/>
    <w:pPr>
      <w:numPr>
        <w:numId w:val="5"/>
      </w:numPr>
    </w:pPr>
    <w:rPr>
      <w:rFonts w:cs="Times New Roman"/>
      <w:color w:val="416AAB"/>
      <w:szCs w:val="32"/>
    </w:rPr>
  </w:style>
  <w:style w:type="paragraph" w:customStyle="1" w:styleId="28">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qFormat/>
    <w:uiPriority w:val="0"/>
    <w:rPr>
      <w:rFonts w:asciiTheme="minorHAnsi" w:hAnsiTheme="minorHAnsi" w:eastAsiaTheme="minorHAnsi" w:cstheme="minorBidi"/>
      <w:lang w:val="en-US" w:eastAsia="zh-CN" w:bidi="ar-SA"/>
    </w:rPr>
  </w:style>
  <w:style w:type="paragraph" w:customStyle="1" w:styleId="30">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unhideWhenUsed/>
    <w:qFormat/>
    <w:uiPriority w:val="34"/>
    <w:pPr>
      <w:spacing w:before="42"/>
      <w:ind w:left="1699" w:hanging="380"/>
    </w:pPr>
    <w:rPr>
      <w:sz w:val="24"/>
    </w:rPr>
  </w:style>
  <w:style w:type="paragraph" w:styleId="32">
    <w:name w:val="List Paragraph"/>
    <w:basedOn w:val="1"/>
    <w:qFormat/>
    <w:uiPriority w:val="99"/>
    <w:pPr>
      <w:ind w:firstLine="420" w:firstLineChars="200"/>
    </w:pPr>
  </w:style>
  <w:style w:type="paragraph" w:customStyle="1" w:styleId="33">
    <w:name w:val="msolistparagraph"/>
    <w:basedOn w:val="1"/>
    <w:qFormat/>
    <w:uiPriority w:val="0"/>
    <w:pPr>
      <w:ind w:firstLine="420" w:firstLineChars="200"/>
    </w:pPr>
    <w:rPr>
      <w:rFonts w:hint="eastAsia" w:cs="Times New Roman"/>
      <w:lang w:eastAsia="zh-CN"/>
    </w:rPr>
  </w:style>
  <w:style w:type="character" w:customStyle="1" w:styleId="34">
    <w:name w:val="批注框文本 字符"/>
    <w:basedOn w:val="17"/>
    <w:link w:val="8"/>
    <w:qFormat/>
    <w:uiPriority w:val="0"/>
    <w:rPr>
      <w:rFonts w:ascii="宋体" w:hAnsi="宋体" w:cs="宋体"/>
      <w:sz w:val="18"/>
      <w:szCs w:val="18"/>
      <w:lang w:eastAsia="en-US"/>
    </w:rPr>
  </w:style>
  <w:style w:type="paragraph" w:customStyle="1" w:styleId="35">
    <w:name w:val="列表段落2"/>
    <w:basedOn w:val="1"/>
    <w:qFormat/>
    <w:uiPriority w:val="0"/>
    <w:pPr>
      <w:ind w:firstLine="420" w:firstLineChars="200"/>
    </w:pPr>
    <w:rPr>
      <w:rFonts w:ascii="Calibri" w:hAnsi="Calibri" w:cs="Times New Roman"/>
    </w:rPr>
  </w:style>
  <w:style w:type="character" w:customStyle="1" w:styleId="36">
    <w:name w:val="正文文本 字符"/>
    <w:basedOn w:val="17"/>
    <w:link w:val="6"/>
    <w:qFormat/>
    <w:uiPriority w:val="1"/>
    <w:rPr>
      <w:rFonts w:ascii="宋体" w:hAnsi="宋体" w:cs="宋体"/>
      <w:sz w:val="18"/>
      <w:szCs w:val="18"/>
      <w:lang w:eastAsia="en-US"/>
    </w:rPr>
  </w:style>
  <w:style w:type="table" w:customStyle="1" w:styleId="37">
    <w:name w:val="Table Normal"/>
    <w:qFormat/>
    <w:uiPriority w:val="0"/>
    <w:tblPr>
      <w:tblCellMar>
        <w:top w:w="0" w:type="dxa"/>
        <w:left w:w="0" w:type="dxa"/>
        <w:bottom w:w="0" w:type="dxa"/>
        <w:right w:w="0" w:type="dxa"/>
      </w:tblCellMar>
    </w:tblPr>
  </w:style>
  <w:style w:type="character" w:customStyle="1" w:styleId="38">
    <w:name w:val="标题 1 字符"/>
    <w:link w:val="2"/>
    <w:qFormat/>
    <w:uiPriority w:val="1"/>
    <w:rPr>
      <w:rFonts w:ascii="Times New Roman" w:hAnsi="Times New Roman" w:eastAsia="微软雅黑" w:cs="黑体"/>
      <w:b/>
      <w:bCs/>
      <w:color w:val="00B050"/>
      <w:sz w:val="28"/>
      <w:szCs w:val="36"/>
      <w:lang w:eastAsia="zh-CN"/>
    </w:rPr>
  </w:style>
  <w:style w:type="paragraph" w:customStyle="1" w:styleId="39">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33</Pages>
  <Words>1018</Words>
  <Characters>2329</Characters>
  <Lines>1</Lines>
  <Paragraphs>1</Paragraphs>
  <TotalTime>0</TotalTime>
  <ScaleCrop>false</ScaleCrop>
  <LinksUpToDate>false</LinksUpToDate>
  <CharactersWithSpaces>2599</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2026-06-09T08:44:27Z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1B179D56F2ED414CB226BBBCB8243AC0_13</vt:lpwstr>
  </property>
  <property fmtid="{D5CDD505-2E9C-101B-9397-08002B2CF9AE}" pid="4" name="KSOTemplateDocerSaveRecord">
    <vt:lpwstr>eyJoZGlkIjoiY2Y2NjU5MGIzZGFmM2M5NTIxMmI2NjdmNGQ0NDdjMDUiLCJ1c2VySWQiOiI2MjE3NDUxNTQifQ==</vt:lpwstr>
  </property>
</Properties>
</file>