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CE721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 or (reportInfo.conf.melanomaPrognosis and disease.Melanoma )%}</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(prognosticEvaluation) and ((reportInfo.conf.thyroidCancerPrognosis and disease.ThyroidCarcinoma) or (reportInfo.conf.melanomaPrognosis and disease.Melanoma))%}预后评估结果解析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15CBE6A1">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or disease.Melanoma%}、预后评估{%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 and disease.Melanoma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589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3"/>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5895"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3"/>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21615"/>
      <w:bookmarkStart w:id="5" w:name="_Toc5090"/>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17140"/>
      <w:bookmarkStart w:id="7"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149837259"/>
      <w:bookmarkStart w:id="12" w:name="_Toc7697"/>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067604A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76E788C8">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45"/>
        <w:gridCol w:w="3491"/>
        <w:gridCol w:w="962"/>
        <w:gridCol w:w="4283"/>
      </w:tblGrid>
      <w:tr w14:paraId="30355A0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45" w:type="dxa"/>
            <w:tcBorders>
              <w:right w:val="nil"/>
            </w:tcBorders>
            <w:shd w:val="clear" w:color="auto" w:fill="auto"/>
            <w:tcMar>
              <w:top w:w="28" w:type="dxa"/>
              <w:left w:w="108" w:type="dxa"/>
              <w:bottom w:w="28" w:type="dxa"/>
              <w:right w:w="108" w:type="dxa"/>
            </w:tcMar>
            <w:vAlign w:val="center"/>
          </w:tcPr>
          <w:p w14:paraId="723B8DDD">
            <w:pPr>
              <w:jc w:val="left"/>
              <w:rPr>
                <w:color w:val="262626"/>
              </w:rPr>
            </w:pPr>
            <w:r>
              <w:rPr>
                <w:rFonts w:hint="eastAsia"/>
                <w:color w:val="262626"/>
              </w:rPr>
              <w:t>检测者：</w:t>
            </w:r>
          </w:p>
        </w:tc>
        <w:tc>
          <w:tcPr>
            <w:tcW w:w="3491" w:type="dxa"/>
            <w:tcBorders>
              <w:left w:val="nil"/>
            </w:tcBorders>
            <w:shd w:val="clear" w:color="auto" w:fill="auto"/>
            <w:tcMar>
              <w:top w:w="28" w:type="dxa"/>
              <w:left w:w="108" w:type="dxa"/>
              <w:bottom w:w="28" w:type="dxa"/>
              <w:right w:w="108" w:type="dxa"/>
            </w:tcMar>
            <w:vAlign w:val="center"/>
          </w:tcPr>
          <w:p w14:paraId="4CE189FE">
            <w:pPr>
              <w:jc w:val="left"/>
              <w:rPr>
                <w:rFonts w:hint="eastAsia"/>
                <w:color w:val="262626"/>
              </w:rPr>
            </w:pPr>
            <w:r>
              <w:rPr>
                <w:rFonts w:hint="eastAsia"/>
                <w:color w:val="262626"/>
              </w:rPr>
              <w:t>{{"ty_tianjin1"|sign(</w:t>
            </w:r>
            <w:r>
              <w:rPr>
                <w:rFonts w:hint="eastAsia"/>
                <w:color w:val="262626"/>
                <w:lang w:val="en-US" w:eastAsia="zh-CN"/>
              </w:rPr>
              <w:t>51</w:t>
            </w:r>
            <w:r>
              <w:rPr>
                <w:rFonts w:hint="eastAsia"/>
                <w:color w:val="262626"/>
              </w:rPr>
              <w:t>,2</w:t>
            </w:r>
            <w:r>
              <w:rPr>
                <w:rFonts w:hint="eastAsia"/>
                <w:color w:val="262626"/>
                <w:lang w:val="en-US" w:eastAsia="zh-CN"/>
              </w:rPr>
              <w:t>3</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3160EB20">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68C8DE55">
            <w:pPr>
              <w:jc w:val="left"/>
              <w:rPr>
                <w:rFonts w:hint="eastAsia"/>
                <w:color w:val="262626"/>
              </w:rPr>
            </w:pPr>
            <w:r>
              <w:rPr>
                <w:rFonts w:hint="eastAsia"/>
                <w:color w:val="262626"/>
              </w:rPr>
              <w:t>{{"ty_tianjin2"|sign(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6F2D6994">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16BEB7B3">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15A3797B">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6C24BCAF">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58"/>
        <w:gridCol w:w="3478"/>
        <w:gridCol w:w="962"/>
        <w:gridCol w:w="4283"/>
      </w:tblGrid>
      <w:tr w14:paraId="58B49E59">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58" w:type="dxa"/>
            <w:tcBorders>
              <w:right w:val="nil"/>
            </w:tcBorders>
            <w:shd w:val="clear" w:color="auto" w:fill="auto"/>
            <w:tcMar>
              <w:top w:w="28" w:type="dxa"/>
              <w:left w:w="108" w:type="dxa"/>
              <w:bottom w:w="28" w:type="dxa"/>
              <w:right w:w="108" w:type="dxa"/>
            </w:tcMar>
            <w:vAlign w:val="center"/>
          </w:tcPr>
          <w:p w14:paraId="59A78323">
            <w:pPr>
              <w:jc w:val="left"/>
              <w:rPr>
                <w:color w:val="262626"/>
              </w:rPr>
            </w:pPr>
            <w:r>
              <w:rPr>
                <w:rFonts w:hint="eastAsia"/>
                <w:color w:val="262626"/>
              </w:rPr>
              <w:t>检测者：</w:t>
            </w:r>
          </w:p>
        </w:tc>
        <w:tc>
          <w:tcPr>
            <w:tcW w:w="3478" w:type="dxa"/>
            <w:tcBorders>
              <w:left w:val="nil"/>
            </w:tcBorders>
            <w:shd w:val="clear" w:color="auto" w:fill="auto"/>
            <w:tcMar>
              <w:top w:w="28" w:type="dxa"/>
              <w:left w:w="108" w:type="dxa"/>
              <w:bottom w:w="28" w:type="dxa"/>
              <w:right w:w="108" w:type="dxa"/>
            </w:tcMar>
            <w:vAlign w:val="center"/>
          </w:tcPr>
          <w:p w14:paraId="23AE71F8">
            <w:pPr>
              <w:jc w:val="left"/>
              <w:rPr>
                <w:rFonts w:hint="eastAsia"/>
                <w:color w:val="262626"/>
              </w:rPr>
            </w:pPr>
            <w:r>
              <w:rPr>
                <w:rFonts w:hint="eastAsia"/>
                <w:color w:val="262626"/>
              </w:rPr>
              <w:t>{{"ty_guangzhou1"|sign(</w:t>
            </w:r>
            <w:r>
              <w:rPr>
                <w:rFonts w:hint="eastAsia"/>
                <w:color w:val="262626"/>
                <w:lang w:val="en-US" w:eastAsia="zh-CN"/>
              </w:rPr>
              <w:t>46</w:t>
            </w:r>
            <w:r>
              <w:rPr>
                <w:rFonts w:hint="eastAsia"/>
                <w:color w:val="262626"/>
              </w:rPr>
              <w:t>,</w:t>
            </w:r>
            <w:r>
              <w:rPr>
                <w:rFonts w:hint="eastAsia"/>
                <w:color w:val="262626"/>
                <w:lang w:val="en-US" w:eastAsia="zh-CN"/>
              </w:rPr>
              <w:t>25</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002E5D4B">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2D5B1069">
            <w:pPr>
              <w:jc w:val="left"/>
              <w:rPr>
                <w:rFonts w:hint="eastAsia"/>
                <w:color w:val="262626"/>
              </w:rPr>
            </w:pPr>
            <w:r>
              <w:rPr>
                <w:rFonts w:hint="eastAsia"/>
                <w:color w:val="262626"/>
              </w:rPr>
              <w:t>{{"</w:t>
            </w:r>
            <w:r>
              <w:rPr>
                <w:rFonts w:hint="eastAsia" w:ascii="微软雅黑" w:hAnsi="微软雅黑" w:eastAsia="微软雅黑" w:cs="微软雅黑"/>
                <w:b w:val="0"/>
                <w:bCs w:val="0"/>
                <w:sz w:val="20"/>
                <w:szCs w:val="20"/>
              </w:rPr>
              <w:t>ty_guangzhou</w:t>
            </w:r>
            <w:r>
              <w:rPr>
                <w:rFonts w:hint="eastAsia"/>
                <w:color w:val="262626"/>
              </w:rPr>
              <w:t>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6FE44FE1">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69FA729A">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4BC6BC85">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22042"/>
      <w:bookmarkStart w:id="18" w:name="_Toc6573"/>
      <w:bookmarkStart w:id="19" w:name="_Toc14639"/>
      <w:bookmarkStart w:id="20" w:name="_Toc10059"/>
      <w:bookmarkStart w:id="21" w:name="_Toc23725"/>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 (reportInfo.conf.thyroidCancerPrognosis and disease.ThyroidCarcinoma) or (reportInfo.conf.melanomaPrognosis and disease.Melanoma)%}</w:t>
      </w:r>
    </w:p>
    <w:p w14:paraId="13F554C2">
      <w:pPr>
        <w:pStyle w:val="3"/>
        <w:numPr>
          <w:ilvl w:val="0"/>
          <w:numId w:val="5"/>
        </w:numPr>
        <w:bidi w:val="0"/>
        <w:ind w:left="425" w:leftChars="0" w:hanging="425" w:firstLineChars="0"/>
        <w:rPr>
          <w:rFonts w:hint="default"/>
          <w:lang w:val="en-US" w:eastAsia="zh-CN"/>
        </w:rPr>
      </w:pPr>
      <w:bookmarkStart w:id="22" w:name="_Toc8577"/>
      <w:bookmarkStart w:id="23" w:name="_Toc20859"/>
      <w:bookmarkStart w:id="24" w:name="_Toc17242"/>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ascii="Times New Roman" w:hAnsi="Times New Roman" w:eastAsia="微软雅黑" w:cs="Times New Roman"/>
                <w:b/>
                <w:color w:val="31849B"/>
                <w:sz w:val="21"/>
                <w:szCs w:val="21"/>
              </w:rPr>
              <w:t>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lang w:eastAsia="zh-CN"/>
        </w:rPr>
        <w:t>{% if (prognosticEvaluation) and ((reportInfo.conf.thyroidCancerPrognosis and disease.ThyroidCarcinoma) or (reportInfo.conf.melanomaPrognosis and disease.Melanoma))%}</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1349"/>
      <w:bookmarkStart w:id="28" w:name="_Toc32694"/>
      <w:bookmarkStart w:id="29" w:name="_Toc29942"/>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149837266"/>
      <w:bookmarkStart w:id="31" w:name="_Toc20048"/>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25534"/>
      <w:bookmarkStart w:id="33" w:name="_Toc9028"/>
      <w:bookmarkStart w:id="34" w:name="_Toc16154"/>
      <w:bookmarkStart w:id="35" w:name="_Toc2886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32</w:t>
            </w:r>
            <w:r>
              <w:rPr>
                <w:rFonts w:hint="default" w:ascii="Times New Roman" w:hAnsi="Times New Roman" w:eastAsia="微软雅黑" w:cs="Times New Roman"/>
                <w:color w:val="262626"/>
                <w:sz w:val="21"/>
                <w:szCs w:val="21"/>
                <w:lang w:val="en-US" w:eastAsia="zh-CN"/>
              </w:rPr>
              <w:t>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395DE580">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note.qcNoteList %}</w:t>
      </w:r>
    </w:p>
    <w:p w14:paraId="4B88C850">
      <w:pPr>
        <w:numPr>
          <w:ilvl w:val="0"/>
          <w:numId w:val="20"/>
        </w:numPr>
        <w:rPr>
          <w:sz w:val="21"/>
          <w:szCs w:val="21"/>
        </w:rPr>
      </w:pPr>
      <w:r>
        <w:rPr>
          <w:rFonts w:hint="default" w:ascii="Times New Roman" w:hAnsi="Times New Roman" w:eastAsia="微软雅黑" w:cs="Times New Roman"/>
          <w:color w:val="262626"/>
          <w:sz w:val="18"/>
          <w:lang w:val="en-US" w:eastAsia="zh-CN"/>
        </w:rPr>
        <w:t>{{n}}{% endfor %}</w:t>
      </w:r>
      <w:bookmarkStart w:id="50" w:name="_GoBack"/>
      <w:bookmarkEnd w:id="50"/>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3454"/>
      <w:bookmarkStart w:id="37" w:name="_Toc27025"/>
      <w:bookmarkStart w:id="38" w:name="_Toc11446"/>
      <w:bookmarkStart w:id="39" w:name="_Toc106294408"/>
      <w:bookmarkStart w:id="40" w:name="_Toc17216"/>
      <w:bookmarkStart w:id="41" w:name="_Toc4751"/>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1"/>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11193_WPSOffice_Level2"/>
      <w:bookmarkStart w:id="43" w:name="_Toc6304_WPSOffice_Level2"/>
      <w:bookmarkStart w:id="44" w:name="_Toc17111_WPSOffice_Level2"/>
      <w:bookmarkStart w:id="45" w:name="_Toc3488_WPSOffice_Level2"/>
      <w:bookmarkStart w:id="46" w:name="_Toc6931_WPSOffice_Level2"/>
      <w:bookmarkStart w:id="47" w:name="_Toc31515_WPSOffice_Level2"/>
      <w:bookmarkStart w:id="48"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p>
    <w:p w14:paraId="0A0F1CB6">
      <w:pPr>
        <w:numPr>
          <w:ilvl w:val="0"/>
          <w:numId w:val="2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3D4F7BB7">
      <w:pPr>
        <w:numPr>
          <w:ilvl w:val="0"/>
          <w:numId w:val="22"/>
        </w:numPr>
        <w:ind w:leftChars="0"/>
        <w:rPr>
          <w:sz w:val="16"/>
          <w:szCs w:val="16"/>
        </w:rPr>
      </w:pPr>
      <w:r>
        <w:rPr>
          <w:rFonts w:hint="eastAsia" w:ascii="Times New Roman" w:hAnsi="Times New Roman" w:eastAsia="微软雅黑" w:cs="Times New Roman"/>
          <w:sz w:val="18"/>
          <w:szCs w:val="18"/>
          <w:highlight w:val="none"/>
          <w:lang w:val="en-US" w:eastAsia="zh-CN"/>
        </w:rPr>
        <w:t>仅BRCA1、BRCA2基因检测大片段缺失。</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3"/>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5BD5EC28">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1"/>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C28BBA"/>
    <w:multiLevelType w:val="multilevel"/>
    <w:tmpl w:val="93C28BB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4">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8">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5">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6">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8">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9">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20">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7"/>
  </w:num>
  <w:num w:numId="2">
    <w:abstractNumId w:val="3"/>
  </w:num>
  <w:num w:numId="3">
    <w:abstractNumId w:val="11"/>
  </w:num>
  <w:num w:numId="4">
    <w:abstractNumId w:val="6"/>
  </w:num>
  <w:num w:numId="5">
    <w:abstractNumId w:val="8"/>
  </w:num>
  <w:num w:numId="6">
    <w:abstractNumId w:val="14"/>
  </w:num>
  <w:num w:numId="7">
    <w:abstractNumId w:val="17"/>
  </w:num>
  <w:num w:numId="8">
    <w:abstractNumId w:val="12"/>
  </w:num>
  <w:num w:numId="9">
    <w:abstractNumId w:val="9"/>
  </w:num>
  <w:num w:numId="10">
    <w:abstractNumId w:val="2"/>
  </w:num>
  <w:num w:numId="11">
    <w:abstractNumId w:val="19"/>
  </w:num>
  <w:num w:numId="12">
    <w:abstractNumId w:val="18"/>
  </w:num>
  <w:num w:numId="13">
    <w:abstractNumId w:val="1"/>
  </w:num>
  <w:num w:numId="14">
    <w:abstractNumId w:val="13"/>
  </w:num>
  <w:num w:numId="15">
    <w:abstractNumId w:val="10"/>
  </w:num>
  <w:num w:numId="16">
    <w:abstractNumId w:val="20"/>
  </w:num>
  <w:num w:numId="17">
    <w:abstractNumId w:val="16"/>
  </w:num>
  <w:num w:numId="18">
    <w:abstractNumId w:val="4"/>
  </w:num>
  <w:num w:numId="19">
    <w:abstractNumId w:val="22"/>
  </w:num>
  <w:num w:numId="20">
    <w:abstractNumId w:val="0"/>
  </w:num>
  <w:num w:numId="21">
    <w:abstractNumId w:val="21"/>
  </w:num>
  <w:num w:numId="22">
    <w:abstractNumId w:val="15"/>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2B1C39"/>
    <w:rsid w:val="015E2ED8"/>
    <w:rsid w:val="02210631"/>
    <w:rsid w:val="025F0B1E"/>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2D16A0"/>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92246"/>
    <w:rsid w:val="1ABD39A5"/>
    <w:rsid w:val="1AC02EC9"/>
    <w:rsid w:val="1AE1455D"/>
    <w:rsid w:val="1AFE38FA"/>
    <w:rsid w:val="1B395F40"/>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6FA6288"/>
    <w:rsid w:val="270745B4"/>
    <w:rsid w:val="27441EF5"/>
    <w:rsid w:val="27FA25B3"/>
    <w:rsid w:val="28231B98"/>
    <w:rsid w:val="287D7DA3"/>
    <w:rsid w:val="29B11398"/>
    <w:rsid w:val="29EC23D0"/>
    <w:rsid w:val="2A6E1037"/>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6E3D80"/>
    <w:rsid w:val="3A914FF9"/>
    <w:rsid w:val="3AA54601"/>
    <w:rsid w:val="3AAF38F1"/>
    <w:rsid w:val="3B3E385A"/>
    <w:rsid w:val="3B616481"/>
    <w:rsid w:val="3B802E42"/>
    <w:rsid w:val="3C2C1D87"/>
    <w:rsid w:val="3C397B76"/>
    <w:rsid w:val="3C954A8C"/>
    <w:rsid w:val="3CFC0724"/>
    <w:rsid w:val="3D695DB9"/>
    <w:rsid w:val="3D946D56"/>
    <w:rsid w:val="3DAE1A1E"/>
    <w:rsid w:val="3DCB0599"/>
    <w:rsid w:val="3E1D2CF3"/>
    <w:rsid w:val="3E201D96"/>
    <w:rsid w:val="3E3B313C"/>
    <w:rsid w:val="3EAC2BDB"/>
    <w:rsid w:val="3FD0746F"/>
    <w:rsid w:val="3FD958AF"/>
    <w:rsid w:val="3FF024E7"/>
    <w:rsid w:val="3FF04570"/>
    <w:rsid w:val="40E40262"/>
    <w:rsid w:val="410F6EDD"/>
    <w:rsid w:val="41384DDD"/>
    <w:rsid w:val="41A82C28"/>
    <w:rsid w:val="41EF3869"/>
    <w:rsid w:val="41F45966"/>
    <w:rsid w:val="424B3CDF"/>
    <w:rsid w:val="42807F8D"/>
    <w:rsid w:val="428E0070"/>
    <w:rsid w:val="42C20908"/>
    <w:rsid w:val="431864E9"/>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A9B77CE"/>
    <w:rsid w:val="4B7342A7"/>
    <w:rsid w:val="4C081C0A"/>
    <w:rsid w:val="4C4A7F2C"/>
    <w:rsid w:val="4CA26BF2"/>
    <w:rsid w:val="4CB42DC9"/>
    <w:rsid w:val="4CD62D3F"/>
    <w:rsid w:val="4D023B34"/>
    <w:rsid w:val="4DBE3EFF"/>
    <w:rsid w:val="4E327823"/>
    <w:rsid w:val="4EA970ED"/>
    <w:rsid w:val="4EB175C0"/>
    <w:rsid w:val="4F1704D1"/>
    <w:rsid w:val="4F6F6DF3"/>
    <w:rsid w:val="4F9261E7"/>
    <w:rsid w:val="4FA21C82"/>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55F5D4F"/>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A14D0B"/>
    <w:rsid w:val="5ABB3E91"/>
    <w:rsid w:val="5AD57EED"/>
    <w:rsid w:val="5B3877A0"/>
    <w:rsid w:val="5BFF1099"/>
    <w:rsid w:val="5C6E0D96"/>
    <w:rsid w:val="5C846314"/>
    <w:rsid w:val="5C986CFA"/>
    <w:rsid w:val="5C9F2D5E"/>
    <w:rsid w:val="5CCC18B7"/>
    <w:rsid w:val="5CCE7ABC"/>
    <w:rsid w:val="5CF615B6"/>
    <w:rsid w:val="5D164480"/>
    <w:rsid w:val="5D373386"/>
    <w:rsid w:val="5D79399F"/>
    <w:rsid w:val="5D8F6D1E"/>
    <w:rsid w:val="5E083001"/>
    <w:rsid w:val="5E710B1A"/>
    <w:rsid w:val="5E8343A9"/>
    <w:rsid w:val="5EEF12AC"/>
    <w:rsid w:val="5F100A56"/>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AA1EE6"/>
    <w:rsid w:val="6FD11419"/>
    <w:rsid w:val="6FE163C2"/>
    <w:rsid w:val="6FEA0FE6"/>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6A6496"/>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6.xml"/><Relationship Id="rId17" Type="http://schemas.openxmlformats.org/officeDocument/2006/relationships/customXml" Target="../customXml/item5.xml"/><Relationship Id="rId16" Type="http://schemas.openxmlformats.org/officeDocument/2006/relationships/customXml" Target="../customXml/item4.xml"/><Relationship Id="rId15" Type="http://schemas.openxmlformats.org/officeDocument/2006/relationships/customXml" Target="../customXml/item3.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1641</Words>
  <Characters>4897</Characters>
  <Lines>502</Lines>
  <Paragraphs>141</Paragraphs>
  <TotalTime>1</TotalTime>
  <ScaleCrop>false</ScaleCrop>
  <LinksUpToDate>false</LinksUpToDate>
  <CharactersWithSpaces>5241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2026-06-09T08:22:26Z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