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检测项目：BRCA1/2+HRD基因检测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检测项目：BRCA1/2+HRD基因检测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w:t>
            </w:r>
            <w:r>
              <w:rPr>
                <w:rFonts w:hint="eastAsia" w:cs="Times New Roman"/>
                <w:color w:val="262626"/>
                <w:sz w:val="20"/>
                <w:lang w:val="en-US" w:eastAsia="zh-CN"/>
              </w:rPr>
              <w:t>BRCA1/2</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本产品对BRCA1/2基因全外显子±20 bp内含子区域进行高通量测序，检测BRCA1/2基因的靶向用药信息和遗传风险，适用于乳腺癌、卵巢癌、宫颈癌、子宫内膜癌、前列腺癌及胰腺癌等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4"/>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07825551"/>
      <w:bookmarkStart w:id="4" w:name="_Toc17240"/>
      <w:bookmarkStart w:id="5" w:name="_Toc13492"/>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cs="Times New Roman"/>
                <w:sz w:val="21"/>
                <w:lang w:val="en-US" w:eastAsia="zh-CN"/>
              </w:rPr>
              <w:t>失活变异</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48DDBC">
      <w:pPr>
        <w:pStyle w:val="7"/>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059E1620">
      <w:pPr>
        <w:pStyle w:val="7"/>
        <w:numPr>
          <w:ilvl w:val="0"/>
          <w:numId w:val="5"/>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4"/>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6"/>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4"/>
        </w:numPr>
        <w:bidi w:val="0"/>
        <w:ind w:left="425" w:leftChars="0" w:hanging="425" w:firstLineChars="0"/>
        <w:rPr>
          <w:rFonts w:hint="eastAsia"/>
          <w:lang w:eastAsia="zh-CN"/>
        </w:rPr>
      </w:pPr>
      <w:bookmarkStart w:id="8" w:name="_Toc7697"/>
      <w:bookmarkStart w:id="9" w:name="_Toc149837259"/>
      <w:r>
        <w:rPr>
          <w:rFonts w:hint="eastAsia"/>
          <w:lang w:eastAsia="zh-CN"/>
        </w:rPr>
        <w:t>胚系变异结果提示</w:t>
      </w:r>
      <w:bookmarkEnd w:id="8"/>
      <w:bookmarkEnd w:id="9"/>
    </w:p>
    <w:p w14:paraId="477C8806">
      <w:pPr>
        <w:pStyle w:val="4"/>
        <w:numPr>
          <w:ilvl w:val="1"/>
          <w:numId w:val="4"/>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4"/>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6D870144">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459D39D2">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45"/>
        <w:gridCol w:w="3491"/>
        <w:gridCol w:w="962"/>
        <w:gridCol w:w="4283"/>
      </w:tblGrid>
      <w:tr w14:paraId="30355A0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45" w:type="dxa"/>
            <w:tcBorders>
              <w:right w:val="nil"/>
            </w:tcBorders>
            <w:shd w:val="clear" w:color="auto" w:fill="auto"/>
            <w:tcMar>
              <w:top w:w="28" w:type="dxa"/>
              <w:left w:w="108" w:type="dxa"/>
              <w:bottom w:w="28" w:type="dxa"/>
              <w:right w:w="108" w:type="dxa"/>
            </w:tcMar>
            <w:vAlign w:val="center"/>
          </w:tcPr>
          <w:p w14:paraId="23519F5E">
            <w:pPr>
              <w:jc w:val="left"/>
              <w:rPr>
                <w:color w:val="262626"/>
              </w:rPr>
            </w:pPr>
            <w:r>
              <w:rPr>
                <w:rFonts w:hint="eastAsia"/>
                <w:color w:val="262626"/>
              </w:rPr>
              <w:t>检测者：</w:t>
            </w:r>
          </w:p>
        </w:tc>
        <w:tc>
          <w:tcPr>
            <w:tcW w:w="3491" w:type="dxa"/>
            <w:tcBorders>
              <w:left w:val="nil"/>
            </w:tcBorders>
            <w:shd w:val="clear" w:color="auto" w:fill="auto"/>
            <w:tcMar>
              <w:top w:w="28" w:type="dxa"/>
              <w:left w:w="108" w:type="dxa"/>
              <w:bottom w:w="28" w:type="dxa"/>
              <w:right w:w="108" w:type="dxa"/>
            </w:tcMar>
            <w:vAlign w:val="center"/>
          </w:tcPr>
          <w:p w14:paraId="4CE189FE">
            <w:pPr>
              <w:jc w:val="left"/>
              <w:rPr>
                <w:rFonts w:hint="eastAsia"/>
                <w:color w:val="262626"/>
              </w:rPr>
            </w:pPr>
            <w:r>
              <w:rPr>
                <w:rFonts w:hint="eastAsia"/>
                <w:color w:val="262626"/>
              </w:rPr>
              <w:t>{{"ty_tianjin1"|sign(</w:t>
            </w:r>
            <w:r>
              <w:rPr>
                <w:rFonts w:hint="eastAsia"/>
                <w:color w:val="262626"/>
                <w:lang w:val="en-US" w:eastAsia="zh-CN"/>
              </w:rPr>
              <w:t>51</w:t>
            </w:r>
            <w:r>
              <w:rPr>
                <w:rFonts w:hint="eastAsia"/>
                <w:color w:val="262626"/>
              </w:rPr>
              <w:t>,2</w:t>
            </w:r>
            <w:r>
              <w:rPr>
                <w:rFonts w:hint="eastAsia"/>
                <w:color w:val="262626"/>
                <w:lang w:val="en-US" w:eastAsia="zh-CN"/>
              </w:rPr>
              <w:t>3</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7D500A76">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68C8DE55">
            <w:pPr>
              <w:jc w:val="left"/>
              <w:rPr>
                <w:rFonts w:hint="eastAsia"/>
                <w:color w:val="262626"/>
              </w:rPr>
            </w:pPr>
            <w:r>
              <w:rPr>
                <w:rFonts w:hint="eastAsia"/>
                <w:color w:val="262626"/>
              </w:rPr>
              <w:t>{{"ty_tianjin2"|sign(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3C2FC501">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719A0269">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44BF6264">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264C3F4">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58"/>
        <w:gridCol w:w="3478"/>
        <w:gridCol w:w="962"/>
        <w:gridCol w:w="4283"/>
      </w:tblGrid>
      <w:tr w14:paraId="58B49E59">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58" w:type="dxa"/>
            <w:tcBorders>
              <w:right w:val="nil"/>
            </w:tcBorders>
            <w:shd w:val="clear" w:color="auto" w:fill="auto"/>
            <w:tcMar>
              <w:top w:w="28" w:type="dxa"/>
              <w:left w:w="108" w:type="dxa"/>
              <w:bottom w:w="28" w:type="dxa"/>
              <w:right w:w="108" w:type="dxa"/>
            </w:tcMar>
            <w:vAlign w:val="center"/>
          </w:tcPr>
          <w:p w14:paraId="61F9F412">
            <w:pPr>
              <w:jc w:val="left"/>
              <w:rPr>
                <w:color w:val="262626"/>
              </w:rPr>
            </w:pPr>
            <w:r>
              <w:rPr>
                <w:rFonts w:hint="eastAsia"/>
                <w:color w:val="262626"/>
              </w:rPr>
              <w:t>检测者：</w:t>
            </w:r>
          </w:p>
        </w:tc>
        <w:tc>
          <w:tcPr>
            <w:tcW w:w="3478" w:type="dxa"/>
            <w:tcBorders>
              <w:left w:val="nil"/>
            </w:tcBorders>
            <w:shd w:val="clear" w:color="auto" w:fill="auto"/>
            <w:tcMar>
              <w:top w:w="28" w:type="dxa"/>
              <w:left w:w="108" w:type="dxa"/>
              <w:bottom w:w="28" w:type="dxa"/>
              <w:right w:w="108" w:type="dxa"/>
            </w:tcMar>
            <w:vAlign w:val="center"/>
          </w:tcPr>
          <w:p w14:paraId="23AE71F8">
            <w:pPr>
              <w:jc w:val="left"/>
              <w:rPr>
                <w:rFonts w:hint="eastAsia"/>
                <w:color w:val="262626"/>
              </w:rPr>
            </w:pPr>
            <w:r>
              <w:rPr>
                <w:rFonts w:hint="eastAsia"/>
                <w:color w:val="262626"/>
              </w:rPr>
              <w:t>{{"ty_guangzhou1"|sign(</w:t>
            </w:r>
            <w:r>
              <w:rPr>
                <w:rFonts w:hint="eastAsia"/>
                <w:color w:val="262626"/>
                <w:lang w:val="en-US" w:eastAsia="zh-CN"/>
              </w:rPr>
              <w:t>46</w:t>
            </w:r>
            <w:r>
              <w:rPr>
                <w:rFonts w:hint="eastAsia"/>
                <w:color w:val="262626"/>
              </w:rPr>
              <w:t>,</w:t>
            </w:r>
            <w:r>
              <w:rPr>
                <w:rFonts w:hint="eastAsia"/>
                <w:color w:val="262626"/>
                <w:lang w:val="en-US" w:eastAsia="zh-CN"/>
              </w:rPr>
              <w:t>25</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1F63319D">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2D5B1069">
            <w:pPr>
              <w:jc w:val="left"/>
              <w:rPr>
                <w:rFonts w:hint="eastAsia"/>
                <w:color w:val="262626"/>
              </w:rPr>
            </w:pPr>
            <w:r>
              <w:rPr>
                <w:rFonts w:hint="eastAsia"/>
                <w:color w:val="262626"/>
              </w:rPr>
              <w:t>{{"</w:t>
            </w:r>
            <w:r>
              <w:rPr>
                <w:rFonts w:hint="eastAsia" w:ascii="微软雅黑" w:hAnsi="微软雅黑" w:eastAsia="微软雅黑" w:cs="微软雅黑"/>
                <w:b w:val="0"/>
                <w:bCs w:val="0"/>
                <w:sz w:val="20"/>
                <w:szCs w:val="20"/>
              </w:rPr>
              <w:t>ty_guangzhou</w:t>
            </w:r>
            <w:r>
              <w:rPr>
                <w:rFonts w:hint="eastAsia"/>
                <w:color w:val="262626"/>
              </w:rPr>
              <w:t>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60589251">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575E8A0A">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5333CF3">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7"/>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sz w:val="24"/>
          <w:szCs w:val="24"/>
          <w:lang w:val="en-US" w:eastAsia="zh-CN"/>
        </w:rPr>
        <w:t>有害</w:t>
      </w:r>
      <w:r>
        <w:rPr>
          <w:rFonts w:ascii="微软雅黑" w:hAnsi="微软雅黑" w:eastAsia="微软雅黑"/>
          <w:sz w:val="24"/>
          <w:szCs w:val="24"/>
          <w:lang w:eastAsia="zh-CN"/>
        </w:rPr>
        <w:t>或可能</w:t>
      </w:r>
      <w:r>
        <w:rPr>
          <w:rFonts w:hint="eastAsia"/>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0" w:name="_Toc289"/>
      <w:bookmarkStart w:id="11" w:name="_Toc17537"/>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0"/>
      <w:bookmarkEnd w:id="11"/>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781"/>
        <w:gridCol w:w="2412"/>
        <w:gridCol w:w="1729"/>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781"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2412" w:type="dxa"/>
            <w:shd w:val="clear" w:color="auto" w:fill="DAEEF3"/>
            <w:vAlign w:val="center"/>
          </w:tcPr>
          <w:p w14:paraId="2289C731">
            <w:pPr>
              <w:spacing w:before="26"/>
              <w:jc w:val="center"/>
              <w:rPr>
                <w:rFonts w:hint="default" w:ascii="Times New Roman" w:hAnsi="Times New Roman" w:eastAsia="微软雅黑" w:cs="Times New Roman"/>
                <w:b/>
                <w:color w:val="31849B"/>
                <w:sz w:val="18"/>
                <w:szCs w:val="18"/>
                <w:lang w:val="en-US"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r>
              <w:rPr>
                <w:rFonts w:hint="eastAsia" w:ascii="Times New Roman" w:hAnsi="Times New Roman" w:cs="Times New Roman"/>
                <w:b/>
                <w:color w:val="31849B"/>
                <w:sz w:val="18"/>
                <w:szCs w:val="18"/>
                <w:lang w:val="en-US" w:eastAsia="zh-CN"/>
              </w:rPr>
              <w:t>/拷贝数</w:t>
            </w:r>
          </w:p>
        </w:tc>
        <w:tc>
          <w:tcPr>
            <w:tcW w:w="1729"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C87F662">
            <w:pPr>
              <w:spacing w:before="26"/>
              <w:jc w:val="center"/>
              <w:rPr>
                <w:rFonts w:ascii="Times New Roman" w:hAnsi="Times New Roman" w:eastAsia="微软雅黑" w:cs="Times New Roman"/>
                <w:b/>
                <w:color w:val="262626"/>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CA97DF3">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781"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2412"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729"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81"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2412"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29"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2" w:name="_Toc26395"/>
      <w:bookmarkStart w:id="13" w:name="_Toc31324"/>
    </w:p>
    <w:bookmarkEnd w:id="12"/>
    <w:bookmarkEnd w:id="13"/>
    <w:p w14:paraId="4301401E">
      <w:pPr>
        <w:keepNext/>
        <w:keepLines/>
        <w:pageBreakBefore w:val="0"/>
        <w:widowControl w:val="0"/>
        <w:numPr>
          <w:ilvl w:val="0"/>
          <w:numId w:val="7"/>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7"/>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4" w:name="_Toc25365"/>
      <w:r>
        <w:rPr>
          <w:rFonts w:hint="eastAsia"/>
          <w:b/>
          <w:bCs/>
          <w:color w:val="31849B"/>
          <w:sz w:val="24"/>
          <w:szCs w:val="32"/>
          <w:lang w:eastAsia="zh-CN"/>
        </w:rPr>
        <w:t>胚系变异结果解析</w:t>
      </w:r>
      <w:bookmarkEnd w:id="14"/>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8"/>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5352BC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73ED690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04FB768F">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5833BCE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0831E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72CECD8">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1690598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1718" w:type="pct"/>
            <w:tcBorders>
              <w:tl2br w:val="nil"/>
              <w:tr2bl w:val="nil"/>
            </w:tcBorders>
            <w:shd w:val="clear" w:color="auto" w:fill="auto"/>
            <w:vAlign w:val="center"/>
          </w:tcPr>
          <w:p w14:paraId="17257EB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B0E1AB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7FCD4B8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6B92A23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78421992">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BD1D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76FC30D4">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2223C6FD">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1718" w:type="pct"/>
            <w:tcBorders>
              <w:tl2br w:val="nil"/>
              <w:tr2bl w:val="nil"/>
            </w:tcBorders>
            <w:shd w:val="clear" w:color="auto" w:fill="DAEEF3"/>
            <w:vAlign w:val="center"/>
          </w:tcPr>
          <w:p w14:paraId="735E60F2">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FDED08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4335A161">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247BF674">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6089A85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D715D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400FB3A8">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HRD Score</w:t>
            </w: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0E3C081E">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平均测序深度</w:t>
            </w:r>
          </w:p>
        </w:tc>
        <w:tc>
          <w:tcPr>
            <w:tcW w:w="1718" w:type="pct"/>
            <w:tcBorders>
              <w:tl2br w:val="nil"/>
              <w:tr2bl w:val="nil"/>
            </w:tcBorders>
            <w:shd w:val="clear" w:color="auto" w:fill="auto"/>
            <w:vAlign w:val="center"/>
          </w:tcPr>
          <w:p w14:paraId="322A1402">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49DC1EA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2F9F9538">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E7869F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覆盖均一性</w:t>
            </w:r>
          </w:p>
        </w:tc>
        <w:tc>
          <w:tcPr>
            <w:tcW w:w="1718" w:type="pct"/>
            <w:tcBorders>
              <w:tl2br w:val="nil"/>
              <w:tr2bl w:val="nil"/>
            </w:tcBorders>
            <w:shd w:val="clear" w:color="auto" w:fill="auto"/>
            <w:vAlign w:val="center"/>
          </w:tcPr>
          <w:p w14:paraId="6B50AC2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2F98FA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3EB0C171">
            <w:pPr>
              <w:autoSpaceDE w:val="0"/>
              <w:ind w:left="100" w:leftChars="50"/>
              <w:jc w:val="center"/>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BRCA12基因</w:t>
            </w:r>
          </w:p>
          <w:p w14:paraId="6356BC61">
            <w:pPr>
              <w:autoSpaceDE w:val="0"/>
              <w:ind w:left="100" w:leftChars="50"/>
              <w:jc w:val="center"/>
              <w:rPr>
                <w:rFonts w:ascii="Times New Roman" w:hAnsi="Times New Roman" w:cs="Times New Roman"/>
                <w:color w:val="262626"/>
                <w:sz w:val="20"/>
                <w:szCs w:val="20"/>
              </w:rPr>
            </w:pPr>
            <w:r>
              <w:rPr>
                <w:rFonts w:hint="eastAsia" w:ascii="Times New Roman" w:hAnsi="Times New Roman" w:eastAsia="微软雅黑" w:cs="Times New Roman"/>
                <w:color w:val="262626"/>
                <w:sz w:val="21"/>
                <w:szCs w:val="21"/>
                <w:lang w:eastAsia="zh-CN"/>
              </w:rPr>
              <w:t>测序质量评估</w:t>
            </w:r>
          </w:p>
        </w:tc>
        <w:tc>
          <w:tcPr>
            <w:tcW w:w="1713" w:type="pct"/>
            <w:tcBorders>
              <w:tl2br w:val="nil"/>
              <w:tr2bl w:val="nil"/>
            </w:tcBorders>
            <w:shd w:val="clear" w:color="auto" w:fill="auto"/>
            <w:vAlign w:val="center"/>
          </w:tcPr>
          <w:p w14:paraId="4B1F263E">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cs="Times New Roman"/>
                <w:bCs/>
                <w:color w:val="262626"/>
                <w:sz w:val="21"/>
                <w:lang w:val="en-US" w:eastAsia="zh-CN"/>
              </w:rPr>
              <w:t>DNA</w:t>
            </w:r>
            <w:r>
              <w:rPr>
                <w:rFonts w:hint="eastAsia" w:ascii="Times New Roman" w:hAnsi="Times New Roman" w:eastAsia="微软雅黑" w:cs="Times New Roman"/>
                <w:bCs/>
                <w:color w:val="262626"/>
                <w:sz w:val="21"/>
                <w:lang w:eastAsia="zh-CN"/>
              </w:rPr>
              <w:t>基因平均测序深度</w:t>
            </w:r>
          </w:p>
        </w:tc>
        <w:tc>
          <w:tcPr>
            <w:tcW w:w="1718" w:type="pct"/>
            <w:tcBorders>
              <w:tl2br w:val="nil"/>
              <w:tr2bl w:val="nil"/>
            </w:tcBorders>
            <w:shd w:val="clear" w:color="auto" w:fill="auto"/>
            <w:vAlign w:val="center"/>
          </w:tcPr>
          <w:p w14:paraId="572CEE5C">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DD8EC6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4082D9B5">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51510AEB">
            <w:pPr>
              <w:ind w:left="119" w:leftChars="0"/>
              <w:jc w:val="center"/>
              <w:rPr>
                <w:rFonts w:ascii="Times New Roman" w:hAnsi="Times New Roman" w:eastAsia="微软雅黑" w:cs="Times New Roman"/>
                <w:bCs/>
                <w:color w:val="262626"/>
                <w:kern w:val="2"/>
                <w:sz w:val="21"/>
                <w:szCs w:val="22"/>
                <w:lang w:val="en-US" w:eastAsia="zh-CN" w:bidi="ar-SA"/>
              </w:rPr>
            </w:pPr>
            <w:r>
              <w:rPr>
                <w:rFonts w:hint="eastAsia" w:ascii="Times New Roman" w:hAnsi="Times New Roman" w:cs="Times New Roman"/>
                <w:bCs/>
                <w:color w:val="262626"/>
                <w:sz w:val="21"/>
                <w:lang w:val="en-US" w:eastAsia="zh-CN"/>
              </w:rPr>
              <w:t>DNA</w:t>
            </w:r>
            <w:r>
              <w:rPr>
                <w:rFonts w:hint="eastAsia" w:ascii="Times New Roman" w:hAnsi="Times New Roman" w:eastAsia="微软雅黑" w:cs="Times New Roman"/>
                <w:bCs/>
                <w:color w:val="262626"/>
                <w:sz w:val="21"/>
                <w:lang w:eastAsia="zh-CN"/>
              </w:rPr>
              <w:t>基因覆盖均一性</w:t>
            </w:r>
          </w:p>
        </w:tc>
        <w:tc>
          <w:tcPr>
            <w:tcW w:w="1718" w:type="pct"/>
            <w:tcBorders>
              <w:tl2br w:val="nil"/>
              <w:tr2bl w:val="nil"/>
            </w:tcBorders>
            <w:shd w:val="clear" w:color="auto" w:fill="auto"/>
            <w:vAlign w:val="center"/>
          </w:tcPr>
          <w:p w14:paraId="2730744C">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769C708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4B4C1B43">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68FC26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cs="微软雅黑"/>
                <w:color w:val="262626"/>
                <w:sz w:val="21"/>
                <w:szCs w:val="21"/>
                <w:lang w:val="en-US" w:eastAsia="zh-CN" w:bidi="ar"/>
              </w:rPr>
              <w:t>DNA</w:t>
            </w:r>
            <w:r>
              <w:rPr>
                <w:rFonts w:hint="eastAsia" w:ascii="Times New Roman" w:hAnsi="Times New Roman" w:eastAsia="微软雅黑" w:cs="微软雅黑"/>
                <w:color w:val="262626"/>
                <w:sz w:val="21"/>
                <w:szCs w:val="21"/>
                <w:lang w:eastAsia="zh-CN" w:bidi="ar"/>
              </w:rPr>
              <w:t>基因组比对率</w:t>
            </w:r>
          </w:p>
        </w:tc>
        <w:tc>
          <w:tcPr>
            <w:tcW w:w="1718" w:type="pct"/>
            <w:tcBorders>
              <w:tl2br w:val="nil"/>
              <w:tr2bl w:val="nil"/>
            </w:tcBorders>
            <w:shd w:val="clear" w:color="auto" w:fill="auto"/>
            <w:vAlign w:val="center"/>
          </w:tcPr>
          <w:p w14:paraId="0B965F73">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E997BB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3CED4295">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780B3B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cs="微软雅黑"/>
                <w:color w:val="262626"/>
                <w:sz w:val="21"/>
                <w:szCs w:val="21"/>
                <w:lang w:val="en-US" w:eastAsia="zh-CN" w:bidi="ar"/>
              </w:rPr>
              <w:t>DNA</w:t>
            </w: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1718" w:type="pct"/>
            <w:tcBorders>
              <w:tl2br w:val="nil"/>
              <w:tr2bl w:val="nil"/>
            </w:tcBorders>
            <w:shd w:val="clear" w:color="auto" w:fill="auto"/>
            <w:vAlign w:val="center"/>
          </w:tcPr>
          <w:p w14:paraId="551E7B39">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6D2F51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23401A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521608E2">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782ED85D">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szCs w:val="18"/>
          <w:lang w:val="en-US" w:eastAsia="zh-CN"/>
        </w:rPr>
        <w:t>{% for n in note.qcNoteList %}</w:t>
      </w:r>
    </w:p>
    <w:p w14:paraId="2B4437A8">
      <w:pPr>
        <w:pStyle w:val="66"/>
        <w:numPr>
          <w:ilvl w:val="0"/>
          <w:numId w:val="9"/>
        </w:numPr>
        <w:autoSpaceDE w:val="0"/>
        <w:autoSpaceDN w:val="0"/>
        <w:ind w:firstLineChars="0"/>
        <w:rPr>
          <w:sz w:val="21"/>
          <w:szCs w:val="21"/>
        </w:rPr>
      </w:pPr>
      <w:r>
        <w:rPr>
          <w:rFonts w:hint="default" w:ascii="Times New Roman" w:hAnsi="Times New Roman" w:eastAsia="微软雅黑"/>
          <w:sz w:val="18"/>
          <w:szCs w:val="18"/>
          <w:lang w:val="en-US" w:eastAsia="zh-CN"/>
        </w:rPr>
        <w:t>{{n}}{% endfor %}</w:t>
      </w:r>
      <w:r>
        <w:br w:type="page"/>
      </w:r>
    </w:p>
    <w:p w14:paraId="1CF2EDCB">
      <w:pPr>
        <w:pStyle w:val="3"/>
        <w:keepNext/>
        <w:keepLines/>
        <w:pageBreakBefore w:val="0"/>
        <w:widowControl w:val="0"/>
        <w:numPr>
          <w:ilvl w:val="0"/>
          <w:numId w:val="8"/>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5" w:name="_Toc9502"/>
      <w:bookmarkStart w:id="16" w:name="_Toc23742"/>
      <w:r>
        <w:rPr>
          <w:rFonts w:ascii="Times New Roman" w:hAnsi="Times New Roman" w:eastAsia="微软雅黑" w:cs="Times New Roman"/>
          <w:b/>
          <w:bCs/>
          <w:color w:val="auto"/>
          <w:sz w:val="24"/>
          <w:szCs w:val="24"/>
          <w:lang w:eastAsia="zh-CN"/>
        </w:rPr>
        <w:t>BRCA1&amp;BRCA2基因说明及用药提示</w:t>
      </w:r>
      <w:bookmarkEnd w:id="15"/>
      <w:bookmarkEnd w:id="16"/>
      <w:bookmarkStart w:id="17" w:name="_Hlk33179213"/>
    </w:p>
    <w:bookmarkEnd w:id="17"/>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8"/>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8"/>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0366505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AE0BAAB">
      <w:pPr>
        <w:pStyle w:val="3"/>
        <w:numPr>
          <w:ilvl w:val="0"/>
          <w:numId w:val="8"/>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18" w:name="_Toc23705"/>
      <w:bookmarkStart w:id="19" w:name="_Toc15830"/>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18"/>
      <w:bookmarkEnd w:id="19"/>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0" w:name="_Toc5400"/>
      <w:bookmarkStart w:id="21" w:name="_Toc32060"/>
      <w:bookmarkStart w:id="22" w:name="_Toc3846"/>
      <w:bookmarkStart w:id="23" w:name="_Toc331"/>
      <w:r>
        <w:rPr>
          <w:rFonts w:ascii="Times New Roman" w:hAnsi="Times New Roman" w:eastAsia="微软雅黑" w:cs="Times New Roman"/>
          <w:lang w:eastAsia="zh-CN"/>
        </w:rPr>
        <w:t>1 40岁以上，同时伴有≥1项下述者</w:t>
      </w:r>
      <w:bookmarkEnd w:id="20"/>
      <w:bookmarkEnd w:id="21"/>
      <w:bookmarkEnd w:id="22"/>
      <w:bookmarkEnd w:id="23"/>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4" w:name="_Toc10299"/>
      <w:bookmarkStart w:id="25" w:name="_Toc22196"/>
      <w:bookmarkStart w:id="26" w:name="_Toc5423"/>
      <w:bookmarkStart w:id="27" w:name="_Toc126"/>
      <w:r>
        <w:rPr>
          <w:rFonts w:ascii="Times New Roman" w:hAnsi="Times New Roman" w:eastAsia="微软雅黑" w:cs="Times New Roman"/>
          <w:lang w:eastAsia="zh-CN"/>
        </w:rPr>
        <w:t>2 有胰腺癌家族史、糖尿病史</w:t>
      </w:r>
      <w:bookmarkEnd w:id="24"/>
      <w:bookmarkEnd w:id="25"/>
      <w:bookmarkEnd w:id="26"/>
      <w:bookmarkEnd w:id="27"/>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AA314B1">
      <w:pPr>
        <w:pStyle w:val="3"/>
        <w:numPr>
          <w:ilvl w:val="0"/>
          <w:numId w:val="8"/>
        </w:numPr>
        <w:spacing w:before="156" w:after="156"/>
        <w:ind w:left="425" w:leftChars="0" w:hanging="425" w:firstLineChars="0"/>
        <w:rPr>
          <w:color w:val="31849B"/>
          <w:sz w:val="24"/>
          <w:szCs w:val="24"/>
          <w:highlight w:val="none"/>
          <w:lang w:eastAsia="zh-CN"/>
        </w:rPr>
      </w:pPr>
      <w:bookmarkStart w:id="28" w:name="_Toc18978"/>
      <w:bookmarkStart w:id="29" w:name="_GoBack"/>
      <w:bookmarkEnd w:id="29"/>
      <w:r>
        <w:rPr>
          <w:rFonts w:hint="eastAsia"/>
          <w:color w:val="31849B"/>
          <w:sz w:val="24"/>
          <w:szCs w:val="24"/>
          <w:highlight w:val="none"/>
          <w:lang w:eastAsia="zh-CN"/>
        </w:rPr>
        <w:t>检测方法与局限性</w:t>
      </w:r>
      <w:bookmarkEnd w:id="2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8"/>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5">
    <w:nsid w:val="12127B25"/>
    <w:multiLevelType w:val="multilevel"/>
    <w:tmpl w:val="12127B25"/>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A87E4C"/>
    <w:multiLevelType w:val="multilevel"/>
    <w:tmpl w:val="47A87E4C"/>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1"/>
  </w:num>
  <w:num w:numId="3">
    <w:abstractNumId w:val="4"/>
  </w:num>
  <w:num w:numId="4">
    <w:abstractNumId w:val="9"/>
  </w:num>
  <w:num w:numId="5">
    <w:abstractNumId w:val="7"/>
  </w:num>
  <w:num w:numId="6">
    <w:abstractNumId w:val="6"/>
  </w:num>
  <w:num w:numId="7">
    <w:abstractNumId w:val="11"/>
  </w:num>
  <w:num w:numId="8">
    <w:abstractNumId w:val="2"/>
  </w:num>
  <w:num w:numId="9">
    <w:abstractNumId w:val="5"/>
  </w:num>
  <w:num w:numId="10">
    <w:abstractNumId w:val="8"/>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7B4DDF"/>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2BF6624"/>
    <w:rsid w:val="133533A0"/>
    <w:rsid w:val="133E6661"/>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2B2F1A"/>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51F6B"/>
    <w:rsid w:val="1FDA4A0F"/>
    <w:rsid w:val="208D1D32"/>
    <w:rsid w:val="2187683F"/>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8F4A1C"/>
    <w:rsid w:val="28EA272C"/>
    <w:rsid w:val="29B11398"/>
    <w:rsid w:val="2A6E5730"/>
    <w:rsid w:val="2AEE6D7A"/>
    <w:rsid w:val="2B4032AA"/>
    <w:rsid w:val="2BD65279"/>
    <w:rsid w:val="2BFB4B4C"/>
    <w:rsid w:val="2CDC497D"/>
    <w:rsid w:val="2D850759"/>
    <w:rsid w:val="2DDB22FD"/>
    <w:rsid w:val="2E342143"/>
    <w:rsid w:val="2E9574DA"/>
    <w:rsid w:val="2F0E1BCD"/>
    <w:rsid w:val="2F256978"/>
    <w:rsid w:val="2F394CAA"/>
    <w:rsid w:val="2F9A371E"/>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6D24AD"/>
    <w:rsid w:val="3971469F"/>
    <w:rsid w:val="3A914FF9"/>
    <w:rsid w:val="3AAC2335"/>
    <w:rsid w:val="3ACC06CC"/>
    <w:rsid w:val="3B3E385A"/>
    <w:rsid w:val="3B616481"/>
    <w:rsid w:val="3B802E42"/>
    <w:rsid w:val="3BB5071F"/>
    <w:rsid w:val="3BE51D20"/>
    <w:rsid w:val="3C397B76"/>
    <w:rsid w:val="3C954A8C"/>
    <w:rsid w:val="3CCF6D49"/>
    <w:rsid w:val="3D190DA7"/>
    <w:rsid w:val="3D7006EC"/>
    <w:rsid w:val="3D946D56"/>
    <w:rsid w:val="3DAE1A1E"/>
    <w:rsid w:val="3DCB0599"/>
    <w:rsid w:val="3E083824"/>
    <w:rsid w:val="3E201D96"/>
    <w:rsid w:val="3E3B313C"/>
    <w:rsid w:val="3EEE5EE0"/>
    <w:rsid w:val="3FD0746F"/>
    <w:rsid w:val="3FD958AF"/>
    <w:rsid w:val="40EB1F5E"/>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0848DC"/>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18517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76A71"/>
    <w:rsid w:val="5C0C0D58"/>
    <w:rsid w:val="5C183CB6"/>
    <w:rsid w:val="5C2A240A"/>
    <w:rsid w:val="5C4001D5"/>
    <w:rsid w:val="5C9F2D5E"/>
    <w:rsid w:val="5CCC18B7"/>
    <w:rsid w:val="5D403159"/>
    <w:rsid w:val="5D461E6D"/>
    <w:rsid w:val="5D656E41"/>
    <w:rsid w:val="5D7A42CF"/>
    <w:rsid w:val="5DE973E1"/>
    <w:rsid w:val="5ED66BCF"/>
    <w:rsid w:val="5EEF12AC"/>
    <w:rsid w:val="5F5079A7"/>
    <w:rsid w:val="5F69359F"/>
    <w:rsid w:val="5FE2171B"/>
    <w:rsid w:val="605C728F"/>
    <w:rsid w:val="605F6E50"/>
    <w:rsid w:val="609E18C5"/>
    <w:rsid w:val="60A800F7"/>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744CC4"/>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5368D"/>
    <w:rsid w:val="739C3AEB"/>
    <w:rsid w:val="74722963"/>
    <w:rsid w:val="748126EC"/>
    <w:rsid w:val="74AE1D28"/>
    <w:rsid w:val="74EE65C9"/>
    <w:rsid w:val="752C0E9F"/>
    <w:rsid w:val="753F3F20"/>
    <w:rsid w:val="764B0603"/>
    <w:rsid w:val="76ED6308"/>
    <w:rsid w:val="78135C93"/>
    <w:rsid w:val="788947D3"/>
    <w:rsid w:val="78BE4504"/>
    <w:rsid w:val="78D742B1"/>
    <w:rsid w:val="79264FF8"/>
    <w:rsid w:val="793020E7"/>
    <w:rsid w:val="798259F2"/>
    <w:rsid w:val="798F63DB"/>
    <w:rsid w:val="79F24D77"/>
    <w:rsid w:val="7AAB2A8E"/>
    <w:rsid w:val="7ADB3377"/>
    <w:rsid w:val="7AE5221C"/>
    <w:rsid w:val="7AEF2DA3"/>
    <w:rsid w:val="7B09319D"/>
    <w:rsid w:val="7B1C44EF"/>
    <w:rsid w:val="7B546B24"/>
    <w:rsid w:val="7B73126E"/>
    <w:rsid w:val="7BDE7397"/>
    <w:rsid w:val="7C5C7FB7"/>
    <w:rsid w:val="7CEA36A3"/>
    <w:rsid w:val="7D347480"/>
    <w:rsid w:val="7D71533E"/>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6.xml"/><Relationship Id="rId18" Type="http://schemas.openxmlformats.org/officeDocument/2006/relationships/customXml" Target="../customXml/item5.xml"/><Relationship Id="rId17" Type="http://schemas.openxmlformats.org/officeDocument/2006/relationships/customXml" Target="../customXml/item4.xml"/><Relationship Id="rId16" Type="http://schemas.openxmlformats.org/officeDocument/2006/relationships/customXml" Target="../customXml/item3.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1302</Words>
  <Characters>2679</Characters>
  <Lines>502</Lines>
  <Paragraphs>141</Paragraphs>
  <TotalTime>0</TotalTime>
  <ScaleCrop>false</ScaleCrop>
  <LinksUpToDate>false</LinksUpToDate>
  <CharactersWithSpaces>2810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2026-06-15T06:54:36Z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