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3C1B50D">
      <w:pPr>
        <w:spacing w:after="0"/>
        <w:rPr>
          <w:rFonts w:eastAsia="微软雅黑"/>
          <w:lang w:eastAsia="zh-CN"/>
        </w:rPr>
      </w:pPr>
      <w:r>
        <w:rPr>
          <w:rFonts w:ascii="微软雅黑" w:hAnsi="微软雅黑" w:eastAsia="微软雅黑"/>
          <w:b/>
          <w:color w:val="000000"/>
          <w:sz w:val="36"/>
        </w:rPr>
        <w:t xml:space="preserve"> </w:t>
      </w:r>
      <w:r>
        <w:rPr>
          <w:rFonts w:ascii="微软雅黑" w:hAnsi="微软雅黑" w:eastAsia="微软雅黑"/>
          <w:b/>
          <w:color w:val="000000"/>
          <w:sz w:val="32"/>
        </w:rPr>
        <w:t>样本信息</w:t>
      </w:r>
      <w:r>
        <w:rPr>
          <w:rFonts w:ascii="微软雅黑" w:hAnsi="微软雅黑" w:eastAsia="微软雅黑"/>
          <w:b/>
          <w:color w:val="000000"/>
          <w:sz w:val="36"/>
        </w:rPr>
        <w:t xml:space="preserve"> </w:t>
      </w:r>
      <w:r>
        <w:rPr>
          <w:rFonts w:hint="eastAsia" w:ascii="微软雅黑" w:hAnsi="微软雅黑" w:eastAsia="微软雅黑"/>
          <w:color w:val="000000"/>
          <w:sz w:val="24"/>
          <w:lang w:eastAsia="zh-CN"/>
        </w:rPr>
        <w:t>{{ room }}</w:t>
      </w:r>
    </w:p>
    <w:tbl>
      <w:tblPr>
        <w:tblStyle w:val="32"/>
        <w:tblW w:w="9638" w:type="dxa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13"/>
        <w:gridCol w:w="1848"/>
        <w:gridCol w:w="1296"/>
        <w:gridCol w:w="2021"/>
        <w:gridCol w:w="1231"/>
        <w:gridCol w:w="2029"/>
      </w:tblGrid>
      <w:tr w14:paraId="6D275E7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60" w:hRule="atLeast"/>
          <w:tblHeader/>
          <w:jc w:val="center"/>
        </w:trPr>
        <w:tc>
          <w:tcPr>
            <w:tcW w:w="121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694BACBB">
            <w:pPr>
              <w:spacing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24"/>
              </w:rPr>
              <w:t>姓名</w:t>
            </w:r>
          </w:p>
        </w:tc>
        <w:tc>
          <w:tcPr>
            <w:tcW w:w="184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172E6943">
            <w:pPr>
              <w:spacing w:after="0"/>
              <w:jc w:val="center"/>
              <w:rPr>
                <w:rFonts w:hint="eastAsia" w:ascii="微软雅黑" w:hAnsi="微软雅黑" w:eastAsia="微软雅黑" w:cs="微软雅黑"/>
                <w:sz w:val="24"/>
                <w:szCs w:val="24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bCs/>
                <w:color w:val="000000"/>
                <w:sz w:val="24"/>
                <w:szCs w:val="24"/>
                <w:lang w:eastAsia="zh-CN"/>
              </w:rPr>
              <w:t>{{ client }}</w:t>
            </w:r>
          </w:p>
        </w:tc>
        <w:tc>
          <w:tcPr>
            <w:tcW w:w="129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6A88F552">
            <w:pPr>
              <w:spacing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24"/>
              </w:rPr>
              <w:t>性别</w:t>
            </w:r>
          </w:p>
        </w:tc>
        <w:tc>
          <w:tcPr>
            <w:tcW w:w="202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23383DA8">
            <w:pPr>
              <w:spacing w:after="0"/>
              <w:jc w:val="center"/>
              <w:rPr>
                <w:rFonts w:hint="eastAsia" w:ascii="微软雅黑" w:hAnsi="微软雅黑" w:eastAsia="微软雅黑" w:cs="微软雅黑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sz w:val="24"/>
                <w:szCs w:val="24"/>
              </w:rPr>
              <w:t>{{ sex }}</w:t>
            </w:r>
          </w:p>
        </w:tc>
        <w:tc>
          <w:tcPr>
            <w:tcW w:w="123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3FA21AF7">
            <w:pPr>
              <w:spacing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24"/>
              </w:rPr>
              <w:t>年龄</w:t>
            </w:r>
          </w:p>
        </w:tc>
        <w:tc>
          <w:tcPr>
            <w:tcW w:w="202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48F153C4">
            <w:pPr>
              <w:spacing w:after="0"/>
              <w:jc w:val="center"/>
              <w:rPr>
                <w:rFonts w:hint="eastAsia" w:ascii="微软雅黑" w:hAnsi="微软雅黑" w:eastAsia="微软雅黑" w:cs="微软雅黑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bCs/>
                <w:color w:val="000000"/>
                <w:sz w:val="24"/>
                <w:szCs w:val="24"/>
                <w:lang w:eastAsia="zh-CN"/>
              </w:rPr>
              <w:t>{{ age }}</w:t>
            </w:r>
          </w:p>
        </w:tc>
      </w:tr>
      <w:tr w14:paraId="5D6B86E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60" w:hRule="atLeast"/>
          <w:jc w:val="center"/>
        </w:trPr>
        <w:tc>
          <w:tcPr>
            <w:tcW w:w="121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1A5FFA63">
            <w:pPr>
              <w:spacing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24"/>
              </w:rPr>
              <w:t>住院号</w:t>
            </w:r>
          </w:p>
        </w:tc>
        <w:tc>
          <w:tcPr>
            <w:tcW w:w="184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6F1564E1">
            <w:pPr>
              <w:spacing w:after="0"/>
              <w:jc w:val="center"/>
              <w:rPr>
                <w:rFonts w:hint="eastAsia" w:ascii="微软雅黑" w:hAnsi="微软雅黑" w:eastAsia="微软雅黑" w:cs="微软雅黑"/>
                <w:sz w:val="24"/>
                <w:szCs w:val="24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4"/>
                <w:szCs w:val="24"/>
                <w:lang w:val="en-US" w:eastAsia="zh-CN"/>
              </w:rPr>
              <w:t>-</w:t>
            </w:r>
          </w:p>
        </w:tc>
        <w:tc>
          <w:tcPr>
            <w:tcW w:w="129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22CBFF6E">
            <w:pPr>
              <w:spacing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24"/>
              </w:rPr>
              <w:t>病理号</w:t>
            </w:r>
          </w:p>
        </w:tc>
        <w:tc>
          <w:tcPr>
            <w:tcW w:w="202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0712E3D3">
            <w:pPr>
              <w:spacing w:after="0"/>
              <w:jc w:val="center"/>
              <w:rPr>
                <w:rFonts w:hint="eastAsia" w:ascii="微软雅黑" w:hAnsi="微软雅黑" w:eastAsia="微软雅黑" w:cs="微软雅黑"/>
                <w:sz w:val="24"/>
                <w:szCs w:val="24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sz w:val="24"/>
                <w:szCs w:val="24"/>
              </w:rPr>
              <w:t>{{specimenno}}</w:t>
            </w:r>
          </w:p>
        </w:tc>
        <w:tc>
          <w:tcPr>
            <w:tcW w:w="123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7ABAC65A">
            <w:pPr>
              <w:spacing w:after="0"/>
              <w:jc w:val="center"/>
              <w:rPr>
                <w:rFonts w:hint="eastAsia" w:ascii="微软雅黑" w:hAnsi="微软雅黑" w:eastAsia="微软雅黑" w:cs="微软雅黑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sz w:val="24"/>
                <w:szCs w:val="24"/>
              </w:rPr>
              <w:t>送检科室</w:t>
            </w:r>
          </w:p>
        </w:tc>
        <w:tc>
          <w:tcPr>
            <w:tcW w:w="202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6A586D71">
            <w:pPr>
              <w:spacing w:after="0"/>
              <w:jc w:val="center"/>
              <w:rPr>
                <w:rFonts w:hint="eastAsia" w:ascii="微软雅黑" w:hAnsi="微软雅黑" w:eastAsia="微软雅黑" w:cs="微软雅黑"/>
                <w:sz w:val="24"/>
                <w:szCs w:val="24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4"/>
                <w:szCs w:val="24"/>
                <w:lang w:eastAsia="zh-CN"/>
              </w:rPr>
              <w:t>{{ locationname }}</w:t>
            </w:r>
          </w:p>
        </w:tc>
      </w:tr>
      <w:tr w14:paraId="6DD3100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60" w:hRule="atLeast"/>
          <w:jc w:val="center"/>
        </w:trPr>
        <w:tc>
          <w:tcPr>
            <w:tcW w:w="121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0123399E">
            <w:pPr>
              <w:spacing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24"/>
              </w:rPr>
              <w:t>送检医师</w:t>
            </w:r>
          </w:p>
        </w:tc>
        <w:tc>
          <w:tcPr>
            <w:tcW w:w="184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3F6612E1">
            <w:pPr>
              <w:spacing w:after="0"/>
              <w:jc w:val="center"/>
              <w:rPr>
                <w:rFonts w:hint="eastAsia" w:ascii="微软雅黑" w:hAnsi="微软雅黑" w:eastAsia="微软雅黑" w:cs="微软雅黑"/>
                <w:sz w:val="24"/>
                <w:szCs w:val="24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4"/>
                <w:szCs w:val="24"/>
                <w:lang w:eastAsia="zh-CN"/>
              </w:rPr>
              <w:t>{{ doctorname }}</w:t>
            </w:r>
          </w:p>
        </w:tc>
        <w:tc>
          <w:tcPr>
            <w:tcW w:w="129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49EF0939">
            <w:pPr>
              <w:spacing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24"/>
              </w:rPr>
              <w:t>联系电话</w:t>
            </w:r>
          </w:p>
        </w:tc>
        <w:tc>
          <w:tcPr>
            <w:tcW w:w="202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72419995">
            <w:pPr>
              <w:spacing w:after="0"/>
              <w:jc w:val="center"/>
              <w:rPr>
                <w:rFonts w:hint="eastAsia" w:ascii="微软雅黑" w:hAnsi="微软雅黑" w:eastAsia="微软雅黑" w:cs="微软雅黑"/>
                <w:sz w:val="24"/>
                <w:szCs w:val="24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bCs/>
                <w:color w:val="000000"/>
                <w:sz w:val="24"/>
                <w:szCs w:val="24"/>
                <w:lang w:eastAsia="zh-CN"/>
              </w:rPr>
              <w:t>{{ patient_phone }}</w:t>
            </w:r>
          </w:p>
        </w:tc>
        <w:tc>
          <w:tcPr>
            <w:tcW w:w="123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59ADED14">
            <w:pPr>
              <w:spacing w:after="0"/>
              <w:jc w:val="center"/>
              <w:rPr>
                <w:rFonts w:hint="eastAsia" w:ascii="微软雅黑" w:hAnsi="微软雅黑" w:eastAsia="微软雅黑" w:cs="微软雅黑"/>
              </w:rPr>
            </w:pPr>
            <w:r>
              <w:rPr>
                <w:rFonts w:hint="eastAsia" w:ascii="微软雅黑" w:hAnsi="微软雅黑" w:eastAsia="微软雅黑" w:cs="微软雅黑"/>
                <w:sz w:val="24"/>
              </w:rPr>
              <w:t>标本类型</w:t>
            </w:r>
          </w:p>
        </w:tc>
        <w:tc>
          <w:tcPr>
            <w:tcW w:w="202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006CED2A">
            <w:pPr>
              <w:spacing w:after="0"/>
              <w:jc w:val="center"/>
              <w:rPr>
                <w:rFonts w:hint="eastAsia" w:ascii="微软雅黑" w:hAnsi="微软雅黑" w:eastAsia="微软雅黑" w:cs="微软雅黑"/>
                <w:sz w:val="24"/>
                <w:szCs w:val="24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24"/>
                <w:szCs w:val="24"/>
                <w:lang w:eastAsia="zh-CN"/>
              </w:rPr>
              <w:t>{{ specimentype }}</w:t>
            </w:r>
          </w:p>
        </w:tc>
      </w:tr>
    </w:tbl>
    <w:p w14:paraId="551A464A"/>
    <w:tbl>
      <w:tblPr>
        <w:tblStyle w:val="32"/>
        <w:tblW w:w="0" w:type="auto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32"/>
      </w:tblGrid>
      <w:tr w14:paraId="73D4D9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tblHeader/>
          <w:jc w:val="center"/>
        </w:trPr>
        <w:tc>
          <w:tcPr>
            <w:tcW w:w="963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6C076C5B">
            <w:pPr>
              <w:spacing w:after="0"/>
              <w:rPr>
                <w:lang w:eastAsia="zh-CN"/>
              </w:rPr>
            </w:pPr>
            <w:r>
              <w:rPr>
                <w:rFonts w:ascii="微软雅黑" w:hAnsi="微软雅黑" w:eastAsia="微软雅黑"/>
                <w:sz w:val="20"/>
                <w:lang w:eastAsia="zh-CN"/>
              </w:rPr>
              <w:t xml:space="preserve">检测项目: </w:t>
            </w:r>
            <w:r>
              <w:rPr>
                <w:rFonts w:ascii="微软雅黑" w:hAnsi="微软雅黑" w:eastAsia="微软雅黑"/>
                <w:b/>
                <w:sz w:val="20"/>
                <w:lang w:eastAsia="zh-CN"/>
              </w:rPr>
              <w:t>乳腺癌卵巢癌遗传基因胚</w:t>
            </w:r>
            <w:r>
              <w:rPr>
                <w:rFonts w:hint="eastAsia" w:ascii="微软雅黑" w:hAnsi="微软雅黑" w:eastAsia="微软雅黑"/>
                <w:b/>
                <w:sz w:val="20"/>
                <w:lang w:val="en-US" w:eastAsia="zh-CN"/>
              </w:rPr>
              <w:t>系</w:t>
            </w:r>
            <w:r>
              <w:rPr>
                <w:rFonts w:ascii="微软雅黑" w:hAnsi="微软雅黑" w:eastAsia="微软雅黑"/>
                <w:b/>
                <w:sz w:val="20"/>
                <w:lang w:eastAsia="zh-CN"/>
              </w:rPr>
              <w:t>检测-小panel</w:t>
            </w:r>
          </w:p>
        </w:tc>
      </w:tr>
      <w:tr w14:paraId="4B0EA23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963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47A2C93A">
            <w:pPr>
              <w:spacing w:after="0"/>
              <w:rPr>
                <w:lang w:eastAsia="zh-CN"/>
              </w:rPr>
            </w:pPr>
            <w:r>
              <w:rPr>
                <w:rFonts w:ascii="微软雅黑" w:hAnsi="微软雅黑" w:eastAsia="微软雅黑"/>
                <w:sz w:val="20"/>
                <w:lang w:eastAsia="zh-CN"/>
              </w:rPr>
              <w:t>检测方法：</w:t>
            </w:r>
            <w:r>
              <w:rPr>
                <w:rFonts w:ascii="微软雅黑" w:hAnsi="微软雅黑" w:eastAsia="微软雅黑"/>
                <w:b/>
                <w:sz w:val="20"/>
                <w:lang w:eastAsia="zh-CN"/>
              </w:rPr>
              <w:t>高通量测序法(NGS)</w:t>
            </w:r>
          </w:p>
        </w:tc>
      </w:tr>
      <w:tr w14:paraId="0B767D2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963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0B710FC4">
            <w:pPr>
              <w:spacing w:after="0"/>
              <w:rPr>
                <w:rFonts w:hint="eastAsia" w:ascii="微软雅黑" w:hAnsi="微软雅黑" w:eastAsia="微软雅黑"/>
                <w:sz w:val="20"/>
                <w:lang w:eastAsia="zh-CN"/>
              </w:rPr>
            </w:pPr>
            <w:r>
              <w:rPr>
                <w:rFonts w:ascii="微软雅黑" w:hAnsi="微软雅黑" w:eastAsia="微软雅黑"/>
                <w:sz w:val="20"/>
                <w:lang w:eastAsia="zh-CN"/>
              </w:rPr>
              <w:t>合作检测机构：</w:t>
            </w:r>
            <w:r>
              <w:rPr>
                <w:rFonts w:ascii="微软雅黑" w:hAnsi="微软雅黑" w:eastAsia="微软雅黑"/>
                <w:b/>
                <w:sz w:val="20"/>
                <w:lang w:eastAsia="zh-CN"/>
              </w:rPr>
              <w:t>济南爱新卓尔医学检验实验室</w:t>
            </w:r>
          </w:p>
        </w:tc>
      </w:tr>
      <w:tr w14:paraId="5E0BD0F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963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5BAB84A0">
            <w:pPr>
              <w:spacing w:after="0"/>
              <w:rPr>
                <w:rFonts w:hint="default" w:eastAsia="微软雅黑"/>
                <w:lang w:val="en-US" w:eastAsia="zh-CN"/>
              </w:rPr>
            </w:pPr>
            <w:r>
              <w:rPr>
                <w:rFonts w:ascii="微软雅黑" w:hAnsi="微软雅黑" w:eastAsia="微软雅黑"/>
                <w:sz w:val="20"/>
              </w:rPr>
              <w:t>检测平台：</w:t>
            </w:r>
            <w:r>
              <w:rPr>
                <w:rFonts w:hint="eastAsia" w:ascii="微软雅黑" w:hAnsi="微软雅黑" w:eastAsia="微软雅黑"/>
                <w:b/>
                <w:sz w:val="20"/>
                <w:lang w:val="en-US" w:eastAsia="zh-CN"/>
              </w:rPr>
              <w:t>高通量测序平台</w:t>
            </w:r>
          </w:p>
        </w:tc>
      </w:tr>
      <w:tr w14:paraId="15008BB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963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065C10E3">
            <w:pPr>
              <w:spacing w:after="0"/>
            </w:pPr>
            <w:r>
              <w:rPr>
                <w:rFonts w:ascii="微软雅黑" w:hAnsi="微软雅黑" w:eastAsia="微软雅黑"/>
                <w:sz w:val="20"/>
              </w:rPr>
              <w:t>参考基因组：</w:t>
            </w:r>
            <w:r>
              <w:rPr>
                <w:rFonts w:ascii="微软雅黑" w:hAnsi="微软雅黑" w:eastAsia="微软雅黑"/>
                <w:b/>
                <w:sz w:val="20"/>
              </w:rPr>
              <w:t>GRCh37/hg19</w:t>
            </w:r>
          </w:p>
        </w:tc>
      </w:tr>
      <w:tr w14:paraId="632BE4A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963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50FBB3C1">
            <w:pPr>
              <w:spacing w:after="0"/>
              <w:rPr>
                <w:lang w:eastAsia="zh-CN"/>
              </w:rPr>
            </w:pPr>
            <w:r>
              <w:rPr>
                <w:rFonts w:ascii="微软雅黑" w:hAnsi="微软雅黑" w:eastAsia="微软雅黑"/>
                <w:sz w:val="20"/>
                <w:lang w:eastAsia="zh-CN"/>
              </w:rPr>
              <w:t>检测内容：</w:t>
            </w:r>
            <w:r>
              <w:rPr>
                <w:rFonts w:hint="eastAsia" w:ascii="微软雅黑" w:hAnsi="微软雅黑" w:eastAsia="微软雅黑"/>
                <w:b/>
                <w:sz w:val="20"/>
                <w:lang w:eastAsia="zh-CN"/>
              </w:rPr>
              <w:t>本产品对</w:t>
            </w:r>
            <w:r>
              <w:rPr>
                <w:rFonts w:ascii="微软雅黑" w:hAnsi="微软雅黑" w:eastAsia="微软雅黑"/>
                <w:b/>
                <w:sz w:val="20"/>
                <w:lang w:eastAsia="zh-CN"/>
              </w:rPr>
              <w:t>BRCA1/2</w:t>
            </w:r>
            <w:r>
              <w:rPr>
                <w:rFonts w:hint="eastAsia" w:ascii="微软雅黑" w:hAnsi="微软雅黑" w:eastAsia="微软雅黑"/>
                <w:b/>
                <w:sz w:val="20"/>
                <w:lang w:eastAsia="zh-CN"/>
              </w:rPr>
              <w:t>基因全外显子±</w:t>
            </w:r>
            <w:r>
              <w:rPr>
                <w:rFonts w:ascii="微软雅黑" w:hAnsi="微软雅黑" w:eastAsia="微软雅黑"/>
                <w:b/>
                <w:sz w:val="20"/>
                <w:lang w:eastAsia="zh-CN"/>
              </w:rPr>
              <w:t>20 bp</w:t>
            </w:r>
            <w:r>
              <w:rPr>
                <w:rFonts w:hint="eastAsia" w:ascii="微软雅黑" w:hAnsi="微软雅黑" w:eastAsia="微软雅黑"/>
                <w:b/>
                <w:sz w:val="20"/>
                <w:lang w:eastAsia="zh-CN"/>
              </w:rPr>
              <w:t>内含子区域进行高通量测序，检测</w:t>
            </w:r>
            <w:r>
              <w:rPr>
                <w:rFonts w:ascii="微软雅黑" w:hAnsi="微软雅黑" w:eastAsia="微软雅黑"/>
                <w:b/>
                <w:sz w:val="20"/>
                <w:lang w:eastAsia="zh-CN"/>
              </w:rPr>
              <w:t>BRCA1/2</w:t>
            </w:r>
            <w:r>
              <w:rPr>
                <w:rFonts w:hint="eastAsia" w:ascii="微软雅黑" w:hAnsi="微软雅黑" w:eastAsia="微软雅黑"/>
                <w:b/>
                <w:sz w:val="20"/>
                <w:lang w:eastAsia="zh-CN"/>
              </w:rPr>
              <w:t>基因的靶向用药信息和遗传风险，适用于乳腺癌、卵巢癌、宫颈癌、子宫内膜癌、前列腺癌及胰腺癌等癌种。检测突变形式为点突变（</w:t>
            </w:r>
            <w:r>
              <w:rPr>
                <w:rFonts w:ascii="微软雅黑" w:hAnsi="微软雅黑" w:eastAsia="微软雅黑"/>
                <w:b/>
                <w:sz w:val="20"/>
                <w:lang w:eastAsia="zh-CN"/>
              </w:rPr>
              <w:t>SNV</w:t>
            </w:r>
            <w:r>
              <w:rPr>
                <w:rFonts w:hint="eastAsia" w:ascii="微软雅黑" w:hAnsi="微软雅黑" w:eastAsia="微软雅黑"/>
                <w:b/>
                <w:sz w:val="20"/>
                <w:lang w:eastAsia="zh-CN"/>
              </w:rPr>
              <w:t>）、小片段插入缺失（</w:t>
            </w:r>
            <w:r>
              <w:rPr>
                <w:rFonts w:ascii="微软雅黑" w:hAnsi="微软雅黑" w:eastAsia="微软雅黑"/>
                <w:b/>
                <w:sz w:val="20"/>
                <w:lang w:eastAsia="zh-CN"/>
              </w:rPr>
              <w:t>INDEL</w:t>
            </w:r>
            <w:r>
              <w:rPr>
                <w:rFonts w:hint="eastAsia" w:ascii="微软雅黑" w:hAnsi="微软雅黑" w:eastAsia="微软雅黑"/>
                <w:b/>
                <w:sz w:val="20"/>
                <w:lang w:eastAsia="zh-CN"/>
              </w:rPr>
              <w:t>）。</w:t>
            </w:r>
          </w:p>
        </w:tc>
      </w:tr>
    </w:tbl>
    <w:p w14:paraId="25EED573">
      <w:pPr>
        <w:spacing w:after="0"/>
        <w:jc w:val="both"/>
        <w:rPr>
          <w:lang w:eastAsia="zh-CN"/>
        </w:rPr>
      </w:pPr>
      <w:r>
        <w:rPr>
          <w:rFonts w:ascii="微软雅黑" w:hAnsi="微软雅黑" w:eastAsia="微软雅黑"/>
          <w:b/>
          <w:sz w:val="20"/>
          <w:lang w:eastAsia="zh-CN"/>
        </w:rPr>
        <w:t>备注：本报告仅针对本次送检样本，该检测为该肿瘤患者提供个体化治疗提供依据，仅供临床参考。</w:t>
      </w:r>
    </w:p>
    <w:p w14:paraId="567F51E7">
      <w:pPr>
        <w:rPr>
          <w:lang w:eastAsia="zh-CN"/>
        </w:rPr>
      </w:pPr>
    </w:p>
    <w:p w14:paraId="5D13A2EA">
      <w:pPr>
        <w:rPr>
          <w:lang w:eastAsia="zh-CN"/>
        </w:rPr>
      </w:pPr>
    </w:p>
    <w:tbl>
      <w:tblPr>
        <w:tblStyle w:val="32"/>
        <w:tblpPr w:leftFromText="181" w:rightFromText="181" w:vertAnchor="text" w:horzAnchor="page" w:tblpX="1129" w:tblpY="1"/>
        <w:tblOverlap w:val="never"/>
        <w:tblW w:w="9848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99"/>
        <w:gridCol w:w="2227"/>
        <w:gridCol w:w="1985"/>
        <w:gridCol w:w="3637"/>
      </w:tblGrid>
      <w:tr w14:paraId="2467272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tblHeader/>
        </w:trPr>
        <w:tc>
          <w:tcPr>
            <w:tcW w:w="1999" w:type="dxa"/>
            <w:vAlign w:val="center"/>
          </w:tcPr>
          <w:p w14:paraId="6D75DC70">
            <w:pPr>
              <w:spacing w:after="0"/>
              <w:jc w:val="both"/>
              <w:rPr>
                <w:rFonts w:hint="eastAsia" w:ascii="微软雅黑" w:hAnsi="微软雅黑" w:eastAsia="微软雅黑"/>
                <w:b/>
                <w:sz w:val="20"/>
                <w:szCs w:val="18"/>
                <w:lang w:eastAsia="zh-CN"/>
              </w:rPr>
            </w:pPr>
            <w:r>
              <w:rPr>
                <w:rFonts w:hint="eastAsia" w:ascii="微软雅黑" w:hAnsi="微软雅黑" w:eastAsia="微软雅黑"/>
                <w:b/>
                <w:sz w:val="20"/>
                <w:szCs w:val="18"/>
                <w:lang w:eastAsia="zh-CN"/>
              </w:rPr>
              <w:t xml:space="preserve">检测者： </w:t>
            </w:r>
          </w:p>
        </w:tc>
        <w:tc>
          <w:tcPr>
            <w:tcW w:w="2227" w:type="dxa"/>
            <w:vAlign w:val="center"/>
          </w:tcPr>
          <w:p w14:paraId="5D96A681">
            <w:pPr>
              <w:spacing w:after="0"/>
              <w:jc w:val="both"/>
              <w:rPr>
                <w:rFonts w:hint="eastAsia" w:ascii="微软雅黑" w:hAnsi="微软雅黑" w:eastAsia="微软雅黑"/>
                <w:b/>
                <w:sz w:val="20"/>
                <w:szCs w:val="18"/>
                <w:lang w:eastAsia="zh-CN"/>
              </w:rPr>
            </w:pPr>
            <w:r>
              <w:rPr>
                <w:rFonts w:hint="eastAsia" w:ascii="微软雅黑" w:hAnsi="微软雅黑" w:eastAsia="微软雅黑"/>
                <w:b/>
                <w:sz w:val="20"/>
                <w:szCs w:val="18"/>
                <w:lang w:eastAsia="zh-CN"/>
              </w:rPr>
              <w:t xml:space="preserve">审核者： </w:t>
            </w:r>
          </w:p>
        </w:tc>
        <w:tc>
          <w:tcPr>
            <w:tcW w:w="1985" w:type="dxa"/>
            <w:vAlign w:val="center"/>
          </w:tcPr>
          <w:p w14:paraId="777E7967">
            <w:pPr>
              <w:spacing w:after="0"/>
              <w:jc w:val="both"/>
              <w:rPr>
                <w:rFonts w:eastAsia="微软雅黑"/>
                <w:sz w:val="18"/>
                <w:szCs w:val="18"/>
                <w:lang w:eastAsia="zh-CN"/>
              </w:rPr>
            </w:pPr>
            <w:r>
              <w:rPr>
                <w:rFonts w:hint="eastAsia" w:ascii="微软雅黑" w:hAnsi="微软雅黑" w:eastAsia="微软雅黑"/>
                <w:b/>
                <w:sz w:val="20"/>
                <w:szCs w:val="18"/>
                <w:lang w:eastAsia="zh-CN"/>
              </w:rPr>
              <w:t>复核者</w:t>
            </w:r>
            <w:r>
              <w:rPr>
                <w:rFonts w:ascii="微软雅黑" w:hAnsi="微软雅黑" w:eastAsia="微软雅黑"/>
                <w:b/>
                <w:sz w:val="20"/>
                <w:szCs w:val="18"/>
              </w:rPr>
              <w:t xml:space="preserve">： </w:t>
            </w:r>
          </w:p>
        </w:tc>
        <w:tc>
          <w:tcPr>
            <w:tcW w:w="3637" w:type="dxa"/>
            <w:vAlign w:val="center"/>
          </w:tcPr>
          <w:p w14:paraId="4A045CC1">
            <w:pPr>
              <w:spacing w:after="0"/>
              <w:jc w:val="center"/>
              <w:rPr>
                <w:sz w:val="18"/>
                <w:szCs w:val="18"/>
                <w:lang w:eastAsia="zh-CN"/>
              </w:rPr>
            </w:pPr>
            <w:r>
              <w:rPr>
                <w:rFonts w:ascii="微软雅黑" w:hAnsi="微软雅黑" w:eastAsia="微软雅黑"/>
                <w:b/>
                <w:sz w:val="20"/>
                <w:szCs w:val="18"/>
              </w:rPr>
              <w:t>报告日期：</w:t>
            </w:r>
            <w:r>
              <w:rPr>
                <w:rFonts w:hint="eastAsia" w:ascii="微软雅黑" w:hAnsi="微软雅黑" w:eastAsia="微软雅黑"/>
                <w:b/>
                <w:sz w:val="20"/>
                <w:szCs w:val="18"/>
              </w:rPr>
              <w:t>{{ reportdate }}</w:t>
            </w:r>
          </w:p>
        </w:tc>
      </w:tr>
    </w:tbl>
    <w:p w14:paraId="4CE2B79E">
      <w:pPr>
        <w:sectPr>
          <w:headerReference r:id="rId5" w:type="default"/>
          <w:footerReference r:id="rId6" w:type="default"/>
          <w:pgSz w:w="11900" w:h="16840"/>
          <w:pgMar w:top="1440" w:right="1134" w:bottom="1440" w:left="1134" w:header="720" w:footer="720" w:gutter="0"/>
          <w:cols w:space="720" w:num="1"/>
          <w:docGrid w:linePitch="360" w:charSpace="0"/>
        </w:sectPr>
      </w:pPr>
      <w:r>
        <w:br w:type="page"/>
      </w:r>
    </w:p>
    <w:p w14:paraId="3657D29B">
      <w:pPr>
        <w:spacing w:after="0"/>
        <w:outlineLvl w:val="2"/>
        <w:rPr>
          <w:rFonts w:hint="eastAsia" w:ascii="微软雅黑" w:hAnsi="微软雅黑" w:eastAsia="微软雅黑"/>
          <w:b/>
          <w:color w:val="000000"/>
          <w:sz w:val="32"/>
          <w:lang w:eastAsia="zh-CN"/>
        </w:rPr>
      </w:pPr>
      <w:r>
        <w:rPr>
          <w:rFonts w:ascii="微软雅黑" w:hAnsi="微软雅黑" w:eastAsia="微软雅黑"/>
          <w:b/>
          <w:color w:val="000000"/>
          <w:sz w:val="32"/>
        </w:rPr>
        <w:t>检测结果概览</w:t>
      </w:r>
    </w:p>
    <w:tbl>
      <w:tblPr>
        <w:tblStyle w:val="165"/>
        <w:tblW w:w="9885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45"/>
        <w:gridCol w:w="5340"/>
      </w:tblGrid>
      <w:tr w14:paraId="4E33E2D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exact"/>
          <w:jc w:val="center"/>
        </w:trPr>
        <w:tc>
          <w:tcPr>
            <w:tcW w:w="45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006600"/>
            <w:vAlign w:val="center"/>
          </w:tcPr>
          <w:p w14:paraId="46CCD341">
            <w:pPr>
              <w:widowControl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bCs/>
                <w:color w:val="FFFFFF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/>
                <w:sz w:val="21"/>
                <w:szCs w:val="21"/>
                <w:lang w:eastAsia="zh-CN"/>
              </w:rPr>
              <w:t>检测类型</w:t>
            </w:r>
          </w:p>
        </w:tc>
        <w:tc>
          <w:tcPr>
            <w:tcW w:w="5340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006600"/>
            <w:vAlign w:val="center"/>
          </w:tcPr>
          <w:p w14:paraId="26939D34">
            <w:pPr>
              <w:widowControl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bCs/>
                <w:color w:val="FFFFFF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/>
                <w:sz w:val="21"/>
                <w:szCs w:val="21"/>
                <w:lang w:eastAsia="zh-CN"/>
              </w:rPr>
              <w:t>检测结果</w:t>
            </w:r>
          </w:p>
        </w:tc>
      </w:tr>
      <w:tr w14:paraId="705B6143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4545" w:type="dxa"/>
            <w:tcBorders>
              <w:top w:val="nil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16368D31">
            <w:pPr>
              <w:widowControl w:val="0"/>
              <w:spacing w:after="0" w:line="240" w:lineRule="auto"/>
              <w:ind w:left="57" w:right="57"/>
              <w:jc w:val="both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ascii="微软雅黑" w:eastAsia="微软雅黑"/>
                <w:b/>
                <w:bCs/>
                <w:sz w:val="21"/>
                <w:lang w:eastAsia="zh-CN"/>
              </w:rPr>
              <w:t>靶向用药指导</w:t>
            </w:r>
            <w:r>
              <w:rPr>
                <w:rFonts w:hint="eastAsia" w:ascii="微软雅黑" w:eastAsia="微软雅黑"/>
                <w:b/>
                <w:bCs/>
                <w:sz w:val="21"/>
                <w:lang w:eastAsia="zh-CN"/>
              </w:rPr>
              <w:t>及肿瘤遗传风险提示</w:t>
            </w:r>
          </w:p>
        </w:tc>
        <w:tc>
          <w:tcPr>
            <w:tcW w:w="5340" w:type="dxa"/>
            <w:tcBorders>
              <w:top w:val="nil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351D51F6">
            <w:pPr>
              <w:widowControl w:val="0"/>
              <w:spacing w:after="0" w:line="240" w:lineRule="auto"/>
              <w:ind w:left="57" w:right="57"/>
              <w:jc w:val="both"/>
              <w:rPr>
                <w:rFonts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 w:val="0"/>
                <w:sz w:val="18"/>
                <w:szCs w:val="18"/>
                <w:lang w:eastAsia="zh-CN"/>
              </w:rPr>
              <w:t>共检出{{ summaryOfRresults.crCheckLineStrYF1280Size }}个变异位点，其中{{summaryOfRresults.hasPathogenicityCount}}个为致病/可能致病性突变，{{summaryOfRresults.crDrugList}}个与靶向药物相关</w:t>
            </w:r>
          </w:p>
        </w:tc>
      </w:tr>
      <w:tr w14:paraId="0153C8C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4545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7319F068">
            <w:pPr>
              <w:widowControl w:val="0"/>
              <w:spacing w:after="0" w:line="240" w:lineRule="auto"/>
              <w:ind w:left="57" w:right="57"/>
              <w:jc w:val="both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</w:rPr>
              <w:t>样品总体质量评估</w:t>
            </w:r>
          </w:p>
        </w:tc>
        <w:tc>
          <w:tcPr>
            <w:tcW w:w="5340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3DC1F77B">
            <w:pPr>
              <w:widowControl w:val="0"/>
              <w:spacing w:after="0" w:line="240" w:lineRule="auto"/>
              <w:ind w:left="57" w:right="57"/>
              <w:jc w:val="both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{{ sequencing_depth | oqa(100,50) }}</w:t>
            </w:r>
          </w:p>
        </w:tc>
      </w:tr>
    </w:tbl>
    <w:p w14:paraId="565E9B97">
      <w:pPr>
        <w:rPr>
          <w:rFonts w:hint="eastAsia" w:ascii="微软雅黑" w:hAnsi="微软雅黑" w:eastAsia="微软雅黑"/>
          <w:b/>
          <w:color w:val="000000"/>
          <w:sz w:val="32"/>
          <w:lang w:eastAsia="zh-CN"/>
        </w:rPr>
      </w:pPr>
      <w:r>
        <w:rPr>
          <w:rFonts w:hint="eastAsia" w:ascii="微软雅黑" w:hAnsi="微软雅黑" w:eastAsia="微软雅黑"/>
          <w:b/>
          <w:color w:val="000000"/>
          <w:sz w:val="32"/>
          <w:lang w:eastAsia="zh-CN"/>
        </w:rPr>
        <w:br w:type="page"/>
      </w:r>
    </w:p>
    <w:p w14:paraId="2A457E0F">
      <w:pPr>
        <w:rPr>
          <w:rFonts w:hint="eastAsia" w:ascii="微软雅黑" w:hAnsi="微软雅黑" w:eastAsia="微软雅黑"/>
          <w:b/>
          <w:color w:val="000000"/>
          <w:sz w:val="32"/>
          <w:lang w:eastAsia="zh-CN"/>
        </w:rPr>
      </w:pPr>
      <w:r>
        <w:rPr>
          <w:rFonts w:hint="eastAsia" w:ascii="微软雅黑" w:hAnsi="微软雅黑" w:eastAsia="微软雅黑"/>
          <w:b/>
          <w:color w:val="000000"/>
          <w:sz w:val="32"/>
          <w:lang w:eastAsia="zh-CN"/>
        </w:rPr>
        <w:t>变异位点结果提示</w:t>
      </w:r>
    </w:p>
    <w:p w14:paraId="7E7CDF96">
      <w:pPr>
        <w:widowControl w:val="0"/>
        <w:spacing w:before="120" w:beforeLines="50" w:after="120" w:afterLines="50" w:line="240" w:lineRule="auto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肿瘤遗传风险检测</w:t>
      </w:r>
    </w:p>
    <w:p w14:paraId="179A75E8">
      <w:pPr>
        <w:widowControl w:val="0"/>
        <w:spacing w:before="120" w:beforeLines="50" w:after="240" w:line="240" w:lineRule="auto"/>
        <w:ind w:firstLine="420" w:firstLineChars="200"/>
        <w:rPr>
          <w:rFonts w:ascii="Times New Roman" w:hAnsi="Times New Roman" w:eastAsia="微软雅黑" w:cs="Times New Roman"/>
          <w:b/>
          <w:bCs/>
          <w:sz w:val="21"/>
          <w:szCs w:val="21"/>
          <w:highlight w:val="yellow"/>
          <w:lang w:eastAsia="zh-CN"/>
        </w:rPr>
      </w:pP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本次样本共检出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{{summaryOfRresults.crCheckLineStrYF1280Size}}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个变异位点，其中{{summaryOfRresults.hasPathogenicityCount}}个为致病/可能致病性突变，其中{{summaryOfRresults.crDrugList}}个与靶向药物相关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。{%if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geneticCancerRiskInfo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%}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具体信息见“检测结果详细解析”。{% endif %}</w:t>
      </w:r>
    </w:p>
    <w:tbl>
      <w:tblPr>
        <w:tblStyle w:val="164"/>
        <w:tblW w:w="9844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83"/>
        <w:gridCol w:w="789"/>
        <w:gridCol w:w="1687"/>
        <w:gridCol w:w="953"/>
        <w:gridCol w:w="960"/>
        <w:gridCol w:w="947"/>
        <w:gridCol w:w="1606"/>
        <w:gridCol w:w="1919"/>
      </w:tblGrid>
      <w:tr w14:paraId="417A310C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exact"/>
          <w:jc w:val="center"/>
        </w:trPr>
        <w:tc>
          <w:tcPr>
            <w:tcW w:w="983" w:type="dxa"/>
            <w:tcBorders>
              <w:top w:val="nil"/>
              <w:bottom w:val="nil"/>
              <w:right w:val="single" w:color="FFFFFF" w:sz="18" w:space="0"/>
            </w:tcBorders>
            <w:shd w:val="clear" w:color="auto" w:fill="006600"/>
            <w:vAlign w:val="center"/>
          </w:tcPr>
          <w:p w14:paraId="755848B4">
            <w:pPr>
              <w:pStyle w:val="166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检测</w:t>
            </w:r>
            <w:r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基因</w:t>
            </w:r>
          </w:p>
        </w:tc>
        <w:tc>
          <w:tcPr>
            <w:tcW w:w="789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6600"/>
            <w:vAlign w:val="center"/>
          </w:tcPr>
          <w:p w14:paraId="6ECC374C">
            <w:pPr>
              <w:pStyle w:val="166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染色体</w:t>
            </w:r>
          </w:p>
        </w:tc>
        <w:tc>
          <w:tcPr>
            <w:tcW w:w="168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6600"/>
            <w:vAlign w:val="center"/>
          </w:tcPr>
          <w:p w14:paraId="61B35E1E">
            <w:pPr>
              <w:pStyle w:val="166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eastAsia" w:ascii="Times New Roman" w:hAnsi="Times New Roman" w:eastAsia="微软雅黑" w:cs="Times New Roman"/>
                <w:color w:val="FFFFFF" w:themeColor="background1"/>
                <w:sz w:val="21"/>
                <w:szCs w:val="21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  <w:tc>
          <w:tcPr>
            <w:tcW w:w="953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6600"/>
            <w:vAlign w:val="center"/>
          </w:tcPr>
          <w:p w14:paraId="273C1105">
            <w:pPr>
              <w:pStyle w:val="166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突变类型</w:t>
            </w:r>
          </w:p>
        </w:tc>
        <w:tc>
          <w:tcPr>
            <w:tcW w:w="96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6600"/>
            <w:vAlign w:val="center"/>
          </w:tcPr>
          <w:p w14:paraId="743ABDD3">
            <w:pPr>
              <w:pStyle w:val="166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杂合/纯合</w:t>
            </w:r>
          </w:p>
        </w:tc>
        <w:tc>
          <w:tcPr>
            <w:tcW w:w="94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6600"/>
            <w:vAlign w:val="center"/>
          </w:tcPr>
          <w:p w14:paraId="6D815924">
            <w:pPr>
              <w:pStyle w:val="166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千人频率</w:t>
            </w:r>
          </w:p>
        </w:tc>
        <w:tc>
          <w:tcPr>
            <w:tcW w:w="1606" w:type="dxa"/>
            <w:tcBorders>
              <w:top w:val="nil"/>
              <w:left w:val="single" w:color="FFFFFF" w:sz="18" w:space="0"/>
              <w:bottom w:val="nil"/>
            </w:tcBorders>
            <w:shd w:val="clear" w:color="auto" w:fill="006600"/>
            <w:vAlign w:val="center"/>
          </w:tcPr>
          <w:p w14:paraId="5A8A4753">
            <w:pPr>
              <w:pStyle w:val="166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临床意义</w:t>
            </w:r>
          </w:p>
        </w:tc>
        <w:tc>
          <w:tcPr>
            <w:tcW w:w="1919" w:type="dxa"/>
            <w:tcBorders>
              <w:top w:val="nil"/>
              <w:left w:val="single" w:color="FFFFFF" w:sz="18" w:space="0"/>
              <w:bottom w:val="nil"/>
            </w:tcBorders>
            <w:shd w:val="clear" w:color="auto" w:fill="006600"/>
            <w:vAlign w:val="center"/>
          </w:tcPr>
          <w:p w14:paraId="76A4D4D9">
            <w:pPr>
              <w:pStyle w:val="166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相关肿瘤</w:t>
            </w:r>
          </w:p>
        </w:tc>
      </w:tr>
      <w:tr w14:paraId="38D2B4DF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8"/>
            <w:tcBorders>
              <w:top w:val="nil"/>
            </w:tcBorders>
            <w:shd w:val="clear" w:color="auto" w:fill="auto"/>
            <w:vAlign w:val="center"/>
          </w:tcPr>
          <w:p w14:paraId="35D50BB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{%tr if crCheckLineStrYF1280 != [] %}</w:t>
            </w:r>
          </w:p>
        </w:tc>
      </w:tr>
      <w:tr w14:paraId="5E3A0C12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8"/>
            <w:tcBorders>
              <w:bottom w:val="nil"/>
            </w:tcBorders>
            <w:shd w:val="clear" w:color="auto" w:fill="auto"/>
            <w:vAlign w:val="center"/>
          </w:tcPr>
          <w:p w14:paraId="638374E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{%tr for cr in crCheckLineStrYF1280 %}</w:t>
            </w:r>
          </w:p>
        </w:tc>
      </w:tr>
      <w:tr w14:paraId="05B9D7F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3" w:type="dxa"/>
            <w:tcBorders>
              <w:top w:val="nil"/>
            </w:tcBorders>
            <w:shd w:val="clear" w:color="auto" w:fill="auto"/>
            <w:vAlign w:val="center"/>
          </w:tcPr>
          <w:p w14:paraId="15E61F8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 cr.Gene }}</w:t>
            </w:r>
          </w:p>
        </w:tc>
        <w:tc>
          <w:tcPr>
            <w:tcW w:w="789" w:type="dxa"/>
            <w:tcBorders>
              <w:top w:val="nil"/>
            </w:tcBorders>
            <w:shd w:val="clear" w:color="auto" w:fill="auto"/>
            <w:vAlign w:val="center"/>
          </w:tcPr>
          <w:p w14:paraId="763DF7B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 cr.Chr }}</w:t>
            </w:r>
          </w:p>
        </w:tc>
        <w:tc>
          <w:tcPr>
            <w:tcW w:w="1687" w:type="dxa"/>
            <w:tcBorders>
              <w:top w:val="nil"/>
            </w:tcBorders>
            <w:shd w:val="clear" w:color="auto" w:fill="auto"/>
            <w:vAlign w:val="center"/>
          </w:tcPr>
          <w:p w14:paraId="2D4A0AA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{{ 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val="en-US" w:eastAsia="zh-CN"/>
              </w:rPr>
              <w:t>cr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.ori_variant }}</w:t>
            </w:r>
          </w:p>
        </w:tc>
        <w:tc>
          <w:tcPr>
            <w:tcW w:w="953" w:type="dxa"/>
            <w:tcBorders>
              <w:top w:val="nil"/>
            </w:tcBorders>
            <w:shd w:val="clear" w:color="auto" w:fill="auto"/>
            <w:vAlign w:val="center"/>
          </w:tcPr>
          <w:p w14:paraId="4FC7E01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 cr.ExonicFunc }}</w:t>
            </w:r>
          </w:p>
        </w:tc>
        <w:tc>
          <w:tcPr>
            <w:tcW w:w="960" w:type="dxa"/>
            <w:tcBorders>
              <w:top w:val="nil"/>
            </w:tcBorders>
            <w:shd w:val="clear" w:color="auto" w:fill="auto"/>
            <w:vAlign w:val="center"/>
          </w:tcPr>
          <w:p w14:paraId="04E59B2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 cr.Zygosity }}</w:t>
            </w:r>
          </w:p>
        </w:tc>
        <w:tc>
          <w:tcPr>
            <w:tcW w:w="947" w:type="dxa"/>
            <w:tcBorders>
              <w:top w:val="nil"/>
            </w:tcBorders>
            <w:shd w:val="clear" w:color="auto" w:fill="auto"/>
            <w:vAlign w:val="center"/>
          </w:tcPr>
          <w:p w14:paraId="66AAEB7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 cr.c1000g2015aug_all }}</w:t>
            </w:r>
          </w:p>
        </w:tc>
        <w:tc>
          <w:tcPr>
            <w:tcW w:w="1606" w:type="dxa"/>
            <w:tcBorders>
              <w:top w:val="nil"/>
            </w:tcBorders>
            <w:shd w:val="clear" w:color="auto" w:fill="auto"/>
            <w:vAlign w:val="center"/>
          </w:tcPr>
          <w:p w14:paraId="4365CD9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 cr.Clinical_significance }}</w:t>
            </w:r>
          </w:p>
        </w:tc>
        <w:tc>
          <w:tcPr>
            <w:tcW w:w="1919" w:type="dxa"/>
            <w:tcBorders>
              <w:top w:val="nil"/>
            </w:tcBorders>
            <w:shd w:val="clear" w:color="auto" w:fill="auto"/>
            <w:vAlign w:val="center"/>
          </w:tcPr>
          <w:p w14:paraId="66DB7A9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66" w:leftChars="30" w:right="66" w:rightChars="30"/>
              <w:jc w:val="center"/>
              <w:textAlignment w:val="auto"/>
              <w:rPr>
                <w:rFonts w:hint="default" w:ascii="Times New Roman" w:hAnsi="Times New Roman" w:eastAsia="微软雅黑" w:cs="Times New Roman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val="en-US" w:eastAsia="zh-CN"/>
              </w:rPr>
              <w:t>{{cr.cr_tumors}}</w:t>
            </w:r>
          </w:p>
        </w:tc>
      </w:tr>
      <w:tr w14:paraId="76202D0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8"/>
            <w:shd w:val="clear" w:color="auto" w:fill="auto"/>
            <w:vAlign w:val="center"/>
          </w:tcPr>
          <w:p w14:paraId="7B186FB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{%tr endfor %}</w:t>
            </w:r>
          </w:p>
        </w:tc>
      </w:tr>
      <w:tr w14:paraId="74EEE80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8"/>
            <w:tcBorders>
              <w:bottom w:val="nil"/>
            </w:tcBorders>
            <w:shd w:val="clear" w:color="auto" w:fill="auto"/>
            <w:vAlign w:val="center"/>
          </w:tcPr>
          <w:p w14:paraId="7EBFD57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{%tr else %}</w:t>
            </w:r>
          </w:p>
        </w:tc>
      </w:tr>
      <w:tr w14:paraId="5026C2EC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3" w:type="dxa"/>
            <w:tcBorders>
              <w:top w:val="nil"/>
            </w:tcBorders>
            <w:shd w:val="clear" w:color="auto" w:fill="auto"/>
            <w:vAlign w:val="center"/>
          </w:tcPr>
          <w:p w14:paraId="4E055BA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/</w:t>
            </w:r>
          </w:p>
        </w:tc>
        <w:tc>
          <w:tcPr>
            <w:tcW w:w="789" w:type="dxa"/>
            <w:tcBorders>
              <w:top w:val="nil"/>
            </w:tcBorders>
            <w:shd w:val="clear" w:color="auto" w:fill="auto"/>
            <w:vAlign w:val="center"/>
          </w:tcPr>
          <w:p w14:paraId="5C7CD2F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/</w:t>
            </w:r>
          </w:p>
        </w:tc>
        <w:tc>
          <w:tcPr>
            <w:tcW w:w="1687" w:type="dxa"/>
            <w:tcBorders>
              <w:top w:val="nil"/>
            </w:tcBorders>
            <w:shd w:val="clear" w:color="auto" w:fill="auto"/>
            <w:vAlign w:val="center"/>
          </w:tcPr>
          <w:p w14:paraId="5918F2F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/</w:t>
            </w:r>
          </w:p>
        </w:tc>
        <w:tc>
          <w:tcPr>
            <w:tcW w:w="953" w:type="dxa"/>
            <w:tcBorders>
              <w:top w:val="nil"/>
            </w:tcBorders>
            <w:shd w:val="clear" w:color="auto" w:fill="auto"/>
            <w:vAlign w:val="center"/>
          </w:tcPr>
          <w:p w14:paraId="213E852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/</w:t>
            </w:r>
          </w:p>
        </w:tc>
        <w:tc>
          <w:tcPr>
            <w:tcW w:w="960" w:type="dxa"/>
            <w:tcBorders>
              <w:top w:val="nil"/>
            </w:tcBorders>
            <w:shd w:val="clear" w:color="auto" w:fill="auto"/>
            <w:vAlign w:val="center"/>
          </w:tcPr>
          <w:p w14:paraId="6155056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/</w:t>
            </w:r>
          </w:p>
        </w:tc>
        <w:tc>
          <w:tcPr>
            <w:tcW w:w="947" w:type="dxa"/>
            <w:tcBorders>
              <w:top w:val="nil"/>
            </w:tcBorders>
            <w:shd w:val="clear" w:color="auto" w:fill="auto"/>
            <w:vAlign w:val="center"/>
          </w:tcPr>
          <w:p w14:paraId="51AFA5E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/</w:t>
            </w:r>
          </w:p>
        </w:tc>
        <w:tc>
          <w:tcPr>
            <w:tcW w:w="1606" w:type="dxa"/>
            <w:tcBorders>
              <w:top w:val="nil"/>
            </w:tcBorders>
            <w:shd w:val="clear" w:color="auto" w:fill="auto"/>
            <w:vAlign w:val="center"/>
          </w:tcPr>
          <w:p w14:paraId="500D002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/</w:t>
            </w:r>
          </w:p>
        </w:tc>
        <w:tc>
          <w:tcPr>
            <w:tcW w:w="1919" w:type="dxa"/>
            <w:tcBorders>
              <w:top w:val="nil"/>
            </w:tcBorders>
            <w:shd w:val="clear" w:color="auto" w:fill="auto"/>
            <w:vAlign w:val="center"/>
          </w:tcPr>
          <w:p w14:paraId="2D69798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val="en-US" w:eastAsia="zh-CN"/>
              </w:rPr>
              <w:t>/</w:t>
            </w:r>
          </w:p>
        </w:tc>
      </w:tr>
      <w:tr w14:paraId="7FE9916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8"/>
            <w:shd w:val="clear" w:color="auto" w:fill="auto"/>
            <w:vAlign w:val="center"/>
          </w:tcPr>
          <w:p w14:paraId="309A28F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{%tr endif %}</w:t>
            </w:r>
          </w:p>
        </w:tc>
      </w:tr>
    </w:tbl>
    <w:p w14:paraId="6EB293ED">
      <w:pPr>
        <w:rPr>
          <w:rFonts w:eastAsia="宋体"/>
          <w:lang w:eastAsia="zh-CN"/>
        </w:rPr>
      </w:pPr>
    </w:p>
    <w:p w14:paraId="2932CF06">
      <w:pPr>
        <w:spacing w:after="0"/>
        <w:outlineLvl w:val="3"/>
        <w:rPr>
          <w:rFonts w:hint="eastAsia" w:ascii="微软雅黑" w:hAnsi="微软雅黑" w:eastAsia="微软雅黑"/>
          <w:b/>
          <w:bCs/>
          <w:color w:val="000000"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变异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val="en-US" w:eastAsia="zh-CN"/>
        </w:rPr>
        <w:t>位点</w:t>
      </w:r>
      <w:r>
        <w:rPr>
          <w:rFonts w:hint="eastAsia" w:ascii="微软雅黑" w:hAnsi="微软雅黑" w:eastAsia="微软雅黑"/>
          <w:b/>
          <w:color w:val="000000"/>
          <w:sz w:val="24"/>
          <w:lang w:eastAsia="zh-CN"/>
        </w:rPr>
        <w:t>用药提示</w:t>
      </w:r>
    </w:p>
    <w:tbl>
      <w:tblPr>
        <w:tblStyle w:val="164"/>
        <w:tblW w:w="5035" w:type="pct"/>
        <w:jc w:val="center"/>
        <w:tblBorders>
          <w:top w:val="single" w:color="00B050" w:sz="18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54"/>
        <w:gridCol w:w="1735"/>
        <w:gridCol w:w="1261"/>
        <w:gridCol w:w="1049"/>
        <w:gridCol w:w="2198"/>
        <w:gridCol w:w="2202"/>
      </w:tblGrid>
      <w:tr w14:paraId="20DFF06B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tblHeader/>
          <w:jc w:val="center"/>
        </w:trPr>
        <w:tc>
          <w:tcPr>
            <w:tcW w:w="646" w:type="pct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006600"/>
            <w:vAlign w:val="center"/>
          </w:tcPr>
          <w:p w14:paraId="45502468">
            <w:pPr>
              <w:pStyle w:val="166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检测</w:t>
            </w: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基因</w:t>
            </w:r>
          </w:p>
        </w:tc>
        <w:tc>
          <w:tcPr>
            <w:tcW w:w="895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6600"/>
            <w:vAlign w:val="center"/>
          </w:tcPr>
          <w:p w14:paraId="13038140">
            <w:pPr>
              <w:pStyle w:val="166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  <w:tc>
          <w:tcPr>
            <w:tcW w:w="650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6600"/>
            <w:vAlign w:val="center"/>
          </w:tcPr>
          <w:p w14:paraId="6B6EF6DA">
            <w:pPr>
              <w:pStyle w:val="166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突变类型</w:t>
            </w:r>
          </w:p>
        </w:tc>
        <w:tc>
          <w:tcPr>
            <w:tcW w:w="541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6600"/>
            <w:vAlign w:val="center"/>
          </w:tcPr>
          <w:p w14:paraId="46F9412D">
            <w:pPr>
              <w:pStyle w:val="166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杂合/纯合</w:t>
            </w:r>
          </w:p>
        </w:tc>
        <w:tc>
          <w:tcPr>
            <w:tcW w:w="1133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6600"/>
            <w:vAlign w:val="center"/>
          </w:tcPr>
          <w:p w14:paraId="2F7BB5F8">
            <w:pPr>
              <w:pStyle w:val="166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可能获益药物</w:t>
            </w:r>
          </w:p>
        </w:tc>
        <w:tc>
          <w:tcPr>
            <w:tcW w:w="1133" w:type="pct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006600"/>
            <w:vAlign w:val="center"/>
          </w:tcPr>
          <w:p w14:paraId="02E3A94B">
            <w:pPr>
              <w:pStyle w:val="166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可能耐药药物</w:t>
            </w:r>
          </w:p>
        </w:tc>
      </w:tr>
      <w:tr w14:paraId="2FBB9EAF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944D13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262" w:right="131"/>
              <w:jc w:val="center"/>
              <w:textAlignment w:val="auto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{%tr if embryonalDrugTipLineStr != [] %}</w:t>
            </w:r>
          </w:p>
        </w:tc>
      </w:tr>
      <w:tr w14:paraId="4FA9CB79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9AA9F5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262" w:right="131"/>
              <w:jc w:val="center"/>
              <w:textAlignment w:val="auto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{%tr for tip in embryonalDrugTipLineStr %}</w:t>
            </w:r>
          </w:p>
        </w:tc>
      </w:tr>
      <w:tr w14:paraId="3BFB9BBB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1286" w:type="dxa"/>
            <w:tcBorders>
              <w:top w:val="nil"/>
              <w:left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71A5ED7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162" w:right="163"/>
              <w:jc w:val="center"/>
              <w:textAlignment w:val="auto"/>
              <w:rPr>
                <w:rFonts w:hint="default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{{ tip.gene }}</w:t>
            </w:r>
          </w:p>
        </w:tc>
        <w:tc>
          <w:tcPr>
            <w:tcW w:w="1780" w:type="dxa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37F9632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116" w:right="116"/>
              <w:jc w:val="center"/>
              <w:textAlignment w:val="auto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 tip.ori_variant }}</w:t>
            </w:r>
          </w:p>
        </w:tc>
        <w:tc>
          <w:tcPr>
            <w:tcW w:w="650" w:type="pct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711CD4C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 tip.ExonicFunc }}</w:t>
            </w:r>
          </w:p>
        </w:tc>
        <w:tc>
          <w:tcPr>
            <w:tcW w:w="541" w:type="pct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1EFD6AF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 tip.mutFreq }}</w:t>
            </w:r>
          </w:p>
        </w:tc>
        <w:tc>
          <w:tcPr>
            <w:tcW w:w="2253" w:type="dxa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7CD267C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sz w:val="18"/>
                <w:szCs w:val="18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tip.drugNameList == [] %}无{% else%}{% for d in tip.drugNameList 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val="en-US" w:eastAsia="zh-CN"/>
              </w:rPr>
              <w:t>{{d.name_level}}{%if not loop.last %}，</w:t>
            </w:r>
          </w:p>
          <w:p w14:paraId="24E1A14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val="en-US" w:eastAsia="zh-CN"/>
              </w:rPr>
              <w:t>{% endif %}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endfor %}{% endif%}</w:t>
            </w:r>
          </w:p>
        </w:tc>
        <w:tc>
          <w:tcPr>
            <w:tcW w:w="2253" w:type="dxa"/>
            <w:tcBorders>
              <w:top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3164EFE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eastAsia" w:ascii="Times New Roman" w:hAnsi="Times New Roman" w:eastAsia="微软雅黑" w:cs="Times New Roman"/>
                <w:sz w:val="18"/>
                <w:szCs w:val="18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if tip.ResistantDrug == [] %}无{% else%}{% for d in tip.ResistantDrug 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val="en-US" w:eastAsia="zh-CN"/>
              </w:rPr>
              <w:t>{{d.name_level}}{%if not loop.last %}，</w:t>
            </w:r>
          </w:p>
          <w:p w14:paraId="27674FE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val="en-US" w:eastAsia="zh-CN"/>
              </w:rPr>
              <w:t>{% endif %}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endfor %}{% endif%}</w:t>
            </w:r>
          </w:p>
        </w:tc>
      </w:tr>
      <w:tr w14:paraId="4F5573FA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5000" w:type="pct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4FC451B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ind w:left="262" w:right="131"/>
              <w:jc w:val="center"/>
              <w:textAlignment w:val="auto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{%tr endfor %}</w:t>
            </w:r>
          </w:p>
        </w:tc>
      </w:tr>
      <w:tr w14:paraId="1B913B31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625CF37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{%tr else %}</w:t>
            </w:r>
          </w:p>
        </w:tc>
      </w:tr>
      <w:tr w14:paraId="18D549FE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7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5606E7E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本次检测未发现靶药相关致病性及可能致病性变异位点</w:t>
            </w:r>
          </w:p>
        </w:tc>
      </w:tr>
      <w:tr w14:paraId="290C2598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4E72BA0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{%tr endif %}</w:t>
            </w:r>
          </w:p>
        </w:tc>
      </w:tr>
    </w:tbl>
    <w:p w14:paraId="02CAC240">
      <w:pPr>
        <w:widowControl w:val="0"/>
        <w:spacing w:before="47" w:after="0" w:line="240" w:lineRule="auto"/>
        <w:rPr>
          <w:rFonts w:ascii="Times New Roman" w:hAnsi="Times New Roman" w:eastAsia="微软雅黑" w:cs="Times New Roman"/>
          <w:b/>
          <w:bCs/>
          <w:sz w:val="15"/>
          <w:szCs w:val="15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15"/>
          <w:szCs w:val="15"/>
          <w:lang w:eastAsia="zh-CN"/>
        </w:rPr>
        <w:t>注：</w:t>
      </w:r>
    </w:p>
    <w:p w14:paraId="378ACE05">
      <w:pPr>
        <w:widowControl w:val="0"/>
        <w:spacing w:after="0" w:line="240" w:lineRule="auto"/>
        <w:rPr>
          <w:rFonts w:ascii="Times New Roman" w:hAnsi="Times New Roman" w:eastAsia="微软雅黑" w:cs="Times New Roman"/>
          <w:bCs/>
          <w:sz w:val="15"/>
          <w:szCs w:val="15"/>
          <w:lang w:eastAsia="zh-CN"/>
        </w:rPr>
      </w:pPr>
      <w:r>
        <w:rPr>
          <w:rFonts w:ascii="Times New Roman" w:hAnsi="Times New Roman" w:eastAsia="微软雅黑" w:cs="Times New Roman"/>
          <w:bCs/>
          <w:sz w:val="15"/>
          <w:szCs w:val="15"/>
          <w:lang w:eastAsia="zh-CN"/>
        </w:rPr>
        <w:t xml:space="preserve">1.  </w:t>
      </w:r>
      <w:r>
        <w:rPr>
          <w:rFonts w:hint="eastAsia" w:ascii="Times New Roman" w:hAnsi="Times New Roman" w:eastAsia="微软雅黑" w:cs="Times New Roman"/>
          <w:bCs/>
          <w:sz w:val="15"/>
          <w:szCs w:val="15"/>
          <w:lang w:eastAsia="zh-CN"/>
        </w:rPr>
        <w:t>根据美国医学遗传医师学会（</w:t>
      </w:r>
      <w:r>
        <w:rPr>
          <w:rFonts w:ascii="Times New Roman" w:hAnsi="Times New Roman" w:eastAsia="微软雅黑" w:cs="Times New Roman"/>
          <w:bCs/>
          <w:sz w:val="15"/>
          <w:szCs w:val="15"/>
          <w:lang w:eastAsia="zh-CN"/>
        </w:rPr>
        <w:t>ACMG</w:t>
      </w:r>
      <w:r>
        <w:rPr>
          <w:rFonts w:hint="eastAsia" w:ascii="Times New Roman" w:hAnsi="Times New Roman" w:eastAsia="微软雅黑" w:cs="Times New Roman"/>
          <w:bCs/>
          <w:sz w:val="15"/>
          <w:szCs w:val="15"/>
          <w:lang w:eastAsia="zh-CN"/>
        </w:rPr>
        <w:t>）指导意见，个体携带的变异，分为</w:t>
      </w:r>
      <w:r>
        <w:rPr>
          <w:rFonts w:ascii="Times New Roman" w:hAnsi="Times New Roman" w:eastAsia="微软雅黑" w:cs="Times New Roman"/>
          <w:bCs/>
          <w:sz w:val="15"/>
          <w:szCs w:val="15"/>
          <w:lang w:eastAsia="zh-CN"/>
        </w:rPr>
        <w:t>5</w:t>
      </w:r>
      <w:r>
        <w:rPr>
          <w:rFonts w:hint="eastAsia" w:ascii="Times New Roman" w:hAnsi="Times New Roman" w:eastAsia="微软雅黑" w:cs="Times New Roman"/>
          <w:bCs/>
          <w:sz w:val="15"/>
          <w:szCs w:val="15"/>
          <w:lang w:eastAsia="zh-CN"/>
        </w:rPr>
        <w:t>个大类：</w:t>
      </w:r>
    </w:p>
    <w:p w14:paraId="630E5535">
      <w:pPr>
        <w:widowControl w:val="0"/>
        <w:spacing w:after="0" w:line="240" w:lineRule="auto"/>
        <w:rPr>
          <w:rFonts w:ascii="Times New Roman" w:hAnsi="Times New Roman" w:eastAsia="微软雅黑" w:cs="Times New Roman"/>
          <w:color w:val="000000"/>
          <w:sz w:val="15"/>
          <w:szCs w:val="15"/>
          <w:lang w:eastAsia="zh-CN"/>
        </w:rPr>
      </w:pPr>
      <w:r>
        <w:rPr>
          <w:rFonts w:ascii="Times New Roman" w:hAnsi="Times New Roman" w:eastAsia="微软雅黑" w:cs="Times New Roman"/>
          <w:bCs/>
          <w:sz w:val="15"/>
          <w:szCs w:val="15"/>
          <w:lang w:eastAsia="zh-CN"/>
        </w:rPr>
        <w:t>●</w:t>
      </w:r>
      <w:r>
        <w:rPr>
          <w:rFonts w:hint="eastAsia" w:ascii="Times New Roman" w:hAnsi="Times New Roman" w:eastAsia="微软雅黑" w:cs="Times New Roman"/>
          <w:bCs/>
          <w:sz w:val="15"/>
          <w:szCs w:val="15"/>
          <w:lang w:eastAsia="zh-CN"/>
        </w:rPr>
        <w:t>致病性变异：有大量证据表明这种变异是高风险的致病性变异。</w:t>
      </w:r>
    </w:p>
    <w:p w14:paraId="37E7B65C">
      <w:pPr>
        <w:widowControl w:val="0"/>
        <w:spacing w:after="0" w:line="240" w:lineRule="auto"/>
        <w:rPr>
          <w:rFonts w:ascii="Times New Roman" w:hAnsi="Times New Roman" w:eastAsia="微软雅黑" w:cs="Times New Roman"/>
          <w:color w:val="000000"/>
          <w:sz w:val="15"/>
          <w:szCs w:val="15"/>
          <w:lang w:eastAsia="zh-CN"/>
        </w:rPr>
      </w:pPr>
      <w:r>
        <w:rPr>
          <w:rFonts w:ascii="Times New Roman" w:hAnsi="Times New Roman" w:eastAsia="微软雅黑" w:cs="Times New Roman"/>
          <w:bCs/>
          <w:sz w:val="15"/>
          <w:szCs w:val="15"/>
          <w:lang w:eastAsia="zh-CN"/>
        </w:rPr>
        <w:t>●</w:t>
      </w:r>
      <w:r>
        <w:rPr>
          <w:rFonts w:hint="eastAsia" w:ascii="Times New Roman" w:hAnsi="Times New Roman" w:eastAsia="微软雅黑" w:cs="Times New Roman"/>
          <w:bCs/>
          <w:sz w:val="15"/>
          <w:szCs w:val="15"/>
          <w:lang w:eastAsia="zh-CN"/>
        </w:rPr>
        <w:t>可能致病性变异：有一些证据表明这种变异是高风险的致病性变异。</w:t>
      </w:r>
    </w:p>
    <w:p w14:paraId="4F4BB4AC">
      <w:pPr>
        <w:widowControl w:val="0"/>
        <w:spacing w:after="0" w:line="240" w:lineRule="auto"/>
        <w:rPr>
          <w:rFonts w:ascii="Times New Roman" w:hAnsi="Times New Roman" w:eastAsia="微软雅黑" w:cs="Times New Roman"/>
          <w:color w:val="000000"/>
          <w:sz w:val="15"/>
          <w:szCs w:val="15"/>
          <w:lang w:eastAsia="zh-CN"/>
        </w:rPr>
      </w:pPr>
      <w:r>
        <w:rPr>
          <w:rFonts w:ascii="Times New Roman" w:hAnsi="Times New Roman" w:eastAsia="微软雅黑" w:cs="Times New Roman"/>
          <w:bCs/>
          <w:sz w:val="15"/>
          <w:szCs w:val="15"/>
          <w:lang w:eastAsia="zh-CN"/>
        </w:rPr>
        <w:t>●</w:t>
      </w:r>
      <w:r>
        <w:rPr>
          <w:rFonts w:hint="eastAsia" w:ascii="Times New Roman" w:hAnsi="Times New Roman" w:eastAsia="微软雅黑" w:cs="Times New Roman"/>
          <w:bCs/>
          <w:sz w:val="15"/>
          <w:szCs w:val="15"/>
          <w:lang w:eastAsia="zh-CN"/>
        </w:rPr>
        <w:t>不确定性变异：没有足够的证据，将变异分类到其他四类中。</w:t>
      </w:r>
    </w:p>
    <w:p w14:paraId="265F0EBE">
      <w:pPr>
        <w:widowControl w:val="0"/>
        <w:spacing w:after="0" w:line="240" w:lineRule="auto"/>
        <w:rPr>
          <w:rFonts w:ascii="Times New Roman" w:hAnsi="Times New Roman" w:eastAsia="微软雅黑" w:cs="Times New Roman"/>
          <w:color w:val="000000"/>
          <w:sz w:val="15"/>
          <w:szCs w:val="15"/>
          <w:lang w:eastAsia="zh-CN"/>
        </w:rPr>
      </w:pPr>
      <w:r>
        <w:rPr>
          <w:rFonts w:ascii="Times New Roman" w:hAnsi="Times New Roman" w:eastAsia="微软雅黑" w:cs="Times New Roman"/>
          <w:bCs/>
          <w:sz w:val="15"/>
          <w:szCs w:val="15"/>
          <w:lang w:eastAsia="zh-CN"/>
        </w:rPr>
        <w:t>●</w:t>
      </w:r>
      <w:r>
        <w:rPr>
          <w:rFonts w:hint="eastAsia" w:ascii="Times New Roman" w:hAnsi="Times New Roman" w:eastAsia="微软雅黑" w:cs="Times New Roman"/>
          <w:bCs/>
          <w:sz w:val="15"/>
          <w:szCs w:val="15"/>
          <w:lang w:eastAsia="zh-CN"/>
        </w:rPr>
        <w:t>可能良性变异：有一些证据表明这种变异不是高风险的致病变异。</w:t>
      </w:r>
    </w:p>
    <w:p w14:paraId="27C543DA">
      <w:pPr>
        <w:widowControl w:val="0"/>
        <w:spacing w:after="0" w:line="240" w:lineRule="auto"/>
        <w:rPr>
          <w:rFonts w:ascii="Times New Roman" w:hAnsi="Times New Roman" w:eastAsia="微软雅黑" w:cs="Times New Roman"/>
          <w:color w:val="000000"/>
          <w:sz w:val="15"/>
          <w:szCs w:val="15"/>
          <w:lang w:eastAsia="zh-CN"/>
        </w:rPr>
      </w:pPr>
      <w:r>
        <w:rPr>
          <w:rFonts w:ascii="Times New Roman" w:hAnsi="Times New Roman" w:eastAsia="微软雅黑" w:cs="Times New Roman"/>
          <w:bCs/>
          <w:sz w:val="15"/>
          <w:szCs w:val="15"/>
          <w:lang w:eastAsia="zh-CN"/>
        </w:rPr>
        <w:t>●</w:t>
      </w:r>
      <w:r>
        <w:rPr>
          <w:rFonts w:hint="eastAsia" w:ascii="Times New Roman" w:hAnsi="Times New Roman" w:eastAsia="微软雅黑" w:cs="Times New Roman"/>
          <w:bCs/>
          <w:sz w:val="15"/>
          <w:szCs w:val="15"/>
          <w:lang w:eastAsia="zh-CN"/>
        </w:rPr>
        <w:t>良性变异：有大量证据表明这种变异不是高风险的致病变异。</w:t>
      </w:r>
    </w:p>
    <w:p w14:paraId="55C8B7D8">
      <w:pPr>
        <w:widowControl w:val="0"/>
        <w:spacing w:after="0" w:line="240" w:lineRule="auto"/>
        <w:rPr>
          <w:rFonts w:ascii="Times New Roman" w:hAnsi="Times New Roman" w:eastAsia="微软雅黑" w:cs="Times New Roman"/>
          <w:color w:val="000000"/>
          <w:sz w:val="15"/>
          <w:szCs w:val="15"/>
          <w:lang w:eastAsia="zh-CN"/>
        </w:rPr>
      </w:pPr>
      <w:r>
        <w:rPr>
          <w:rFonts w:ascii="Times New Roman" w:hAnsi="Times New Roman" w:eastAsia="微软雅黑" w:cs="Times New Roman"/>
          <w:bCs/>
          <w:sz w:val="15"/>
          <w:szCs w:val="15"/>
          <w:lang w:eastAsia="zh-CN"/>
        </w:rPr>
        <w:t xml:space="preserve">2.  </w:t>
      </w:r>
      <w:r>
        <w:rPr>
          <w:rFonts w:hint="eastAsia" w:ascii="Times New Roman" w:hAnsi="Times New Roman" w:eastAsia="微软雅黑" w:cs="Times New Roman"/>
          <w:bCs/>
          <w:sz w:val="15"/>
          <w:szCs w:val="15"/>
          <w:lang w:eastAsia="zh-CN"/>
        </w:rPr>
        <w:t>基因变异临床意义等级来源于</w:t>
      </w:r>
      <w:r>
        <w:rPr>
          <w:rFonts w:ascii="Times New Roman" w:hAnsi="Times New Roman" w:eastAsia="微软雅黑" w:cs="Times New Roman"/>
          <w:bCs/>
          <w:sz w:val="15"/>
          <w:szCs w:val="15"/>
          <w:lang w:eastAsia="zh-CN"/>
        </w:rPr>
        <w:t>ACMG</w:t>
      </w:r>
      <w:r>
        <w:rPr>
          <w:rFonts w:hint="eastAsia" w:ascii="Times New Roman" w:hAnsi="Times New Roman" w:eastAsia="微软雅黑" w:cs="Times New Roman"/>
          <w:bCs/>
          <w:sz w:val="15"/>
          <w:szCs w:val="15"/>
          <w:lang w:eastAsia="zh-CN"/>
        </w:rPr>
        <w:t>指南及</w:t>
      </w:r>
      <w:r>
        <w:rPr>
          <w:rFonts w:ascii="Times New Roman" w:hAnsi="Times New Roman" w:eastAsia="微软雅黑" w:cs="Times New Roman"/>
          <w:bCs/>
          <w:sz w:val="15"/>
          <w:szCs w:val="15"/>
          <w:lang w:eastAsia="zh-CN"/>
        </w:rPr>
        <w:t>Clinvar</w:t>
      </w:r>
      <w:r>
        <w:rPr>
          <w:rFonts w:hint="eastAsia" w:ascii="Times New Roman" w:hAnsi="Times New Roman" w:eastAsia="微软雅黑" w:cs="Times New Roman"/>
          <w:bCs/>
          <w:sz w:val="15"/>
          <w:szCs w:val="15"/>
          <w:lang w:eastAsia="zh-CN"/>
        </w:rPr>
        <w:t>等公共数据库，随着相关指南、数据库不断完善以及临床数据的更新，变异分级可能发生变化。</w:t>
      </w:r>
    </w:p>
    <w:p w14:paraId="1041B569">
      <w:pPr>
        <w:widowControl w:val="0"/>
        <w:spacing w:after="0" w:line="240" w:lineRule="auto"/>
        <w:rPr>
          <w:rFonts w:ascii="Times New Roman" w:hAnsi="Times New Roman" w:eastAsia="微软雅黑" w:cs="Times New Roman"/>
          <w:color w:val="000000"/>
          <w:sz w:val="15"/>
          <w:szCs w:val="15"/>
          <w:lang w:eastAsia="zh-CN"/>
        </w:rPr>
      </w:pPr>
      <w:r>
        <w:rPr>
          <w:rFonts w:ascii="Times New Roman" w:hAnsi="Times New Roman" w:eastAsia="微软雅黑" w:cs="Times New Roman"/>
          <w:bCs/>
          <w:sz w:val="15"/>
          <w:szCs w:val="15"/>
          <w:lang w:eastAsia="zh-CN"/>
        </w:rPr>
        <w:t xml:space="preserve">3.  </w:t>
      </w:r>
      <w:r>
        <w:rPr>
          <w:rFonts w:hint="eastAsia" w:ascii="Times New Roman" w:hAnsi="Times New Roman" w:eastAsia="微软雅黑" w:cs="Times New Roman"/>
          <w:bCs/>
          <w:sz w:val="15"/>
          <w:szCs w:val="15"/>
          <w:lang w:eastAsia="zh-CN"/>
        </w:rPr>
        <w:t>良性变异和可能良性变异不在报告中展示。</w:t>
      </w:r>
    </w:p>
    <w:p w14:paraId="2C0FBB89">
      <w:pPr>
        <w:rPr>
          <w:rFonts w:eastAsia="宋体"/>
          <w:lang w:eastAsia="zh-CN"/>
        </w:rPr>
      </w:pPr>
      <w:r>
        <w:rPr>
          <w:rFonts w:eastAsia="宋体"/>
          <w:lang w:eastAsia="zh-CN"/>
        </w:rPr>
        <w:br w:type="page"/>
      </w:r>
    </w:p>
    <w:p w14:paraId="564DA81D">
      <w:pPr>
        <w:widowControl w:val="0"/>
        <w:spacing w:after="0" w:line="240" w:lineRule="auto"/>
        <w:rPr>
          <w:rFonts w:hint="eastAsia" w:ascii="微软雅黑" w:hAnsi="微软雅黑" w:eastAsia="微软雅黑"/>
          <w:b/>
          <w:color w:val="000000"/>
          <w:sz w:val="32"/>
          <w:lang w:eastAsia="zh-CN"/>
        </w:rPr>
      </w:pPr>
      <w:r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  <w:t>{%if geneticCancerRiskInfo %}</w:t>
      </w:r>
      <w:r>
        <w:rPr>
          <w:rFonts w:ascii="微软雅黑" w:hAnsi="微软雅黑" w:eastAsia="微软雅黑"/>
          <w:b/>
          <w:color w:val="000000"/>
          <w:sz w:val="32"/>
          <w:lang w:eastAsia="zh-CN"/>
        </w:rPr>
        <w:t>检测结果详细解析</w:t>
      </w:r>
    </w:p>
    <w:p w14:paraId="64837D62">
      <w:pPr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/>
        <w:jc w:val="left"/>
        <w:textAlignment w:val="auto"/>
        <w:outlineLvl w:val="0"/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</w:pPr>
      <w:bookmarkStart w:id="0" w:name="_Toc149837265"/>
      <w:r>
        <w:rPr>
          <w:rFonts w:hint="default" w:ascii="Times New Roman" w:hAnsi="Times New Roman" w:eastAsia="微软雅黑" w:cs="Times New Roman"/>
          <w:b/>
          <w:bCs/>
          <w:color w:val="auto"/>
          <w:sz w:val="32"/>
          <w:szCs w:val="36"/>
          <w:lang w:val="en-US" w:eastAsia="zh-CN" w:bidi="ar-SA"/>
          <w14:shadow w14:blurRad="0" w14:dist="0" w14:dir="0" w14:sx="0" w14:sy="0" w14:kx="0" w14:ky="0" w14:algn="none">
            <w14:srgbClr w14:val="000000"/>
          </w14:shadow>
        </w:rPr>
        <w:t>变异位点结果解析</w:t>
      </w:r>
      <w:r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  <w:t>{% for tdd in geneticCancerRiskInfo %}</w:t>
      </w:r>
      <w:bookmarkEnd w:id="0"/>
    </w:p>
    <w:p w14:paraId="275BF50E">
      <w:pPr>
        <w:keepNext/>
        <w:widowControl w:val="0"/>
        <w:spacing w:before="120" w:beforeLines="50" w:after="120" w:afterLines="50" w:line="240" w:lineRule="auto"/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  <w:t>{{ tdd.gene }}</w:t>
      </w:r>
    </w:p>
    <w:tbl>
      <w:tblPr>
        <w:tblStyle w:val="32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5"/>
        <w:gridCol w:w="8435"/>
      </w:tblGrid>
      <w:tr w14:paraId="52B3F77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435" w:type="dxa"/>
            <w:tcBorders>
              <w:top w:val="nil"/>
              <w:left w:val="nil"/>
              <w:bottom w:val="single" w:color="FFFFFF" w:sz="18" w:space="0"/>
              <w:right w:val="nil"/>
            </w:tcBorders>
            <w:shd w:val="clear" w:color="auto" w:fill="006600"/>
            <w:vAlign w:val="center"/>
          </w:tcPr>
          <w:p w14:paraId="001AE7D5">
            <w:pPr>
              <w:keepNext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  <w:t>突变形式</w:t>
            </w:r>
          </w:p>
        </w:tc>
        <w:tc>
          <w:tcPr>
            <w:tcW w:w="8435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43AB5D42">
            <w:pPr>
              <w:keepNext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tdd.ori_variant }}</w:t>
            </w:r>
          </w:p>
        </w:tc>
      </w:tr>
      <w:tr w14:paraId="48C7381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435" w:type="dxa"/>
            <w:tcBorders>
              <w:top w:val="single" w:color="FFFFFF" w:sz="18" w:space="0"/>
              <w:left w:val="nil"/>
              <w:bottom w:val="single" w:color="FFFFFF" w:sz="18" w:space="0"/>
              <w:right w:val="nil"/>
            </w:tcBorders>
            <w:shd w:val="clear" w:color="auto" w:fill="006600"/>
            <w:vAlign w:val="center"/>
          </w:tcPr>
          <w:p w14:paraId="3FBCB21A">
            <w:pPr>
              <w:keepNext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  <w:t>{{ tdd.mutFreqType }}</w:t>
            </w:r>
          </w:p>
        </w:tc>
        <w:tc>
          <w:tcPr>
            <w:tcW w:w="8435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1E992BEA">
            <w:pPr>
              <w:keepNext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tdd.mutFreq }}</w:t>
            </w:r>
          </w:p>
        </w:tc>
      </w:tr>
      <w:tr w14:paraId="72AED99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35" w:type="dxa"/>
            <w:tcBorders>
              <w:top w:val="single" w:color="FFFFFF" w:sz="18" w:space="0"/>
              <w:left w:val="nil"/>
              <w:right w:val="nil"/>
            </w:tcBorders>
            <w:shd w:val="clear" w:color="auto" w:fill="006600"/>
            <w:vAlign w:val="center"/>
          </w:tcPr>
          <w:p w14:paraId="2F3D50B1">
            <w:pPr>
              <w:keepNext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  <w:t>基因突变相关说明</w:t>
            </w:r>
          </w:p>
        </w:tc>
        <w:tc>
          <w:tcPr>
            <w:tcW w:w="8435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09B6F0B2">
            <w:pPr>
              <w:keepNext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'变异解析:' %}</w:t>
            </w:r>
            <w:r>
              <w:rPr>
                <w:rFonts w:hint="default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{{md.value}}{% elif md.value == '' %}{% else%}</w:t>
            </w:r>
            <w:r>
              <w:rPr>
                <w:rFonts w:hint="default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43653B34">
            <w:pPr>
              <w:keepNext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40" w:lineRule="auto"/>
              <w:textAlignment w:val="auto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78747C8F">
      <w:pPr>
        <w:widowControl w:val="0"/>
        <w:spacing w:before="26" w:after="0" w:line="240" w:lineRule="auto"/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44394350">
      <w:pPr>
        <w:keepNext/>
        <w:widowControl w:val="0"/>
        <w:spacing w:before="26" w:after="0" w:line="240" w:lineRule="auto"/>
        <w:rPr>
          <w:rFonts w:hint="default" w:ascii="Times New Roman" w:hAnsi="Times New Roman" w:eastAsia="微软雅黑" w:cs="Times New Roman"/>
          <w:b/>
          <w:sz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32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23A909A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006600"/>
            <w:vAlign w:val="center"/>
          </w:tcPr>
          <w:p w14:paraId="053030FE">
            <w:pPr>
              <w:keepNext/>
              <w:widowControl w:val="0"/>
              <w:spacing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6600"/>
            <w:vAlign w:val="center"/>
          </w:tcPr>
          <w:p w14:paraId="48688502">
            <w:pPr>
              <w:keepNext/>
              <w:widowControl w:val="0"/>
              <w:spacing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6600"/>
            <w:vAlign w:val="center"/>
          </w:tcPr>
          <w:p w14:paraId="242CB20B">
            <w:pPr>
              <w:keepNext/>
              <w:widowControl w:val="0"/>
              <w:spacing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  <w:t>证据等级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006600"/>
            <w:vAlign w:val="center"/>
          </w:tcPr>
          <w:p w14:paraId="73DE087E">
            <w:pPr>
              <w:keepNext/>
              <w:widowControl w:val="0"/>
              <w:spacing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  <w:t>循证医学信息</w:t>
            </w:r>
          </w:p>
        </w:tc>
      </w:tr>
      <w:tr w14:paraId="61395A0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18431B1A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1EC10CA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3EEA24F1">
            <w:pPr>
              <w:widowControl w:val="0"/>
              <w:spacing w:before="1" w:after="0" w:line="249" w:lineRule="auto"/>
              <w:ind w:right="131"/>
              <w:jc w:val="center"/>
              <w:rPr>
                <w:rFonts w:hint="default"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dis.drug_name_chinese3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E7BB75E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25CB4EB1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51FE0A66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423CF1F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28407B9E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7E77AC48">
      <w:pPr>
        <w:widowControl w:val="0"/>
        <w:spacing w:before="26" w:after="0" w:line="240" w:lineRule="auto"/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2A2E760B">
      <w:pPr>
        <w:keepNext/>
        <w:widowControl w:val="0"/>
        <w:spacing w:before="26" w:after="0" w:line="240" w:lineRule="auto"/>
        <w:rPr>
          <w:rFonts w:hint="default" w:ascii="Times New Roman" w:hAnsi="Times New Roman" w:eastAsia="微软雅黑" w:cs="Times New Roman"/>
          <w:b/>
          <w:sz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32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325421D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006600"/>
            <w:vAlign w:val="center"/>
          </w:tcPr>
          <w:p w14:paraId="6E6E2AEE">
            <w:pPr>
              <w:keepNext/>
              <w:widowControl w:val="0"/>
              <w:spacing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6600"/>
            <w:vAlign w:val="center"/>
          </w:tcPr>
          <w:p w14:paraId="1865CA0E">
            <w:pPr>
              <w:keepNext/>
              <w:widowControl w:val="0"/>
              <w:spacing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6600"/>
            <w:vAlign w:val="center"/>
          </w:tcPr>
          <w:p w14:paraId="7D96DDC5">
            <w:pPr>
              <w:keepNext/>
              <w:widowControl w:val="0"/>
              <w:spacing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  <w:t>证据等级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006600"/>
            <w:vAlign w:val="center"/>
          </w:tcPr>
          <w:p w14:paraId="23B46CE6">
            <w:pPr>
              <w:keepNext/>
              <w:widowControl w:val="0"/>
              <w:spacing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  <w:t>循证医学信息</w:t>
            </w:r>
          </w:p>
        </w:tc>
      </w:tr>
      <w:tr w14:paraId="7DA292A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41A67631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tdd.potentialDrugList %}</w:t>
            </w:r>
          </w:p>
        </w:tc>
      </w:tr>
      <w:tr w14:paraId="42F2619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1ABCAFC7">
            <w:pPr>
              <w:widowControl w:val="0"/>
              <w:spacing w:before="1" w:after="0" w:line="249" w:lineRule="auto"/>
              <w:ind w:right="131"/>
              <w:jc w:val="center"/>
              <w:rPr>
                <w:rFonts w:hint="default"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dis.drug_name_chinese3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7043D3EC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617BF3A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1E5FFC04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46DB5C9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1194F5CB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32AC184E">
      <w:pPr>
        <w:widowControl w:val="0"/>
        <w:spacing w:before="26" w:after="0" w:line="240" w:lineRule="auto"/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7278AB86">
      <w:pPr>
        <w:keepNext/>
        <w:widowControl w:val="0"/>
        <w:spacing w:before="26" w:after="0" w:line="240" w:lineRule="auto"/>
        <w:rPr>
          <w:rFonts w:hint="default" w:ascii="Times New Roman" w:hAnsi="Times New Roman" w:eastAsia="微软雅黑" w:cs="Times New Roman"/>
          <w:b/>
          <w:sz w:val="24"/>
          <w:lang w:eastAsia="zh-CN"/>
        </w:rPr>
      </w:pPr>
      <w:r>
        <w:rPr>
          <w:rFonts w:hint="default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32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4088A0B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006600"/>
            <w:vAlign w:val="center"/>
          </w:tcPr>
          <w:p w14:paraId="6AD10C00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6600"/>
            <w:vAlign w:val="center"/>
          </w:tcPr>
          <w:p w14:paraId="37DE1ACD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6600"/>
            <w:vAlign w:val="center"/>
          </w:tcPr>
          <w:p w14:paraId="75E6A9D4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6600"/>
            <w:vAlign w:val="center"/>
          </w:tcPr>
          <w:p w14:paraId="33164EB3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6600"/>
            <w:vAlign w:val="center"/>
          </w:tcPr>
          <w:p w14:paraId="6D7BBF47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006600"/>
            <w:vAlign w:val="center"/>
          </w:tcPr>
          <w:p w14:paraId="1A6F828D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/>
                <w:sz w:val="18"/>
                <w:szCs w:val="18"/>
                <w:lang w:eastAsia="zh-CN"/>
              </w:rPr>
              <w:t>地点</w:t>
            </w:r>
          </w:p>
        </w:tc>
      </w:tr>
      <w:tr w14:paraId="11A1DB3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 w14:paraId="0A2A251B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25F1DF0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CA171C0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0F4F2F9">
            <w:pPr>
              <w:keepNext/>
              <w:widowControl w:val="0"/>
              <w:spacing w:after="0" w:line="240" w:lineRule="auto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22A99EEB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A62C5C1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FC02150">
            <w:pPr>
              <w:widowControl w:val="0"/>
              <w:spacing w:before="1" w:after="0" w:line="249" w:lineRule="auto"/>
              <w:ind w:right="131"/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20FB563A">
            <w:pPr>
              <w:keepNext/>
              <w:widowControl w:val="0"/>
              <w:spacing w:after="0" w:line="240" w:lineRule="auto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 w14:paraId="27F32344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3D4ECA6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 w14:paraId="1E5D90BE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4EA8FE59">
      <w:pPr>
        <w:rPr>
          <w:rFonts w:hint="eastAsia" w:eastAsia="宋体"/>
          <w:lang w:eastAsia="zh-CN"/>
        </w:rPr>
      </w:pPr>
      <w:r>
        <w:rPr>
          <w:rFonts w:hint="default" w:ascii="Times New Roman" w:hAnsi="Times New Roman" w:eastAsia="微软雅黑" w:cs="Times New Roman"/>
          <w:b/>
          <w:color w:val="auto"/>
          <w:sz w:val="21"/>
          <w:szCs w:val="21"/>
          <w:lang w:val="en-US" w:eastAsia="zh-CN" w:bidi="ar-SA"/>
        </w:rPr>
        <w:t>{% endif %}{% endfor %}</w:t>
      </w:r>
      <w:r>
        <w:rPr>
          <w:rFonts w:hint="default" w:ascii="Times New Roman" w:hAnsi="Times New Roman" w:eastAsia="微软雅黑" w:cs="Times New Roman"/>
          <w:b/>
          <w:color w:val="auto"/>
          <w:sz w:val="21"/>
          <w:szCs w:val="21"/>
          <w:lang w:val="en-US" w:eastAsia="zh-CN" w:bidi="ar-SA"/>
        </w:rPr>
        <w:br w:type="page"/>
      </w:r>
      <w:r>
        <w:rPr>
          <w:rFonts w:hint="default" w:ascii="Times New Roman" w:hAnsi="Times New Roman" w:eastAsia="微软雅黑" w:cs="Times New Roman"/>
          <w:b/>
          <w:color w:val="000000"/>
          <w:sz w:val="21"/>
          <w:szCs w:val="21"/>
          <w:highlight w:val="none"/>
          <w:lang w:val="en-US" w:eastAsia="zh-CN" w:bidi="ar-SA"/>
        </w:rPr>
        <w:t>{% endif %}</w:t>
      </w:r>
    </w:p>
    <w:p w14:paraId="638EC60F">
      <w:pPr>
        <w:spacing w:after="0"/>
        <w:outlineLvl w:val="2"/>
      </w:pPr>
      <w:r>
        <w:rPr>
          <w:rFonts w:ascii="微软雅黑" w:hAnsi="微软雅黑" w:eastAsia="微软雅黑"/>
          <w:b/>
          <w:color w:val="000000"/>
          <w:sz w:val="32"/>
        </w:rPr>
        <w:t>附录</w:t>
      </w:r>
    </w:p>
    <w:p w14:paraId="77512A5A">
      <w:pPr>
        <w:spacing w:after="0"/>
        <w:outlineLvl w:val="3"/>
      </w:pPr>
      <w:r>
        <w:rPr>
          <w:rFonts w:ascii="微软雅黑" w:hAnsi="微软雅黑" w:eastAsia="微软雅黑"/>
          <w:b/>
          <w:color w:val="000000"/>
          <w:sz w:val="24"/>
        </w:rPr>
        <w:t>样本主要质控</w:t>
      </w:r>
    </w:p>
    <w:tbl>
      <w:tblPr>
        <w:tblStyle w:val="32"/>
        <w:tblW w:w="9810" w:type="dxa"/>
        <w:jc w:val="center"/>
        <w:tblBorders>
          <w:top w:val="single" w:color="416AAB" w:sz="24" w:space="0"/>
          <w:left w:val="single" w:color="416AAB" w:sz="24" w:space="0"/>
          <w:bottom w:val="single" w:color="416AAB" w:sz="24" w:space="0"/>
          <w:right w:val="single" w:color="416AAB" w:sz="24" w:space="0"/>
          <w:insideH w:val="single" w:color="416AAB" w:sz="24" w:space="0"/>
          <w:insideV w:val="single" w:color="416AAB" w:sz="2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84"/>
        <w:gridCol w:w="2717"/>
        <w:gridCol w:w="2378"/>
        <w:gridCol w:w="2712"/>
        <w:gridCol w:w="19"/>
      </w:tblGrid>
      <w:tr w14:paraId="6189973B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3" w:hRule="atLeast"/>
          <w:jc w:val="center"/>
        </w:trPr>
        <w:tc>
          <w:tcPr>
            <w:tcW w:w="1984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006600"/>
            <w:vAlign w:val="center"/>
          </w:tcPr>
          <w:p w14:paraId="592C7738">
            <w:pPr>
              <w:widowControl w:val="0"/>
              <w:autoSpaceDE w:val="0"/>
              <w:spacing w:after="0" w:line="240" w:lineRule="auto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/>
                <w:sz w:val="21"/>
                <w:szCs w:val="21"/>
                <w:lang w:eastAsia="zh-CN" w:bidi="ar"/>
              </w:rPr>
              <w:t>质控环节</w:t>
            </w:r>
          </w:p>
        </w:tc>
        <w:tc>
          <w:tcPr>
            <w:tcW w:w="27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6600"/>
            <w:vAlign w:val="center"/>
          </w:tcPr>
          <w:p w14:paraId="19E6871F">
            <w:pPr>
              <w:widowControl w:val="0"/>
              <w:autoSpaceDE w:val="0"/>
              <w:spacing w:after="0" w:line="240" w:lineRule="auto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/>
                <w:sz w:val="21"/>
                <w:szCs w:val="21"/>
                <w:lang w:eastAsia="zh-CN" w:bidi="ar"/>
              </w:rPr>
              <w:t>质控参数</w:t>
            </w:r>
          </w:p>
        </w:tc>
        <w:tc>
          <w:tcPr>
            <w:tcW w:w="2378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006600"/>
            <w:vAlign w:val="center"/>
          </w:tcPr>
          <w:p w14:paraId="3BDA79B1">
            <w:pPr>
              <w:widowControl w:val="0"/>
              <w:autoSpaceDE w:val="0"/>
              <w:spacing w:after="0" w:line="240" w:lineRule="auto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/>
                <w:sz w:val="21"/>
                <w:szCs w:val="21"/>
                <w:lang w:eastAsia="zh-CN" w:bidi="ar"/>
              </w:rPr>
              <w:t>质控数值</w:t>
            </w:r>
          </w:p>
        </w:tc>
        <w:tc>
          <w:tcPr>
            <w:tcW w:w="2731" w:type="dxa"/>
            <w:gridSpan w:val="2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006600"/>
            <w:vAlign w:val="center"/>
          </w:tcPr>
          <w:p w14:paraId="477B5570">
            <w:pPr>
              <w:widowControl w:val="0"/>
              <w:autoSpaceDE w:val="0"/>
              <w:spacing w:after="0" w:line="240" w:lineRule="auto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/>
                <w:sz w:val="21"/>
                <w:szCs w:val="21"/>
                <w:lang w:eastAsia="zh-CN" w:bidi="ar"/>
              </w:rPr>
              <w:t>质控标准</w:t>
            </w:r>
          </w:p>
        </w:tc>
      </w:tr>
      <w:tr w14:paraId="34157940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  <w:jc w:val="center"/>
        </w:trPr>
        <w:tc>
          <w:tcPr>
            <w:tcW w:w="1984" w:type="dxa"/>
            <w:tcBorders>
              <w:top w:val="nil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767BA1B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/>
              <w:bidi w:val="0"/>
              <w:adjustRightInd/>
              <w:snapToGrid/>
              <w:spacing w:after="0" w:line="240" w:lineRule="auto"/>
              <w:ind w:left="110" w:leftChars="50"/>
              <w:jc w:val="center"/>
              <w:textAlignment w:val="auto"/>
              <w:rPr>
                <w:rFonts w:ascii="Times New Roman" w:hAnsi="Times New Roman" w:eastAsia="微软雅黑" w:cs="Times New Roman"/>
                <w:b/>
                <w:bCs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 w:bidi="ar"/>
              </w:rPr>
              <w:t>病理评估</w:t>
            </w:r>
          </w:p>
        </w:tc>
        <w:tc>
          <w:tcPr>
            <w:tcW w:w="2717" w:type="dxa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7FF7461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/>
              <w:bidi w:val="0"/>
              <w:adjustRightInd/>
              <w:snapToGrid/>
              <w:spacing w:after="0" w:line="240" w:lineRule="auto"/>
              <w:ind w:left="110" w:leftChars="50"/>
              <w:jc w:val="center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 w:bidi="ar"/>
              </w:rPr>
              <w:t>肿瘤细胞含量</w:t>
            </w:r>
          </w:p>
        </w:tc>
        <w:tc>
          <w:tcPr>
            <w:tcW w:w="2378" w:type="dxa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C49AA9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N/>
              <w:bidi w:val="0"/>
              <w:adjustRightInd/>
              <w:snapToGrid/>
              <w:spacing w:after="0" w:line="240" w:lineRule="auto"/>
              <w:ind w:left="119" w:leftChars="0"/>
              <w:jc w:val="center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tumorcellcontent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nil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4121430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 w:val="0"/>
              <w:autoSpaceDN/>
              <w:bidi w:val="0"/>
              <w:adjustRightInd/>
              <w:snapToGrid/>
              <w:spacing w:after="0" w:line="240" w:lineRule="auto"/>
              <w:ind w:left="110" w:leftChars="50"/>
              <w:jc w:val="center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 w:bidi="ar"/>
              </w:rPr>
              <w:t>≥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 w:bidi="ar"/>
              </w:rPr>
              <w:t>1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 w:bidi="ar"/>
              </w:rPr>
              <w:t>0%</w:t>
            </w:r>
          </w:p>
        </w:tc>
      </w:tr>
      <w:tr w14:paraId="3FE09321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  <w:jc w:val="center"/>
        </w:trPr>
        <w:tc>
          <w:tcPr>
            <w:tcW w:w="1984" w:type="dxa"/>
            <w:vMerge w:val="restart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36D962F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/>
              <w:bidi w:val="0"/>
              <w:adjustRightInd/>
              <w:snapToGrid/>
              <w:spacing w:after="0" w:line="240" w:lineRule="auto"/>
              <w:ind w:left="110" w:leftChars="50"/>
              <w:jc w:val="center"/>
              <w:textAlignment w:val="auto"/>
              <w:rPr>
                <w:rFonts w:ascii="Times New Roman" w:hAnsi="Times New Roman" w:eastAsia="微软雅黑" w:cs="Times New Roman"/>
                <w:b/>
                <w:bCs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 w:bidi="ar"/>
              </w:rPr>
              <w:t>核酸质量评估</w:t>
            </w: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CB5977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/>
              <w:bidi w:val="0"/>
              <w:adjustRightInd/>
              <w:snapToGrid/>
              <w:spacing w:after="0" w:line="240" w:lineRule="auto"/>
              <w:ind w:left="110" w:leftChars="50"/>
              <w:jc w:val="center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 w:bidi="ar"/>
              </w:rPr>
              <w:t>DNA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 w:bidi="ar"/>
              </w:rPr>
              <w:t>总量（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 w:bidi="ar"/>
              </w:rPr>
              <w:t>ng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 w:bidi="ar"/>
              </w:rPr>
              <w:t>）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D80508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N/>
              <w:bidi w:val="0"/>
              <w:adjustRightInd/>
              <w:snapToGrid/>
              <w:spacing w:after="0" w:line="240" w:lineRule="auto"/>
              <w:ind w:left="119" w:leftChars="0"/>
              <w:jc w:val="center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DNA_total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6E9E098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 w:bidi="ar"/>
              </w:rPr>
              <w:t>≥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val="en-US" w:eastAsia="zh-CN" w:bidi="ar"/>
              </w:rPr>
              <w:t>5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 w:bidi="ar"/>
              </w:rPr>
              <w:t>0</w:t>
            </w:r>
          </w:p>
        </w:tc>
      </w:tr>
      <w:tr w14:paraId="537DA71F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  <w:jc w:val="center"/>
        </w:trPr>
        <w:tc>
          <w:tcPr>
            <w:tcW w:w="198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2579220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ascii="Times New Roman" w:hAnsi="Times New Roman" w:eastAsia="微软雅黑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31BDDA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/>
              <w:bidi w:val="0"/>
              <w:adjustRightInd/>
              <w:snapToGrid/>
              <w:spacing w:after="0" w:line="240" w:lineRule="auto"/>
              <w:ind w:left="110" w:leftChars="50"/>
              <w:jc w:val="center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 w:bidi="ar"/>
              </w:rPr>
              <w:t>DNA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 w:bidi="ar"/>
              </w:rPr>
              <w:t>降解程度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F1351D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N/>
              <w:bidi w:val="0"/>
              <w:adjustRightInd/>
              <w:snapToGrid/>
              <w:spacing w:after="0" w:line="240" w:lineRule="auto"/>
              <w:ind w:left="119" w:leftChars="0"/>
              <w:jc w:val="center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DNA_degradation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3336AC5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 w:val="0"/>
              <w:autoSpaceDN/>
              <w:bidi w:val="0"/>
              <w:adjustRightInd/>
              <w:snapToGrid/>
              <w:spacing w:after="0" w:line="240" w:lineRule="auto"/>
              <w:ind w:left="110" w:leftChars="50"/>
              <w:jc w:val="center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val="en-US" w:eastAsia="zh-CN" w:bidi="ar"/>
              </w:rPr>
              <w:t>1-2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 w:bidi="ar"/>
              </w:rPr>
              <w:t>级</w:t>
            </w:r>
          </w:p>
        </w:tc>
      </w:tr>
      <w:tr w14:paraId="12431BB4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  <w:jc w:val="center"/>
        </w:trPr>
        <w:tc>
          <w:tcPr>
            <w:tcW w:w="198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1681283B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ascii="Times New Roman" w:hAnsi="Times New Roman" w:eastAsia="微软雅黑" w:cs="Times New Roman"/>
                <w:b/>
                <w:bCs/>
                <w:sz w:val="18"/>
                <w:szCs w:val="18"/>
              </w:rPr>
            </w:pP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73F11C5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/>
              <w:bidi w:val="0"/>
              <w:adjustRightInd/>
              <w:snapToGrid/>
              <w:spacing w:after="0" w:line="240" w:lineRule="auto"/>
              <w:ind w:left="110" w:leftChars="50"/>
              <w:jc w:val="center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 w:bidi="ar"/>
              </w:rPr>
              <w:t>DNA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 w:bidi="ar"/>
              </w:rPr>
              <w:t>预文库总量（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 w:bidi="ar"/>
              </w:rPr>
              <w:t>ng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 w:bidi="ar"/>
              </w:rPr>
              <w:t>）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3D9760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N/>
              <w:bidi w:val="0"/>
              <w:adjustRightInd/>
              <w:snapToGrid/>
              <w:spacing w:after="0" w:line="240" w:lineRule="auto"/>
              <w:ind w:left="119" w:leftChars="0"/>
              <w:jc w:val="center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outbound_quantity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4891890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 w:val="0"/>
              <w:autoSpaceDN/>
              <w:bidi w:val="0"/>
              <w:adjustRightInd/>
              <w:snapToGrid/>
              <w:spacing w:after="0" w:line="240" w:lineRule="auto"/>
              <w:ind w:left="110" w:leftChars="50"/>
              <w:jc w:val="center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 w:bidi="ar"/>
              </w:rPr>
              <w:t>≥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val="en-US" w:eastAsia="zh-CN" w:bidi="ar"/>
              </w:rPr>
              <w:t>32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 w:bidi="ar"/>
              </w:rPr>
              <w:t>0</w:t>
            </w:r>
          </w:p>
        </w:tc>
      </w:tr>
      <w:tr w14:paraId="08565BA4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  <w:jc w:val="center"/>
        </w:trPr>
        <w:tc>
          <w:tcPr>
            <w:tcW w:w="1984" w:type="dxa"/>
            <w:vMerge w:val="restart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338A7E6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N/>
              <w:bidi w:val="0"/>
              <w:adjustRightInd/>
              <w:snapToGrid/>
              <w:spacing w:after="0" w:line="240" w:lineRule="auto"/>
              <w:ind w:left="119"/>
              <w:jc w:val="center"/>
              <w:textAlignment w:val="auto"/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 w:bidi="ar"/>
              </w:rPr>
              <w:t>测序质量评估</w:t>
            </w: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32080E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/>
              <w:bidi w:val="0"/>
              <w:adjustRightInd/>
              <w:snapToGrid/>
              <w:spacing w:after="0" w:line="240" w:lineRule="auto"/>
              <w:ind w:left="110" w:leftChars="50"/>
              <w:jc w:val="center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 w:bidi="ar"/>
              </w:rPr>
              <w:t>DNA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 w:bidi="ar"/>
              </w:rPr>
              <w:t>平均测序深度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70FEC47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N/>
              <w:bidi w:val="0"/>
              <w:adjustRightInd/>
              <w:snapToGrid/>
              <w:spacing w:after="0" w:line="240" w:lineRule="auto"/>
              <w:ind w:left="119" w:leftChars="0"/>
              <w:jc w:val="center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sequencing_depth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78C3BDD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 w:val="0"/>
              <w:autoSpaceDN/>
              <w:bidi w:val="0"/>
              <w:adjustRightInd/>
              <w:snapToGrid/>
              <w:spacing w:after="0" w:line="240" w:lineRule="auto"/>
              <w:ind w:left="110" w:leftChars="50"/>
              <w:jc w:val="center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 w:bidi="ar"/>
              </w:rPr>
              <w:t>≥</w:t>
            </w:r>
            <w:r>
              <w:rPr>
                <w:rFonts w:hint="eastAsia" w:ascii="Times New Roman" w:hAnsi="Times New Roman" w:cs="Times New Roman"/>
                <w:color w:val="000000"/>
                <w:sz w:val="18"/>
                <w:szCs w:val="18"/>
                <w:lang w:eastAsia="zh-CN"/>
              </w:rPr>
              <w:t>1</w:t>
            </w:r>
            <w:r>
              <w:rPr>
                <w:rFonts w:ascii="Times New Roman" w:hAnsi="Times New Roman" w:cs="Times New Roman"/>
                <w:color w:val="000000"/>
                <w:sz w:val="18"/>
                <w:szCs w:val="18"/>
              </w:rPr>
              <w:t>00</w:t>
            </w:r>
          </w:p>
        </w:tc>
      </w:tr>
      <w:tr w14:paraId="707DF933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  <w:jc w:val="center"/>
        </w:trPr>
        <w:tc>
          <w:tcPr>
            <w:tcW w:w="198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74064C2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</w:pP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0A4B9D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/>
              <w:bidi w:val="0"/>
              <w:adjustRightInd/>
              <w:snapToGrid/>
              <w:spacing w:after="0" w:line="240" w:lineRule="auto"/>
              <w:ind w:left="110" w:leftChars="50"/>
              <w:jc w:val="center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 w:bidi="ar"/>
              </w:rPr>
              <w:t>DNA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 w:bidi="ar"/>
              </w:rPr>
              <w:t>覆盖均一性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A79DA7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N/>
              <w:bidi w:val="0"/>
              <w:adjustRightInd/>
              <w:snapToGrid/>
              <w:spacing w:after="0" w:line="240" w:lineRule="auto"/>
              <w:ind w:left="119" w:leftChars="0"/>
              <w:jc w:val="center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coverage_uniformity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6FBE3ED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 w:val="0"/>
              <w:autoSpaceDN/>
              <w:bidi w:val="0"/>
              <w:adjustRightInd/>
              <w:snapToGrid/>
              <w:spacing w:after="0" w:line="240" w:lineRule="auto"/>
              <w:ind w:left="110" w:leftChars="50"/>
              <w:jc w:val="center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 w:bidi="ar"/>
              </w:rPr>
              <w:t>90%</w:t>
            </w:r>
          </w:p>
        </w:tc>
      </w:tr>
      <w:tr w14:paraId="161FBC2E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  <w:jc w:val="center"/>
        </w:trPr>
        <w:tc>
          <w:tcPr>
            <w:tcW w:w="198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2BCE08C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</w:pP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A3449E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/>
              <w:bidi w:val="0"/>
              <w:adjustRightInd/>
              <w:snapToGrid/>
              <w:spacing w:after="0" w:line="240" w:lineRule="auto"/>
              <w:ind w:left="110" w:leftChars="50"/>
              <w:jc w:val="center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 w:bidi="ar"/>
              </w:rPr>
              <w:t>DNA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 w:bidi="ar"/>
              </w:rPr>
              <w:t>基因组比对率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304344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N/>
              <w:bidi w:val="0"/>
              <w:adjustRightInd/>
              <w:snapToGrid/>
              <w:spacing w:after="0" w:line="240" w:lineRule="auto"/>
              <w:ind w:left="119" w:leftChars="0"/>
              <w:jc w:val="center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genome_alignment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3356705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 w:val="0"/>
              <w:autoSpaceDN/>
              <w:bidi w:val="0"/>
              <w:adjustRightInd/>
              <w:snapToGrid/>
              <w:spacing w:after="0" w:line="240" w:lineRule="auto"/>
              <w:ind w:left="110" w:leftChars="50"/>
              <w:jc w:val="center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 w:bidi="ar"/>
              </w:rPr>
              <w:t>95%</w:t>
            </w:r>
          </w:p>
        </w:tc>
      </w:tr>
      <w:tr w14:paraId="6BA34F56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4" w:hRule="atLeast"/>
          <w:jc w:val="center"/>
        </w:trPr>
        <w:tc>
          <w:tcPr>
            <w:tcW w:w="198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5A82E1A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N/>
              <w:bidi w:val="0"/>
              <w:adjustRightInd/>
              <w:snapToGrid/>
              <w:spacing w:after="0" w:line="240" w:lineRule="auto"/>
              <w:jc w:val="center"/>
              <w:textAlignment w:val="auto"/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</w:pPr>
          </w:p>
        </w:tc>
        <w:tc>
          <w:tcPr>
            <w:tcW w:w="27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A171B8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/>
              <w:bidi w:val="0"/>
              <w:adjustRightInd/>
              <w:snapToGrid/>
              <w:spacing w:after="0" w:line="240" w:lineRule="auto"/>
              <w:ind w:left="110" w:leftChars="50"/>
              <w:jc w:val="center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 w:bidi="ar"/>
              </w:rPr>
              <w:t>DNA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 w:bidi="ar"/>
              </w:rPr>
              <w:t>碱基质量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 w:bidi="ar"/>
              </w:rPr>
              <w:t>Q30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 w:bidi="ar"/>
              </w:rPr>
              <w:t>占比</w:t>
            </w:r>
          </w:p>
        </w:tc>
        <w:tc>
          <w:tcPr>
            <w:tcW w:w="2378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387164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 w:val="0"/>
              <w:autoSpaceDN/>
              <w:bidi w:val="0"/>
              <w:adjustRightInd/>
              <w:snapToGrid/>
              <w:spacing w:after="0" w:line="240" w:lineRule="auto"/>
              <w:ind w:left="110" w:leftChars="50"/>
              <w:jc w:val="center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base_quality }}</w:t>
            </w:r>
          </w:p>
        </w:tc>
        <w:tc>
          <w:tcPr>
            <w:tcW w:w="2731" w:type="dxa"/>
            <w:gridSpan w:val="2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406E89A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 w:val="0"/>
              <w:autoSpaceDN/>
              <w:bidi w:val="0"/>
              <w:adjustRightInd/>
              <w:snapToGrid/>
              <w:spacing w:after="0" w:line="240" w:lineRule="auto"/>
              <w:ind w:left="110" w:leftChars="50"/>
              <w:jc w:val="center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 w:bidi="ar"/>
              </w:rPr>
              <w:t>80%</w:t>
            </w:r>
          </w:p>
        </w:tc>
      </w:tr>
      <w:tr w14:paraId="7B02BE08">
        <w:tblPrEx>
          <w:tblBorders>
            <w:top w:val="single" w:color="416AAB" w:sz="24" w:space="0"/>
            <w:left w:val="single" w:color="416AAB" w:sz="24" w:space="0"/>
            <w:bottom w:val="single" w:color="416AAB" w:sz="24" w:space="0"/>
            <w:right w:val="single" w:color="416AAB" w:sz="24" w:space="0"/>
            <w:insideH w:val="single" w:color="416AAB" w:sz="24" w:space="0"/>
            <w:insideV w:val="single" w:color="416AAB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9" w:type="dxa"/>
          <w:trHeight w:val="454" w:hRule="atLeast"/>
          <w:jc w:val="center"/>
        </w:trPr>
        <w:tc>
          <w:tcPr>
            <w:tcW w:w="1984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F1F1F1"/>
            <w:vAlign w:val="center"/>
          </w:tcPr>
          <w:p w14:paraId="7327929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/>
              <w:bidi w:val="0"/>
              <w:adjustRightInd/>
              <w:snapToGrid/>
              <w:spacing w:after="0" w:line="240" w:lineRule="auto"/>
              <w:ind w:left="110" w:leftChars="50"/>
              <w:jc w:val="center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 w:bidi="ar"/>
              </w:rPr>
              <w:t>总体质量评估</w:t>
            </w:r>
          </w:p>
        </w:tc>
        <w:tc>
          <w:tcPr>
            <w:tcW w:w="7807" w:type="dxa"/>
            <w:gridSpan w:val="3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F1F1F1"/>
            <w:vAlign w:val="center"/>
          </w:tcPr>
          <w:p w14:paraId="5030CBA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/>
              <w:bidi w:val="0"/>
              <w:adjustRightInd/>
              <w:snapToGrid/>
              <w:spacing w:after="0" w:line="240" w:lineRule="auto"/>
              <w:ind w:left="110" w:leftChars="50"/>
              <w:jc w:val="center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>{{</w:t>
            </w:r>
            <w:r>
              <w:rPr>
                <w:rFonts w:ascii="微软雅黑" w:hAnsi="微软雅黑" w:eastAsia="微软雅黑"/>
                <w:color w:val="000000"/>
                <w:sz w:val="21"/>
                <w:szCs w:val="21"/>
                <w:lang w:eastAsia="zh-CN"/>
              </w:rPr>
              <w:t xml:space="preserve"> sequencing_depth</w:t>
            </w: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 xml:space="preserve"> | oqa(1</w:t>
            </w:r>
            <w:r>
              <w:rPr>
                <w:rFonts w:ascii="微软雅黑" w:hAnsi="微软雅黑" w:eastAsia="微软雅黑"/>
                <w:color w:val="000000"/>
                <w:sz w:val="21"/>
                <w:szCs w:val="21"/>
                <w:lang w:eastAsia="zh-CN"/>
              </w:rPr>
              <w:t>00</w:t>
            </w: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>,50) }}</w:t>
            </w:r>
          </w:p>
        </w:tc>
      </w:tr>
    </w:tbl>
    <w:p w14:paraId="27BB586B">
      <w:pPr>
        <w:spacing w:after="0"/>
        <w:jc w:val="both"/>
        <w:rPr>
          <w:rFonts w:hint="eastAsia" w:ascii="微软雅黑" w:hAnsi="微软雅黑" w:eastAsia="微软雅黑"/>
          <w:color w:val="000000"/>
          <w:sz w:val="13"/>
          <w:lang w:eastAsia="zh-CN"/>
        </w:rPr>
      </w:pPr>
    </w:p>
    <w:p w14:paraId="06369D31">
      <w:pPr>
        <w:widowControl w:val="0"/>
        <w:tabs>
          <w:tab w:val="left" w:pos="1317"/>
        </w:tabs>
        <w:kinsoku w:val="0"/>
        <w:overflowPunct w:val="0"/>
        <w:spacing w:before="40" w:after="0" w:line="187" w:lineRule="auto"/>
        <w:ind w:right="1128"/>
        <w:rPr>
          <w:rFonts w:ascii="Times New Roman" w:hAnsi="Times New Roman" w:eastAsia="微软雅黑" w:cs="Times New Roman"/>
          <w:b/>
          <w:bCs/>
          <w:sz w:val="18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18"/>
          <w:lang w:eastAsia="zh-CN"/>
        </w:rPr>
        <w:t>注：</w:t>
      </w:r>
    </w:p>
    <w:p w14:paraId="7839103A">
      <w:pPr>
        <w:widowControl w:val="0"/>
        <w:spacing w:after="0" w:line="240" w:lineRule="auto"/>
        <w:rPr>
          <w:rFonts w:ascii="Times New Roman" w:hAnsi="Times New Roman" w:eastAsia="微软雅黑" w:cs="Times New Roman"/>
          <w:sz w:val="15"/>
          <w:szCs w:val="15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 xml:space="preserve">1.  </w:t>
      </w:r>
      <w:r>
        <w:rPr>
          <w:rFonts w:hint="eastAsia" w:ascii="Times New Roman" w:hAnsi="Times New Roman" w:eastAsia="微软雅黑" w:cs="Times New Roman"/>
          <w:sz w:val="15"/>
          <w:szCs w:val="15"/>
          <w:lang w:eastAsia="zh-CN"/>
        </w:rPr>
        <w:t>肿瘤细胞含量：送检样本经</w:t>
      </w: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>HE</w:t>
      </w:r>
      <w:r>
        <w:rPr>
          <w:rFonts w:hint="eastAsia" w:ascii="Times New Roman" w:hAnsi="Times New Roman" w:eastAsia="微软雅黑" w:cs="Times New Roman"/>
          <w:sz w:val="15"/>
          <w:szCs w:val="15"/>
          <w:lang w:eastAsia="zh-CN"/>
        </w:rPr>
        <w:t>染色评估的肿瘤细胞含量。如送检样本不满足病理评估所需条件，则不进行此项评估。{% if summaryOfRresults.type == “blood” %}血浆cfDNA样本不做此项评估。{% endif %}</w:t>
      </w:r>
      <w:bookmarkStart w:id="2" w:name="_GoBack"/>
      <w:bookmarkEnd w:id="2"/>
    </w:p>
    <w:p w14:paraId="40308073">
      <w:pPr>
        <w:widowControl w:val="0"/>
        <w:spacing w:after="0" w:line="240" w:lineRule="auto"/>
        <w:rPr>
          <w:rFonts w:ascii="Times New Roman" w:hAnsi="Times New Roman" w:eastAsia="微软雅黑" w:cs="Times New Roman"/>
          <w:sz w:val="15"/>
          <w:szCs w:val="15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>2.  DNA</w:t>
      </w:r>
      <w:r>
        <w:rPr>
          <w:rFonts w:hint="eastAsia" w:ascii="Times New Roman" w:hAnsi="Times New Roman" w:eastAsia="微软雅黑" w:cs="Times New Roman"/>
          <w:sz w:val="15"/>
          <w:szCs w:val="15"/>
          <w:lang w:eastAsia="zh-CN"/>
        </w:rPr>
        <w:t>总量：送检样本的</w:t>
      </w: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>DNA</w:t>
      </w:r>
      <w:r>
        <w:rPr>
          <w:rFonts w:hint="eastAsia" w:ascii="Times New Roman" w:hAnsi="Times New Roman" w:eastAsia="微软雅黑" w:cs="Times New Roman"/>
          <w:sz w:val="15"/>
          <w:szCs w:val="15"/>
          <w:lang w:eastAsia="zh-CN"/>
        </w:rPr>
        <w:t>提取总量。</w:t>
      </w:r>
    </w:p>
    <w:p w14:paraId="1FBC8D87">
      <w:pPr>
        <w:widowControl w:val="0"/>
        <w:spacing w:after="0" w:line="240" w:lineRule="auto"/>
        <w:rPr>
          <w:rFonts w:ascii="Times New Roman" w:hAnsi="Times New Roman" w:eastAsia="微软雅黑" w:cs="Times New Roman"/>
          <w:sz w:val="15"/>
          <w:szCs w:val="15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>3.  DNA</w:t>
      </w:r>
      <w:r>
        <w:rPr>
          <w:rFonts w:hint="eastAsia" w:ascii="Times New Roman" w:hAnsi="Times New Roman" w:eastAsia="微软雅黑" w:cs="Times New Roman"/>
          <w:sz w:val="15"/>
          <w:szCs w:val="15"/>
          <w:lang w:eastAsia="zh-CN"/>
        </w:rPr>
        <w:t>降解程度：1-2级别样本质量较好，3级不能满足检测要求{% if summaryOfRresults.type == “blood” %}；cfDNA样本不适用于此项评估{% endif %}。</w:t>
      </w:r>
    </w:p>
    <w:p w14:paraId="01124663">
      <w:pPr>
        <w:widowControl w:val="0"/>
        <w:spacing w:after="0" w:line="240" w:lineRule="auto"/>
        <w:rPr>
          <w:rFonts w:ascii="Times New Roman" w:hAnsi="Times New Roman" w:eastAsia="微软雅黑" w:cs="Times New Roman"/>
          <w:sz w:val="15"/>
          <w:szCs w:val="15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 xml:space="preserve">4.  </w:t>
      </w:r>
      <w:r>
        <w:rPr>
          <w:rFonts w:hint="eastAsia" w:ascii="Times New Roman" w:hAnsi="Times New Roman" w:eastAsia="微软雅黑" w:cs="Times New Roman"/>
          <w:sz w:val="15"/>
          <w:szCs w:val="15"/>
          <w:lang w:eastAsia="zh-CN"/>
        </w:rPr>
        <w:t>预文库总量：核酸片段经过接头连接和扩增纯化后中间产物的总量。</w:t>
      </w:r>
    </w:p>
    <w:p w14:paraId="3522F425">
      <w:pPr>
        <w:widowControl w:val="0"/>
        <w:spacing w:after="0" w:line="240" w:lineRule="auto"/>
        <w:rPr>
          <w:rFonts w:ascii="Times New Roman" w:hAnsi="Times New Roman" w:eastAsia="微软雅黑" w:cs="Times New Roman"/>
          <w:sz w:val="15"/>
          <w:szCs w:val="15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 xml:space="preserve">5.  </w:t>
      </w:r>
      <w:r>
        <w:rPr>
          <w:rFonts w:hint="eastAsia" w:ascii="Times New Roman" w:hAnsi="Times New Roman" w:eastAsia="微软雅黑" w:cs="Times New Roman"/>
          <w:sz w:val="15"/>
          <w:szCs w:val="15"/>
          <w:lang w:eastAsia="zh-CN"/>
        </w:rPr>
        <w:t>平均测序深度：目标区域每个碱基被测到的平均次数。</w:t>
      </w:r>
    </w:p>
    <w:p w14:paraId="18FD016B">
      <w:pPr>
        <w:widowControl w:val="0"/>
        <w:spacing w:after="0" w:line="240" w:lineRule="auto"/>
        <w:rPr>
          <w:rFonts w:ascii="Times New Roman" w:hAnsi="Times New Roman" w:eastAsia="微软雅黑" w:cs="Times New Roman"/>
          <w:sz w:val="15"/>
          <w:szCs w:val="15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 xml:space="preserve">6.  </w:t>
      </w:r>
      <w:r>
        <w:rPr>
          <w:rFonts w:hint="eastAsia" w:ascii="Times New Roman" w:hAnsi="Times New Roman" w:eastAsia="微软雅黑" w:cs="Times New Roman"/>
          <w:sz w:val="15"/>
          <w:szCs w:val="15"/>
          <w:lang w:eastAsia="zh-CN"/>
        </w:rPr>
        <w:t>覆盖均一性：测序深度达到平均测序深度</w:t>
      </w: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>20%</w:t>
      </w:r>
      <w:r>
        <w:rPr>
          <w:rFonts w:hint="eastAsia" w:ascii="Times New Roman" w:hAnsi="Times New Roman" w:eastAsia="微软雅黑" w:cs="Times New Roman"/>
          <w:sz w:val="15"/>
          <w:szCs w:val="15"/>
          <w:lang w:eastAsia="zh-CN"/>
        </w:rPr>
        <w:t>的碱基占比。</w:t>
      </w:r>
    </w:p>
    <w:p w14:paraId="3D2C19E9">
      <w:pPr>
        <w:widowControl w:val="0"/>
        <w:spacing w:after="0" w:line="240" w:lineRule="auto"/>
        <w:rPr>
          <w:rFonts w:ascii="Times New Roman" w:hAnsi="Times New Roman" w:eastAsia="微软雅黑" w:cs="Times New Roman"/>
          <w:sz w:val="15"/>
          <w:szCs w:val="15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 xml:space="preserve">7.  </w:t>
      </w:r>
      <w:r>
        <w:rPr>
          <w:rFonts w:hint="eastAsia" w:ascii="Times New Roman" w:hAnsi="Times New Roman" w:eastAsia="微软雅黑" w:cs="Times New Roman"/>
          <w:sz w:val="15"/>
          <w:szCs w:val="15"/>
          <w:lang w:eastAsia="zh-CN"/>
        </w:rPr>
        <w:t>基因组比对率：比对到参考基因组上的</w:t>
      </w: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>reads</w:t>
      </w:r>
      <w:r>
        <w:rPr>
          <w:rFonts w:hint="eastAsia" w:ascii="Times New Roman" w:hAnsi="Times New Roman" w:eastAsia="微软雅黑" w:cs="Times New Roman"/>
          <w:sz w:val="15"/>
          <w:szCs w:val="15"/>
          <w:lang w:eastAsia="zh-CN"/>
        </w:rPr>
        <w:t>数目占比。</w:t>
      </w:r>
    </w:p>
    <w:p w14:paraId="5FEACC08">
      <w:pPr>
        <w:widowControl w:val="0"/>
        <w:spacing w:after="0" w:line="240" w:lineRule="auto"/>
        <w:rPr>
          <w:rFonts w:ascii="Times New Roman" w:hAnsi="Times New Roman" w:eastAsia="微软雅黑" w:cs="Times New Roman"/>
          <w:sz w:val="15"/>
          <w:szCs w:val="15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 xml:space="preserve">8.  </w:t>
      </w:r>
      <w:r>
        <w:rPr>
          <w:rFonts w:hint="eastAsia" w:ascii="Times New Roman" w:hAnsi="Times New Roman" w:eastAsia="微软雅黑" w:cs="Times New Roman"/>
          <w:sz w:val="15"/>
          <w:szCs w:val="15"/>
          <w:lang w:eastAsia="zh-CN"/>
        </w:rPr>
        <w:t>碱基质量</w:t>
      </w: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>Q30</w:t>
      </w:r>
      <w:r>
        <w:rPr>
          <w:rFonts w:hint="eastAsia" w:ascii="Times New Roman" w:hAnsi="Times New Roman" w:eastAsia="微软雅黑" w:cs="Times New Roman"/>
          <w:sz w:val="15"/>
          <w:szCs w:val="15"/>
          <w:lang w:eastAsia="zh-CN"/>
        </w:rPr>
        <w:t>占比：测序数据中碱基质量在</w:t>
      </w: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>Q30</w:t>
      </w:r>
      <w:r>
        <w:rPr>
          <w:rFonts w:hint="eastAsia" w:ascii="Times New Roman" w:hAnsi="Times New Roman" w:eastAsia="微软雅黑" w:cs="Times New Roman"/>
          <w:sz w:val="15"/>
          <w:szCs w:val="15"/>
          <w:lang w:eastAsia="zh-CN"/>
        </w:rPr>
        <w:t>以上（即碱基识别错误率在千分之一以下）的占比。</w:t>
      </w:r>
    </w:p>
    <w:p w14:paraId="4DA242E5">
      <w:pPr>
        <w:widowControl w:val="0"/>
        <w:spacing w:after="0" w:line="240" w:lineRule="auto"/>
        <w:rPr>
          <w:rFonts w:ascii="Times New Roman" w:hAnsi="Times New Roman" w:eastAsia="微软雅黑" w:cs="Times New Roman"/>
          <w:sz w:val="15"/>
          <w:szCs w:val="15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 xml:space="preserve">9.  </w:t>
      </w:r>
      <w:r>
        <w:rPr>
          <w:rFonts w:hint="eastAsia" w:ascii="Times New Roman" w:hAnsi="Times New Roman" w:eastAsia="微软雅黑" w:cs="Times New Roman"/>
          <w:sz w:val="15"/>
          <w:szCs w:val="15"/>
          <w:lang w:eastAsia="zh-CN"/>
        </w:rPr>
        <w:t>总体质量评估：根据</w:t>
      </w: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 xml:space="preserve"> DNA </w:t>
      </w:r>
      <w:r>
        <w:rPr>
          <w:rFonts w:hint="eastAsia" w:ascii="Times New Roman" w:hAnsi="Times New Roman" w:eastAsia="微软雅黑" w:cs="Times New Roman"/>
          <w:sz w:val="15"/>
          <w:szCs w:val="15"/>
          <w:lang w:eastAsia="zh-CN"/>
        </w:rPr>
        <w:t>平均测序深度进行评估，分为</w:t>
      </w: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15"/>
          <w:szCs w:val="15"/>
          <w:lang w:eastAsia="zh-CN"/>
        </w:rPr>
        <w:t>合格</w:t>
      </w: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15"/>
          <w:szCs w:val="15"/>
          <w:lang w:eastAsia="zh-CN"/>
        </w:rPr>
        <w:t>、</w:t>
      </w: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15"/>
          <w:szCs w:val="15"/>
          <w:lang w:eastAsia="zh-CN"/>
        </w:rPr>
        <w:t>警戒</w:t>
      </w: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15"/>
          <w:szCs w:val="15"/>
          <w:lang w:eastAsia="zh-CN"/>
        </w:rPr>
        <w:t>、</w:t>
      </w: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15"/>
          <w:szCs w:val="15"/>
          <w:lang w:eastAsia="zh-CN"/>
        </w:rPr>
        <w:t>不合格</w:t>
      </w: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15"/>
          <w:szCs w:val="15"/>
          <w:lang w:eastAsia="zh-CN"/>
        </w:rPr>
        <w:t>三个等级。总体质量评估为</w:t>
      </w: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15"/>
          <w:szCs w:val="15"/>
          <w:lang w:eastAsia="zh-CN"/>
        </w:rPr>
        <w:t>警戒</w:t>
      </w: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15"/>
          <w:szCs w:val="15"/>
          <w:lang w:eastAsia="zh-CN"/>
        </w:rPr>
        <w:t>或者</w:t>
      </w: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15"/>
          <w:szCs w:val="15"/>
          <w:lang w:eastAsia="zh-CN"/>
        </w:rPr>
        <w:t>不合格</w:t>
      </w:r>
      <w:r>
        <w:rPr>
          <w:rFonts w:ascii="Times New Roman" w:hAnsi="Times New Roman" w:eastAsia="微软雅黑" w:cs="Times New Roman"/>
          <w:sz w:val="15"/>
          <w:szCs w:val="15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15"/>
          <w:szCs w:val="15"/>
          <w:lang w:eastAsia="zh-CN"/>
        </w:rPr>
        <w:t>时，均会影响检测的准确性和敏感性。</w:t>
      </w:r>
    </w:p>
    <w:p w14:paraId="0626033D">
      <w:pPr>
        <w:rPr>
          <w:rFonts w:hint="eastAsia" w:eastAsia="宋体"/>
          <w:lang w:eastAsia="zh-CN"/>
        </w:rPr>
      </w:pPr>
      <w:r>
        <w:rPr>
          <w:rFonts w:hint="eastAsia" w:eastAsia="宋体"/>
          <w:lang w:eastAsia="zh-CN"/>
        </w:rPr>
        <w:br w:type="page"/>
      </w:r>
    </w:p>
    <w:p w14:paraId="3B7A24E0">
      <w:pPr>
        <w:spacing w:after="0"/>
        <w:outlineLvl w:val="2"/>
        <w:rPr>
          <w:rFonts w:hint="eastAsia" w:ascii="微软雅黑" w:hAnsi="微软雅黑" w:eastAsia="微软雅黑"/>
          <w:b/>
          <w:color w:val="000000"/>
          <w:sz w:val="32"/>
          <w:lang w:eastAsia="zh-CN"/>
        </w:rPr>
      </w:pPr>
      <w:bookmarkStart w:id="1" w:name="_Toc23686"/>
      <w:r>
        <w:rPr>
          <w:rFonts w:hint="eastAsia" w:ascii="微软雅黑" w:hAnsi="微软雅黑" w:eastAsia="微软雅黑"/>
          <w:b/>
          <w:color w:val="000000"/>
          <w:sz w:val="32"/>
          <w:lang w:eastAsia="zh-CN"/>
        </w:rPr>
        <w:t>检测方法与局限性</w:t>
      </w:r>
      <w:bookmarkEnd w:id="1"/>
    </w:p>
    <w:p w14:paraId="57E5861B">
      <w:pPr>
        <w:widowControl w:val="0"/>
        <w:spacing w:after="0" w:line="240" w:lineRule="auto"/>
        <w:rPr>
          <w:rFonts w:ascii="Times New Roman" w:hAnsi="Times New Roman" w:eastAsia="微软雅黑" w:cs="Times New Roman"/>
          <w:highlight w:val="yellow"/>
          <w:lang w:eastAsia="zh-CN"/>
        </w:rPr>
      </w:pPr>
    </w:p>
    <w:p w14:paraId="0745E955">
      <w:pPr>
        <w:widowControl w:val="0"/>
        <w:spacing w:after="0" w:line="276" w:lineRule="auto"/>
        <w:ind w:right="448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检测方法</w:t>
      </w:r>
    </w:p>
    <w:p w14:paraId="0F738594">
      <w:pPr>
        <w:widowControl w:val="0"/>
        <w:spacing w:after="0"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本次检测采用目标区域探针捕获技术，基于Illumina测序平台的二代高通量测序技术(NGS)对样本进行检测。本机构已依据相关技术指导准则完成技术平台验证。</w:t>
      </w:r>
    </w:p>
    <w:p w14:paraId="637A29AC">
      <w:pPr>
        <w:widowControl w:val="0"/>
        <w:spacing w:after="0" w:line="240" w:lineRule="auto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3D9483B4">
      <w:pPr>
        <w:widowControl w:val="0"/>
        <w:spacing w:after="0" w:line="276" w:lineRule="auto"/>
        <w:ind w:right="448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局限性说明</w:t>
      </w:r>
    </w:p>
    <w:p w14:paraId="6E1F01EE">
      <w:pPr>
        <w:widowControl w:val="0"/>
        <w:spacing w:after="0"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 for b in summaryOfRresults.productModularization.limitation_statement | nl() %}{%if loop.last%}{{ b }}{%else%}{{ b }}</w:t>
      </w:r>
    </w:p>
    <w:p w14:paraId="74B1B819">
      <w:pPr>
        <w:widowControl w:val="0"/>
        <w:spacing w:after="0" w:line="276" w:lineRule="auto"/>
        <w:ind w:firstLine="420" w:firstLineChars="200"/>
        <w:jc w:val="both"/>
        <w:rPr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{%endif%}{% endfor%}</w:t>
      </w:r>
    </w:p>
    <w:sectPr>
      <w:headerReference r:id="rId7" w:type="default"/>
      <w:pgSz w:w="11900" w:h="16840"/>
      <w:pgMar w:top="1440" w:right="1134" w:bottom="1440" w:left="1134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70409020205020404"/>
    <w:charset w:val="00"/>
    <w:family w:val="auto"/>
    <w:pitch w:val="default"/>
    <w:sig w:usb0="00000000" w:usb1="00000000" w:usb2="00000000" w:usb3="00000000" w:csb0="00000093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229DAF">
    <w:pPr>
      <w:jc w:val="center"/>
    </w:pPr>
    <w:r>
      <w:rPr>
        <w:rFonts w:ascii="微软雅黑" w:hAnsi="微软雅黑" w:eastAsia="微软雅黑"/>
        <w:b/>
        <w:sz w:val="20"/>
      </w:rPr>
      <w:fldChar w:fldCharType="begin"/>
    </w:r>
    <w:r>
      <w:rPr>
        <w:rFonts w:ascii="微软雅黑" w:hAnsi="微软雅黑" w:eastAsia="微软雅黑"/>
        <w:b/>
        <w:sz w:val="20"/>
      </w:rPr>
      <w:instrText xml:space="preserve">PAGE</w:instrText>
    </w:r>
    <w:r>
      <w:rPr>
        <w:rFonts w:ascii="微软雅黑" w:hAnsi="微软雅黑" w:eastAsia="微软雅黑"/>
        <w:b/>
        <w:sz w:val="20"/>
      </w:rPr>
      <w:fldChar w:fldCharType="separate"/>
    </w:r>
    <w:r>
      <w:rPr>
        <w:rFonts w:hint="eastAsia" w:ascii="微软雅黑" w:hAnsi="微软雅黑" w:eastAsia="微软雅黑"/>
        <w:b/>
        <w:sz w:val="20"/>
      </w:rPr>
      <w:t>1</w:t>
    </w:r>
    <w:r>
      <w:rPr>
        <w:rFonts w:ascii="微软雅黑" w:hAnsi="微软雅黑" w:eastAsia="微软雅黑"/>
        <w:b/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A7CC01F">
    <w:pPr>
      <w:jc w:val="center"/>
    </w:pPr>
    <w:r>
      <w:drawing>
        <wp:inline distT="0" distB="0" distL="114300" distR="114300">
          <wp:extent cx="3700780" cy="719455"/>
          <wp:effectExtent l="0" t="0" r="13970" b="4445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701408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5EE33416">
    <w:pPr>
      <w:jc w:val="center"/>
    </w:pPr>
    <w:r>
      <w:rPr>
        <w:rFonts w:ascii="宋体" w:hAnsi="宋体" w:eastAsia="宋体"/>
        <w:b/>
        <w:sz w:val="28"/>
      </w:rPr>
      <w:t>基因检测报告单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A2B1EA3">
    <w:pPr>
      <w:jc w:val="center"/>
    </w:pPr>
    <w:r>
      <w:drawing>
        <wp:inline distT="0" distB="0" distL="114300" distR="114300">
          <wp:extent cx="3700780" cy="719455"/>
          <wp:effectExtent l="0" t="0" r="7620" b="17145"/>
          <wp:docPr id="2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701408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26EEC"/>
    <w:rsid w:val="00034616"/>
    <w:rsid w:val="0006063C"/>
    <w:rsid w:val="00064CC5"/>
    <w:rsid w:val="000B63EA"/>
    <w:rsid w:val="00111B52"/>
    <w:rsid w:val="0015074B"/>
    <w:rsid w:val="002366AB"/>
    <w:rsid w:val="0029639D"/>
    <w:rsid w:val="00326F90"/>
    <w:rsid w:val="00331C7A"/>
    <w:rsid w:val="0033272F"/>
    <w:rsid w:val="006A331F"/>
    <w:rsid w:val="00906583"/>
    <w:rsid w:val="00AA1D8D"/>
    <w:rsid w:val="00AD6C03"/>
    <w:rsid w:val="00B47730"/>
    <w:rsid w:val="00CB0664"/>
    <w:rsid w:val="00D82770"/>
    <w:rsid w:val="00FC693F"/>
    <w:rsid w:val="01C26E13"/>
    <w:rsid w:val="057D69E2"/>
    <w:rsid w:val="07AF3996"/>
    <w:rsid w:val="097F1A8E"/>
    <w:rsid w:val="098F309D"/>
    <w:rsid w:val="0D35493D"/>
    <w:rsid w:val="0D705975"/>
    <w:rsid w:val="0DB26A52"/>
    <w:rsid w:val="13313C85"/>
    <w:rsid w:val="13A66595"/>
    <w:rsid w:val="14F41496"/>
    <w:rsid w:val="15C90318"/>
    <w:rsid w:val="16D74CB7"/>
    <w:rsid w:val="18AD4FC2"/>
    <w:rsid w:val="227B30DE"/>
    <w:rsid w:val="2705317A"/>
    <w:rsid w:val="28D265E4"/>
    <w:rsid w:val="29344BC9"/>
    <w:rsid w:val="2AA36F32"/>
    <w:rsid w:val="2B8054C5"/>
    <w:rsid w:val="2C974875"/>
    <w:rsid w:val="2CC82C80"/>
    <w:rsid w:val="2F4D6084"/>
    <w:rsid w:val="331365F3"/>
    <w:rsid w:val="333F2E0A"/>
    <w:rsid w:val="34207080"/>
    <w:rsid w:val="34C463DA"/>
    <w:rsid w:val="3E6B5B61"/>
    <w:rsid w:val="3E7F6402"/>
    <w:rsid w:val="3FA62446"/>
    <w:rsid w:val="416A109C"/>
    <w:rsid w:val="43B379E8"/>
    <w:rsid w:val="46496210"/>
    <w:rsid w:val="4B0B4954"/>
    <w:rsid w:val="4B6A3DF6"/>
    <w:rsid w:val="4C7351BF"/>
    <w:rsid w:val="4E0423C2"/>
    <w:rsid w:val="4E8C1402"/>
    <w:rsid w:val="5A126225"/>
    <w:rsid w:val="5A350349"/>
    <w:rsid w:val="5ADF54B5"/>
    <w:rsid w:val="5C2C0286"/>
    <w:rsid w:val="5EF94460"/>
    <w:rsid w:val="5F031561"/>
    <w:rsid w:val="61FE4473"/>
    <w:rsid w:val="6413184C"/>
    <w:rsid w:val="66D37220"/>
    <w:rsid w:val="67080B97"/>
    <w:rsid w:val="68B731E7"/>
    <w:rsid w:val="6AD279A3"/>
    <w:rsid w:val="6B80239C"/>
    <w:rsid w:val="6D1A412B"/>
    <w:rsid w:val="6E324C1E"/>
    <w:rsid w:val="6EB8541A"/>
    <w:rsid w:val="6FA84DB7"/>
    <w:rsid w:val="70730F3D"/>
    <w:rsid w:val="70BA0DD5"/>
    <w:rsid w:val="713F5D1F"/>
    <w:rsid w:val="723B701D"/>
    <w:rsid w:val="751F38D5"/>
    <w:rsid w:val="76DF4B3E"/>
    <w:rsid w:val="798C015E"/>
    <w:rsid w:val="FFFB23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34">
    <w:name w:val="Light Shading"/>
    <w:basedOn w:val="32"/>
    <w:qFormat/>
    <w:uiPriority w:val="60"/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页眉 字符"/>
    <w:basedOn w:val="132"/>
    <w:link w:val="25"/>
    <w:qFormat/>
    <w:uiPriority w:val="99"/>
  </w:style>
  <w:style w:type="character" w:customStyle="1" w:styleId="136">
    <w:name w:val="页脚 字符"/>
    <w:basedOn w:val="132"/>
    <w:link w:val="24"/>
    <w:qFormat/>
    <w:uiPriority w:val="99"/>
  </w:style>
  <w:style w:type="paragraph" w:styleId="137">
    <w:name w:val="No Spacing"/>
    <w:qFormat/>
    <w:uiPriority w:val="1"/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标题 1 字符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标题 2 字符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标题 3 字符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标题 字符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副标题 字符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正文文本 字符"/>
    <w:basedOn w:val="132"/>
    <w:link w:val="19"/>
    <w:qFormat/>
    <w:uiPriority w:val="99"/>
  </w:style>
  <w:style w:type="character" w:customStyle="1" w:styleId="145">
    <w:name w:val="正文文本 2 字符"/>
    <w:basedOn w:val="132"/>
    <w:link w:val="28"/>
    <w:qFormat/>
    <w:uiPriority w:val="99"/>
  </w:style>
  <w:style w:type="character" w:customStyle="1" w:styleId="146">
    <w:name w:val="正文文本 3 字符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宏文本 字符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引用 字符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标题 4 字符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标题 5 字符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标题 6 字符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标题 7 字符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标题 8 字符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标题 9 字符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明显引用 字符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不明显强调1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明显强调1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不明显参考1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明显参考1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书籍标题1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标题1"/>
    <w:basedOn w:val="3"/>
    <w:next w:val="1"/>
    <w:semiHidden/>
    <w:unhideWhenUsed/>
    <w:qFormat/>
    <w:uiPriority w:val="39"/>
    <w:pPr>
      <w:outlineLvl w:val="9"/>
    </w:pPr>
  </w:style>
  <w:style w:type="table" w:customStyle="1" w:styleId="164">
    <w:name w:val="Table Normal1"/>
    <w:autoRedefine/>
    <w:qFormat/>
    <w:uiPriority w:val="2"/>
    <w:rPr>
      <w:rFonts w:ascii="Times New Roman" w:hAnsi="Times New Roman" w:eastAsia="宋体" w:cs="Times New Roma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165">
    <w:name w:val="网格型1"/>
    <w:basedOn w:val="32"/>
    <w:autoRedefine/>
    <w:qFormat/>
    <w:uiPriority w:val="59"/>
    <w:pPr>
      <w:widowControl w:val="0"/>
      <w:jc w:val="both"/>
    </w:pPr>
    <w:rPr>
      <w:rFonts w:ascii="Times New Roman" w:hAnsi="Times New Roman" w:eastAsia="宋体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166">
    <w:name w:val="Table Paragraph"/>
    <w:basedOn w:val="1"/>
    <w:autoRedefine/>
    <w:qFormat/>
    <w:uiPriority w:val="1"/>
  </w:style>
  <w:style w:type="paragraph" w:customStyle="1" w:styleId="167">
    <w:name w:val="样式1"/>
    <w:basedOn w:val="19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theme" Target="theme/theme1.xml"/><Relationship Id="rId7" Type="http://schemas.openxmlformats.org/officeDocument/2006/relationships/header" Target="head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1791</Words>
  <Characters>3995</Characters>
  <Lines>40</Lines>
  <Paragraphs>11</Paragraphs>
  <TotalTime>0</TotalTime>
  <ScaleCrop>false</ScaleCrop>
  <LinksUpToDate>false</LinksUpToDate>
  <CharactersWithSpaces>4289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2013-12-24T07:15:00Z</dcterms:created>
  <dc:creator>fengyy</dc:creator>
  <cp:lastModifiedBy>tassles-L</cp:lastModifiedBy>
  <dcterms:modified xsi:type="dcterms:W3CDTF">2026-06-11T08:03:01Z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eyJoZGlkIjoiY2Y2NjU5MGIzZGFmM2M5NTIxMmI2NjdmNGQ0NDdjMDUiLCJ1c2VySWQiOiI2MjE3NDUxNTQifQ==</vt:lpwstr>
  </property>
  <property fmtid="{D5CDD505-2E9C-101B-9397-08002B2CF9AE}" pid="3" name="KSOProductBuildVer">
    <vt:lpwstr>2052-12.1.0.26895</vt:lpwstr>
  </property>
  <property fmtid="{D5CDD505-2E9C-101B-9397-08002B2CF9AE}" pid="4" name="ICV">
    <vt:lpwstr>77C7F60402E9466795C27868484F6D22_43</vt:lpwstr>
  </property>
</Properties>
</file>