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70560"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2863850</wp:posOffset>
                </wp:positionV>
                <wp:extent cx="606552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3D642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EGFR T790M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05pt;margin-top:225.5pt;height:103.4pt;width:477.6pt;z-index:251661312;mso-width-relative:page;mso-height-relative:page;" filled="f" stroked="f" coordsize="21600,21600" o:gfxdata="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c4Od9sAAAAKAQAADwAAAAAAAAABACAAAAAiAAAA&#10;ZHJzL2Rvd25yZXYueG1sUEsBAhQAFAAAAAgAh07iQFGEw9w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43D642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EGFR T790M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</w:p>
    <w:p w14:paraId="4C756D53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3F93C4A5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ED268DF"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6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 w14:paraId="12BBB6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1D22F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D37A0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284D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39BA9E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2E868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EC4B4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F94AC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55D00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C6AE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3249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BEC9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311019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75EEA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828FE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6E30C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630B455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D5151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63D51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</w:t>
            </w:r>
            <w:bookmarkStart w:id="0" w:name="OLE_LINK4"/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-</w:t>
            </w:r>
            <w:bookmarkEnd w:id="0"/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C7725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1F0D437E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EGFR T790M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74405BF4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  <w:lang w:val="en-US" w:eastAsia="zh-CN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7982A9D5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 w14:paraId="25ED28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12D05DB1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764913F0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1CA415C0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22F3C959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181ADB73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0EB2E191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64F425EF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7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261"/>
        <w:gridCol w:w="6470"/>
      </w:tblGrid>
      <w:tr w14:paraId="2D81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394719F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237754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519261C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5645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2029366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2A4E37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53207DF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7E0AC907">
      <w:pPr>
        <w:widowControl w:val="0"/>
        <w:spacing w:after="0" w:line="240" w:lineRule="auto"/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4195077">
      <w:pPr>
        <w:rPr>
          <w:lang w:eastAsia="zh-CN"/>
        </w:rPr>
      </w:pPr>
    </w:p>
    <w:tbl>
      <w:tblPr>
        <w:tblStyle w:val="12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B17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E8C3F2">
            <w:pPr>
              <w:pStyle w:val="1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51E8B55">
            <w:pPr>
              <w:pStyle w:val="1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</w:p>
        </w:tc>
        <w:tc>
          <w:tcPr>
            <w:tcW w:w="1166" w:type="dxa"/>
            <w:vAlign w:val="center"/>
          </w:tcPr>
          <w:p w14:paraId="7D982F5F">
            <w:pPr>
              <w:pStyle w:val="1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58DE98F">
            <w:pPr>
              <w:pStyle w:val="1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{{"ty_tianjin2"|sign(59,34)}}</w:t>
            </w:r>
            <w:r>
              <w:rPr>
                <w:sz w:val="18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-398145</wp:posOffset>
                  </wp:positionH>
                  <wp:positionV relativeFrom="paragraph">
                    <wp:posOffset>-311785</wp:posOffset>
                  </wp:positionV>
                  <wp:extent cx="1443355" cy="1443355"/>
                  <wp:effectExtent l="0" t="0" r="4445" b="4445"/>
                  <wp:wrapNone/>
                  <wp:docPr id="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DBB37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E8D293A">
            <w:pPr>
              <w:pStyle w:val="1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25C0E7A">
            <w:pPr>
              <w:pStyle w:val="1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F472428">
            <w:pPr>
              <w:pStyle w:val="1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7D2E0957">
            <w:pPr>
              <w:pStyle w:val="1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C117E1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7E52C29">
      <w:pPr>
        <w:rPr>
          <w:rFonts w:hint="default"/>
          <w:sz w:val="24"/>
          <w:lang w:val="en-US" w:eastAsia="zh-CN"/>
        </w:rPr>
      </w:pPr>
    </w:p>
    <w:p w14:paraId="0D32B89C">
      <w:pPr>
        <w:rPr>
          <w:sz w:val="24"/>
          <w:lang w:eastAsia="zh-CN"/>
        </w:rPr>
      </w:pPr>
    </w:p>
    <w:tbl>
      <w:tblPr>
        <w:tblStyle w:val="12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F154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12A328F7">
            <w:pPr>
              <w:pStyle w:val="1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DB7773F">
            <w:pPr>
              <w:pStyle w:val="1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</w:p>
        </w:tc>
        <w:tc>
          <w:tcPr>
            <w:tcW w:w="1166" w:type="dxa"/>
            <w:vAlign w:val="center"/>
          </w:tcPr>
          <w:p w14:paraId="1420D3B8">
            <w:pPr>
              <w:pStyle w:val="1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AFD6CC">
            <w:pPr>
              <w:pStyle w:val="1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{{"ty_guangzhou2"|sign(59,34)}}</w:t>
            </w:r>
            <w:bookmarkStart w:id="10" w:name="_GoBack"/>
            <w:r>
              <w:rPr>
                <w:sz w:val="24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-375285</wp:posOffset>
                  </wp:positionH>
                  <wp:positionV relativeFrom="paragraph">
                    <wp:posOffset>-391795</wp:posOffset>
                  </wp:positionV>
                  <wp:extent cx="1443355" cy="1443355"/>
                  <wp:effectExtent l="0" t="0" r="4445" b="4445"/>
                  <wp:wrapNone/>
                  <wp:docPr id="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10"/>
          </w:p>
        </w:tc>
      </w:tr>
      <w:tr w14:paraId="39F2F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E20F947">
            <w:pPr>
              <w:pStyle w:val="1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0C8B6BE">
            <w:pPr>
              <w:pStyle w:val="1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4CE6294">
            <w:pPr>
              <w:pStyle w:val="1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D5E991">
            <w:pPr>
              <w:pStyle w:val="1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4991C534">
      <w:pPr>
        <w:widowControl w:val="0"/>
        <w:spacing w:after="0" w:line="400" w:lineRule="exact"/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0648424F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7A1CB4A4"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" w:name="_Toc13196_WPSOffice_Level1"/>
      <w:bookmarkStart w:id="2" w:name="_Toc2409"/>
      <w:bookmarkStart w:id="3" w:name="_Toc27302"/>
      <w:bookmarkStart w:id="4" w:name="_Toc22658"/>
      <w:bookmarkStart w:id="5" w:name="_Toc16594"/>
      <w:bookmarkStart w:id="6" w:name="_Toc12505"/>
      <w:bookmarkStart w:id="7" w:name="_Toc21764_WPSOffice_Level1"/>
      <w:bookmarkStart w:id="8" w:name="_Toc1707_WPSOffice_Level1"/>
      <w:bookmarkStart w:id="9" w:name="_Toc28240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42568AC4">
      <w:pPr>
        <w:keepNext/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基因说明：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是原癌基因c-ERBB1的表达产物，是表皮生长因子受体（EGFR）家族的跨膜受体酪氨酸激酶之一。该蛋白由胞外的结合区、跨膜区及胞内区（包含酪氨酸激酶结构域）组成，通过与多种表皮生长因子结合，其自身发生二聚化并磷酸化，进而引发细胞内信号通路，影响细胞增殖等生物学过程。与EGFR相关的疾病包括肺癌、头颈部实体瘤、鳞状细胞癌、结直肠癌、鼻咽癌等。</w:t>
      </w:r>
    </w:p>
    <w:p w14:paraId="6BE19ABF">
      <w:pPr>
        <w:keepNext/>
        <w:spacing w:before="26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信号通路说明：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EGFR与配体结合后可引起PI3K-AKT-mTOR或RAS-RAF-MEK-ERK等信号通路活化，增强细胞活性并促进细胞增殖。</w:t>
      </w:r>
    </w:p>
    <w:p w14:paraId="1CD5FDAB">
      <w:pPr>
        <w:spacing w:line="400" w:lineRule="exact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突变说明：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蛋白序列中第790位氨基酸苏氨酸（T）被氨基酸甲硫氨酸(M)替代。EGFR T790M位于EGFR蛋白激酶域ATP结合域内[PMID: 20026433]。T790M导致EGFR激酶活性增加，在培养中转化[PMID: 30952700]，T790M是经常发生的继发性体细胞突变，对可逆的EGFR激酶抑制剂产生耐药性[PMID: 17671201; PMID: 18227510; PMID: 20026433]。</w:t>
      </w:r>
    </w:p>
    <w:p w14:paraId="4F5B3FFB">
      <w:pPr>
        <w:keepNext/>
        <w:spacing w:before="26" w:after="120" w:afterLines="50"/>
        <w:rPr>
          <w:rFonts w:ascii="Times New Roman" w:hAnsi="Times New Roman" w:eastAsia="微软雅黑" w:cs="Times New Roman"/>
          <w:b/>
          <w:color w:val="45A3A7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潜在受益药物研究信息：</w:t>
      </w:r>
    </w:p>
    <w:p w14:paraId="3E46A9E4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eastAsia="zh-Hans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T790M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对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TKIs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产生耐药性，但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T790M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对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TKIs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（奥希替尼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[PMID: 29151359]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、阿美替尼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[PMID: 32916310]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、伏美替尼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[J Clin Oncol. 2020; 38(suppl 15): abstr 9602]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）敏感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Hans" w:bidi="ar"/>
        </w:rPr>
        <w:t>。</w:t>
      </w:r>
    </w:p>
    <w:p w14:paraId="52BF229E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FDA批准</w:t>
      </w:r>
      <w:r>
        <w:rPr>
          <w:rFonts w:ascii="Times New Roman" w:hAnsi="Times New Roman" w:eastAsia="微软雅黑" w:cs="Times New Roman"/>
          <w:b w:val="0"/>
          <w:bCs w:val="0"/>
          <w:sz w:val="18"/>
          <w:szCs w:val="18"/>
        </w:rPr>
        <w:t>奥希替尼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  <w:t>用于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治疗转移性EGFR T790M突变阳性非小细胞肺癌，其疾病在EGFR TKI治疗中或治疗后进展；NMPA批准</w:t>
      </w:r>
      <w:r>
        <w:rPr>
          <w:rFonts w:ascii="Times New Roman" w:hAnsi="Times New Roman" w:eastAsia="微软雅黑" w:cs="Times New Roman"/>
          <w:b w:val="0"/>
          <w:bCs w:val="0"/>
          <w:sz w:val="18"/>
          <w:szCs w:val="18"/>
        </w:rPr>
        <w:t>奥希替尼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既往经表皮生长因子受体（EGFR）酪氨酸激酶抑制剂（TKI）治疗时或治疗后出现疾病进展，并且经检测确认存在EGFR T790M突变阳性的局部晚期或转移性非小细胞性肺癌（NSCLC）成人患者的治疗。</w:t>
      </w:r>
    </w:p>
    <w:p w14:paraId="12766563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NMPA批准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  <w:t>阿美替尼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用于治疗既往经表皮生长因子受体（EGFR）酪氨酸激酶抑制剂（TKI）治疗进展，且T790M突变阳性的局部晚期或转移性非小细胞肺癌（NSCLC）成人患者。</w:t>
      </w:r>
    </w:p>
    <w:p w14:paraId="61E701FF"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NMPA批准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  <w:t>伏美替尼用于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既往经表皮生长因子受体（EGFR）酪氨酸激酶抑制剂（TKI）治疗时或治疗后出现疾病进展，并且经检测确认存在EGFR T790M突变阳性的局部晚期或转移性非小细胞性肺癌（NSCLC）成人患者的治疗。</w:t>
      </w:r>
    </w:p>
    <w:p w14:paraId="6353CE34">
      <w:pPr>
        <w:spacing w:line="400" w:lineRule="exact"/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潜在耐药研究信息：</w:t>
      </w:r>
    </w:p>
    <w:p w14:paraId="41C2286E">
      <w:pPr>
        <w:bidi w:val="0"/>
        <w:ind w:firstLine="311" w:firstLineChars="0"/>
        <w:jc w:val="left"/>
        <w:rPr>
          <w:rFonts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NCCN指南指出，EGFR T790M与EGFR TKI获得性耐药相关[NCCN_Non-Small Cell Lung Cancer_2021_V5]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Hans" w:bidi="ar"/>
        </w:rPr>
        <w:t>，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Hans" w:bidi="ar"/>
        </w:rPr>
        <w:t>在非小细胞肺癌中耐药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Hans"/>
        </w:rPr>
        <w:t>相关药物包含：吉非替尼、厄洛替尼、阿法替尼、埃克替尼、达可替尼。</w:t>
      </w:r>
    </w:p>
    <w:sectPr>
      <w:headerReference r:id="rId5" w:type="default"/>
      <w:pgSz w:w="11906" w:h="16838"/>
      <w:pgMar w:top="1037" w:right="720" w:bottom="981" w:left="720" w:header="397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BEC72">
    <w:pPr>
      <w:pStyle w:val="4"/>
      <w:pBdr>
        <w:bottom w:val="none" w:color="auto" w:sz="0" w:space="1"/>
      </w:pBdr>
    </w:pP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1" name="图片 21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0" name="图片 20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19" name="图片 19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3896995" cy="366395"/>
          <wp:effectExtent l="0" t="0" r="4445" b="14605"/>
          <wp:docPr id="7" name="图片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9699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</w:t>
    </w:r>
    <w:r>
      <w:rPr>
        <w:rFonts w:hint="eastAsia" w:eastAsia="宋体"/>
        <w:lang w:eastAsia="zh-CN"/>
      </w:rPr>
      <w:drawing>
        <wp:inline distT="0" distB="0" distL="114300" distR="114300">
          <wp:extent cx="1461770" cy="420370"/>
          <wp:effectExtent l="0" t="0" r="0" b="5715"/>
          <wp:docPr id="23" name="图片 23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中文logo透明底"/>
                  <pic:cNvPicPr>
                    <a:picLocks noChangeAspect="1"/>
                  </pic:cNvPicPr>
                </pic:nvPicPr>
                <pic:blipFill>
                  <a:blip r:embed="rId1"/>
                  <a:srcRect l="13700" t="21682" r="11743" b="25756"/>
                  <a:stretch>
                    <a:fillRect/>
                  </a:stretch>
                </pic:blipFill>
                <pic:spPr>
                  <a:xfrm>
                    <a:off x="0" y="0"/>
                    <a:ext cx="1461770" cy="420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6A0900"/>
    <w:rsid w:val="000C76BE"/>
    <w:rsid w:val="000E07BA"/>
    <w:rsid w:val="00121F61"/>
    <w:rsid w:val="001B6CCA"/>
    <w:rsid w:val="001B7259"/>
    <w:rsid w:val="002548E7"/>
    <w:rsid w:val="005910F5"/>
    <w:rsid w:val="005B2194"/>
    <w:rsid w:val="005D26F8"/>
    <w:rsid w:val="00697038"/>
    <w:rsid w:val="006A0900"/>
    <w:rsid w:val="006B302B"/>
    <w:rsid w:val="006D792A"/>
    <w:rsid w:val="007D3F98"/>
    <w:rsid w:val="008F3D57"/>
    <w:rsid w:val="009D6FE4"/>
    <w:rsid w:val="00A63159"/>
    <w:rsid w:val="00AA7B4D"/>
    <w:rsid w:val="00C12EE8"/>
    <w:rsid w:val="00C23AEC"/>
    <w:rsid w:val="00CE64CB"/>
    <w:rsid w:val="00D478F9"/>
    <w:rsid w:val="00DC58A1"/>
    <w:rsid w:val="00DD295E"/>
    <w:rsid w:val="00DD7CF6"/>
    <w:rsid w:val="00E163C0"/>
    <w:rsid w:val="00F326FE"/>
    <w:rsid w:val="00F73E15"/>
    <w:rsid w:val="00FB52A6"/>
    <w:rsid w:val="01E3453D"/>
    <w:rsid w:val="04103784"/>
    <w:rsid w:val="097A0A0D"/>
    <w:rsid w:val="10CF03ED"/>
    <w:rsid w:val="10DB3DCF"/>
    <w:rsid w:val="116051D3"/>
    <w:rsid w:val="157725B5"/>
    <w:rsid w:val="1CCB2491"/>
    <w:rsid w:val="204A1E0F"/>
    <w:rsid w:val="22806D29"/>
    <w:rsid w:val="27F24868"/>
    <w:rsid w:val="283C216B"/>
    <w:rsid w:val="2C13065A"/>
    <w:rsid w:val="2CA434C2"/>
    <w:rsid w:val="2CBA6E83"/>
    <w:rsid w:val="2D111678"/>
    <w:rsid w:val="31646A72"/>
    <w:rsid w:val="36F640BD"/>
    <w:rsid w:val="3A492CAA"/>
    <w:rsid w:val="3AC2740B"/>
    <w:rsid w:val="3C692C17"/>
    <w:rsid w:val="43292576"/>
    <w:rsid w:val="44950EC7"/>
    <w:rsid w:val="48EF09A8"/>
    <w:rsid w:val="49A80879"/>
    <w:rsid w:val="4A7C46FC"/>
    <w:rsid w:val="4D571467"/>
    <w:rsid w:val="4E455F64"/>
    <w:rsid w:val="507B51AA"/>
    <w:rsid w:val="51E50A2A"/>
    <w:rsid w:val="52060E78"/>
    <w:rsid w:val="5A93401E"/>
    <w:rsid w:val="5DCB16D1"/>
    <w:rsid w:val="60AE5613"/>
    <w:rsid w:val="616A0F43"/>
    <w:rsid w:val="62FD2DBB"/>
    <w:rsid w:val="6A420925"/>
    <w:rsid w:val="6B981AF3"/>
    <w:rsid w:val="6CF46F1B"/>
    <w:rsid w:val="76975A05"/>
    <w:rsid w:val="77745038"/>
    <w:rsid w:val="7AE43FAA"/>
    <w:rsid w:val="7C3E2C81"/>
    <w:rsid w:val="7DAE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autoRedefine/>
    <w:qFormat/>
    <w:uiPriority w:val="99"/>
    <w:rPr>
      <w:sz w:val="18"/>
      <w:szCs w:val="18"/>
    </w:rPr>
  </w:style>
  <w:style w:type="paragraph" w:customStyle="1" w:styleId="11">
    <w:name w:val="Table Paragraph"/>
    <w:basedOn w:val="1"/>
    <w:autoRedefine/>
    <w:qFormat/>
    <w:uiPriority w:val="0"/>
    <w:pPr>
      <w:widowControl w:val="0"/>
    </w:pPr>
    <w:rPr>
      <w:rFonts w:ascii="Calibri" w:hAnsi="Calibri"/>
      <w:lang w:eastAsia="en-US"/>
    </w:rPr>
  </w:style>
  <w:style w:type="table" w:customStyle="1" w:styleId="1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1005</Words>
  <Characters>1700</Characters>
  <Lines>4</Lines>
  <Paragraphs>1</Paragraphs>
  <TotalTime>0</TotalTime>
  <ScaleCrop>false</ScaleCrop>
  <LinksUpToDate>false</LinksUpToDate>
  <CharactersWithSpaces>1801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tassles-L</cp:lastModifiedBy>
  <dcterms:modified xsi:type="dcterms:W3CDTF">2026-05-18T08:01:11Z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7BC86363A4F141CA95D74975BC6233F6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