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HRD+HRR基因检测</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BRCA1/2和其他DNA损伤修复相关的共45个基因进行高通量测序，适用于乳腺癌、卵巢癌、宫颈癌、子宫内膜癌、前列腺癌及胰腺癌等与HRR基因变异相关的癌种。检测突变形式为点突变（SNV）、小片段插入缺失（INDEL）、拷贝数变异（CNV）以及融合（FUSION）。本产品同时检测基因组不稳定状态，结合BRCA1/2基因变异情况，综合评估同源重组缺陷状态。</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32"/>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tbl>
    <w:p w14:paraId="180670C7">
      <w:pPr>
        <w:sectPr>
          <w:headerReference r:id="rId6" w:type="first"/>
          <w:footerReference r:id="rId8" w:type="first"/>
          <w:headerReference r:id="rId5" w:type="default"/>
          <w:footerReference r:id="rId7"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titlePg/>
          <w:docGrid w:linePitch="360" w:charSpace="0"/>
        </w:sectPr>
      </w:pPr>
      <w:r>
        <w:br w:type="page"/>
      </w:r>
    </w:p>
    <w:p w14:paraId="7EB8A0E9">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val="en-US" w:eastAsia="zh-CN"/>
        </w:rPr>
      </w:pPr>
      <w:bookmarkStart w:id="0" w:name="_Toc4644"/>
      <w:r>
        <w:rPr>
          <w:rFonts w:ascii="微软雅黑" w:hAnsi="微软雅黑" w:eastAsia="微软雅黑"/>
          <w:b/>
          <w:color w:val="000000"/>
          <w:sz w:val="32"/>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545"/>
        <w:gridCol w:w="5340"/>
      </w:tblGrid>
      <w:tr w14:paraId="30CA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tcBorders>
              <w:top w:val="nil"/>
              <w:left w:val="nil"/>
              <w:bottom w:val="nil"/>
              <w:right w:val="single" w:color="FFFFFF" w:sz="18" w:space="0"/>
            </w:tcBorders>
            <w:shd w:val="clear" w:color="auto" w:fill="006600"/>
            <w:vAlign w:val="center"/>
          </w:tcPr>
          <w:p w14:paraId="3FD23A6E">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6FFC3EAD">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63D9A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58A2C6AB">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5340" w:type="dxa"/>
            <w:tcBorders>
              <w:top w:val="nil"/>
              <w:left w:val="single" w:color="A4A4A4" w:sz="4" w:space="0"/>
              <w:bottom w:val="single" w:color="A4A4A4" w:sz="4" w:space="0"/>
              <w:right w:val="nil"/>
            </w:tcBorders>
            <w:vAlign w:val="center"/>
          </w:tcPr>
          <w:p w14:paraId="74BB811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 summaryOfRresults.hrdState }}</w:t>
            </w:r>
          </w:p>
        </w:tc>
      </w:tr>
      <w:tr w14:paraId="0ED7E2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shd w:val="clear" w:color="auto" w:fill="auto"/>
            <w:vAlign w:val="center"/>
          </w:tcPr>
          <w:p w14:paraId="09F29F7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default" w:ascii="Times New Roman" w:hAnsi="Times New Roman" w:eastAsia="微软雅黑" w:cs="Times New Roman"/>
                <w:b/>
                <w:bCs/>
                <w:sz w:val="21"/>
                <w:szCs w:val="22"/>
                <w:lang w:val="en-US" w:eastAsia="en-US" w:bidi="ar-SA"/>
              </w:rPr>
            </w:pPr>
            <w:r>
              <w:rPr>
                <w:rFonts w:hint="eastAsia" w:ascii="Times New Roman" w:hAnsi="Times New Roman" w:eastAsia="微软雅黑" w:cs="Times New Roman"/>
                <w:b/>
                <w:bCs/>
                <w:sz w:val="21"/>
                <w:lang w:eastAsia="zh-CN"/>
              </w:rPr>
              <w:t>BRCA1/2基因</w:t>
            </w:r>
            <w:r>
              <w:rPr>
                <w:rFonts w:hint="eastAsia" w:ascii="Times New Roman" w:hAnsi="Times New Roman" w:eastAsia="微软雅黑" w:cs="Times New Roman"/>
                <w:b/>
                <w:bCs/>
                <w:sz w:val="21"/>
                <w:lang w:val="en-US" w:eastAsia="zh-CN"/>
              </w:rPr>
              <w:t>失活变异</w:t>
            </w:r>
          </w:p>
        </w:tc>
        <w:tc>
          <w:tcPr>
            <w:tcW w:w="5340" w:type="dxa"/>
            <w:tcBorders>
              <w:top w:val="nil"/>
              <w:left w:val="single" w:color="A4A4A4" w:sz="4" w:space="0"/>
              <w:bottom w:val="single" w:color="A4A4A4" w:sz="4" w:space="0"/>
              <w:right w:val="nil"/>
            </w:tcBorders>
            <w:shd w:val="clear" w:color="auto" w:fill="auto"/>
            <w:vAlign w:val="center"/>
          </w:tcPr>
          <w:p w14:paraId="24A487AD">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val="en-US" w:eastAsia="zh-CN"/>
              </w:rPr>
            </w:pPr>
            <w:r>
              <w:rPr>
                <w:rFonts w:hint="eastAsia" w:ascii="Times New Roman" w:hAnsi="Times New Roman" w:eastAsia="微软雅黑" w:cs="Times New Roman"/>
                <w:b w:val="0"/>
                <w:bCs w:val="0"/>
                <w:sz w:val="18"/>
                <w:szCs w:val="18"/>
                <w:lang w:val="en-US" w:eastAsia="zh-CN"/>
              </w:rPr>
              <w:t>{{ summaryOfRresults.hrdBRCAState | splitlines }}</w:t>
            </w:r>
          </w:p>
        </w:tc>
      </w:tr>
      <w:tr w14:paraId="672A35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shd w:val="clear" w:color="auto" w:fill="auto"/>
            <w:vAlign w:val="center"/>
          </w:tcPr>
          <w:p w14:paraId="028C41D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2"/>
                <w:lang w:val="en-US" w:eastAsia="zh-CN" w:bidi="ar-SA"/>
              </w:rPr>
            </w:pPr>
            <w:r>
              <w:rPr>
                <w:rFonts w:hint="eastAsia" w:ascii="Times New Roman" w:hAnsi="Times New Roman" w:eastAsia="微软雅黑" w:cs="Times New Roman"/>
                <w:b/>
                <w:bCs/>
                <w:sz w:val="21"/>
                <w:szCs w:val="22"/>
                <w:lang w:val="en-US" w:eastAsia="zh-CN" w:bidi="ar-SA"/>
              </w:rPr>
              <w:t>基因组不稳定性评分</w:t>
            </w:r>
          </w:p>
        </w:tc>
        <w:tc>
          <w:tcPr>
            <w:tcW w:w="5340" w:type="dxa"/>
            <w:tcBorders>
              <w:top w:val="nil"/>
              <w:left w:val="single" w:color="A4A4A4" w:sz="4" w:space="0"/>
              <w:bottom w:val="single" w:color="A4A4A4" w:sz="4" w:space="0"/>
              <w:right w:val="nil"/>
            </w:tcBorders>
            <w:shd w:val="clear" w:color="auto" w:fill="auto"/>
            <w:vAlign w:val="center"/>
          </w:tcPr>
          <w:p w14:paraId="2553EEC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val="en-US" w:eastAsia="zh-CN"/>
              </w:rPr>
            </w:pPr>
            <w:r>
              <w:rPr>
                <w:rFonts w:hint="eastAsia" w:ascii="Times New Roman" w:hAnsi="Times New Roman" w:eastAsia="微软雅黑" w:cs="Times New Roman"/>
                <w:b w:val="0"/>
                <w:bCs w:val="0"/>
                <w:sz w:val="18"/>
                <w:szCs w:val="18"/>
                <w:lang w:val="en-US" w:eastAsia="zh-CN"/>
              </w:rPr>
              <w:t>{{ summaryOfRresults.hrdScore }}</w:t>
            </w:r>
          </w:p>
        </w:tc>
      </w:tr>
      <w:tr w14:paraId="438D8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476A35A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340" w:type="dxa"/>
            <w:tcBorders>
              <w:top w:val="nil"/>
              <w:left w:val="single" w:color="A4A4A4" w:sz="4" w:space="0"/>
              <w:bottom w:val="single" w:color="A4A4A4" w:sz="4" w:space="0"/>
              <w:right w:val="nil"/>
            </w:tcBorders>
            <w:vAlign w:val="center"/>
          </w:tcPr>
          <w:p w14:paraId="130F263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w:t>
            </w:r>
          </w:p>
          <w:p w14:paraId="19529E19">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w:t>
            </w:r>
          </w:p>
        </w:tc>
      </w:tr>
      <w:tr w14:paraId="63EAA1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436CBB0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肿瘤遗传风险检测</w:t>
            </w:r>
          </w:p>
        </w:tc>
        <w:tc>
          <w:tcPr>
            <w:tcW w:w="5340" w:type="dxa"/>
            <w:tcBorders>
              <w:top w:val="nil"/>
              <w:left w:val="single" w:color="A4A4A4" w:sz="4" w:space="0"/>
              <w:bottom w:val="single" w:color="A4A4A4" w:sz="4" w:space="0"/>
              <w:right w:val="nil"/>
            </w:tcBorders>
            <w:vAlign w:val="center"/>
          </w:tcPr>
          <w:p w14:paraId="4508A9B9">
            <w:pPr>
              <w:keepNext w:val="0"/>
              <w:keepLines w:val="0"/>
              <w:pageBreakBefore w:val="0"/>
              <w:widowControl w:val="0"/>
              <w:kinsoku/>
              <w:wordWrap/>
              <w:overflowPunct/>
              <w:topLinePunct w:val="0"/>
              <w:autoSpaceDE/>
              <w:autoSpaceDN/>
              <w:bidi w:val="0"/>
              <w:adjustRightInd/>
              <w:snapToGrid/>
              <w:spacing w:after="20" w:line="240" w:lineRule="auto"/>
              <w:ind w:left="57" w:right="57"/>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 summaryOfRresults.crCheckLineStrYF1280Size }}个胚系突变，其中{{summaryOfRresults.hasPathogenicityCount}}个为致病/可能致病性突变</w:t>
            </w:r>
          </w:p>
        </w:tc>
      </w:tr>
      <w:tr w14:paraId="1D3F6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single" w:color="A4A4A4" w:sz="4" w:space="0"/>
              <w:left w:val="nil"/>
              <w:bottom w:val="single" w:color="A4A4A4" w:sz="4" w:space="0"/>
              <w:right w:val="single" w:color="A4A4A4" w:sz="4" w:space="0"/>
            </w:tcBorders>
            <w:vAlign w:val="center"/>
          </w:tcPr>
          <w:p w14:paraId="3FD5049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AE3AA2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sz w:val="18"/>
                <w:szCs w:val="18"/>
              </w:rPr>
              <w:t>{{ sequencing_depth | oqa(500,400) }}</w:t>
            </w:r>
          </w:p>
        </w:tc>
      </w:tr>
    </w:tbl>
    <w:p w14:paraId="6F195566">
      <w:pPr>
        <w:widowControl w:val="0"/>
        <w:spacing w:after="0" w:line="240" w:lineRule="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3A33BF5">
      <w:pPr>
        <w:widowControl w:val="0"/>
        <w:numPr>
          <w:ilvl w:val="0"/>
          <w:numId w:val="8"/>
        </w:numPr>
        <w:spacing w:after="0" w:line="240" w:lineRule="auto"/>
        <w:ind w:left="420" w:hanging="42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3FAC01A3">
      <w:pPr>
        <w:widowControl w:val="0"/>
        <w:numPr>
          <w:ilvl w:val="0"/>
          <w:numId w:val="8"/>
        </w:numPr>
        <w:spacing w:after="0" w:line="240" w:lineRule="auto"/>
        <w:ind w:left="420" w:hanging="42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BRCA1、BRCA2基因检测点突变（SNV）、小片段插入/缺失（Indel）、大片段缺失等变异类型，为患者提供遗传风险评估和临床用药参考；基因组不稳定评分（HRD score）是参考杂合性缺失（LOH）、端粒等位基因不平衡（TAI）、大片段迁移（LST）3个指标综合计算评分，全面反应基因组瘢痕状态，进而对基因组不稳定状态进行评估，为患者提供临床用药参考。</w:t>
      </w:r>
    </w:p>
    <w:p w14:paraId="488B1827">
      <w:pPr>
        <w:widowControl w:val="0"/>
        <w:numPr>
          <w:ilvl w:val="0"/>
          <w:numId w:val="8"/>
        </w:numPr>
        <w:spacing w:after="0" w:line="240" w:lineRule="auto"/>
        <w:ind w:left="420" w:hanging="420"/>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680C8A0F">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r>
        <w:rPr>
          <w:rFonts w:hint="eastAsia" w:ascii="微软雅黑" w:hAnsi="微软雅黑" w:eastAsia="微软雅黑"/>
          <w:b/>
          <w:color w:val="000000"/>
          <w:sz w:val="18"/>
          <w:szCs w:val="18"/>
        </w:rPr>
        <w:br w:type="page"/>
      </w:r>
    </w:p>
    <w:p w14:paraId="36BEBF2B">
      <w:pPr>
        <w:keepNext w:val="0"/>
        <w:keepLines w:val="0"/>
        <w:pageBreakBefore w:val="0"/>
        <w:widowControl/>
        <w:numPr>
          <w:ilvl w:val="0"/>
          <w:numId w:val="0"/>
        </w:numPr>
        <w:kinsoku/>
        <w:wordWrap/>
        <w:overflowPunct/>
        <w:topLinePunct w:val="0"/>
        <w:autoSpaceDE/>
        <w:autoSpaceDN/>
        <w:bidi w:val="0"/>
        <w:adjustRightInd/>
        <w:snapToGrid/>
        <w:spacing w:after="0"/>
        <w:textAlignment w:val="auto"/>
        <w:outlineLvl w:val="1"/>
        <w:rPr>
          <w:rFonts w:hint="default" w:ascii="Times New Roman" w:hAnsi="Times New Roman" w:eastAsia="微软雅黑" w:cs="黑体"/>
          <w:b/>
          <w:bCs/>
          <w:sz w:val="30"/>
          <w:szCs w:val="30"/>
          <w:lang w:val="en-US" w:eastAsia="zh-CN"/>
        </w:rPr>
      </w:pPr>
      <w:bookmarkStart w:id="1" w:name="_Toc13612"/>
      <w:r>
        <w:rPr>
          <w:rFonts w:hint="default" w:ascii="Times New Roman" w:hAnsi="Times New Roman" w:eastAsia="微软雅黑" w:cs="黑体"/>
          <w:b/>
          <w:bCs/>
          <w:sz w:val="30"/>
          <w:szCs w:val="30"/>
          <w:lang w:val="en-US" w:eastAsia="zh-CN"/>
        </w:rPr>
        <w:t>{{note.cancerTitle}}</w:t>
      </w:r>
      <w:bookmarkEnd w:id="1"/>
    </w:p>
    <w:tbl>
      <w:tblPr>
        <w:tblStyle w:val="32"/>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95"/>
        <w:gridCol w:w="1960"/>
      </w:tblGrid>
      <w:tr w14:paraId="7A518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6600"/>
            <w:vAlign w:val="center"/>
          </w:tcPr>
          <w:p w14:paraId="4CB2A3D1">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95" w:type="dxa"/>
            <w:tcBorders>
              <w:top w:val="nil"/>
              <w:left w:val="single" w:color="FFFFFF" w:sz="18" w:space="0"/>
              <w:bottom w:val="nil"/>
              <w:right w:val="single" w:color="FFFFFF" w:sz="18" w:space="0"/>
            </w:tcBorders>
            <w:shd w:val="clear" w:color="auto" w:fill="006600"/>
            <w:vAlign w:val="center"/>
          </w:tcPr>
          <w:p w14:paraId="241FAF61">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6600"/>
            <w:vAlign w:val="center"/>
          </w:tcPr>
          <w:p w14:paraId="73CC92F0">
            <w:pPr>
              <w:widowControl/>
              <w:spacing w:after="0" w:line="240" w:lineRule="auto"/>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6C6DBB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146DE747">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23C965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00E92F8">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95" w:type="dxa"/>
            <w:tcBorders>
              <w:top w:val="single" w:color="A4A4A4" w:sz="4" w:space="0"/>
            </w:tcBorders>
            <w:shd w:val="clear" w:color="auto" w:fill="auto"/>
            <w:noWrap/>
            <w:vAlign w:val="center"/>
          </w:tcPr>
          <w:p w14:paraId="17AC7C23">
            <w:pPr>
              <w:widowControl/>
              <w:spacing w:after="0" w:line="240" w:lineRule="auto"/>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7F26B4A4">
            <w:pPr>
              <w:widowControl/>
              <w:spacing w:after="0" w:line="240" w:lineRule="auto"/>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1243960C">
            <w:pPr>
              <w:widowControl/>
              <w:spacing w:after="0" w:line="240" w:lineRule="auto"/>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3D7FAAFA">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7FCE5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6BAD887A">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77130AB9">
      <w:pPr>
        <w:keepNext w:val="0"/>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63336458">
      <w:pPr>
        <w:keepNext w:val="0"/>
        <w:keepLines w:val="0"/>
        <w:pageBreakBefore w:val="0"/>
        <w:widowControl w:val="0"/>
        <w:numPr>
          <w:ilvl w:val="0"/>
          <w:numId w:val="9"/>
        </w:numPr>
        <w:kinsoku/>
        <w:wordWrap/>
        <w:overflowPunct/>
        <w:topLinePunct w:val="0"/>
        <w:autoSpaceDE/>
        <w:autoSpaceDN/>
        <w:bidi w:val="0"/>
        <w:adjustRightInd/>
        <w:snapToGrid/>
        <w:spacing w:after="0" w:line="240" w:lineRule="auto"/>
        <w:ind w:left="425" w:hanging="425"/>
        <w:textAlignment w:val="auto"/>
        <w:rPr>
          <w:rFonts w:hint="eastAsia" w:ascii="微软雅黑" w:hAnsi="微软雅黑" w:eastAsia="微软雅黑"/>
          <w:b/>
          <w:color w:val="000000"/>
          <w:sz w:val="18"/>
          <w:szCs w:val="18"/>
        </w:rPr>
      </w:pPr>
      <w:r>
        <w:rPr>
          <w:rFonts w:hint="default" w:ascii="Times New Roman" w:hAnsi="Times New Roman" w:eastAsia="微软雅黑" w:cs="Times New Roman"/>
          <w:sz w:val="18"/>
          <w:szCs w:val="18"/>
          <w:lang w:val="en-US" w:eastAsia="zh-CN"/>
        </w:rPr>
        <w:t>{{n}}{% endfor %}</w:t>
      </w:r>
      <w:r>
        <w:rPr>
          <w:rFonts w:hint="eastAsia" w:ascii="微软雅黑" w:hAnsi="微软雅黑" w:eastAsia="微软雅黑"/>
          <w:b/>
          <w:color w:val="000000"/>
          <w:sz w:val="18"/>
          <w:szCs w:val="18"/>
        </w:rPr>
        <w:br w:type="page"/>
      </w:r>
    </w:p>
    <w:p w14:paraId="27F71E38">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2A457E0F">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rPr>
        <w:t>提示</w:t>
      </w:r>
      <w:bookmarkEnd w:id="0"/>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ind w:firstLine="420" w:firstLineChars="200"/>
        <w:textAlignment w:val="auto"/>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共检出{{summaryOfRresults.crCheckLineStrYF1280Size}}个胚系突变，其中{{summaryOfRresults.crDrugList}}个与靶向药物相关。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注：</w:t>
      </w:r>
    </w:p>
    <w:p w14:paraId="304FD093">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14:paraId="01015C57">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基因变异所对应的可能获益</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耐药药物信息来源于本机构内部数据库，同时参考</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w:t>
      </w:r>
      <w:r>
        <w:rPr>
          <w:rFonts w:ascii="Times New Roman" w:hAnsi="Times New Roman" w:eastAsia="微软雅黑" w:cs="Times New Roman"/>
          <w:bCs/>
          <w:sz w:val="18"/>
          <w:szCs w:val="18"/>
          <w:lang w:eastAsia="zh-CN"/>
        </w:rPr>
        <w:t>OncoKB [PMID: 28890946]</w:t>
      </w:r>
      <w:r>
        <w:rPr>
          <w:rFonts w:hint="eastAsia" w:ascii="Times New Roman" w:hAnsi="Times New Roman" w:eastAsia="微软雅黑" w:cs="Times New Roman"/>
          <w:bCs/>
          <w:sz w:val="18"/>
          <w:szCs w:val="18"/>
          <w:lang w:eastAsia="zh-CN"/>
        </w:rPr>
        <w:t>等公共数据库内容，该数据仅供临床医生参考。随着数据库不断完善以及临床数据的更新，变异分级可能发生变化。</w:t>
      </w:r>
    </w:p>
    <w:p w14:paraId="2C402D47">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w:t>
      </w:r>
      <w:r>
        <w:rPr>
          <w:rFonts w:ascii="Times New Roman" w:hAnsi="Times New Roman" w:eastAsia="微软雅黑" w:cs="Times New Roman"/>
          <w:bCs/>
          <w:sz w:val="18"/>
          <w:szCs w:val="18"/>
          <w:lang w:eastAsia="zh-CN"/>
        </w:rPr>
        <w:t>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III</w:t>
      </w:r>
      <w:r>
        <w:rPr>
          <w:rFonts w:hint="eastAsia" w:ascii="Times New Roman" w:hAnsi="Times New Roman" w:eastAsia="微软雅黑" w:cs="Times New Roman"/>
          <w:bCs/>
          <w:sz w:val="18"/>
          <w:szCs w:val="18"/>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8"/>
          <w:szCs w:val="18"/>
          <w:lang w:eastAsia="zh-CN"/>
        </w:rPr>
        <w:t>IV</w:t>
      </w:r>
      <w:r>
        <w:rPr>
          <w:rFonts w:hint="eastAsia" w:ascii="Times New Roman" w:hAnsi="Times New Roman" w:eastAsia="微软雅黑" w:cs="Times New Roman"/>
          <w:bCs/>
          <w:sz w:val="18"/>
          <w:szCs w:val="18"/>
          <w:lang w:eastAsia="zh-CN"/>
        </w:rPr>
        <w:t>类变异（包括良性变异、或疑似良性变异，不在报告中展示）。</w:t>
      </w:r>
    </w:p>
    <w:p w14:paraId="3515D510">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可能获益药物：根据</w:t>
      </w:r>
      <w:r>
        <w:rPr>
          <w:rFonts w:ascii="Times New Roman" w:hAnsi="Times New Roman" w:eastAsia="微软雅黑" w:cs="Times New Roman"/>
          <w:bCs/>
          <w:sz w:val="18"/>
          <w:szCs w:val="18"/>
          <w:lang w:eastAsia="zh-CN"/>
        </w:rPr>
        <w:t>AMP/ASCO/CAP</w:t>
      </w:r>
      <w:r>
        <w:rPr>
          <w:rFonts w:hint="eastAsia" w:ascii="Times New Roman" w:hAnsi="Times New Roman" w:eastAsia="微软雅黑" w:cs="Times New Roman"/>
          <w:bCs/>
          <w:sz w:val="18"/>
          <w:szCs w:val="18"/>
          <w:lang w:eastAsia="zh-CN"/>
        </w:rPr>
        <w:t>相关指南</w:t>
      </w:r>
      <w:r>
        <w:rPr>
          <w:rFonts w:ascii="Times New Roman" w:hAnsi="Times New Roman" w:eastAsia="微软雅黑" w:cs="Times New Roman"/>
          <w:bCs/>
          <w:sz w:val="18"/>
          <w:szCs w:val="18"/>
          <w:lang w:eastAsia="zh-CN"/>
        </w:rPr>
        <w:t>[PMID: 27993330]</w:t>
      </w:r>
      <w:r>
        <w:rPr>
          <w:rFonts w:hint="eastAsia" w:ascii="Times New Roman" w:hAnsi="Times New Roman" w:eastAsia="微软雅黑" w:cs="Times New Roman"/>
          <w:bCs/>
          <w:sz w:val="18"/>
          <w:szCs w:val="18"/>
          <w:lang w:eastAsia="zh-CN"/>
        </w:rPr>
        <w:t>共分为</w:t>
      </w:r>
      <w:r>
        <w:rPr>
          <w:rFonts w:ascii="Times New Roman" w:hAnsi="Times New Roman" w:eastAsia="微软雅黑" w:cs="Times New Roman"/>
          <w:bCs/>
          <w:sz w:val="18"/>
          <w:szCs w:val="18"/>
          <w:lang w:eastAsia="zh-CN"/>
        </w:rPr>
        <w:t>ABCD</w:t>
      </w:r>
      <w:r>
        <w:rPr>
          <w:rFonts w:hint="eastAsia" w:ascii="Times New Roman" w:hAnsi="Times New Roman" w:eastAsia="微软雅黑" w:cs="Times New Roman"/>
          <w:bCs/>
          <w:sz w:val="18"/>
          <w:szCs w:val="18"/>
          <w:lang w:eastAsia="zh-CN"/>
        </w:rPr>
        <w:t>四个等级。</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已经批准、或专业临床指南推荐在本癌种该靶点上可用的药物；</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级：较大规模的临床试验证实、且取得临床专家共识在本癌种该靶点可用的药物；</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w:t>
      </w:r>
      <w:r>
        <w:rPr>
          <w:rFonts w:hint="eastAsia" w:ascii="Times New Roman" w:hAnsi="Times New Roman" w:eastAsia="微软雅黑" w:cs="Times New Roman"/>
          <w:bCs/>
          <w:sz w:val="18"/>
          <w:szCs w:val="18"/>
          <w:lang w:eastAsia="zh-CN"/>
        </w:rPr>
        <w:t>或其他专业机构批准于其他癌症类型、或已作为临床试验的筛选入组标准、或者有多个小型研究支持；</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级：临床前研究、或者是病例报道支持。</w:t>
      </w:r>
    </w:p>
    <w:p w14:paraId="219B84BE">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可能耐药药物：</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已经批准的、</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指南推荐的、临床试验或者临床研究有明确结果的、药物敏感性可能降低或产生耐药的靶向药物。</w:t>
      </w:r>
    </w:p>
    <w:p w14:paraId="66403883">
      <w:pPr>
        <w:widowControl w:val="0"/>
        <w:numPr>
          <w:ilvl w:val="0"/>
          <w:numId w:val="10"/>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表示该位点无相应靶向药物提示。</w:t>
      </w:r>
    </w:p>
    <w:p w14:paraId="48C4E6B9">
      <w:pPr>
        <w:widowControl w:val="0"/>
        <w:numPr>
          <w:ilvl w:val="0"/>
          <w:numId w:val="10"/>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标注的药物：</w:t>
      </w:r>
      <w:r>
        <w:rPr>
          <w:rFonts w:ascii="Times New Roman" w:hAnsi="Times New Roman" w:eastAsia="微软雅黑" w:cs="Times New Roman"/>
          <w:bCs/>
          <w:sz w:val="18"/>
          <w:szCs w:val="18"/>
          <w:lang w:eastAsia="zh-CN"/>
        </w:rPr>
        <w:t>NMPA</w:t>
      </w:r>
      <w:r>
        <w:rPr>
          <w:rFonts w:hint="eastAsia" w:ascii="Times New Roman" w:hAnsi="Times New Roman" w:eastAsia="微软雅黑" w:cs="Times New Roman"/>
          <w:bCs/>
          <w:sz w:val="18"/>
          <w:szCs w:val="18"/>
          <w:lang w:eastAsia="zh-CN"/>
        </w:rPr>
        <w:t>批准的靶向药物。</w:t>
      </w:r>
    </w:p>
    <w:p w14:paraId="44D4235E">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分析注释时采用</w:t>
      </w:r>
      <w:r>
        <w:rPr>
          <w:rFonts w:ascii="Times New Roman" w:hAnsi="Times New Roman" w:eastAsia="微软雅黑" w:cs="Times New Roman"/>
          <w:bCs/>
          <w:sz w:val="18"/>
          <w:szCs w:val="18"/>
          <w:lang w:eastAsia="zh-CN"/>
        </w:rPr>
        <w:t>RefSeq</w:t>
      </w:r>
      <w:r>
        <w:rPr>
          <w:rFonts w:hint="eastAsia" w:ascii="Times New Roman" w:hAnsi="Times New Roman" w:eastAsia="微软雅黑" w:cs="Times New Roman"/>
          <w:bCs/>
          <w:sz w:val="18"/>
          <w:szCs w:val="18"/>
          <w:lang w:eastAsia="zh-CN"/>
        </w:rPr>
        <w:t>转录本编号。</w:t>
      </w:r>
    </w:p>
    <w:p w14:paraId="57BD9065">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14:paraId="195DB706">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拷贝数：是指某⼀种基因或某⼀段特定的DNA序列在单倍体基因组中出现的数目。</w:t>
      </w:r>
    </w:p>
    <w:p w14:paraId="7CFA2A91">
      <w:pPr>
        <w:widowControl w:val="0"/>
        <w:numPr>
          <w:ilvl w:val="0"/>
          <w:numId w:val="10"/>
        </w:numPr>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基因变异检测结果：</w:t>
      </w:r>
      <w:r>
        <w:rPr>
          <w:rFonts w:ascii="Times New Roman" w:hAnsi="Times New Roman" w:eastAsia="微软雅黑" w:cs="Times New Roman"/>
          <w:bCs/>
          <w:sz w:val="18"/>
          <w:szCs w:val="18"/>
          <w:lang w:eastAsia="zh-CN"/>
        </w:rPr>
        <w:t>“NM”</w:t>
      </w:r>
      <w:r>
        <w:rPr>
          <w:rFonts w:hint="eastAsia" w:ascii="Times New Roman" w:hAnsi="Times New Roman" w:eastAsia="微软雅黑" w:cs="Times New Roman"/>
          <w:bCs/>
          <w:sz w:val="18"/>
          <w:szCs w:val="18"/>
          <w:lang w:eastAsia="zh-CN"/>
        </w:rPr>
        <w:t>为基因的转录本编号，</w:t>
      </w:r>
      <w:r>
        <w:rPr>
          <w:rFonts w:ascii="Times New Roman" w:hAnsi="Times New Roman" w:eastAsia="微软雅黑" w:cs="Times New Roman"/>
          <w:bCs/>
          <w:sz w:val="18"/>
          <w:szCs w:val="18"/>
          <w:lang w:eastAsia="zh-CN"/>
        </w:rPr>
        <w:t>“exon”</w:t>
      </w:r>
      <w:r>
        <w:rPr>
          <w:rFonts w:hint="eastAsia" w:ascii="Times New Roman" w:hAnsi="Times New Roman" w:eastAsia="微软雅黑" w:cs="Times New Roman"/>
          <w:bCs/>
          <w:sz w:val="18"/>
          <w:szCs w:val="18"/>
          <w:lang w:eastAsia="zh-CN"/>
        </w:rPr>
        <w:t>为外显子，</w:t>
      </w:r>
      <w:r>
        <w:rPr>
          <w:rFonts w:ascii="Times New Roman" w:hAnsi="Times New Roman" w:eastAsia="微软雅黑" w:cs="Times New Roman"/>
          <w:bCs/>
          <w:sz w:val="18"/>
          <w:szCs w:val="18"/>
          <w:lang w:eastAsia="zh-CN"/>
        </w:rPr>
        <w:t>“intron”</w:t>
      </w:r>
      <w:r>
        <w:rPr>
          <w:rFonts w:hint="eastAsia" w:ascii="Times New Roman" w:hAnsi="Times New Roman" w:eastAsia="微软雅黑" w:cs="Times New Roman"/>
          <w:bCs/>
          <w:sz w:val="18"/>
          <w:szCs w:val="18"/>
          <w:lang w:eastAsia="zh-CN"/>
        </w:rPr>
        <w:t>为内含子，</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为</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序列，</w:t>
      </w:r>
      <w:r>
        <w:rPr>
          <w:rFonts w:ascii="Times New Roman" w:hAnsi="Times New Roman" w:eastAsia="微软雅黑" w:cs="Times New Roman"/>
          <w:bCs/>
          <w:sz w:val="18"/>
          <w:szCs w:val="18"/>
          <w:lang w:eastAsia="zh-CN"/>
        </w:rPr>
        <w:t>“p”</w:t>
      </w:r>
      <w:r>
        <w:rPr>
          <w:rFonts w:hint="eastAsia" w:ascii="Times New Roman" w:hAnsi="Times New Roman" w:eastAsia="微软雅黑" w:cs="Times New Roman"/>
          <w:bCs/>
          <w:sz w:val="18"/>
          <w:szCs w:val="18"/>
          <w:lang w:eastAsia="zh-CN"/>
        </w:rPr>
        <w:t>为蛋白质。在</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水平对某一突变位点的描述方式包括：碱基位点，正常碱基，</w:t>
      </w:r>
      <w:r>
        <w:rPr>
          <w:rFonts w:ascii="Times New Roman" w:hAnsi="Times New Roman" w:eastAsia="微软雅黑" w:cs="Times New Roman"/>
          <w:bCs/>
          <w:sz w:val="18"/>
          <w:szCs w:val="18"/>
          <w:lang w:eastAsia="zh-CN"/>
        </w:rPr>
        <w:t>“&gt;”</w:t>
      </w:r>
      <w:r>
        <w:rPr>
          <w:rFonts w:hint="eastAsia" w:ascii="Times New Roman" w:hAnsi="Times New Roman" w:eastAsia="微软雅黑" w:cs="Times New Roman"/>
          <w:bCs/>
          <w:sz w:val="18"/>
          <w:szCs w:val="18"/>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2" w:name="_Toc28455"/>
      <w:bookmarkStart w:id="3" w:name="_Toc20084"/>
      <w:bookmarkStart w:id="4" w:name="_Toc149837259"/>
      <w:bookmarkStart w:id="5" w:name="_Toc27793"/>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2"/>
      <w:bookmarkEnd w:id="3"/>
      <w:bookmarkEnd w:id="4"/>
      <w:bookmarkEnd w:id="5"/>
    </w:p>
    <w:p w14:paraId="7E7CDF96">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9A75E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02CAC240">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378ACE05">
      <w:pPr>
        <w:widowControl w:val="0"/>
        <w:numPr>
          <w:ilvl w:val="0"/>
          <w:numId w:val="11"/>
        </w:numPr>
        <w:spacing w:after="0" w:line="240" w:lineRule="auto"/>
        <w:ind w:left="425" w:leftChars="0" w:hanging="425" w:firstLineChars="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根据美国医学遗传医师学会（</w:t>
      </w:r>
      <w:r>
        <w:rPr>
          <w:rFonts w:ascii="Times New Roman" w:hAnsi="Times New Roman" w:eastAsia="微软雅黑" w:cs="Times New Roman"/>
          <w:bCs/>
          <w:sz w:val="18"/>
          <w:szCs w:val="18"/>
          <w:lang w:eastAsia="zh-CN"/>
        </w:rPr>
        <w:t>ACMG</w:t>
      </w:r>
      <w:r>
        <w:rPr>
          <w:rFonts w:hint="eastAsia" w:ascii="Times New Roman" w:hAnsi="Times New Roman" w:eastAsia="微软雅黑" w:cs="Times New Roman"/>
          <w:bCs/>
          <w:sz w:val="18"/>
          <w:szCs w:val="18"/>
          <w:lang w:eastAsia="zh-CN"/>
        </w:rPr>
        <w:t>）指导意见，个体携带的变异，分为</w:t>
      </w:r>
      <w:r>
        <w:rPr>
          <w:rFonts w:ascii="Times New Roman" w:hAnsi="Times New Roman" w:eastAsia="微软雅黑" w:cs="Times New Roman"/>
          <w:bCs/>
          <w:sz w:val="18"/>
          <w:szCs w:val="18"/>
          <w:lang w:eastAsia="zh-CN"/>
        </w:rPr>
        <w:t>5</w:t>
      </w:r>
      <w:r>
        <w:rPr>
          <w:rFonts w:hint="eastAsia" w:ascii="Times New Roman" w:hAnsi="Times New Roman" w:eastAsia="微软雅黑" w:cs="Times New Roman"/>
          <w:bCs/>
          <w:sz w:val="18"/>
          <w:szCs w:val="18"/>
          <w:lang w:eastAsia="zh-CN"/>
        </w:rPr>
        <w:t>个大类：</w:t>
      </w:r>
    </w:p>
    <w:p w14:paraId="630E5535">
      <w:pPr>
        <w:widowControl w:val="0"/>
        <w:numPr>
          <w:ilvl w:val="0"/>
          <w:numId w:val="12"/>
        </w:numPr>
        <w:spacing w:after="0" w:line="240" w:lineRule="auto"/>
        <w:ind w:left="660" w:leftChars="0" w:hanging="440" w:firstLineChars="0"/>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bCs/>
          <w:sz w:val="18"/>
          <w:szCs w:val="18"/>
          <w:lang w:eastAsia="zh-CN"/>
        </w:rPr>
        <w:t>致病性变异：有大量证据表明这种变异是高风险的致病性变异。</w:t>
      </w:r>
    </w:p>
    <w:p w14:paraId="37E7B65C">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可能致病性变异：有一些证据表明这种变异是高风险的致病性变异。</w:t>
      </w:r>
    </w:p>
    <w:p w14:paraId="4F4BB4AC">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不确定性变异：没有足够的证据，将变异分类到其他四类中。</w:t>
      </w:r>
    </w:p>
    <w:p w14:paraId="265F0EBE">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可能良性变异：有一些证据表明这种变异不是高风险的致病变异。</w:t>
      </w:r>
    </w:p>
    <w:p w14:paraId="27C543DA">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良性变异：有大量证据表明这种变异不是高风险的致病变异。</w:t>
      </w:r>
    </w:p>
    <w:p w14:paraId="55C8B7D8">
      <w:pPr>
        <w:widowControl w:val="0"/>
        <w:numPr>
          <w:ilvl w:val="0"/>
          <w:numId w:val="11"/>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基因变异临床意义等级来源于ACMG指南及Clinvar等公共数据库，随着相关指南、数据库不断完善以及临床数据的更新，变异分级可能发生变化。</w:t>
      </w:r>
    </w:p>
    <w:p w14:paraId="1041B569">
      <w:pPr>
        <w:widowControl w:val="0"/>
        <w:numPr>
          <w:ilvl w:val="0"/>
          <w:numId w:val="11"/>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564DA81D">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590A1C92">
      <w:pPr>
        <w:widowControl w:val="0"/>
        <w:spacing w:after="0" w:line="240" w:lineRule="auto"/>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6" w:name="_Toc12657"/>
      <w:bookmarkStart w:id="7" w:name="_Toc31913"/>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同源重组缺陷状态解析</w:t>
      </w:r>
      <w:bookmarkEnd w:id="6"/>
      <w:bookmarkEnd w:id="7"/>
    </w:p>
    <w:p w14:paraId="6B0909B1">
      <w:pPr>
        <w:widowControl w:val="0"/>
        <w:spacing w:after="0" w:line="240" w:lineRule="auto"/>
        <w:rPr>
          <w:rFonts w:hint="default" w:ascii="Times New Roman" w:hAnsi="Times New Roman" w:eastAsia="微软雅黑" w:cs="Times New Roman"/>
          <w:sz w:val="24"/>
          <w:szCs w:val="24"/>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2705A695">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32"/>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832"/>
        <w:gridCol w:w="2352"/>
        <w:gridCol w:w="1738"/>
      </w:tblGrid>
      <w:tr w14:paraId="7416F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6600"/>
            <w:vAlign w:val="center"/>
          </w:tcPr>
          <w:p w14:paraId="25FDA070">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w:t>
            </w:r>
          </w:p>
        </w:tc>
        <w:tc>
          <w:tcPr>
            <w:tcW w:w="1974" w:type="dxa"/>
            <w:tcBorders>
              <w:top w:val="nil"/>
              <w:left w:val="single" w:color="FFFFFF" w:sz="18" w:space="0"/>
              <w:bottom w:val="nil"/>
              <w:right w:val="single" w:color="FFFFFF" w:sz="18" w:space="0"/>
            </w:tcBorders>
            <w:shd w:val="clear" w:color="auto" w:fill="006600"/>
            <w:vAlign w:val="center"/>
          </w:tcPr>
          <w:p w14:paraId="2A8CB9EB">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核苷酸</w:t>
            </w:r>
          </w:p>
        </w:tc>
        <w:tc>
          <w:tcPr>
            <w:tcW w:w="1832" w:type="dxa"/>
            <w:tcBorders>
              <w:top w:val="nil"/>
              <w:left w:val="single" w:color="FFFFFF" w:sz="18" w:space="0"/>
              <w:bottom w:val="nil"/>
              <w:right w:val="single" w:color="FFFFFF" w:sz="18" w:space="0"/>
            </w:tcBorders>
            <w:shd w:val="clear" w:color="auto" w:fill="006600"/>
            <w:vAlign w:val="center"/>
          </w:tcPr>
          <w:p w14:paraId="7663582F">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氨基酸</w:t>
            </w:r>
          </w:p>
        </w:tc>
        <w:tc>
          <w:tcPr>
            <w:tcW w:w="2352" w:type="dxa"/>
            <w:tcBorders>
              <w:top w:val="nil"/>
              <w:left w:val="single" w:color="FFFFFF" w:sz="18" w:space="0"/>
              <w:bottom w:val="nil"/>
              <w:right w:val="single" w:color="FFFFFF" w:sz="18" w:space="0"/>
            </w:tcBorders>
            <w:shd w:val="clear" w:color="auto" w:fill="006600"/>
            <w:vAlign w:val="center"/>
          </w:tcPr>
          <w:p w14:paraId="6028639C">
            <w:pPr>
              <w:widowControl w:val="0"/>
              <w:spacing w:before="26" w:after="0" w:line="240" w:lineRule="auto"/>
              <w:jc w:val="center"/>
              <w:rPr>
                <w:rFonts w:hint="default" w:ascii="Times New Roman" w:hAnsi="Times New Roman" w:eastAsia="微软雅黑" w:cs="Times New Roman"/>
                <w:b/>
                <w:color w:val="FFFFFF"/>
                <w:sz w:val="18"/>
                <w:szCs w:val="18"/>
                <w:lang w:val="en-US" w:eastAsia="zh-CN"/>
              </w:rPr>
            </w:pPr>
            <w:r>
              <w:rPr>
                <w:rFonts w:hint="default" w:ascii="Times New Roman" w:hAnsi="Times New Roman" w:eastAsia="微软雅黑" w:cs="Times New Roman"/>
                <w:b/>
                <w:color w:val="FFFFFF"/>
                <w:sz w:val="18"/>
                <w:szCs w:val="18"/>
                <w:lang w:eastAsia="zh-CN"/>
              </w:rPr>
              <w:t>纯合/杂合/突变频率/</w:t>
            </w:r>
            <w:r>
              <w:rPr>
                <w:rFonts w:hint="eastAsia" w:ascii="Times New Roman" w:hAnsi="Times New Roman" w:eastAsia="微软雅黑" w:cs="Times New Roman"/>
                <w:b/>
                <w:color w:val="FFFFFF"/>
                <w:sz w:val="18"/>
                <w:szCs w:val="18"/>
                <w:lang w:val="en-US" w:eastAsia="zh-CN"/>
              </w:rPr>
              <w:t>拷贝数</w:t>
            </w:r>
          </w:p>
        </w:tc>
        <w:tc>
          <w:tcPr>
            <w:tcW w:w="1738" w:type="dxa"/>
            <w:tcBorders>
              <w:top w:val="nil"/>
              <w:left w:val="single" w:color="FFFFFF" w:sz="18" w:space="0"/>
              <w:bottom w:val="nil"/>
            </w:tcBorders>
            <w:shd w:val="clear" w:color="auto" w:fill="006600"/>
            <w:vAlign w:val="center"/>
          </w:tcPr>
          <w:p w14:paraId="14317C61">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临床意义</w:t>
            </w:r>
          </w:p>
        </w:tc>
      </w:tr>
      <w:tr w14:paraId="730633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2AC1F4A7">
            <w:pPr>
              <w:widowControl w:val="0"/>
              <w:spacing w:before="20"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14CDD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0AFF242">
            <w:pPr>
              <w:widowControl w:val="0"/>
              <w:spacing w:before="20" w:after="0" w:line="240" w:lineRule="auto"/>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4A705E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799B9D41">
            <w:pPr>
              <w:widowControl w:val="0"/>
              <w:spacing w:before="26" w:after="0" w:line="240" w:lineRule="auto"/>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if brca.Transcript == ‘.’%}{{ brca.Gene}}{% else%}{{ brca.Gene }}</w:t>
            </w:r>
          </w:p>
          <w:p w14:paraId="0C2CA881">
            <w:pPr>
              <w:widowControl w:val="0"/>
              <w:spacing w:before="26" w:after="0" w:line="240" w:lineRule="auto"/>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lang w:eastAsia="zh-CN"/>
              </w:rPr>
              <w:t>{{ brca.Transcript }}{% endif%}</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798B265E">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832" w:type="dxa"/>
            <w:tcBorders>
              <w:top w:val="nil"/>
            </w:tcBorders>
            <w:vAlign w:val="center"/>
          </w:tcPr>
          <w:p w14:paraId="4F426E5E">
            <w:pPr>
              <w:widowControl w:val="0"/>
              <w:spacing w:before="20"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352" w:type="dxa"/>
            <w:tcBorders>
              <w:top w:val="nil"/>
            </w:tcBorders>
            <w:vAlign w:val="center"/>
          </w:tcPr>
          <w:p w14:paraId="6B503714">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738" w:type="dxa"/>
            <w:tcBorders>
              <w:top w:val="nil"/>
            </w:tcBorders>
            <w:vAlign w:val="center"/>
          </w:tcPr>
          <w:p w14:paraId="3D1164AC">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187C44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4FD1098">
            <w:pPr>
              <w:widowControl w:val="0"/>
              <w:spacing w:before="26"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20042D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2626FBA">
            <w:pPr>
              <w:widowControl w:val="0"/>
              <w:spacing w:before="26"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23CCF5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60ADE563">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9DDFC1E">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832" w:type="dxa"/>
            <w:tcBorders>
              <w:top w:val="nil"/>
            </w:tcBorders>
            <w:vAlign w:val="center"/>
          </w:tcPr>
          <w:p w14:paraId="332AB741">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352" w:type="dxa"/>
            <w:tcBorders>
              <w:top w:val="nil"/>
            </w:tcBorders>
            <w:vAlign w:val="center"/>
          </w:tcPr>
          <w:p w14:paraId="20350BAF">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738" w:type="dxa"/>
            <w:tcBorders>
              <w:top w:val="nil"/>
            </w:tcBorders>
            <w:vAlign w:val="center"/>
          </w:tcPr>
          <w:p w14:paraId="10B48824">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0D6077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EEF5973">
            <w:pPr>
              <w:widowControl w:val="0"/>
              <w:spacing w:before="26" w:after="0" w:line="240" w:lineRule="auto"/>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04F3F3DC">
      <w:pPr>
        <w:widowControl/>
        <w:spacing w:after="0" w:line="240" w:lineRule="auto"/>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7720921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2C46B8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sz="18" w:space="0"/>
              <w:right w:val="nil"/>
            </w:tcBorders>
            <w:shd w:val="clear" w:color="auto" w:fill="006600"/>
            <w:vAlign w:val="center"/>
          </w:tcPr>
          <w:p w14:paraId="0C5C335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同源重组</w:t>
            </w:r>
          </w:p>
          <w:p w14:paraId="5401CA1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缺陷状态</w:t>
            </w:r>
          </w:p>
        </w:tc>
        <w:tc>
          <w:tcPr>
            <w:tcW w:w="8421" w:type="dxa"/>
            <w:tcBorders>
              <w:top w:val="single" w:color="BFBFBF" w:sz="4" w:space="0"/>
              <w:left w:val="nil"/>
              <w:bottom w:val="single" w:color="A4A4A4" w:sz="4" w:space="0"/>
              <w:right w:val="nil"/>
            </w:tcBorders>
            <w:vAlign w:val="center"/>
          </w:tcPr>
          <w:p w14:paraId="30FB8EA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5B7975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left w:val="nil"/>
              <w:bottom w:val="single" w:color="FFFFFF" w:sz="18" w:space="0"/>
              <w:right w:val="single" w:color="FFFFFF" w:sz="18" w:space="0"/>
            </w:tcBorders>
            <w:shd w:val="clear" w:color="auto" w:fill="006600"/>
            <w:vAlign w:val="center"/>
          </w:tcPr>
          <w:p w14:paraId="3D824888">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sz w:val="18"/>
                <w:szCs w:val="18"/>
                <w:lang w:eastAsia="zh-CN"/>
              </w:rPr>
              <w:t>潜在获益药物</w:t>
            </w: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10932213">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A级</w:t>
            </w:r>
          </w:p>
        </w:tc>
        <w:tc>
          <w:tcPr>
            <w:tcW w:w="8421" w:type="dxa"/>
            <w:tcBorders>
              <w:top w:val="single" w:color="A4A4A4" w:sz="4" w:space="0"/>
              <w:left w:val="nil"/>
              <w:bottom w:val="single" w:color="A4A4A4" w:sz="4" w:space="0"/>
              <w:right w:val="nil"/>
            </w:tcBorders>
            <w:shd w:val="clear" w:color="auto" w:fill="auto"/>
            <w:vAlign w:val="center"/>
          </w:tcPr>
          <w:p w14:paraId="3074F0F8">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2053AC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70A2964E">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0D1340B7">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B级</w:t>
            </w:r>
          </w:p>
        </w:tc>
        <w:tc>
          <w:tcPr>
            <w:tcW w:w="8421" w:type="dxa"/>
            <w:tcBorders>
              <w:top w:val="single" w:color="A4A4A4" w:sz="4" w:space="0"/>
              <w:left w:val="nil"/>
              <w:bottom w:val="single" w:color="A4A4A4" w:sz="4" w:space="0"/>
              <w:right w:val="nil"/>
            </w:tcBorders>
            <w:shd w:val="clear" w:color="auto" w:fill="auto"/>
            <w:vAlign w:val="center"/>
          </w:tcPr>
          <w:p w14:paraId="7B28541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17ABA6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43C39248">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6202053C">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C级</w:t>
            </w:r>
          </w:p>
        </w:tc>
        <w:tc>
          <w:tcPr>
            <w:tcW w:w="8421" w:type="dxa"/>
            <w:tcBorders>
              <w:top w:val="single" w:color="A4A4A4" w:sz="4" w:space="0"/>
              <w:left w:val="nil"/>
              <w:bottom w:val="single" w:color="A4A4A4" w:sz="4" w:space="0"/>
              <w:right w:val="nil"/>
            </w:tcBorders>
            <w:shd w:val="clear" w:color="auto" w:fill="auto"/>
            <w:vAlign w:val="center"/>
          </w:tcPr>
          <w:p w14:paraId="1C90184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211F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0B83C82E">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2B987528">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D级</w:t>
            </w:r>
          </w:p>
        </w:tc>
        <w:tc>
          <w:tcPr>
            <w:tcW w:w="8421" w:type="dxa"/>
            <w:tcBorders>
              <w:top w:val="single" w:color="A4A4A4" w:sz="4" w:space="0"/>
              <w:left w:val="nil"/>
              <w:bottom w:val="single" w:color="A4A4A4" w:sz="4" w:space="0"/>
              <w:right w:val="nil"/>
            </w:tcBorders>
            <w:shd w:val="clear" w:color="auto" w:fill="auto"/>
            <w:vAlign w:val="center"/>
          </w:tcPr>
          <w:p w14:paraId="0D6C715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13DF8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left w:val="nil"/>
              <w:bottom w:val="single" w:color="FFFFFF" w:sz="18" w:space="0"/>
              <w:right w:val="single" w:color="FFFFFF" w:sz="18" w:space="0"/>
            </w:tcBorders>
            <w:shd w:val="clear" w:color="auto" w:fill="006600"/>
            <w:vAlign w:val="center"/>
          </w:tcPr>
          <w:p w14:paraId="177AE5F9">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潜在耐药信息</w:t>
            </w: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33AB256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A级</w:t>
            </w:r>
          </w:p>
        </w:tc>
        <w:tc>
          <w:tcPr>
            <w:tcW w:w="8421" w:type="dxa"/>
            <w:tcBorders>
              <w:top w:val="single" w:color="A4A4A4" w:sz="4" w:space="0"/>
              <w:left w:val="nil"/>
              <w:bottom w:val="single" w:color="A4A4A4" w:sz="4" w:space="0"/>
              <w:right w:val="nil"/>
            </w:tcBorders>
            <w:shd w:val="clear" w:color="auto" w:fill="auto"/>
            <w:vAlign w:val="center"/>
          </w:tcPr>
          <w:p w14:paraId="44182C5F">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4D7ED6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4800FD0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4C6D58A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B级</w:t>
            </w:r>
          </w:p>
        </w:tc>
        <w:tc>
          <w:tcPr>
            <w:tcW w:w="8421" w:type="dxa"/>
            <w:tcBorders>
              <w:top w:val="single" w:color="A4A4A4" w:sz="4" w:space="0"/>
              <w:left w:val="nil"/>
              <w:bottom w:val="single" w:color="A4A4A4" w:sz="4" w:space="0"/>
              <w:right w:val="nil"/>
            </w:tcBorders>
            <w:shd w:val="clear" w:color="auto" w:fill="auto"/>
            <w:vAlign w:val="center"/>
          </w:tcPr>
          <w:p w14:paraId="57631AD1">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618FF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0BBF3A7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7DF16F4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C级</w:t>
            </w:r>
          </w:p>
        </w:tc>
        <w:tc>
          <w:tcPr>
            <w:tcW w:w="8421" w:type="dxa"/>
            <w:tcBorders>
              <w:top w:val="single" w:color="A4A4A4" w:sz="4" w:space="0"/>
              <w:left w:val="nil"/>
              <w:bottom w:val="single" w:color="A4A4A4" w:sz="4" w:space="0"/>
              <w:right w:val="nil"/>
            </w:tcBorders>
            <w:shd w:val="clear" w:color="auto" w:fill="auto"/>
            <w:vAlign w:val="center"/>
          </w:tcPr>
          <w:p w14:paraId="63DCEA5A">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5533F3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7A624CE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00763B4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D级</w:t>
            </w:r>
          </w:p>
        </w:tc>
        <w:tc>
          <w:tcPr>
            <w:tcW w:w="8421" w:type="dxa"/>
            <w:tcBorders>
              <w:top w:val="single" w:color="A4A4A4" w:sz="4" w:space="0"/>
              <w:left w:val="nil"/>
              <w:bottom w:val="single" w:color="A4A4A4" w:sz="4" w:space="0"/>
              <w:right w:val="nil"/>
            </w:tcBorders>
            <w:shd w:val="clear" w:color="auto" w:fill="auto"/>
            <w:vAlign w:val="center"/>
          </w:tcPr>
          <w:p w14:paraId="5896002B">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0A5238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sz="18" w:space="0"/>
              <w:left w:val="nil"/>
              <w:right w:val="nil"/>
            </w:tcBorders>
            <w:shd w:val="clear" w:color="auto" w:fill="006600"/>
            <w:vAlign w:val="center"/>
          </w:tcPr>
          <w:p w14:paraId="00B689F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21" w:type="dxa"/>
            <w:tcBorders>
              <w:top w:val="single" w:color="A4A4A4" w:sz="4" w:space="0"/>
              <w:left w:val="nil"/>
              <w:bottom w:val="single" w:color="A4A4A4" w:sz="4" w:space="0"/>
              <w:right w:val="nil"/>
            </w:tcBorders>
            <w:vAlign w:val="center"/>
          </w:tcPr>
          <w:p w14:paraId="2D231DF5">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38265D5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F370329">
      <w:pPr>
        <w:widowControl w:val="0"/>
        <w:spacing w:before="26" w:after="0" w:line="240" w:lineRule="auto"/>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597637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646D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6600"/>
            <w:vAlign w:val="center"/>
          </w:tcPr>
          <w:p w14:paraId="0CB85568">
            <w:pPr>
              <w:keepNext/>
              <w:widowControl w:val="0"/>
              <w:spacing w:before="26" w:after="0" w:line="240" w:lineRule="auto"/>
              <w:ind w:firstLine="180" w:firstLineChars="100"/>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CBC8E7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134" w:type="dxa"/>
            <w:tcBorders>
              <w:top w:val="nil"/>
              <w:left w:val="single" w:color="FFFFFF" w:sz="18" w:space="0"/>
              <w:bottom w:val="nil"/>
              <w:right w:val="single" w:color="FFFFFF" w:sz="18" w:space="0"/>
            </w:tcBorders>
            <w:shd w:val="clear" w:color="auto" w:fill="006600"/>
            <w:vAlign w:val="center"/>
          </w:tcPr>
          <w:p w14:paraId="3BE7230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793" w:type="dxa"/>
            <w:tcBorders>
              <w:top w:val="nil"/>
              <w:left w:val="single" w:color="FFFFFF" w:sz="18" w:space="0"/>
              <w:bottom w:val="nil"/>
            </w:tcBorders>
            <w:shd w:val="clear" w:color="auto" w:fill="006600"/>
            <w:vAlign w:val="center"/>
          </w:tcPr>
          <w:p w14:paraId="1378B8B6">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8E05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3071ED9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31406F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249F8F8">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59CD2D6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3B8219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6C8DC0A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5E68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ED3657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9E912B2">
      <w:pPr>
        <w:widowControl w:val="0"/>
        <w:spacing w:before="26" w:after="0" w:line="240" w:lineRule="auto"/>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10DACC32">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00DA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6600"/>
            <w:vAlign w:val="center"/>
          </w:tcPr>
          <w:p w14:paraId="16EC15EC">
            <w:pPr>
              <w:keepNext/>
              <w:widowControl w:val="0"/>
              <w:spacing w:before="26" w:after="0" w:line="240" w:lineRule="auto"/>
              <w:ind w:firstLine="180" w:firstLineChars="100"/>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083B997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134" w:type="dxa"/>
            <w:tcBorders>
              <w:top w:val="nil"/>
              <w:left w:val="single" w:color="FFFFFF" w:sz="18" w:space="0"/>
              <w:bottom w:val="nil"/>
              <w:right w:val="single" w:color="FFFFFF" w:sz="18" w:space="0"/>
            </w:tcBorders>
            <w:shd w:val="clear" w:color="auto" w:fill="006600"/>
            <w:vAlign w:val="center"/>
          </w:tcPr>
          <w:p w14:paraId="6E95FFA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793" w:type="dxa"/>
            <w:tcBorders>
              <w:top w:val="nil"/>
              <w:left w:val="single" w:color="FFFFFF" w:sz="18" w:space="0"/>
              <w:bottom w:val="nil"/>
            </w:tcBorders>
            <w:shd w:val="clear" w:color="auto" w:fill="006600"/>
            <w:vAlign w:val="center"/>
          </w:tcPr>
          <w:p w14:paraId="6CBE208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2254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8FBF6B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1A897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71E90D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4AC3AB80">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0F96AB6F">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F961C6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F6C1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932BFFC">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D64DE15">
      <w:pPr>
        <w:widowControl w:val="0"/>
        <w:spacing w:before="26" w:after="0" w:line="240" w:lineRule="auto"/>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F7294F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4565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6600"/>
            <w:vAlign w:val="center"/>
          </w:tcPr>
          <w:p w14:paraId="46C0E76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ID</w:t>
            </w:r>
          </w:p>
        </w:tc>
        <w:tc>
          <w:tcPr>
            <w:tcW w:w="3884" w:type="dxa"/>
            <w:tcBorders>
              <w:top w:val="nil"/>
              <w:left w:val="single" w:color="FFFFFF" w:sz="18" w:space="0"/>
              <w:bottom w:val="nil"/>
              <w:right w:val="single" w:color="FFFFFF" w:sz="18" w:space="0"/>
            </w:tcBorders>
            <w:shd w:val="clear" w:color="auto" w:fill="006600"/>
            <w:vAlign w:val="center"/>
          </w:tcPr>
          <w:p w14:paraId="3853A8C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1896465E">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肿瘤类型</w:t>
            </w:r>
          </w:p>
        </w:tc>
        <w:tc>
          <w:tcPr>
            <w:tcW w:w="1035" w:type="dxa"/>
            <w:tcBorders>
              <w:top w:val="nil"/>
              <w:left w:val="single" w:color="FFFFFF" w:sz="18" w:space="0"/>
              <w:bottom w:val="nil"/>
              <w:right w:val="single" w:color="FFFFFF" w:sz="18" w:space="0"/>
            </w:tcBorders>
            <w:shd w:val="clear" w:color="auto" w:fill="006600"/>
            <w:vAlign w:val="center"/>
          </w:tcPr>
          <w:p w14:paraId="7341F5FD">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阶段</w:t>
            </w:r>
          </w:p>
        </w:tc>
        <w:tc>
          <w:tcPr>
            <w:tcW w:w="1204" w:type="dxa"/>
            <w:tcBorders>
              <w:top w:val="nil"/>
              <w:left w:val="single" w:color="FFFFFF" w:sz="18" w:space="0"/>
              <w:bottom w:val="nil"/>
              <w:right w:val="single" w:color="FFFFFF" w:sz="18" w:space="0"/>
            </w:tcBorders>
            <w:shd w:val="clear" w:color="auto" w:fill="006600"/>
            <w:vAlign w:val="center"/>
          </w:tcPr>
          <w:p w14:paraId="4B3D8841">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药物</w:t>
            </w:r>
          </w:p>
        </w:tc>
        <w:tc>
          <w:tcPr>
            <w:tcW w:w="856" w:type="dxa"/>
            <w:tcBorders>
              <w:top w:val="nil"/>
              <w:left w:val="single" w:color="FFFFFF" w:sz="18" w:space="0"/>
              <w:bottom w:val="nil"/>
            </w:tcBorders>
            <w:shd w:val="clear" w:color="auto" w:fill="006600"/>
            <w:vAlign w:val="center"/>
          </w:tcPr>
          <w:p w14:paraId="3903B76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地点</w:t>
            </w:r>
          </w:p>
        </w:tc>
      </w:tr>
      <w:tr w14:paraId="759ED5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95F7FCB">
            <w:pPr>
              <w:widowControl w:val="0"/>
              <w:spacing w:before="26" w:after="0" w:line="240" w:lineRule="auto"/>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FA4B0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03F27C34">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CF5DCDB">
            <w:pPr>
              <w:widowControl w:val="0"/>
              <w:spacing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C41B65E">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1DDDFDFE">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736AAF55">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B51B2CE">
            <w:pPr>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62D1F948">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5031A1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3E7B7BB">
            <w:pPr>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{%if BodyDrugDrugDetectionStr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8" w:name="_Toc18974"/>
      <w:bookmarkStart w:id="9" w:name="_Toc27011"/>
      <w:bookmarkStart w:id="10" w:name="_Toc3250"/>
      <w:bookmarkStart w:id="11" w:name="_Toc149837264"/>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8"/>
      <w:bookmarkEnd w:id="9"/>
      <w:bookmarkEnd w:id="10"/>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1"/>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auto"/>
          <w:sz w:val="24"/>
          <w:szCs w:val="24"/>
          <w:lang w:val="en-US" w:eastAsia="zh-CN" w:bidi="ar-SA"/>
        </w:rPr>
        <w:t>{% endif %}</w:t>
      </w: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12" w:name="_Toc11208"/>
      <w:bookmarkStart w:id="13" w:name="_Toc13837"/>
      <w:bookmarkStart w:id="14" w:name="_Toc8321"/>
      <w:bookmarkStart w:id="15"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12"/>
      <w:bookmarkEnd w:id="13"/>
      <w:bookmarkEnd w:id="14"/>
    </w:p>
    <w:p w14:paraId="64837D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5"/>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EA8FE59">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样本主要质控</w:t>
      </w:r>
    </w:p>
    <w:tbl>
      <w:tblPr>
        <w:tblStyle w:val="32"/>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D75C6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6600"/>
            <w:vAlign w:val="center"/>
          </w:tcPr>
          <w:p w14:paraId="44F01B50">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质控环节</w:t>
            </w:r>
          </w:p>
        </w:tc>
        <w:tc>
          <w:tcPr>
            <w:tcW w:w="2721" w:type="dxa"/>
            <w:tcBorders>
              <w:top w:val="nil"/>
              <w:left w:val="single" w:color="FFFFFF" w:sz="18" w:space="0"/>
              <w:bottom w:val="nil"/>
              <w:right w:val="single" w:color="FFFFFF" w:sz="18" w:space="0"/>
            </w:tcBorders>
            <w:shd w:val="clear" w:color="auto" w:fill="006600"/>
            <w:vAlign w:val="center"/>
          </w:tcPr>
          <w:p w14:paraId="695B9ED4">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质控参数</w:t>
            </w:r>
          </w:p>
        </w:tc>
        <w:tc>
          <w:tcPr>
            <w:tcW w:w="2381" w:type="dxa"/>
            <w:tcBorders>
              <w:top w:val="nil"/>
              <w:left w:val="single" w:color="FFFFFF" w:sz="18" w:space="0"/>
              <w:bottom w:val="nil"/>
              <w:right w:val="single" w:color="FFFFFF" w:sz="18" w:space="0"/>
            </w:tcBorders>
            <w:shd w:val="clear" w:color="auto" w:fill="006600"/>
            <w:vAlign w:val="center"/>
          </w:tcPr>
          <w:p w14:paraId="3E77A76D">
            <w:pPr>
              <w:widowControl w:val="0"/>
              <w:spacing w:after="0" w:line="240" w:lineRule="auto"/>
              <w:ind w:left="119"/>
              <w:jc w:val="center"/>
              <w:rPr>
                <w:rFonts w:ascii="Times New Roman" w:hAnsi="Times New Roman" w:eastAsia="微软雅黑" w:cs="Times New Roman"/>
                <w:b/>
                <w:color w:val="FFFFFF"/>
                <w:sz w:val="21"/>
                <w:lang w:eastAsia="zh-CN"/>
              </w:rPr>
            </w:pPr>
            <w:r>
              <w:rPr>
                <w:rFonts w:hint="eastAsia" w:ascii="Times New Roman" w:hAnsi="Times New Roman" w:eastAsia="微软雅黑" w:cs="Times New Roman"/>
                <w:b/>
                <w:color w:val="FFFFFF"/>
                <w:sz w:val="21"/>
                <w:lang w:eastAsia="zh-CN"/>
              </w:rPr>
              <w:t>质控数值</w:t>
            </w:r>
          </w:p>
        </w:tc>
        <w:tc>
          <w:tcPr>
            <w:tcW w:w="2721" w:type="dxa"/>
            <w:tcBorders>
              <w:top w:val="nil"/>
              <w:left w:val="single" w:color="FFFFFF" w:sz="18" w:space="0"/>
              <w:bottom w:val="nil"/>
              <w:right w:val="nil"/>
            </w:tcBorders>
            <w:shd w:val="clear" w:color="auto" w:fill="006600"/>
            <w:vAlign w:val="center"/>
          </w:tcPr>
          <w:p w14:paraId="72F99DF6">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质控标准</w:t>
            </w:r>
          </w:p>
        </w:tc>
      </w:tr>
      <w:tr w14:paraId="6B23B4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51B74BA">
            <w:pPr>
              <w:widowControl w:val="0"/>
              <w:spacing w:after="0" w:line="240" w:lineRule="auto"/>
              <w:ind w:left="119"/>
              <w:jc w:val="cente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rPr>
              <w:t>病理</w:t>
            </w:r>
            <w:r>
              <w:rPr>
                <w:rFonts w:hint="eastAsia" w:ascii="Times New Roman" w:hAnsi="Times New Roman" w:eastAsia="微软雅黑" w:cs="Times New Roman"/>
                <w:b/>
                <w:sz w:val="18"/>
                <w:szCs w:val="18"/>
                <w:lang w:eastAsia="zh-CN"/>
              </w:rPr>
              <w:t>评估</w:t>
            </w:r>
          </w:p>
        </w:tc>
        <w:tc>
          <w:tcPr>
            <w:tcW w:w="2721" w:type="dxa"/>
            <w:tcBorders>
              <w:top w:val="nil"/>
            </w:tcBorders>
            <w:vAlign w:val="center"/>
          </w:tcPr>
          <w:p w14:paraId="53B6DFAE">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rPr>
              <w:t>肿瘤细胞含量</w:t>
            </w:r>
          </w:p>
        </w:tc>
        <w:tc>
          <w:tcPr>
            <w:tcW w:w="2381" w:type="dxa"/>
            <w:tcBorders>
              <w:top w:val="nil"/>
            </w:tcBorders>
            <w:vAlign w:val="center"/>
          </w:tcPr>
          <w:p w14:paraId="6FFBA5DA">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21" w:type="dxa"/>
            <w:tcBorders>
              <w:top w:val="nil"/>
              <w:right w:val="nil"/>
            </w:tcBorders>
            <w:vAlign w:val="center"/>
          </w:tcPr>
          <w:p w14:paraId="7D065922">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2</w:t>
            </w:r>
            <w:r>
              <w:rPr>
                <w:rFonts w:hint="eastAsia" w:ascii="Times New Roman" w:hAnsi="Times New Roman" w:eastAsia="微软雅黑" w:cs="Times New Roman"/>
                <w:bCs/>
                <w:sz w:val="18"/>
                <w:szCs w:val="18"/>
                <w:lang w:eastAsia="zh-CN"/>
              </w:rPr>
              <w:t>0</w:t>
            </w:r>
            <w:r>
              <w:rPr>
                <w:rFonts w:ascii="Times New Roman" w:hAnsi="Times New Roman" w:eastAsia="微软雅黑" w:cs="Times New Roman"/>
                <w:bCs/>
                <w:sz w:val="18"/>
                <w:szCs w:val="18"/>
              </w:rPr>
              <w:t>%</w:t>
            </w:r>
          </w:p>
        </w:tc>
      </w:tr>
      <w:tr w14:paraId="0E15A12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A5BCC2">
            <w:pPr>
              <w:widowControl w:val="0"/>
              <w:spacing w:after="0" w:line="240" w:lineRule="auto"/>
              <w:ind w:left="119"/>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核酸质量评估</w:t>
            </w:r>
          </w:p>
        </w:tc>
        <w:tc>
          <w:tcPr>
            <w:tcW w:w="2721" w:type="dxa"/>
            <w:vAlign w:val="center"/>
          </w:tcPr>
          <w:p w14:paraId="222F0DED">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rPr>
              <w:t>DNA总量</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rPr>
              <w:t>ng</w:t>
            </w:r>
            <w:r>
              <w:rPr>
                <w:rFonts w:hint="eastAsia" w:ascii="Times New Roman" w:hAnsi="Times New Roman" w:eastAsia="微软雅黑" w:cs="Times New Roman"/>
                <w:bCs/>
                <w:sz w:val="18"/>
                <w:szCs w:val="18"/>
                <w:lang w:eastAsia="zh-CN"/>
              </w:rPr>
              <w:t>）</w:t>
            </w:r>
          </w:p>
        </w:tc>
        <w:tc>
          <w:tcPr>
            <w:tcW w:w="2381" w:type="dxa"/>
            <w:vAlign w:val="center"/>
          </w:tcPr>
          <w:p w14:paraId="78E15629">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7E2D1846">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≥2</w:t>
            </w:r>
            <w:r>
              <w:rPr>
                <w:rFonts w:hint="eastAsia" w:ascii="Times New Roman" w:hAnsi="Times New Roman" w:eastAsia="微软雅黑" w:cs="Times New Roman"/>
                <w:bCs/>
                <w:sz w:val="18"/>
                <w:szCs w:val="18"/>
                <w:lang w:val="en-US" w:eastAsia="zh-CN"/>
              </w:rPr>
              <w:t>5</w:t>
            </w:r>
            <w:r>
              <w:rPr>
                <w:rFonts w:hint="eastAsia" w:ascii="Times New Roman" w:hAnsi="Times New Roman" w:eastAsia="微软雅黑" w:cs="Times New Roman"/>
                <w:bCs/>
                <w:sz w:val="18"/>
                <w:szCs w:val="18"/>
              </w:rPr>
              <w:t>0</w:t>
            </w:r>
          </w:p>
        </w:tc>
      </w:tr>
      <w:tr w14:paraId="28DCD10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14E163C">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5C22E6EB">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rPr>
              <w:t>DNA降解程度</w:t>
            </w:r>
          </w:p>
        </w:tc>
        <w:tc>
          <w:tcPr>
            <w:tcW w:w="2381" w:type="dxa"/>
            <w:vAlign w:val="center"/>
          </w:tcPr>
          <w:p w14:paraId="621A7819">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592D6E59">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1-2</w:t>
            </w:r>
            <w:r>
              <w:rPr>
                <w:rFonts w:hint="eastAsia" w:ascii="Times New Roman" w:hAnsi="Times New Roman" w:eastAsia="微软雅黑" w:cs="Times New Roman"/>
                <w:bCs/>
                <w:sz w:val="18"/>
                <w:szCs w:val="18"/>
              </w:rPr>
              <w:t>级</w:t>
            </w:r>
          </w:p>
        </w:tc>
      </w:tr>
      <w:tr w14:paraId="130743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183C1D">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7B9E980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w:t>
            </w:r>
            <w:r>
              <w:rPr>
                <w:rFonts w:ascii="Times New Roman" w:hAnsi="Times New Roman" w:eastAsia="微软雅黑" w:cs="Times New Roman"/>
                <w:bCs/>
                <w:sz w:val="18"/>
                <w:szCs w:val="18"/>
              </w:rPr>
              <w:t>文库</w:t>
            </w:r>
            <w:r>
              <w:rPr>
                <w:rFonts w:hint="eastAsia" w:ascii="Times New Roman" w:hAnsi="Times New Roman" w:eastAsia="微软雅黑" w:cs="Times New Roman"/>
                <w:bCs/>
                <w:sz w:val="18"/>
                <w:szCs w:val="18"/>
                <w:lang w:eastAsia="zh-CN"/>
              </w:rPr>
              <w:t>总</w:t>
            </w:r>
            <w:r>
              <w:rPr>
                <w:rFonts w:ascii="Times New Roman" w:hAnsi="Times New Roman" w:eastAsia="微软雅黑" w:cs="Times New Roman"/>
                <w:bCs/>
                <w:sz w:val="18"/>
                <w:szCs w:val="18"/>
              </w:rPr>
              <w:t>量</w:t>
            </w:r>
            <w:r>
              <w:rPr>
                <w:rFonts w:hint="eastAsia" w:ascii="Times New Roman" w:hAnsi="Times New Roman" w:eastAsia="微软雅黑" w:cs="Times New Roman"/>
                <w:bCs/>
                <w:sz w:val="18"/>
                <w:szCs w:val="18"/>
                <w:lang w:eastAsia="zh-CN"/>
              </w:rPr>
              <w:t>（ng）</w:t>
            </w:r>
          </w:p>
        </w:tc>
        <w:tc>
          <w:tcPr>
            <w:tcW w:w="2381" w:type="dxa"/>
            <w:vAlign w:val="center"/>
          </w:tcPr>
          <w:p w14:paraId="10739531">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05188B47">
            <w:pPr>
              <w:widowControl w:val="0"/>
              <w:spacing w:after="0" w:line="240" w:lineRule="auto"/>
              <w:ind w:left="119"/>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64</w:t>
            </w:r>
            <w:r>
              <w:rPr>
                <w:rFonts w:hint="eastAsia" w:ascii="Times New Roman" w:hAnsi="Times New Roman" w:eastAsia="微软雅黑" w:cs="Times New Roman"/>
                <w:bCs/>
                <w:sz w:val="18"/>
                <w:szCs w:val="18"/>
                <w:lang w:eastAsia="zh-CN"/>
              </w:rPr>
              <w:t>0</w:t>
            </w:r>
          </w:p>
        </w:tc>
      </w:tr>
      <w:tr w14:paraId="4171BC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14F7226">
            <w:pPr>
              <w:widowControl w:val="0"/>
              <w:spacing w:after="0" w:line="240" w:lineRule="auto"/>
              <w:ind w:left="119"/>
              <w:jc w:val="cente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rPr>
              <w:t>测序</w:t>
            </w:r>
            <w:r>
              <w:rPr>
                <w:rFonts w:hint="eastAsia" w:ascii="Times New Roman" w:hAnsi="Times New Roman" w:eastAsia="微软雅黑" w:cs="Times New Roman"/>
                <w:b/>
                <w:sz w:val="18"/>
                <w:szCs w:val="18"/>
                <w:lang w:eastAsia="zh-CN"/>
              </w:rPr>
              <w:t>质量评估</w:t>
            </w:r>
          </w:p>
        </w:tc>
        <w:tc>
          <w:tcPr>
            <w:tcW w:w="2721" w:type="dxa"/>
            <w:vAlign w:val="center"/>
          </w:tcPr>
          <w:p w14:paraId="31C6D2ED">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lang w:eastAsia="zh-CN"/>
              </w:rPr>
              <w:t>HRD Score</w:t>
            </w:r>
            <w:r>
              <w:rPr>
                <w:rFonts w:ascii="Times New Roman" w:hAnsi="Times New Roman" w:eastAsia="微软雅黑" w:cs="Times New Roman"/>
                <w:bCs/>
                <w:sz w:val="18"/>
                <w:szCs w:val="18"/>
              </w:rPr>
              <w:t>平均测序深度</w:t>
            </w:r>
          </w:p>
        </w:tc>
        <w:tc>
          <w:tcPr>
            <w:tcW w:w="2381" w:type="dxa"/>
            <w:vAlign w:val="center"/>
          </w:tcPr>
          <w:p w14:paraId="485336D2">
            <w:pPr>
              <w:widowControl w:val="0"/>
              <w:spacing w:after="0" w:line="240" w:lineRule="auto"/>
              <w:ind w:left="119"/>
              <w:jc w:val="center"/>
              <w:rPr>
                <w:rFonts w:ascii="Times New Roman" w:hAnsi="Times New Roman" w:eastAsia="微软雅黑" w:cs="Times New Roman"/>
                <w:bCs/>
                <w:sz w:val="18"/>
                <w:szCs w:val="18"/>
              </w:rPr>
            </w:pPr>
            <w:r>
              <w:rPr>
                <w:rFonts w:hint="eastAsia" w:ascii="Times New Roman" w:hAnsi="Times New Roman" w:eastAsia="微软雅黑" w:cs="Times New Roman"/>
                <w:sz w:val="18"/>
                <w:szCs w:val="18"/>
                <w:lang w:eastAsia="zh-CN"/>
              </w:rPr>
              <w:t xml:space="preserve">{%if hrd != </w:t>
            </w:r>
            <w:r>
              <w:rPr>
                <w:rFonts w:ascii="Times New Roman" w:hAnsi="Times New Roman" w:eastAsia="微软雅黑" w:cs="Times New Roman"/>
                <w:sz w:val="18"/>
                <w:szCs w:val="18"/>
                <w:lang w:eastAsia="zh-CN"/>
              </w:rPr>
              <w:t>undefined</w:t>
            </w:r>
            <w:r>
              <w:rPr>
                <w:rFonts w:hint="eastAsia" w:ascii="Times New Roman" w:hAnsi="Times New Roman" w:eastAsia="微软雅黑" w:cs="Times New Roman"/>
                <w:sz w:val="18"/>
                <w:szCs w:val="18"/>
                <w:lang w:eastAsia="zh-CN"/>
              </w:rPr>
              <w:t>%}{{ hrd.</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}}{%endif%}</w:t>
            </w:r>
          </w:p>
        </w:tc>
        <w:tc>
          <w:tcPr>
            <w:tcW w:w="2721" w:type="dxa"/>
            <w:tcBorders>
              <w:right w:val="nil"/>
            </w:tcBorders>
            <w:vAlign w:val="center"/>
          </w:tcPr>
          <w:p w14:paraId="7FC6786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200</w:t>
            </w:r>
          </w:p>
        </w:tc>
      </w:tr>
      <w:tr w14:paraId="2E7D03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15FC37">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7E06F003">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HRD Score</w:t>
            </w:r>
            <w:r>
              <w:rPr>
                <w:rFonts w:hint="eastAsia" w:ascii="Times New Roman" w:hAnsi="Times New Roman" w:eastAsia="微软雅黑" w:cs="Times New Roman"/>
                <w:bCs/>
                <w:sz w:val="18"/>
                <w:szCs w:val="18"/>
                <w:lang w:eastAsia="zh-CN"/>
              </w:rPr>
              <w:t>覆盖均一性</w:t>
            </w:r>
          </w:p>
        </w:tc>
        <w:tc>
          <w:tcPr>
            <w:tcW w:w="2381" w:type="dxa"/>
            <w:vAlign w:val="center"/>
          </w:tcPr>
          <w:p w14:paraId="00DDFD90">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{%if hrd != </w:t>
            </w:r>
            <w:r>
              <w:rPr>
                <w:rFonts w:ascii="Times New Roman" w:hAnsi="Times New Roman" w:eastAsia="微软雅黑" w:cs="Times New Roman"/>
                <w:sz w:val="18"/>
                <w:szCs w:val="18"/>
                <w:lang w:eastAsia="zh-CN"/>
              </w:rPr>
              <w:t>undefined</w:t>
            </w:r>
            <w:r>
              <w:rPr>
                <w:rFonts w:hint="eastAsia" w:ascii="Times New Roman" w:hAnsi="Times New Roman" w:eastAsia="微软雅黑" w:cs="Times New Roman"/>
                <w:sz w:val="18"/>
                <w:szCs w:val="18"/>
                <w:lang w:eastAsia="zh-CN"/>
              </w:rPr>
              <w:t>%}{{ hrd.coverage_uniformity }}{%endif%}</w:t>
            </w:r>
          </w:p>
        </w:tc>
        <w:tc>
          <w:tcPr>
            <w:tcW w:w="2721" w:type="dxa"/>
            <w:tcBorders>
              <w:right w:val="nil"/>
            </w:tcBorders>
            <w:vAlign w:val="center"/>
          </w:tcPr>
          <w:p w14:paraId="6954AA8D">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8</w:t>
            </w:r>
            <w:r>
              <w:rPr>
                <w:rFonts w:hint="eastAsia" w:ascii="Times New Roman" w:hAnsi="Times New Roman" w:eastAsia="微软雅黑" w:cs="Times New Roman"/>
                <w:bCs/>
                <w:sz w:val="18"/>
                <w:szCs w:val="18"/>
                <w:lang w:eastAsia="zh-CN"/>
              </w:rPr>
              <w:t>0%</w:t>
            </w:r>
          </w:p>
        </w:tc>
      </w:tr>
      <w:tr w14:paraId="689AE7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AF9E03">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469B2F50">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HRR</w:t>
            </w:r>
            <w:r>
              <w:rPr>
                <w:rFonts w:hint="eastAsia" w:ascii="Times New Roman" w:hAnsi="Times New Roman" w:eastAsia="微软雅黑" w:cs="Times New Roman"/>
                <w:bCs/>
                <w:sz w:val="18"/>
                <w:szCs w:val="18"/>
                <w:lang w:eastAsia="zh-CN"/>
              </w:rPr>
              <w:t>基因平均测序深度</w:t>
            </w:r>
          </w:p>
        </w:tc>
        <w:tc>
          <w:tcPr>
            <w:tcW w:w="2381" w:type="dxa"/>
            <w:vAlign w:val="center"/>
          </w:tcPr>
          <w:p w14:paraId="2FED036F">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sequencing_depth }}</w:t>
            </w:r>
          </w:p>
        </w:tc>
        <w:tc>
          <w:tcPr>
            <w:tcW w:w="2721" w:type="dxa"/>
            <w:tcBorders>
              <w:right w:val="nil"/>
            </w:tcBorders>
            <w:vAlign w:val="center"/>
          </w:tcPr>
          <w:p w14:paraId="263E7CD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500</w:t>
            </w:r>
          </w:p>
        </w:tc>
      </w:tr>
      <w:tr w14:paraId="7FED70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B75EDB8">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2A5EE8B9">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HRR</w:t>
            </w:r>
            <w:r>
              <w:rPr>
                <w:rFonts w:hint="eastAsia" w:ascii="Times New Roman" w:hAnsi="Times New Roman" w:eastAsia="微软雅黑" w:cs="Times New Roman"/>
                <w:bCs/>
                <w:sz w:val="18"/>
                <w:szCs w:val="18"/>
                <w:lang w:eastAsia="zh-CN"/>
              </w:rPr>
              <w:t>基因覆盖均一性</w:t>
            </w:r>
          </w:p>
        </w:tc>
        <w:tc>
          <w:tcPr>
            <w:tcW w:w="2381" w:type="dxa"/>
            <w:vAlign w:val="center"/>
          </w:tcPr>
          <w:p w14:paraId="2F05DDA3">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coverage_uniformity }}</w:t>
            </w:r>
          </w:p>
        </w:tc>
        <w:tc>
          <w:tcPr>
            <w:tcW w:w="2721" w:type="dxa"/>
            <w:tcBorders>
              <w:right w:val="nil"/>
            </w:tcBorders>
            <w:vAlign w:val="center"/>
          </w:tcPr>
          <w:p w14:paraId="348EAD60">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90%</w:t>
            </w:r>
          </w:p>
        </w:tc>
      </w:tr>
      <w:tr w14:paraId="09BCCB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9C6A3A">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1171C7E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w:t>
            </w:r>
          </w:p>
        </w:tc>
        <w:tc>
          <w:tcPr>
            <w:tcW w:w="2381" w:type="dxa"/>
            <w:vAlign w:val="center"/>
          </w:tcPr>
          <w:p w14:paraId="614F84B4">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genome_alignment }}</w:t>
            </w:r>
          </w:p>
        </w:tc>
        <w:tc>
          <w:tcPr>
            <w:tcW w:w="2721" w:type="dxa"/>
            <w:tcBorders>
              <w:right w:val="nil"/>
            </w:tcBorders>
            <w:vAlign w:val="center"/>
          </w:tcPr>
          <w:p w14:paraId="35286DDC">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≥9</w:t>
            </w:r>
            <w:r>
              <w:rPr>
                <w:rFonts w:ascii="Times New Roman" w:hAnsi="Times New Roman" w:eastAsia="微软雅黑" w:cs="Times New Roman"/>
                <w:bCs/>
                <w:sz w:val="18"/>
                <w:szCs w:val="18"/>
              </w:rPr>
              <w:t>5%</w:t>
            </w:r>
          </w:p>
        </w:tc>
      </w:tr>
      <w:tr w14:paraId="2216C62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3F8E47">
            <w:pPr>
              <w:widowControl w:val="0"/>
              <w:spacing w:after="0" w:line="240" w:lineRule="auto"/>
              <w:ind w:left="119"/>
              <w:jc w:val="center"/>
              <w:rPr>
                <w:rFonts w:ascii="Times New Roman" w:hAnsi="Times New Roman" w:eastAsia="微软雅黑" w:cs="Times New Roman"/>
                <w:b/>
                <w:sz w:val="21"/>
              </w:rPr>
            </w:pPr>
          </w:p>
        </w:tc>
        <w:tc>
          <w:tcPr>
            <w:tcW w:w="2721" w:type="dxa"/>
            <w:vAlign w:val="center"/>
          </w:tcPr>
          <w:p w14:paraId="145DD8C5">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rPr>
              <w:t>碱基质量Q30</w:t>
            </w:r>
            <w:r>
              <w:rPr>
                <w:rFonts w:hint="eastAsia" w:ascii="Times New Roman" w:hAnsi="Times New Roman" w:eastAsia="微软雅黑" w:cs="Times New Roman"/>
                <w:bCs/>
                <w:sz w:val="18"/>
                <w:szCs w:val="18"/>
                <w:lang w:eastAsia="zh-CN"/>
              </w:rPr>
              <w:t>占比</w:t>
            </w:r>
          </w:p>
        </w:tc>
        <w:tc>
          <w:tcPr>
            <w:tcW w:w="2381" w:type="dxa"/>
            <w:vAlign w:val="center"/>
          </w:tcPr>
          <w:p w14:paraId="4B796A3A">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base_quality }}</w:t>
            </w:r>
          </w:p>
        </w:tc>
        <w:tc>
          <w:tcPr>
            <w:tcW w:w="2721" w:type="dxa"/>
            <w:tcBorders>
              <w:right w:val="nil"/>
            </w:tcBorders>
            <w:vAlign w:val="center"/>
          </w:tcPr>
          <w:p w14:paraId="718572F5">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rPr>
              <w:t>8</w:t>
            </w:r>
            <w:r>
              <w:rPr>
                <w:rFonts w:hint="eastAsia" w:ascii="Times New Roman" w:hAnsi="Times New Roman" w:eastAsia="微软雅黑" w:cs="Times New Roman"/>
                <w:bCs/>
                <w:sz w:val="18"/>
                <w:szCs w:val="18"/>
                <w:lang w:eastAsia="zh-CN"/>
              </w:rPr>
              <w:t>0</w:t>
            </w:r>
            <w:r>
              <w:rPr>
                <w:rFonts w:ascii="Times New Roman" w:hAnsi="Times New Roman" w:eastAsia="微软雅黑" w:cs="Times New Roman"/>
                <w:bCs/>
                <w:sz w:val="18"/>
                <w:szCs w:val="18"/>
              </w:rPr>
              <w:t>%</w:t>
            </w:r>
          </w:p>
        </w:tc>
      </w:tr>
      <w:tr w14:paraId="188E6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E16FEED">
            <w:pPr>
              <w:widowControl w:val="0"/>
              <w:spacing w:after="0" w:line="240" w:lineRule="auto"/>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55A05AE">
            <w:pPr>
              <w:widowControl w:val="0"/>
              <w:spacing w:after="0" w:line="240" w:lineRule="auto"/>
              <w:ind w:left="119"/>
              <w:jc w:val="center"/>
              <w:rPr>
                <w:rFonts w:ascii="Times New Roman" w:hAnsi="Times New Roman" w:eastAsia="微软雅黑" w:cs="Times New Roman"/>
                <w:bCs/>
                <w:sz w:val="21"/>
                <w:lang w:eastAsia="zh-CN"/>
              </w:rPr>
            </w:pPr>
            <w:r>
              <w:rPr>
                <w:rFonts w:hint="eastAsia" w:ascii="微软雅黑" w:hAnsi="微软雅黑" w:eastAsia="微软雅黑" w:cs="宋体"/>
                <w:color w:val="000000"/>
                <w:sz w:val="21"/>
                <w:szCs w:val="21"/>
                <w:lang w:eastAsia="zh-CN"/>
              </w:rPr>
              <w:t>{{</w:t>
            </w:r>
            <w:r>
              <w:rPr>
                <w:rFonts w:ascii="微软雅黑" w:hAnsi="微软雅黑" w:eastAsia="微软雅黑" w:cs="宋体"/>
                <w:color w:val="000000"/>
                <w:sz w:val="21"/>
                <w:szCs w:val="21"/>
                <w:lang w:eastAsia="zh-CN"/>
              </w:rPr>
              <w:t xml:space="preserve"> sequencing_depth</w:t>
            </w:r>
            <w:r>
              <w:rPr>
                <w:rFonts w:hint="eastAsia" w:ascii="微软雅黑" w:hAnsi="微软雅黑" w:eastAsia="微软雅黑" w:cs="宋体"/>
                <w:color w:val="000000"/>
                <w:sz w:val="21"/>
                <w:szCs w:val="21"/>
                <w:lang w:eastAsia="zh-CN"/>
              </w:rPr>
              <w:t xml:space="preserve"> | oqa(50</w:t>
            </w:r>
            <w:r>
              <w:rPr>
                <w:rFonts w:ascii="微软雅黑" w:hAnsi="微软雅黑" w:eastAsia="微软雅黑" w:cs="宋体"/>
                <w:color w:val="000000"/>
                <w:sz w:val="21"/>
                <w:szCs w:val="21"/>
                <w:lang w:eastAsia="zh-CN"/>
              </w:rPr>
              <w:t>0</w:t>
            </w:r>
            <w:r>
              <w:rPr>
                <w:rFonts w:hint="eastAsia" w:ascii="微软雅黑" w:hAnsi="微软雅黑" w:eastAsia="微软雅黑" w:cs="宋体"/>
                <w:color w:val="000000"/>
                <w:sz w:val="21"/>
                <w:szCs w:val="21"/>
                <w:lang w:eastAsia="zh-CN"/>
              </w:rPr>
              <w:t>,400) }}</w:t>
            </w:r>
          </w:p>
        </w:tc>
      </w:tr>
    </w:tbl>
    <w:p w14:paraId="5133091C">
      <w:pPr>
        <w:widowControl w:val="0"/>
        <w:tabs>
          <w:tab w:val="left" w:pos="1317"/>
        </w:tabs>
        <w:kinsoku w:val="0"/>
        <w:overflowPunct w:val="0"/>
        <w:spacing w:before="40" w:after="0" w:line="187" w:lineRule="auto"/>
        <w:ind w:right="1128"/>
        <w:rPr>
          <w:rFonts w:hint="eastAsia" w:ascii="Times New Roman" w:hAnsi="Times New Roman" w:eastAsia="微软雅黑" w:cs="Times New Roman"/>
          <w:b/>
          <w:bCs/>
          <w:sz w:val="18"/>
          <w:lang w:eastAsia="zh-CN"/>
        </w:rPr>
      </w:pPr>
    </w:p>
    <w:p w14:paraId="6B54F559">
      <w:pPr>
        <w:widowControl w:val="0"/>
        <w:tabs>
          <w:tab w:val="left" w:pos="1317"/>
        </w:tabs>
        <w:kinsoku w:val="0"/>
        <w:overflowPunct w:val="0"/>
        <w:spacing w:before="40" w:after="0" w:line="187" w:lineRule="auto"/>
        <w:ind w:right="1128"/>
        <w:rPr>
          <w:rFonts w:hint="eastAsia" w:ascii="微软雅黑" w:hAnsi="微软雅黑" w:eastAsia="微软雅黑"/>
          <w:b/>
          <w:color w:val="000000"/>
          <w:sz w:val="32"/>
          <w:lang w:eastAsia="zh-CN"/>
        </w:rPr>
      </w:pPr>
      <w:r>
        <w:rPr>
          <w:rFonts w:hint="eastAsia" w:ascii="微软雅黑" w:hAnsi="微软雅黑" w:eastAsia="微软雅黑"/>
          <w:b/>
          <w:color w:val="000000"/>
          <w:sz w:val="32"/>
          <w:lang w:val="en-US" w:eastAsia="zh-CN"/>
        </w:rPr>
        <w:t>对照</w:t>
      </w:r>
      <w:r>
        <w:rPr>
          <w:rFonts w:hint="eastAsia" w:ascii="微软雅黑" w:hAnsi="微软雅黑" w:eastAsia="微软雅黑"/>
          <w:b/>
          <w:color w:val="000000"/>
          <w:sz w:val="32"/>
          <w:lang w:eastAsia="zh-CN"/>
        </w:rPr>
        <w:t>样本</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6FF06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6600"/>
            <w:vAlign w:val="center"/>
          </w:tcPr>
          <w:p w14:paraId="17D90887">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质控环节</w:t>
            </w:r>
          </w:p>
        </w:tc>
        <w:tc>
          <w:tcPr>
            <w:tcW w:w="2717" w:type="dxa"/>
            <w:tcBorders>
              <w:top w:val="nil"/>
              <w:left w:val="single" w:color="FFFFFF" w:sz="18" w:space="0"/>
              <w:bottom w:val="nil"/>
              <w:right w:val="single" w:color="FFFFFF" w:sz="18" w:space="0"/>
            </w:tcBorders>
            <w:shd w:val="clear" w:color="auto" w:fill="006600"/>
            <w:vAlign w:val="center"/>
          </w:tcPr>
          <w:p w14:paraId="54CF31F5">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质控参数</w:t>
            </w:r>
          </w:p>
        </w:tc>
        <w:tc>
          <w:tcPr>
            <w:tcW w:w="2378" w:type="dxa"/>
            <w:tcBorders>
              <w:top w:val="nil"/>
              <w:left w:val="single" w:color="FFFFFF" w:sz="18" w:space="0"/>
              <w:bottom w:val="nil"/>
              <w:right w:val="single" w:color="FFFFFF" w:sz="18" w:space="0"/>
            </w:tcBorders>
            <w:shd w:val="clear" w:color="auto" w:fill="006600"/>
            <w:vAlign w:val="center"/>
          </w:tcPr>
          <w:p w14:paraId="6EAF4233">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质控数值</w:t>
            </w:r>
          </w:p>
        </w:tc>
        <w:tc>
          <w:tcPr>
            <w:tcW w:w="2731" w:type="dxa"/>
            <w:gridSpan w:val="2"/>
            <w:tcBorders>
              <w:top w:val="nil"/>
              <w:left w:val="single" w:color="FFFFFF" w:sz="18" w:space="0"/>
              <w:bottom w:val="nil"/>
              <w:right w:val="nil"/>
            </w:tcBorders>
            <w:shd w:val="clear" w:color="auto" w:fill="006600"/>
            <w:vAlign w:val="center"/>
          </w:tcPr>
          <w:p w14:paraId="6FDE880B">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质控标准</w:t>
            </w:r>
          </w:p>
        </w:tc>
      </w:tr>
      <w:tr w14:paraId="0AC05BD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3785C4B">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val="en-US" w:eastAsia="zh-CN" w:bidi="ar"/>
              </w:rPr>
            </w:pPr>
            <w:r>
              <w:rPr>
                <w:rFonts w:hint="eastAsia" w:ascii="Times New Roman" w:hAnsi="Times New Roman" w:eastAsia="微软雅黑" w:cs="Times New Roman"/>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DD9262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EED0DF">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A2F06A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5</w:t>
            </w:r>
            <w:r>
              <w:rPr>
                <w:rFonts w:hint="default" w:ascii="Times New Roman" w:hAnsi="Times New Roman" w:eastAsia="微软雅黑" w:cs="Times New Roman"/>
                <w:sz w:val="18"/>
                <w:szCs w:val="18"/>
                <w:lang w:eastAsia="zh-CN" w:bidi="ar"/>
              </w:rPr>
              <w:t>0</w:t>
            </w:r>
          </w:p>
        </w:tc>
      </w:tr>
      <w:tr w14:paraId="66F233B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317FBE0">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F22333">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33EC3E">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0BEE8B7">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val="en-US" w:eastAsia="zh-CN" w:bidi="ar"/>
              </w:rPr>
              <w:t>1-2</w:t>
            </w:r>
            <w:r>
              <w:rPr>
                <w:rFonts w:hint="default" w:ascii="Times New Roman" w:hAnsi="Times New Roman" w:eastAsia="微软雅黑" w:cs="Times New Roman"/>
                <w:sz w:val="18"/>
                <w:szCs w:val="18"/>
                <w:lang w:eastAsia="zh-CN" w:bidi="ar"/>
              </w:rPr>
              <w:t>级</w:t>
            </w:r>
          </w:p>
        </w:tc>
      </w:tr>
      <w:tr w14:paraId="5778737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D67A6FB">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B45B9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3E864B">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05420A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eastAsia="zh-CN" w:bidi="ar"/>
              </w:rPr>
            </w:pPr>
            <w:r>
              <w:rPr>
                <w:rFonts w:hint="eastAsia" w:ascii="Times New Roman" w:hAnsi="Times New Roman" w:eastAsia="方正兰亭大黑_GBK" w:cs="Times New Roman"/>
                <w:sz w:val="18"/>
                <w:szCs w:val="18"/>
                <w:lang w:eastAsia="zh-CN" w:bidi="ar"/>
              </w:rPr>
              <w:t>≥</w:t>
            </w:r>
            <w:r>
              <w:rPr>
                <w:rFonts w:hint="eastAsia" w:ascii="Times New Roman" w:hAnsi="Times New Roman" w:eastAsia="方正兰亭大黑_GBK" w:cs="Times New Roman"/>
                <w:sz w:val="18"/>
                <w:szCs w:val="18"/>
                <w:lang w:val="en-US" w:eastAsia="zh-CN" w:bidi="ar"/>
              </w:rPr>
              <w:t>32</w:t>
            </w:r>
            <w:r>
              <w:rPr>
                <w:rFonts w:hint="eastAsia" w:ascii="Times New Roman" w:hAnsi="Times New Roman" w:eastAsia="方正兰亭大黑_GBK" w:cs="Times New Roman"/>
                <w:sz w:val="18"/>
                <w:szCs w:val="18"/>
                <w:lang w:eastAsia="zh-CN" w:bidi="ar"/>
              </w:rPr>
              <w:t>0</w:t>
            </w:r>
          </w:p>
        </w:tc>
      </w:tr>
      <w:tr w14:paraId="71F6436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EB17D02">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FFAE57">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E4810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EAB427">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val="en-US" w:eastAsia="zh-CN" w:bidi="ar"/>
              </w:rPr>
            </w:pPr>
            <w:r>
              <w:rPr>
                <w:rFonts w:hint="default" w:ascii="Times New Roman" w:hAnsi="Times New Roman" w:eastAsia="方正兰亭大黑_GBK" w:cs="Times New Roman"/>
                <w:sz w:val="18"/>
                <w:szCs w:val="18"/>
                <w:lang w:eastAsia="zh-CN" w:bidi="ar"/>
              </w:rPr>
              <w:t>≥</w:t>
            </w:r>
            <w:r>
              <w:rPr>
                <w:rFonts w:hint="eastAsia" w:ascii="Times New Roman" w:hAnsi="Times New Roman" w:eastAsia="方正兰亭大黑_GBK" w:cs="Times New Roman"/>
                <w:sz w:val="18"/>
                <w:szCs w:val="18"/>
                <w:lang w:val="en-US" w:eastAsia="zh-CN" w:bidi="ar"/>
              </w:rPr>
              <w:t>1</w:t>
            </w:r>
            <w:r>
              <w:rPr>
                <w:rFonts w:hint="default" w:ascii="Times New Roman" w:hAnsi="Times New Roman" w:eastAsia="方正兰亭大黑_GBK" w:cs="Times New Roman"/>
                <w:sz w:val="18"/>
                <w:szCs w:val="18"/>
                <w:lang w:eastAsia="zh-CN" w:bidi="ar"/>
              </w:rPr>
              <w:t>00</w:t>
            </w:r>
          </w:p>
        </w:tc>
      </w:tr>
      <w:tr w14:paraId="2A27947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5E501E">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C6E6D0">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15CB99">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4279B6C">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val="en-US" w:eastAsia="zh-CN" w:bidi="ar"/>
              </w:rPr>
            </w:pPr>
            <w:r>
              <w:rPr>
                <w:rFonts w:hint="default" w:ascii="Times New Roman" w:hAnsi="Times New Roman" w:eastAsia="方正兰亭大黑_GBK" w:cs="Times New Roman"/>
                <w:sz w:val="18"/>
                <w:szCs w:val="18"/>
                <w:lang w:eastAsia="zh-CN" w:bidi="ar"/>
              </w:rPr>
              <w:t>≥90%</w:t>
            </w:r>
          </w:p>
        </w:tc>
      </w:tr>
      <w:tr w14:paraId="620FA36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CC07E22">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4B9D4CF">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6D5C01">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F4B6684">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val="en-US" w:eastAsia="zh-CN" w:bidi="ar"/>
              </w:rPr>
            </w:pPr>
            <w:r>
              <w:rPr>
                <w:rFonts w:hint="default" w:ascii="Times New Roman" w:hAnsi="Times New Roman" w:eastAsia="方正兰亭大黑_GBK" w:cs="Times New Roman"/>
                <w:sz w:val="18"/>
                <w:szCs w:val="18"/>
                <w:lang w:val="en-US" w:eastAsia="zh-CN" w:bidi="ar"/>
              </w:rPr>
              <w:t>≥95%</w:t>
            </w:r>
          </w:p>
        </w:tc>
      </w:tr>
      <w:tr w14:paraId="1C0B0CD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60B1355">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EB890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D51284">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base_quality</w:t>
            </w:r>
            <w:r>
              <w:rPr>
                <w:rFonts w:hint="default"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D67E42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微软雅黑" w:hAnsi="微软雅黑" w:eastAsia="微软雅黑" w:cs="微软雅黑"/>
                <w:sz w:val="18"/>
                <w:szCs w:val="18"/>
                <w:lang w:val="en-US" w:eastAsia="zh-CN" w:bidi="ar"/>
              </w:rPr>
            </w:pPr>
            <w:r>
              <w:rPr>
                <w:rFonts w:hint="default" w:ascii="Times New Roman" w:hAnsi="Times New Roman" w:eastAsia="方正兰亭大黑_GBK" w:cs="Times New Roman"/>
                <w:sz w:val="18"/>
                <w:szCs w:val="18"/>
                <w:lang w:eastAsia="zh-CN" w:bidi="ar"/>
              </w:rPr>
              <w:t>≥80%</w:t>
            </w:r>
          </w:p>
        </w:tc>
      </w:tr>
      <w:tr w14:paraId="570502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69420F8">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1B9DED7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numPr>
          <w:ilvl w:val="0"/>
          <w:numId w:val="13"/>
        </w:numPr>
        <w:spacing w:after="0" w:line="240" w:lineRule="auto"/>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肿瘤细胞含量：送检样本经</w:t>
      </w:r>
      <w:r>
        <w:rPr>
          <w:rFonts w:ascii="Times New Roman" w:hAnsi="Times New Roman" w:eastAsia="微软雅黑" w:cs="Times New Roman"/>
          <w:sz w:val="18"/>
          <w:szCs w:val="18"/>
          <w:lang w:eastAsia="zh-CN"/>
        </w:rPr>
        <w:t>HE</w:t>
      </w:r>
      <w:r>
        <w:rPr>
          <w:rFonts w:hint="eastAsia" w:ascii="Times New Roman" w:hAnsi="Times New Roman" w:eastAsia="微软雅黑" w:cs="Times New Roman"/>
          <w:sz w:val="18"/>
          <w:szCs w:val="18"/>
          <w:lang w:eastAsia="zh-CN"/>
        </w:rPr>
        <w:t>染色评估的肿瘤细胞含量。如送检样本不满足病理评估所需条件，则不进行此项评估。{% if summaryOfRresults.type == “blood” %}血浆cfDNA样本不做此项评估。{% endif %}</w:t>
      </w:r>
      <w:bookmarkStart w:id="17" w:name="_GoBack"/>
      <w:bookmarkEnd w:id="17"/>
    </w:p>
    <w:p w14:paraId="40308073">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DNA总量：送检样本的DNA提取总量。</w:t>
      </w:r>
    </w:p>
    <w:p w14:paraId="1FBC8D87">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DNA降解程度：1-2级别样本质量较好，3级不能满足检测要求{% if summaryOfRresults.type == “blood” %}；cfDNA样本不适用于此项评估{% endif %}。</w:t>
      </w:r>
    </w:p>
    <w:p w14:paraId="01124663">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预文库总量：核酸片段经过接头连接和扩增纯化后中间产物的总量。</w:t>
      </w:r>
    </w:p>
    <w:p w14:paraId="3522F425">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平均测序深度：目标区域每个碱基被测到的平均次数。</w:t>
      </w:r>
    </w:p>
    <w:p w14:paraId="18FD016B">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覆盖均一性：测序深度达到平均测序深度20%的碱基占比。</w:t>
      </w:r>
    </w:p>
    <w:p w14:paraId="3D2C19E9">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基因组比对率：比对到参考基因组上的reads数目占比。</w:t>
      </w:r>
    </w:p>
    <w:p w14:paraId="5FEACC08">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碱基质量Q30占比：测序数据中碱基质量在Q30以上（即碱基识别错误率在千分之一以下）的占比。</w:t>
      </w:r>
    </w:p>
    <w:p w14:paraId="4DA242E5">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总体质量评估：根据 DNA 平均测序深度进行评估，分为“合格”、“警戒”、“不合格”三个等级。总体质量评估为“警戒”或者“不合格”时，均会影响检测的准确性和敏感性。</w:t>
      </w:r>
    </w:p>
    <w:p w14:paraId="0626033D">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eastAsia" w:eastAsia="宋体"/>
          <w:lang w:eastAsia="zh-CN"/>
        </w:rPr>
        <w:br w:type="page"/>
      </w:r>
    </w:p>
    <w:p w14:paraId="3B7A24E0">
      <w:pPr>
        <w:keepNext w:val="0"/>
        <w:keepLines w:val="0"/>
        <w:pageBreakBefore w:val="0"/>
        <w:widowControl/>
        <w:numPr>
          <w:ilvl w:val="1"/>
          <w:numId w:val="7"/>
        </w:numPr>
        <w:kinsoku/>
        <w:wordWrap/>
        <w:overflowPunct/>
        <w:topLinePunct w:val="0"/>
        <w:autoSpaceDE/>
        <w:autoSpaceDN/>
        <w:bidi w:val="0"/>
        <w:adjustRightInd/>
        <w:snapToGrid/>
        <w:spacing w:after="0" w:line="240" w:lineRule="auto"/>
        <w:ind w:left="0" w:leftChars="0" w:firstLine="0" w:firstLineChars="0"/>
        <w:textAlignment w:val="auto"/>
        <w:outlineLvl w:val="1"/>
        <w:rPr>
          <w:rFonts w:hint="eastAsia" w:ascii="微软雅黑" w:hAnsi="微软雅黑" w:eastAsia="微软雅黑"/>
          <w:b/>
          <w:color w:val="000000"/>
          <w:sz w:val="32"/>
          <w:lang w:val="en-US" w:eastAsia="zh-CN"/>
        </w:rPr>
      </w:pPr>
      <w:bookmarkStart w:id="16" w:name="_Toc23686"/>
      <w:r>
        <w:rPr>
          <w:rFonts w:hint="eastAsia" w:ascii="微软雅黑" w:hAnsi="微软雅黑" w:eastAsia="微软雅黑"/>
          <w:b/>
          <w:color w:val="000000"/>
          <w:sz w:val="32"/>
          <w:lang w:val="en-US" w:eastAsia="zh-CN"/>
        </w:rPr>
        <w:t>检测</w:t>
      </w:r>
      <w:bookmarkEnd w:id="16"/>
      <w:r>
        <w:rPr>
          <w:rFonts w:hint="eastAsia" w:ascii="微软雅黑" w:hAnsi="微软雅黑" w:eastAsia="微软雅黑"/>
          <w:b/>
          <w:color w:val="000000"/>
          <w:sz w:val="32"/>
          <w:lang w:val="en-US" w:eastAsia="zh-CN"/>
        </w:rPr>
        <w:t>声明</w:t>
      </w: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AC554FC">
      <w:pPr>
        <w:keepNext w:val="0"/>
        <w:keepLines w:val="0"/>
        <w:pageBreakBefore w:val="0"/>
        <w:widowControl w:val="0"/>
        <w:kinsoku/>
        <w:wordWrap/>
        <w:overflowPunct/>
        <w:topLinePunct w:val="0"/>
        <w:autoSpaceDE/>
        <w:autoSpaceDN/>
        <w:bidi w:val="0"/>
        <w:adjustRightInd/>
        <w:snapToGrid/>
        <w:spacing w:after="0" w:line="240"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使用的探针由目标基因相应DNA区域捕获探针及人基因组多态性位点(SNP)捕获探针构成，基于Illumina测序平台的二代高通量测序技术(NGS)对样本进行检测。本机构已依据相关技术指导准则完成技术平台验证。</w:t>
      </w:r>
    </w:p>
    <w:p w14:paraId="0F738594">
      <w:pPr>
        <w:keepNext w:val="0"/>
        <w:keepLines w:val="0"/>
        <w:pageBreakBefore w:val="0"/>
        <w:widowControl w:val="0"/>
        <w:kinsoku/>
        <w:wordWrap/>
        <w:overflowPunct/>
        <w:topLinePunct w:val="0"/>
        <w:autoSpaceDE/>
        <w:autoSpaceDN/>
        <w:bidi w:val="0"/>
        <w:adjustRightInd/>
        <w:snapToGrid/>
        <w:spacing w:after="0" w:line="240"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通过二代高通量测序技术，可获取相应区域的DNA序列数据。借助生物信息分析所得数据，可检测的突变类型包括点突变、小片段插入缺失、拷贝数变异、断点发生在产品捕获范围内的基因融合，以及基因组杂合性缺失（LOH）、端粒等位基因不平衡（TAI）、大片段迁移（LST）。并基于LOH、TAI、LST获得基因不稳定状态评分（HRD score），提供全面可信的检测结果。</w:t>
      </w: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keepNext w:val="0"/>
        <w:keepLines w:val="0"/>
        <w:pageBreakBefore w:val="0"/>
        <w:widowControl w:val="0"/>
        <w:kinsoku/>
        <w:wordWrap/>
        <w:overflowPunct/>
        <w:topLinePunct w:val="0"/>
        <w:autoSpaceDE/>
        <w:autoSpaceDN/>
        <w:bidi w:val="0"/>
        <w:adjustRightInd/>
        <w:snapToGrid/>
        <w:spacing w:after="0"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174E74">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p>
    <w:p w14:paraId="090A56A9">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default" w:ascii="微软雅黑" w:hAnsi="微软雅黑" w:eastAsia="微软雅黑"/>
          <w:b/>
          <w:color w:val="000000"/>
          <w:sz w:val="32"/>
          <w:lang w:val="en-US" w:eastAsia="zh-CN"/>
        </w:rPr>
      </w:pPr>
      <w:r>
        <w:rPr>
          <w:rFonts w:hint="eastAsia" w:ascii="微软雅黑" w:hAnsi="微软雅黑" w:eastAsia="微软雅黑"/>
          <w:b/>
          <w:color w:val="000000"/>
          <w:sz w:val="32"/>
          <w:lang w:val="en-US" w:eastAsia="zh-CN"/>
        </w:rPr>
        <w:t>基因列表</w:t>
      </w:r>
    </w:p>
    <w:tbl>
      <w:tblPr>
        <w:tblStyle w:val="32"/>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3046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71" w:type="dxa"/>
            <w:gridSpan w:val="9"/>
            <w:vAlign w:val="center"/>
          </w:tcPr>
          <w:p w14:paraId="56B43B5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 xml:space="preserve">{%tr for Gene in gene.genes | </w:t>
            </w:r>
            <w:r>
              <w:rPr>
                <w:rFonts w:hint="eastAsia" w:ascii="Times New Roman" w:hAnsi="Times New Roman" w:eastAsia="微软雅黑" w:cs="Times New Roman"/>
                <w:sz w:val="18"/>
                <w:szCs w:val="18"/>
                <w:lang w:val="en-US" w:eastAsia="zh-CN"/>
              </w:rPr>
              <w:t>genes</w:t>
            </w:r>
            <w:r>
              <w:rPr>
                <w:rFonts w:hint="eastAsia" w:ascii="Times New Roman" w:hAnsi="Times New Roman" w:eastAsia="微软雅黑" w:cs="Times New Roman"/>
                <w:sz w:val="18"/>
                <w:szCs w:val="18"/>
                <w:lang w:eastAsia="zh-CN"/>
              </w:rPr>
              <w:t>(9,18,True) %}</w:t>
            </w:r>
          </w:p>
        </w:tc>
      </w:tr>
      <w:tr w14:paraId="50314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75" w:type="dxa"/>
            <w:vAlign w:val="center"/>
          </w:tcPr>
          <w:p w14:paraId="7AAC9B3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5D28AD7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1D4088C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068275F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1B0A659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1A2D92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4716E4F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7055525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7847F9B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537F9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71" w:type="dxa"/>
            <w:gridSpan w:val="9"/>
            <w:vAlign w:val="center"/>
          </w:tcPr>
          <w:p w14:paraId="32E6623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59A566F3">
      <w:pPr>
        <w:spacing w:after="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p>
    <w:sectPr>
      <w:headerReference r:id="rId9"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方正兰亭大黑_GBK">
    <w:altName w:val="黑体"/>
    <w:panose1 w:val="02000000000000000000"/>
    <w:charset w:val="86"/>
    <w:family w:val="auto"/>
    <w:pitch w:val="default"/>
    <w:sig w:usb0="00000000" w:usb1="00000000" w:usb2="00042016" w:usb3="0000001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left"/>
    </w:pPr>
    <w:r>
      <w:rPr>
        <w:sz w:val="22"/>
      </w:rPr>
      <mc:AlternateContent>
        <mc:Choice Requires="wps">
          <w:drawing>
            <wp:anchor distT="0" distB="0" distL="114300" distR="114300" simplePos="0" relativeHeight="251659264" behindDoc="0" locked="0" layoutInCell="1" allowOverlap="1">
              <wp:simplePos x="0" y="0"/>
              <wp:positionH relativeFrom="margin">
                <wp:posOffset>2940685</wp:posOffset>
              </wp:positionH>
              <wp:positionV relativeFrom="paragraph">
                <wp:posOffset>-27305</wp:posOffset>
              </wp:positionV>
              <wp:extent cx="297815"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978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31.55pt;margin-top:-2.15pt;height:144pt;width:23.45pt;mso-position-horizontal-relative:margin;z-index:251659264;mso-width-relative:page;mso-height-relative:page;" filled="f" stroked="f" coordsize="21600,21600" o:gfxdata="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LXxgB2QAAAAoBAAAPAAAAAAAAAAEAIAAAACIAAABkcnMvZG93&#10;bnJldi54bWxQSwECFAAUAAAACACHTuJA8ZUaCDgCAABiBAAADgAAAAAAAAABACAAAAAoAQAAZHJz&#10;L2Uyb0RvYy54bWxQSwUGAAAAAAYABgBZAQAA0gUAAAAA&#10;">
              <v:fill on="f" focussize="0,0"/>
              <v:stroke on="f" weight="0.5pt"/>
              <v:imagedata o:title=""/>
              <o:lock v:ext="edit" aspectratio="f"/>
              <v:textbox inset="0mm,0mm,0mm,0mm" style="mso-fit-shape-to-text:t;">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9056E2">
    <w:pPr>
      <w:pStyle w:val="24"/>
    </w:pPr>
    <w:r>
      <w:rPr>
        <w:sz w:val="22"/>
      </w:rPr>
      <mc:AlternateContent>
        <mc:Choice Requires="wps">
          <w:drawing>
            <wp:anchor distT="0" distB="0" distL="114300" distR="114300" simplePos="0" relativeHeight="251660288" behindDoc="0" locked="0" layoutInCell="1" allowOverlap="1">
              <wp:simplePos x="0" y="0"/>
              <wp:positionH relativeFrom="margin">
                <wp:posOffset>2581275</wp:posOffset>
              </wp:positionH>
              <wp:positionV relativeFrom="paragraph">
                <wp:posOffset>-159385</wp:posOffset>
              </wp:positionV>
              <wp:extent cx="895985"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8959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03.25pt;margin-top:-12.55pt;height:144pt;width:70.55pt;mso-position-horizontal-relative:margin;z-index:251660288;mso-width-relative:page;mso-height-relative:page;" filled="f" stroked="f" coordsize="21600,21600" o:gfxdata="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fRVnN9oAAAALAQAADwAAAAAAAAABACAAAAAiAAAAZHJzL2Rv&#10;d25yZXYueG1sUEsBAhQAFAAAAAgAh07iQKPzDIs4AgAAYgQAAA4AAAAAAAAAAQAgAAAAKQEAAGRy&#10;cy9lMm9Eb2MueG1sUEsFBgAAAAAGAAYAWQEAANMFAAAAAA==&#10;">
              <v:fill on="f" focussize="0,0"/>
              <v:stroke on="f" weight="0.5pt"/>
              <v:imagedata o:title=""/>
              <o:lock v:ext="edit" aspectratio="f"/>
              <v:textbox inset="0mm,0mm,0mm,0mm" style="mso-fit-shape-to-text:t;">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13314C44">
    <w:pPr>
      <w:pStyle w:val="25"/>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61313609">
    <w:pPr>
      <w:keepNext w:val="0"/>
      <w:keepLines w:val="0"/>
      <w:pageBreakBefore w:val="0"/>
      <w:widowControl/>
      <w:kinsoku/>
      <w:wordWrap/>
      <w:overflowPunct/>
      <w:topLinePunct w:val="0"/>
      <w:bidi w:val="0"/>
      <w:adjustRightInd/>
      <w:snapToGrid/>
      <w:spacing w:after="0"/>
      <w:jc w:val="right"/>
      <w:textAlignment w:val="auto"/>
      <w:rPr>
        <w:sz w:val="10"/>
        <w:szCs w:val="1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D61069D"/>
    <w:multiLevelType w:val="singleLevel"/>
    <w:tmpl w:val="DD61069D"/>
    <w:lvl w:ilvl="0" w:tentative="0">
      <w:start w:val="1"/>
      <w:numFmt w:val="decimal"/>
      <w:lvlText w:val="%1."/>
      <w:lvlJc w:val="left"/>
      <w:pPr>
        <w:ind w:left="425" w:hanging="425"/>
      </w:pPr>
      <w:rPr>
        <w:rFonts w:hint="default"/>
      </w:rPr>
    </w:lvl>
  </w:abstractNum>
  <w:abstractNum w:abstractNumId="2">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4">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5">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6">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7">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C7D6809"/>
    <w:multiLevelType w:val="singleLevel"/>
    <w:tmpl w:val="1C7D6809"/>
    <w:lvl w:ilvl="0" w:tentative="0">
      <w:start w:val="1"/>
      <w:numFmt w:val="bullet"/>
      <w:lvlText w:val=""/>
      <w:lvlJc w:val="left"/>
      <w:pPr>
        <w:ind w:left="420" w:hanging="420"/>
      </w:pPr>
      <w:rPr>
        <w:rFonts w:hint="default" w:ascii="Wingdings" w:hAnsi="Wingdings"/>
      </w:rPr>
    </w:lvl>
  </w:abstractNum>
  <w:abstractNum w:abstractNumId="10">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1">
    <w:nsid w:val="479030E4"/>
    <w:multiLevelType w:val="singleLevel"/>
    <w:tmpl w:val="479030E4"/>
    <w:lvl w:ilvl="0" w:tentative="0">
      <w:start w:val="1"/>
      <w:numFmt w:val="decimal"/>
      <w:lvlText w:val="%1."/>
      <w:lvlJc w:val="left"/>
      <w:pPr>
        <w:ind w:left="425" w:hanging="425"/>
      </w:pPr>
      <w:rPr>
        <w:rFonts w:hint="default"/>
        <w:sz w:val="18"/>
        <w:szCs w:val="18"/>
      </w:rPr>
    </w:lvl>
  </w:abstractNum>
  <w:abstractNum w:abstractNumId="12">
    <w:nsid w:val="4C0A1103"/>
    <w:multiLevelType w:val="singleLevel"/>
    <w:tmpl w:val="4C0A1103"/>
    <w:lvl w:ilvl="0" w:tentative="0">
      <w:start w:val="1"/>
      <w:numFmt w:val="decimal"/>
      <w:lvlText w:val="%1."/>
      <w:lvlJc w:val="left"/>
      <w:pPr>
        <w:ind w:left="425" w:hanging="425"/>
      </w:pPr>
      <w:rPr>
        <w:rFonts w:hint="default"/>
        <w:sz w:val="18"/>
        <w:szCs w:val="18"/>
      </w:rPr>
    </w:lvl>
  </w:abstractNum>
  <w:num w:numId="1">
    <w:abstractNumId w:val="3"/>
  </w:num>
  <w:num w:numId="2">
    <w:abstractNumId w:val="6"/>
  </w:num>
  <w:num w:numId="3">
    <w:abstractNumId w:val="7"/>
  </w:num>
  <w:num w:numId="4">
    <w:abstractNumId w:val="4"/>
  </w:num>
  <w:num w:numId="5">
    <w:abstractNumId w:val="2"/>
  </w:num>
  <w:num w:numId="6">
    <w:abstractNumId w:val="5"/>
  </w:num>
  <w:num w:numId="7">
    <w:abstractNumId w:val="10"/>
  </w:num>
  <w:num w:numId="8">
    <w:abstractNumId w:val="8"/>
  </w:num>
  <w:num w:numId="9">
    <w:abstractNumId w:val="0"/>
  </w:num>
  <w:num w:numId="10">
    <w:abstractNumId w:val="12"/>
    <w:lvlOverride w:ilvl="0">
      <w:startOverride w:val="1"/>
    </w:lvlOverride>
  </w:num>
  <w:num w:numId="11">
    <w:abstractNumId w:val="11"/>
  </w:num>
  <w:num w:numId="12">
    <w:abstractNumId w:val="9"/>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6A331F"/>
    <w:rsid w:val="00906583"/>
    <w:rsid w:val="00AA1D8D"/>
    <w:rsid w:val="00AD6C03"/>
    <w:rsid w:val="00B47730"/>
    <w:rsid w:val="00CB0664"/>
    <w:rsid w:val="00D82770"/>
    <w:rsid w:val="00FC693F"/>
    <w:rsid w:val="036A7390"/>
    <w:rsid w:val="03DB6BF1"/>
    <w:rsid w:val="04CF30C5"/>
    <w:rsid w:val="04DA4474"/>
    <w:rsid w:val="04FB714B"/>
    <w:rsid w:val="057D69E2"/>
    <w:rsid w:val="062A122C"/>
    <w:rsid w:val="072D7508"/>
    <w:rsid w:val="07886409"/>
    <w:rsid w:val="091F0FEF"/>
    <w:rsid w:val="09AF5BD3"/>
    <w:rsid w:val="09BB6E49"/>
    <w:rsid w:val="0B5C5BE2"/>
    <w:rsid w:val="0BE6493B"/>
    <w:rsid w:val="0C230DF6"/>
    <w:rsid w:val="0D286C64"/>
    <w:rsid w:val="0D32412C"/>
    <w:rsid w:val="0D35493D"/>
    <w:rsid w:val="0D84744D"/>
    <w:rsid w:val="0DB26A52"/>
    <w:rsid w:val="0E4E600E"/>
    <w:rsid w:val="0E9F5FA8"/>
    <w:rsid w:val="0EAF24CD"/>
    <w:rsid w:val="0F312AB7"/>
    <w:rsid w:val="103A45BB"/>
    <w:rsid w:val="108C51BC"/>
    <w:rsid w:val="11C22033"/>
    <w:rsid w:val="13313C85"/>
    <w:rsid w:val="138D4392"/>
    <w:rsid w:val="13D4499A"/>
    <w:rsid w:val="14546E50"/>
    <w:rsid w:val="1488724D"/>
    <w:rsid w:val="168A6BBD"/>
    <w:rsid w:val="17E93D8C"/>
    <w:rsid w:val="18F71640"/>
    <w:rsid w:val="19990EDC"/>
    <w:rsid w:val="19FA629F"/>
    <w:rsid w:val="1BE206FA"/>
    <w:rsid w:val="1C48083A"/>
    <w:rsid w:val="20077F38"/>
    <w:rsid w:val="20EF5C95"/>
    <w:rsid w:val="20F7728E"/>
    <w:rsid w:val="21582FD1"/>
    <w:rsid w:val="21876848"/>
    <w:rsid w:val="227B30DE"/>
    <w:rsid w:val="24227FE7"/>
    <w:rsid w:val="24912526"/>
    <w:rsid w:val="24D64800"/>
    <w:rsid w:val="25B20DC9"/>
    <w:rsid w:val="26D562AE"/>
    <w:rsid w:val="2749765B"/>
    <w:rsid w:val="275E3638"/>
    <w:rsid w:val="2A111A8E"/>
    <w:rsid w:val="2A4F4361"/>
    <w:rsid w:val="2AD35561"/>
    <w:rsid w:val="2B2F367F"/>
    <w:rsid w:val="2B8054C5"/>
    <w:rsid w:val="2B8271F1"/>
    <w:rsid w:val="2BE02DF6"/>
    <w:rsid w:val="2C6E5E3A"/>
    <w:rsid w:val="2CB56D90"/>
    <w:rsid w:val="2CC51901"/>
    <w:rsid w:val="2D94691A"/>
    <w:rsid w:val="2E9A1D03"/>
    <w:rsid w:val="2F4D6084"/>
    <w:rsid w:val="2FB229D9"/>
    <w:rsid w:val="2FF344B8"/>
    <w:rsid w:val="30020F23"/>
    <w:rsid w:val="30055F99"/>
    <w:rsid w:val="30DE08DF"/>
    <w:rsid w:val="31181CFC"/>
    <w:rsid w:val="31740B9D"/>
    <w:rsid w:val="32093887"/>
    <w:rsid w:val="32373AB1"/>
    <w:rsid w:val="32A65962"/>
    <w:rsid w:val="32B3230F"/>
    <w:rsid w:val="331365F3"/>
    <w:rsid w:val="333F2E0A"/>
    <w:rsid w:val="33694E60"/>
    <w:rsid w:val="338C11FB"/>
    <w:rsid w:val="34207080"/>
    <w:rsid w:val="3432329E"/>
    <w:rsid w:val="34C463DA"/>
    <w:rsid w:val="3500641C"/>
    <w:rsid w:val="35BB3A30"/>
    <w:rsid w:val="36255A18"/>
    <w:rsid w:val="36C30F4D"/>
    <w:rsid w:val="37785D74"/>
    <w:rsid w:val="37F30DCD"/>
    <w:rsid w:val="38262C59"/>
    <w:rsid w:val="3A766411"/>
    <w:rsid w:val="3AA91BD1"/>
    <w:rsid w:val="3AC30F2B"/>
    <w:rsid w:val="3ACC6031"/>
    <w:rsid w:val="3B261A14"/>
    <w:rsid w:val="3CD613E9"/>
    <w:rsid w:val="3E454239"/>
    <w:rsid w:val="3F1E4B9D"/>
    <w:rsid w:val="3F4A39C9"/>
    <w:rsid w:val="3F8C0042"/>
    <w:rsid w:val="41433ED6"/>
    <w:rsid w:val="41EF556F"/>
    <w:rsid w:val="42574B60"/>
    <w:rsid w:val="42831802"/>
    <w:rsid w:val="43867A5D"/>
    <w:rsid w:val="43B27D8E"/>
    <w:rsid w:val="4454082D"/>
    <w:rsid w:val="44735770"/>
    <w:rsid w:val="44D14B8D"/>
    <w:rsid w:val="46496210"/>
    <w:rsid w:val="466E4440"/>
    <w:rsid w:val="47925F0D"/>
    <w:rsid w:val="47C33F44"/>
    <w:rsid w:val="47E87983"/>
    <w:rsid w:val="480171AF"/>
    <w:rsid w:val="48027536"/>
    <w:rsid w:val="49F06F55"/>
    <w:rsid w:val="4AF3760A"/>
    <w:rsid w:val="4B005D50"/>
    <w:rsid w:val="4B092B5E"/>
    <w:rsid w:val="4B0B4954"/>
    <w:rsid w:val="4B6A3DF6"/>
    <w:rsid w:val="4B7918E0"/>
    <w:rsid w:val="4BBA0D7E"/>
    <w:rsid w:val="4C080E93"/>
    <w:rsid w:val="4C9604BD"/>
    <w:rsid w:val="4D057181"/>
    <w:rsid w:val="4D1F0243"/>
    <w:rsid w:val="4DB95B9F"/>
    <w:rsid w:val="4E0423C2"/>
    <w:rsid w:val="4E1E6C22"/>
    <w:rsid w:val="4E495944"/>
    <w:rsid w:val="4E710F72"/>
    <w:rsid w:val="4E8C1402"/>
    <w:rsid w:val="4F2E6E63"/>
    <w:rsid w:val="4F7D3946"/>
    <w:rsid w:val="4F900B6C"/>
    <w:rsid w:val="51917235"/>
    <w:rsid w:val="52B96A43"/>
    <w:rsid w:val="535A3424"/>
    <w:rsid w:val="545853DC"/>
    <w:rsid w:val="54FA4A5B"/>
    <w:rsid w:val="565E5126"/>
    <w:rsid w:val="567862F0"/>
    <w:rsid w:val="568B2D64"/>
    <w:rsid w:val="57193C9E"/>
    <w:rsid w:val="572351D5"/>
    <w:rsid w:val="574870DD"/>
    <w:rsid w:val="574C6106"/>
    <w:rsid w:val="57947A7F"/>
    <w:rsid w:val="5795732F"/>
    <w:rsid w:val="58002B1D"/>
    <w:rsid w:val="5852375D"/>
    <w:rsid w:val="59AB49DD"/>
    <w:rsid w:val="59B95D94"/>
    <w:rsid w:val="5A350349"/>
    <w:rsid w:val="5A6000EC"/>
    <w:rsid w:val="5AF80325"/>
    <w:rsid w:val="5C743C9D"/>
    <w:rsid w:val="5C78171D"/>
    <w:rsid w:val="5D2C7080"/>
    <w:rsid w:val="5D870AB5"/>
    <w:rsid w:val="5DBE3BC8"/>
    <w:rsid w:val="5EF94460"/>
    <w:rsid w:val="5F031561"/>
    <w:rsid w:val="60182240"/>
    <w:rsid w:val="60F8107F"/>
    <w:rsid w:val="61AE5BE1"/>
    <w:rsid w:val="62C1366C"/>
    <w:rsid w:val="62C531E2"/>
    <w:rsid w:val="62EB255A"/>
    <w:rsid w:val="63027F93"/>
    <w:rsid w:val="632329BC"/>
    <w:rsid w:val="637D5D56"/>
    <w:rsid w:val="63AC469A"/>
    <w:rsid w:val="64065861"/>
    <w:rsid w:val="655B4943"/>
    <w:rsid w:val="66415276"/>
    <w:rsid w:val="6644393A"/>
    <w:rsid w:val="66D37220"/>
    <w:rsid w:val="66E35C90"/>
    <w:rsid w:val="67EA6FE5"/>
    <w:rsid w:val="68027928"/>
    <w:rsid w:val="68B731E7"/>
    <w:rsid w:val="69FA3F2D"/>
    <w:rsid w:val="6A5938E3"/>
    <w:rsid w:val="6B80239C"/>
    <w:rsid w:val="6E324C1E"/>
    <w:rsid w:val="6EB8541A"/>
    <w:rsid w:val="6F3F60CB"/>
    <w:rsid w:val="6FA84DB7"/>
    <w:rsid w:val="70246F97"/>
    <w:rsid w:val="70730F3D"/>
    <w:rsid w:val="70BA0DD5"/>
    <w:rsid w:val="70EE1B56"/>
    <w:rsid w:val="723B701D"/>
    <w:rsid w:val="72A50E51"/>
    <w:rsid w:val="73415F19"/>
    <w:rsid w:val="749F4FD0"/>
    <w:rsid w:val="74C351B8"/>
    <w:rsid w:val="75054E3D"/>
    <w:rsid w:val="751F38D5"/>
    <w:rsid w:val="75483F2B"/>
    <w:rsid w:val="78D74267"/>
    <w:rsid w:val="79DC10E6"/>
    <w:rsid w:val="79EB1329"/>
    <w:rsid w:val="7AC837E4"/>
    <w:rsid w:val="7BA95D7F"/>
    <w:rsid w:val="7BC561A8"/>
    <w:rsid w:val="7BCF6ABB"/>
    <w:rsid w:val="7CA57EB5"/>
    <w:rsid w:val="7D643172"/>
    <w:rsid w:val="7E425964"/>
    <w:rsid w:val="7EBC3294"/>
    <w:rsid w:val="7ED16C5A"/>
    <w:rsid w:val="7EE41F32"/>
    <w:rsid w:val="7F5C05D3"/>
    <w:rsid w:val="7FFC7C76"/>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168">
    <w:name w:val="font21"/>
    <w:basedOn w:val="132"/>
    <w:autoRedefine/>
    <w:qFormat/>
    <w:uiPriority w:val="0"/>
    <w:rPr>
      <w:rFonts w:hint="eastAsia" w:ascii="微软雅黑" w:hAnsi="微软雅黑" w:eastAsia="微软雅黑" w:cs="微软雅黑"/>
      <w:b/>
      <w:bCs/>
      <w:color w:val="FFFFFF"/>
      <w:sz w:val="21"/>
      <w:szCs w:val="21"/>
      <w:u w:val="none"/>
    </w:rPr>
  </w:style>
  <w:style w:type="character" w:customStyle="1" w:styleId="169">
    <w:name w:val="font31"/>
    <w:basedOn w:val="132"/>
    <w:autoRedefine/>
    <w:qFormat/>
    <w:uiPriority w:val="0"/>
    <w:rPr>
      <w:rFonts w:hint="eastAsia" w:ascii="微软雅黑" w:hAnsi="微软雅黑" w:eastAsia="微软雅黑" w:cs="微软雅黑"/>
      <w:b/>
      <w:bCs/>
      <w:color w:val="000000"/>
      <w:sz w:val="21"/>
      <w:szCs w:val="21"/>
      <w:u w:val="none"/>
    </w:rPr>
  </w:style>
  <w:style w:type="character" w:customStyle="1" w:styleId="170">
    <w:name w:val="font101"/>
    <w:basedOn w:val="132"/>
    <w:autoRedefine/>
    <w:qFormat/>
    <w:uiPriority w:val="0"/>
    <w:rPr>
      <w:rFonts w:hint="default" w:ascii="Times New Roman" w:hAnsi="Times New Roman" w:cs="Times New Roman"/>
      <w:b/>
      <w:bCs/>
      <w:color w:val="000000"/>
      <w:sz w:val="21"/>
      <w:szCs w:val="21"/>
      <w:u w:val="none"/>
    </w:rPr>
  </w:style>
  <w:style w:type="character" w:customStyle="1" w:styleId="171">
    <w:name w:val="font51"/>
    <w:basedOn w:val="132"/>
    <w:autoRedefine/>
    <w:qFormat/>
    <w:uiPriority w:val="0"/>
    <w:rPr>
      <w:rFonts w:hint="eastAsia" w:ascii="微软雅黑" w:hAnsi="微软雅黑" w:eastAsia="微软雅黑" w:cs="微软雅黑"/>
      <w:color w:val="000000"/>
      <w:sz w:val="21"/>
      <w:szCs w:val="21"/>
      <w:u w:val="none"/>
    </w:rPr>
  </w:style>
  <w:style w:type="character" w:customStyle="1" w:styleId="172">
    <w:name w:val="font61"/>
    <w:basedOn w:val="132"/>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3311</Words>
  <Characters>9630</Characters>
  <Lines>40</Lines>
  <Paragraphs>11</Paragraphs>
  <TotalTime>5</TotalTime>
  <ScaleCrop>false</ScaleCrop>
  <LinksUpToDate>false</LinksUpToDate>
  <CharactersWithSpaces>10382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tassles-L</cp:lastModifiedBy>
  <dcterms:modified xsi:type="dcterms:W3CDTF">2026-06-11T08:02:53Z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eyJoZGlkIjoiY2Y2NjU5MGIzZGFmM2M5NTIxMmI2NjdmNGQ0NDdjMDUiLCJ1c2VySWQiOiI2MjE3NDUxNTQifQ==</vt:lpwstr>
  </property>
  <property fmtid="{D5CDD505-2E9C-101B-9397-08002B2CF9AE}" pid="3" name="KSOProductBuildVer">
    <vt:lpwstr>2052-12.1.0.26895</vt:lpwstr>
  </property>
  <property fmtid="{D5CDD505-2E9C-101B-9397-08002B2CF9AE}" pid="4" name="ICV">
    <vt:lpwstr>77C7F60402E9466795C27868484F6D22_43</vt:lpwstr>
  </property>
</Properties>
</file>