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D1209">
      <w:pPr>
        <w:rPr>
          <w:rFonts w:hint="eastAsia" w:ascii="Times New Roman" w:hAnsi="Times New Roman" w:eastAsia="微软雅黑" w:cs="Times New Roman"/>
          <w:b/>
          <w:bCs/>
          <w:sz w:val="40"/>
          <w:szCs w:val="40"/>
        </w:rPr>
      </w:pPr>
      <w:r>
        <w:rPr>
          <w:rFonts w:hint="eastAsia" w:ascii="Times New Roman" w:hAnsi="Times New Roman" w:eastAsia="微软雅黑" w:cs="Times New Roman"/>
          <w:b/>
          <w:bCs/>
          <w:sz w:val="40"/>
          <w:szCs w:val="40"/>
        </w:rPr>
        <w:br w:type="page"/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135255</wp:posOffset>
                </wp:positionH>
                <wp:positionV relativeFrom="paragraph">
                  <wp:posOffset>4352925</wp:posOffset>
                </wp:positionV>
                <wp:extent cx="6398260" cy="131318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8260" cy="1313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4EBFC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KIT PDGFRA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基因检测报告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.65pt;margin-top:342.75pt;height:103.4pt;width:503.8pt;z-index:251662336;mso-width-relative:page;mso-height-relative:page;" filled="f" stroked="f" coordsize="21600,21600" o:gfxdata="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9ficfcAAAACwEAAA8AAAAAAAAAAQAgAAAAIgAA&#10;AGRycy9kb3ducmV2LnhtbFBLAQIUABQAAAAIAIdO4kBz+D65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C04EBFC">
                      <w:pPr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21"/>
                          <w:szCs w:val="21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KIT PDGFRA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基因检测报告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79B4F8DC">
      <w:pPr>
        <w:tabs>
          <w:tab w:val="left" w:pos="6765"/>
        </w:tabs>
        <w:spacing w:line="168" w:lineRule="auto"/>
        <w:jc w:val="center"/>
        <w:rPr>
          <w:rFonts w:ascii="Times New Roman" w:hAnsi="Times New Roman" w:eastAsia="微软雅黑" w:cs="Times New Roman"/>
          <w:sz w:val="36"/>
          <w:szCs w:val="36"/>
        </w:rPr>
      </w:pPr>
      <w:r>
        <w:rPr>
          <w:rFonts w:hint="eastAsia" w:ascii="Times New Roman" w:hAnsi="Times New Roman" w:eastAsia="微软雅黑" w:cs="Times New Roman"/>
          <w:b/>
          <w:bCs/>
          <w:sz w:val="40"/>
          <w:szCs w:val="40"/>
        </w:rPr>
        <w:t>基因检测报告</w:t>
      </w:r>
    </w:p>
    <w:p w14:paraId="5E8DEE9C">
      <w:pPr>
        <w:rPr>
          <w:rFonts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1460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1312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bookmarkStart w:id="25" w:name="_GoBack"/>
      <w:r>
        <w:rPr>
          <w:rFonts w:hint="eastAsia" w:ascii="Times New Roman" w:hAnsi="Times New Roman" w:eastAsia="微软雅黑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1460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60288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bookmarkEnd w:id="25"/>
    </w:p>
    <w:p w14:paraId="5099F279">
      <w:pPr>
        <w:numPr>
          <w:ilvl w:val="0"/>
          <w:numId w:val="2"/>
        </w:numPr>
        <w:spacing w:after="0" w:line="400" w:lineRule="exact"/>
        <w:rPr>
          <w:rFonts w:ascii="Times New Roman" w:hAnsi="Times New Roman" w:eastAsia="微软雅黑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bCs/>
          <w:sz w:val="28"/>
          <w:szCs w:val="28"/>
        </w:rPr>
        <w:t>患者信息：</w:t>
      </w:r>
    </w:p>
    <w:tbl>
      <w:tblPr>
        <w:tblStyle w:val="6"/>
        <w:tblW w:w="4850" w:type="pct"/>
        <w:tblInd w:w="159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2"/>
        <w:gridCol w:w="3489"/>
        <w:gridCol w:w="3481"/>
      </w:tblGrid>
      <w:tr w14:paraId="256685E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704784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8D2EED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4FC4DC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1EED049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9123B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19F13B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44359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2210F72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E401E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45CF0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送检医生：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doctorname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AA971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 w14:paraId="1DA8A1A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EF86D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2947B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specimentype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F8D6C3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commission_date }}</w:t>
            </w:r>
          </w:p>
        </w:tc>
      </w:tr>
      <w:tr w14:paraId="41FD3AB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EB6324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4D9B2F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订单编号：-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4E340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</w:tbl>
    <w:p w14:paraId="4A9EF83D"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Times New Roman"/>
          <w:b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sz w:val="28"/>
          <w:szCs w:val="28"/>
        </w:rPr>
        <w:t>检测项目：</w:t>
      </w:r>
      <w:r>
        <w:rPr>
          <w:rFonts w:hint="eastAsia" w:ascii="Times New Roman" w:hAnsi="Times New Roman" w:eastAsia="微软雅黑" w:cs="Times New Roman"/>
          <w:bCs/>
          <w:sz w:val="28"/>
          <w:szCs w:val="28"/>
        </w:rPr>
        <w:t>KIT Exon9/11/13/14/17/18， PDGFRA Exon12/14/18</w:t>
      </w:r>
      <w:r>
        <w:rPr>
          <w:rFonts w:ascii="Times New Roman" w:hAnsi="Times New Roman" w:eastAsia="微软雅黑" w:cs="Times New Roman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微软雅黑" w:cs="Times New Roman"/>
          <w:bCs/>
          <w:sz w:val="28"/>
          <w:szCs w:val="28"/>
        </w:rPr>
        <w:t>基因检测</w:t>
      </w:r>
    </w:p>
    <w:p w14:paraId="6C6B615C"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Times New Roman"/>
          <w:b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sz w:val="28"/>
          <w:szCs w:val="28"/>
        </w:rPr>
        <w:t>检测方法：</w:t>
      </w:r>
      <w:r>
        <w:rPr>
          <w:rFonts w:hint="eastAsia" w:ascii="Times New Roman" w:hAnsi="Times New Roman" w:eastAsia="微软雅黑" w:cs="微软雅黑"/>
          <w:b w:val="0"/>
          <w:bCs/>
          <w:sz w:val="28"/>
          <w:szCs w:val="28"/>
          <w:lang w:val="en-US" w:eastAsia="zh-CN"/>
        </w:rPr>
        <w:t>PCR测序法</w:t>
      </w:r>
    </w:p>
    <w:p w14:paraId="57BDF349"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Times New Roman"/>
          <w:b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sz w:val="28"/>
          <w:szCs w:val="28"/>
        </w:rPr>
        <w:t>质量控制：</w:t>
      </w:r>
    </w:p>
    <w:tbl>
      <w:tblPr>
        <w:tblStyle w:val="6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62"/>
        <w:gridCol w:w="831"/>
        <w:gridCol w:w="1727"/>
        <w:gridCol w:w="838"/>
        <w:gridCol w:w="1756"/>
      </w:tblGrid>
      <w:tr w14:paraId="4F9175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 w14:paraId="6BE2F691">
            <w:pPr>
              <w:widowControl w:val="0"/>
              <w:spacing w:before="1" w:after="0"/>
              <w:ind w:left="35"/>
              <w:jc w:val="both"/>
              <w:rPr>
                <w:rFonts w:ascii="Times New Roman" w:hAnsi="Times New Roman" w:eastAsia="微软雅黑" w:cs="Times New Roman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Times New Roman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 w14:paraId="5E752F2C">
            <w:pPr>
              <w:widowControl w:val="0"/>
              <w:spacing w:after="0" w:line="303" w:lineRule="exact"/>
              <w:ind w:left="102"/>
              <w:jc w:val="both"/>
              <w:rPr>
                <w:rFonts w:ascii="Times New Roman" w:hAnsi="Times New Roman" w:eastAsia="微软雅黑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 w14:paraId="59ACB1B1">
            <w:pPr>
              <w:widowControl w:val="0"/>
              <w:spacing w:before="1" w:after="0"/>
              <w:ind w:right="207"/>
              <w:jc w:val="both"/>
              <w:rPr>
                <w:rFonts w:ascii="Times New Roman" w:hAnsi="Times New Roman" w:eastAsia="微软雅黑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 w14:paraId="5988820C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 w14:paraId="1DE0BC45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Times New Roman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Times New Roman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 w14:paraId="3360EF23">
      <w:pPr>
        <w:numPr>
          <w:ilvl w:val="0"/>
          <w:numId w:val="4"/>
        </w:numPr>
        <w:snapToGrid w:val="0"/>
        <w:spacing w:after="0" w:line="240" w:lineRule="auto"/>
        <w:rPr>
          <w:rFonts w:ascii="Times New Roman" w:hAnsi="Times New Roman" w:eastAsia="微软雅黑" w:cs="Times New Roman"/>
          <w:b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sz w:val="28"/>
          <w:szCs w:val="28"/>
        </w:rPr>
        <w:t>检测结果：</w:t>
      </w:r>
    </w:p>
    <w:tbl>
      <w:tblPr>
        <w:tblStyle w:val="7"/>
        <w:tblW w:w="485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291"/>
        <w:gridCol w:w="2400"/>
        <w:gridCol w:w="2744"/>
        <w:gridCol w:w="2477"/>
      </w:tblGrid>
      <w:tr w14:paraId="6F85C39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70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F4BF55">
            <w:pPr>
              <w:adjustRightInd w:val="0"/>
              <w:snapToGrid w:val="0"/>
              <w:spacing w:after="0" w:line="240" w:lineRule="auto"/>
              <w:jc w:val="center"/>
              <w:rPr>
                <w:rFonts w:hint="eastAsia" w:ascii="Times New Roman" w:hAnsi="Times New Roman" w:eastAsia="微软雅黑" w:cs="Times New Roman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4"/>
                <w:szCs w:val="24"/>
                <w:lang w:eastAsia="zh-CN"/>
              </w:rPr>
              <w:t>检测基因</w:t>
            </w:r>
          </w:p>
        </w:tc>
        <w:tc>
          <w:tcPr>
            <w:tcW w:w="623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6C3F73E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外显子</w:t>
            </w:r>
          </w:p>
        </w:tc>
        <w:tc>
          <w:tcPr>
            <w:tcW w:w="115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EB6E6E4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核苷酸突变</w:t>
            </w:r>
          </w:p>
        </w:tc>
        <w:tc>
          <w:tcPr>
            <w:tcW w:w="132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6E98581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蛋白质变异</w:t>
            </w:r>
          </w:p>
        </w:tc>
        <w:tc>
          <w:tcPr>
            <w:tcW w:w="1195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CA95118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突变丰度</w:t>
            </w:r>
          </w:p>
        </w:tc>
      </w:tr>
      <w:tr w14:paraId="4E539E07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5000" w:type="pct"/>
            <w:gridSpan w:val="5"/>
            <w:vAlign w:val="center"/>
          </w:tcPr>
          <w:p w14:paraId="2F02F17E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if singleMoreTipLineStr</w:t>
            </w:r>
            <w:r>
              <w:rPr>
                <w:rFonts w:hint="eastAsia" w:ascii="Times New Roman" w:hAnsi="Times New Roman" w:eastAsia="微软雅黑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!= [] %}</w:t>
            </w:r>
          </w:p>
        </w:tc>
      </w:tr>
      <w:tr w14:paraId="7D7475AB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5000" w:type="pct"/>
            <w:gridSpan w:val="5"/>
            <w:vAlign w:val="center"/>
          </w:tcPr>
          <w:p w14:paraId="550A3471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for tip in singleMoreTipLineStr</w:t>
            </w:r>
            <w:r>
              <w:rPr>
                <w:rFonts w:hint="eastAsia" w:ascii="Times New Roman" w:hAnsi="Times New Roman" w:eastAsia="微软雅黑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%}</w:t>
            </w:r>
          </w:p>
        </w:tc>
      </w:tr>
      <w:tr w14:paraId="10809782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00" w:type="pct"/>
            <w:vAlign w:val="center"/>
          </w:tcPr>
          <w:p w14:paraId="0C1BC291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tip.gene }}</w:t>
            </w:r>
          </w:p>
        </w:tc>
        <w:tc>
          <w:tcPr>
            <w:tcW w:w="623" w:type="pct"/>
            <w:vAlign w:val="center"/>
          </w:tcPr>
          <w:p w14:paraId="2EE9583F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tip.Exon }}</w:t>
            </w:r>
          </w:p>
        </w:tc>
        <w:tc>
          <w:tcPr>
            <w:tcW w:w="1158" w:type="pct"/>
            <w:vAlign w:val="center"/>
          </w:tcPr>
          <w:p w14:paraId="1E06A5DE">
            <w:pPr>
              <w:spacing w:after="0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tip.cHGVS }}</w:t>
            </w:r>
          </w:p>
        </w:tc>
        <w:tc>
          <w:tcPr>
            <w:tcW w:w="1324" w:type="pct"/>
            <w:vAlign w:val="center"/>
          </w:tcPr>
          <w:p w14:paraId="5BD0C5D4">
            <w:pPr>
              <w:spacing w:after="0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tip.pHGVS }}</w:t>
            </w:r>
          </w:p>
        </w:tc>
        <w:tc>
          <w:tcPr>
            <w:tcW w:w="1195" w:type="pct"/>
            <w:vAlign w:val="center"/>
          </w:tcPr>
          <w:p w14:paraId="79C64E46">
            <w:pPr>
              <w:spacing w:after="0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tip.mutFreq }}</w:t>
            </w:r>
          </w:p>
        </w:tc>
      </w:tr>
      <w:tr w14:paraId="6BA206DF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5000" w:type="pct"/>
            <w:gridSpan w:val="5"/>
            <w:vAlign w:val="center"/>
          </w:tcPr>
          <w:p w14:paraId="61B0CE12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endfor %}</w:t>
            </w:r>
          </w:p>
        </w:tc>
      </w:tr>
      <w:tr w14:paraId="58EEACDA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5000" w:type="pct"/>
            <w:gridSpan w:val="5"/>
            <w:vAlign w:val="center"/>
          </w:tcPr>
          <w:p w14:paraId="6EE07651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else %}</w:t>
            </w:r>
          </w:p>
        </w:tc>
      </w:tr>
      <w:tr w14:paraId="3FF423CE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1" w:type="pct"/>
            <w:gridSpan w:val="5"/>
            <w:vAlign w:val="center"/>
          </w:tcPr>
          <w:p w14:paraId="296215E0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</w:rPr>
              <w:t>未检出靶向基因变异</w:t>
            </w:r>
          </w:p>
        </w:tc>
      </w:tr>
      <w:tr w14:paraId="7AFF484E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5000" w:type="pct"/>
            <w:gridSpan w:val="5"/>
            <w:vAlign w:val="center"/>
          </w:tcPr>
          <w:p w14:paraId="6C27634D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endif %}</w:t>
            </w:r>
          </w:p>
        </w:tc>
      </w:tr>
    </w:tbl>
    <w:p w14:paraId="1D3AA04F">
      <w:pPr>
        <w:widowControl w:val="0"/>
        <w:spacing w:after="0" w:line="240" w:lineRule="auto"/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4195077">
      <w:pPr>
        <w:rPr>
          <w:lang w:eastAsia="zh-CN"/>
        </w:rPr>
      </w:pPr>
    </w:p>
    <w:tbl>
      <w:tblPr>
        <w:tblStyle w:val="12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2B1747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60E8C3F2">
            <w:pPr>
              <w:pStyle w:val="1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251E8B55">
            <w:pPr>
              <w:pStyle w:val="1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{{"ty_tianjin1"|sign(64,28)}}</w:t>
            </w:r>
          </w:p>
        </w:tc>
        <w:tc>
          <w:tcPr>
            <w:tcW w:w="1166" w:type="dxa"/>
            <w:vAlign w:val="center"/>
          </w:tcPr>
          <w:p w14:paraId="7D982F5F">
            <w:pPr>
              <w:pStyle w:val="1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58DE98F">
            <w:pPr>
              <w:pStyle w:val="1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{{"ty_tianjin2"|sign(59,34)}}</w:t>
            </w:r>
            <w:r>
              <w:rPr>
                <w:sz w:val="18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-398145</wp:posOffset>
                  </wp:positionH>
                  <wp:positionV relativeFrom="paragraph">
                    <wp:posOffset>-311785</wp:posOffset>
                  </wp:positionV>
                  <wp:extent cx="1443355" cy="1443355"/>
                  <wp:effectExtent l="0" t="0" r="4445" b="4445"/>
                  <wp:wrapNone/>
                  <wp:docPr id="1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5DBB37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7E8D293A">
            <w:pPr>
              <w:pStyle w:val="1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625C0E7A">
            <w:pPr>
              <w:pStyle w:val="1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5F472428">
            <w:pPr>
              <w:pStyle w:val="1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7D2E0957">
            <w:pPr>
              <w:pStyle w:val="1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5C117E1B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27E52C29">
      <w:pPr>
        <w:rPr>
          <w:rFonts w:hint="default"/>
          <w:sz w:val="24"/>
          <w:lang w:val="en-US" w:eastAsia="zh-CN"/>
        </w:rPr>
      </w:pPr>
    </w:p>
    <w:p w14:paraId="0D32B89C">
      <w:pPr>
        <w:rPr>
          <w:sz w:val="24"/>
          <w:lang w:eastAsia="zh-CN"/>
        </w:rPr>
      </w:pPr>
    </w:p>
    <w:tbl>
      <w:tblPr>
        <w:tblStyle w:val="12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1F1545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12A328F7">
            <w:pPr>
              <w:pStyle w:val="1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6DB7773F">
            <w:pPr>
              <w:pStyle w:val="1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{{"ty_guangzhou1"|sign(62,34)}}</w:t>
            </w:r>
          </w:p>
        </w:tc>
        <w:tc>
          <w:tcPr>
            <w:tcW w:w="1166" w:type="dxa"/>
            <w:vAlign w:val="center"/>
          </w:tcPr>
          <w:p w14:paraId="1420D3B8">
            <w:pPr>
              <w:pStyle w:val="1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4AFD6CC">
            <w:pPr>
              <w:pStyle w:val="1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{{"ty_guangzhou2"|sign(59,34)}}</w:t>
            </w:r>
            <w:r>
              <w:rPr>
                <w:sz w:val="24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-375285</wp:posOffset>
                  </wp:positionH>
                  <wp:positionV relativeFrom="paragraph">
                    <wp:posOffset>-391795</wp:posOffset>
                  </wp:positionV>
                  <wp:extent cx="1443355" cy="1443355"/>
                  <wp:effectExtent l="0" t="0" r="4445" b="4445"/>
                  <wp:wrapNone/>
                  <wp:docPr id="4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39F2F5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E20F947">
            <w:pPr>
              <w:pStyle w:val="1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60C8B6BE">
            <w:pPr>
              <w:pStyle w:val="1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4CE6294">
            <w:pPr>
              <w:pStyle w:val="1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CD5E991">
            <w:pPr>
              <w:pStyle w:val="1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2DEB8069">
      <w:pPr>
        <w:widowControl w:val="0"/>
        <w:spacing w:after="0" w:line="400" w:lineRule="exact"/>
        <w:rPr>
          <w:rFonts w:hint="eastAsia" w:ascii="宋体" w:hAnsi="宋体" w:eastAsia="宋体" w:cs="宋体"/>
          <w:sz w:val="22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341B5312">
      <w:pPr>
        <w:rPr>
          <w:rFonts w:ascii="Times New Roman" w:hAnsi="Times New Roman" w:eastAsia="微软雅黑" w:cs="Times New Roman"/>
          <w:sz w:val="24"/>
        </w:rPr>
      </w:pPr>
      <w:r>
        <w:rPr>
          <w:rFonts w:ascii="Times New Roman" w:hAnsi="Times New Roman" w:eastAsia="微软雅黑" w:cs="Times New Roman"/>
          <w:sz w:val="24"/>
        </w:rPr>
        <w:br w:type="page"/>
      </w:r>
    </w:p>
    <w:p w14:paraId="4CE2CFC6">
      <w:pPr>
        <w:pStyle w:val="2"/>
        <w:widowControl w:val="0"/>
        <w:numPr>
          <w:ilvl w:val="-1"/>
          <w:numId w:val="0"/>
        </w:numPr>
        <w:spacing w:after="0" w:line="240" w:lineRule="auto"/>
        <w:ind w:left="0" w:firstLine="0"/>
        <w:jc w:val="left"/>
      </w:pPr>
      <w:bookmarkStart w:id="0" w:name="_Toc22658"/>
      <w:bookmarkStart w:id="1" w:name="_Toc21764_WPSOffice_Level1"/>
      <w:bookmarkStart w:id="2" w:name="_Toc13196_WPSOffice_Level1"/>
      <w:bookmarkStart w:id="3" w:name="_Toc2409"/>
      <w:bookmarkStart w:id="4" w:name="_Toc28240"/>
      <w:bookmarkStart w:id="5" w:name="_Toc27302"/>
      <w:bookmarkStart w:id="6" w:name="_Toc16594"/>
      <w:bookmarkStart w:id="7" w:name="_Toc1707_WPSOffice_Level1"/>
      <w:bookmarkStart w:id="8" w:name="_Toc12505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38760FA6">
      <w:pPr>
        <w:widowControl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bookmarkStart w:id="9" w:name="_Toc9066_WPSOffice_Level1"/>
      <w:bookmarkStart w:id="10" w:name="_Toc6069_WPSOffice_Level1"/>
      <w:bookmarkStart w:id="11" w:name="_Toc1557_WPSOffice_Level1"/>
      <w:bookmarkStart w:id="12" w:name="_Toc6871_WPSOffice_Level1"/>
      <w:bookmarkStart w:id="13" w:name="_Toc11511_WPSOffice_Level1"/>
      <w:bookmarkStart w:id="14" w:name="_Toc23854_WPSOffice_Level1"/>
      <w:bookmarkStart w:id="15" w:name="_Toc23457_WPSOffice_Level1"/>
      <w:bookmarkStart w:id="16" w:name="_Toc6343_WPSOffice_Level1"/>
      <w:r>
        <w:rPr>
          <w:rFonts w:ascii="Times New Roman" w:hAnsi="Times New Roman" w:eastAsia="微软雅黑" w:cs="Times New Roman"/>
          <w:b/>
          <w:bCs/>
          <w:color w:val="2F6791"/>
          <w:sz w:val="24"/>
          <w:szCs w:val="24"/>
          <w:lang w:eastAsia="zh-CN"/>
        </w:rPr>
        <w:t>KIT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4D903FF6">
      <w:pPr>
        <w:spacing w:line="276" w:lineRule="auto"/>
        <w:ind w:firstLine="360" w:firstLineChars="200"/>
        <w:jc w:val="both"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KIT（也称为CD117），是一种受体酪氨酸激酶（RTK）,在多种细胞类型中的表达。KIT的配体是干细胞因子（SCF）。SCF与KIT胞外结构域的结合诱导其二聚体化，从而活化下游信号传导途径，包括PI3K-AKT-mTOR通路、RAS-RAF-MEK-ERK途径和STAT3（转录3的信号转导子和活化剂）途径，所有这些途径均调节细胞内促增长和促生存信号。</w:t>
      </w:r>
    </w:p>
    <w:p w14:paraId="7B18D893">
      <w:pPr>
        <w:spacing w:line="276" w:lineRule="auto"/>
        <w:ind w:firstLine="360" w:firstLineChars="200"/>
        <w:jc w:val="both"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KIT突变出现在多种癌症的发病机制中，包括黑色素瘤，急性白血病和胃肠道间质瘤（GIST）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[PMID: 14645423; PMID: 9438854]</w:t>
      </w: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。KIT突变的发现彻底改变了间质瘤的治疗。使用一种口服KIT抑制剂甲磺酸伊马替尼（格列卫，诺华制药），可获得迅速、明显和持久的肿瘤反应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[PMID: 12181401]</w:t>
      </w: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。当然，不是所有的KIT突变都对伊马替尼敏感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[PMID: 18955458]</w:t>
      </w: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，有些突变仅对第二代KIT抑制剂敏感。</w:t>
      </w:r>
    </w:p>
    <w:p w14:paraId="2C204717">
      <w:pPr>
        <w:spacing w:line="276" w:lineRule="auto"/>
        <w:ind w:firstLine="440" w:firstLineChars="200"/>
        <w:jc w:val="center"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drawing>
          <wp:inline distT="0" distB="0" distL="0" distR="0">
            <wp:extent cx="3324225" cy="2162175"/>
            <wp:effectExtent l="0" t="0" r="13335" b="1905"/>
            <wp:docPr id="17161" name="Picture 17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" name="Picture 171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8088">
      <w:pPr>
        <w:spacing w:line="276" w:lineRule="auto"/>
        <w:jc w:val="center"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图示：KIT抑制剂的作用机理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[PMID: 20944735]</w:t>
      </w:r>
    </w:p>
    <w:p w14:paraId="7032AFE4">
      <w:pPr>
        <w:spacing w:line="276" w:lineRule="auto"/>
        <w:ind w:firstLine="360" w:firstLineChars="200"/>
        <w:jc w:val="center"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</w:p>
    <w:p w14:paraId="42DF9CA3">
      <w:pPr>
        <w:widowControl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bookmarkStart w:id="17" w:name="_Toc29741_WPSOffice_Level1"/>
      <w:bookmarkStart w:id="18" w:name="_Toc9131_WPSOffice_Level1"/>
      <w:bookmarkStart w:id="19" w:name="_Toc4993_WPSOffice_Level1"/>
      <w:bookmarkStart w:id="20" w:name="_Toc16333_WPSOffice_Level1"/>
      <w:bookmarkStart w:id="21" w:name="_Toc4238_WPSOffice_Level1"/>
      <w:bookmarkStart w:id="22" w:name="_Toc17014_WPSOffice_Level1"/>
      <w:bookmarkStart w:id="23" w:name="_Toc22522_WPSOffice_Level1"/>
      <w:bookmarkStart w:id="24" w:name="_Toc29818_WPSOffice_Level1"/>
      <w:r>
        <w:rPr>
          <w:rFonts w:ascii="Times New Roman" w:hAnsi="Times New Roman" w:eastAsia="微软雅黑" w:cs="Times New Roman"/>
          <w:b/>
          <w:bCs/>
          <w:color w:val="2F6791"/>
          <w:sz w:val="24"/>
          <w:szCs w:val="24"/>
          <w:lang w:eastAsia="zh-CN"/>
        </w:rPr>
        <w:t>PDGFRA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4EFE966C">
      <w:pPr>
        <w:spacing w:line="276" w:lineRule="auto"/>
        <w:ind w:firstLine="360" w:firstLineChars="200"/>
        <w:jc w:val="both"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血小板衍生生长因子受体α（PDGFRA）属于受体酪氨酸激酶（RTK）家族，包括PDGFRA和PDGFRB。与配体如血小板衍生生长因子（PDGF）的结合，诱导构象变化从而形成同源或异源二聚体，这样活化PDGFRA酪氨酸激酶活性（图示）。活化的PDGFRA然后磷酸化其底物，导致细胞中多个下游途径的激活，包括与细胞存活有关的PI3K-AKT-mTOR途径，和涉及细胞增殖的RAS-RAF-MEKERK通路。突变体PDGFRA被报道参与了一些癌症的发病。如突变可见于胃肠道间质瘤（GIST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[PMID: 15928335; PMID: 12522257]</w:t>
      </w: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，基因融合见于嗜酸性粒细胞增多综合征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[PMID: 12660384]</w:t>
      </w: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和隆突皮肤纤维肉瘤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[PMID: 8988177]</w:t>
      </w: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。5%的GIST患者能检测到PDGFRA基因突变，大部分是胃性GIST。PDGFRA基因突变主要在其18外显子（也就是酪氨酸激酶2功能域，约5%）、12外显子上（近膜功能域，约1%）、14外显子（也就是酪氨酸激酶1功能域，少于1%）。除D842V外，18号外显子其它的突变均对伊马替尼（Imatinib）敏感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[PMID: 15928335]</w:t>
      </w: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。</w:t>
      </w:r>
    </w:p>
    <w:p w14:paraId="3DDF6139">
      <w:pPr>
        <w:spacing w:line="276" w:lineRule="auto"/>
        <w:ind w:firstLine="440" w:firstLineChars="200"/>
        <w:jc w:val="both"/>
        <w:rPr>
          <w:rFonts w:ascii="Times New Roman" w:hAnsi="Times New Roman" w:eastAsia="微软雅黑" w:cs="Times New Roman"/>
          <w:lang w:eastAsia="zh-CN"/>
        </w:rPr>
      </w:pPr>
    </w:p>
    <w:p w14:paraId="601A1426">
      <w:pPr>
        <w:spacing w:line="276" w:lineRule="auto"/>
        <w:ind w:firstLine="440" w:firstLineChars="200"/>
        <w:jc w:val="center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drawing>
          <wp:inline distT="0" distB="0" distL="0" distR="0">
            <wp:extent cx="2487930" cy="3383915"/>
            <wp:effectExtent l="0" t="0" r="11430" b="14605"/>
            <wp:docPr id="18082" name="Picture 18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" name="Picture 1808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793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7E77">
      <w:pPr>
        <w:spacing w:line="276" w:lineRule="auto"/>
        <w:jc w:val="center"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图示：PDGFRA信号传递途径</w:t>
      </w:r>
    </w:p>
    <w:p w14:paraId="5F27707D">
      <w:pPr>
        <w:spacing w:line="276" w:lineRule="auto"/>
        <w:ind w:firstLine="440" w:firstLineChars="200"/>
        <w:jc w:val="both"/>
        <w:rPr>
          <w:rFonts w:ascii="Times New Roman" w:hAnsi="Times New Roman" w:eastAsia="微软雅黑" w:cs="Times New Roman"/>
          <w:lang w:eastAsia="zh-CN"/>
        </w:rPr>
      </w:pPr>
    </w:p>
    <w:p w14:paraId="2A3E9628">
      <w:pPr>
        <w:spacing w:line="276" w:lineRule="auto"/>
        <w:ind w:firstLine="440" w:firstLineChars="200"/>
        <w:jc w:val="both"/>
        <w:rPr>
          <w:rFonts w:ascii="Times New Roman" w:hAnsi="Times New Roman" w:eastAsia="微软雅黑" w:cs="Times New Roman"/>
          <w:lang w:eastAsia="zh-CN"/>
        </w:rPr>
      </w:pPr>
    </w:p>
    <w:p w14:paraId="5D282D23">
      <w:pPr>
        <w:spacing w:line="276" w:lineRule="auto"/>
        <w:ind w:firstLine="440" w:firstLineChars="200"/>
        <w:jc w:val="both"/>
        <w:rPr>
          <w:rFonts w:ascii="Times New Roman" w:hAnsi="Times New Roman" w:eastAsia="微软雅黑" w:cs="Times New Roman"/>
          <w:lang w:eastAsia="zh-CN"/>
        </w:rPr>
      </w:pPr>
    </w:p>
    <w:p w14:paraId="552D03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Hans"/>
        </w:rPr>
      </w:pPr>
      <w:r>
        <w:rPr>
          <w:rFonts w:hint="eastAsia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Hans"/>
        </w:rPr>
        <w:t>潜在用药信息提示</w:t>
      </w:r>
    </w:p>
    <w:p w14:paraId="04ABA9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56" w:firstLineChars="200"/>
        <w:textAlignment w:val="auto"/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胃肠道间质瘤中，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KIT 11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号外显子突变对伊马替尼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26687836]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、培唑帕尼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27068858]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、普纳替尼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[J Clin Oncol. 2015; 33(suppl 15): abstr 10535]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、瑞戈非尼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27371698; PMID:22614970]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、尼洛替尼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25882987]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和达沙替尼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29315500]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、舒尼替尼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26772734]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、瑞派替尼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[PMID:32511981]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敏感，与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11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号外显子突变相比，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9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号外显子突变对伊马替尼的敏感性中等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14645423]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；在皮肤黑色素瘤中，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KIT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激活突变对伊马替尼敏感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23775962; PMID: 21642685]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。</w:t>
      </w:r>
    </w:p>
    <w:p w14:paraId="7E10E5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56" w:firstLineChars="200"/>
        <w:textAlignment w:val="auto"/>
        <w:rPr>
          <w:rFonts w:ascii="Times New Roman" w:hAnsi="Times New Roman" w:eastAsia="微软雅黑" w:cs="Times New Roman"/>
          <w:sz w:val="24"/>
        </w:rPr>
      </w:pP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胃肠道间质瘤中，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PDGFRA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突变（除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D842V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）对伊马替尼敏感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12181401]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PDGFRA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D842V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对达沙替尼敏感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29315500; PMID: 18794084]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PDGFRA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突变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18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号外显子对阿伐替尼敏感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33465704]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PDGFRA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D842V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对伊马替尼产生耐药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22718859]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。</w:t>
      </w:r>
    </w:p>
    <w:sectPr>
      <w:headerReference r:id="rId5" w:type="default"/>
      <w:pgSz w:w="11906" w:h="16838"/>
      <w:pgMar w:top="720" w:right="720" w:bottom="720" w:left="720" w:header="397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4CCE5">
    <w:pPr>
      <w:pStyle w:val="4"/>
      <w:keepNext w:val="0"/>
      <w:keepLines w:val="0"/>
      <w:pageBreakBefore w:val="0"/>
      <w:widowControl/>
      <w:pBdr>
        <w:bottom w:val="none" w:color="auto" w:sz="0" w:space="1"/>
      </w:pBdr>
      <w:kinsoku/>
      <w:wordWrap/>
      <w:overflowPunct/>
      <w:topLinePunct w:val="0"/>
      <w:bidi w:val="0"/>
      <w:adjustRightInd/>
      <w:snapToGrid w:val="0"/>
      <w:spacing w:after="0" w:line="240" w:lineRule="auto"/>
      <w:jc w:val="left"/>
      <w:textAlignment w:val="auto"/>
    </w:pPr>
    <w:r>
      <w:rPr>
        <w:rFonts w:hint="eastAsia" w:eastAsia="宋体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5152390</wp:posOffset>
          </wp:positionH>
          <wp:positionV relativeFrom="paragraph">
            <wp:posOffset>9525</wp:posOffset>
          </wp:positionV>
          <wp:extent cx="1461770" cy="420370"/>
          <wp:effectExtent l="0" t="0" r="0" b="5715"/>
          <wp:wrapNone/>
          <wp:docPr id="23" name="图片 23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中文logo透明底"/>
                  <pic:cNvPicPr>
                    <a:picLocks noChangeAspect="1"/>
                  </pic:cNvPicPr>
                </pic:nvPicPr>
                <pic:blipFill>
                  <a:blip r:embed="rId1"/>
                  <a:srcRect l="13700" t="21682" r="11743" b="25756"/>
                  <a:stretch>
                    <a:fillRect/>
                  </a:stretch>
                </pic:blipFill>
                <pic:spPr>
                  <a:xfrm>
                    <a:off x="0" y="0"/>
                    <a:ext cx="1461770" cy="420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21" name="图片 21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图片 21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20" name="图片 20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19" name="图片 19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3896995" cy="366395"/>
          <wp:effectExtent l="0" t="0" r="4445" b="14605"/>
          <wp:docPr id="7" name="图片 7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logo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896995" cy="366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6A0900"/>
    <w:rsid w:val="000E07BA"/>
    <w:rsid w:val="000F15D1"/>
    <w:rsid w:val="00121F61"/>
    <w:rsid w:val="001B7259"/>
    <w:rsid w:val="001E34C0"/>
    <w:rsid w:val="0021120E"/>
    <w:rsid w:val="002548E7"/>
    <w:rsid w:val="003E0FFD"/>
    <w:rsid w:val="005910F5"/>
    <w:rsid w:val="005D26F8"/>
    <w:rsid w:val="006735BF"/>
    <w:rsid w:val="00697038"/>
    <w:rsid w:val="006A0900"/>
    <w:rsid w:val="006B302B"/>
    <w:rsid w:val="006D792A"/>
    <w:rsid w:val="007931CD"/>
    <w:rsid w:val="007D3F98"/>
    <w:rsid w:val="00890029"/>
    <w:rsid w:val="008C7871"/>
    <w:rsid w:val="008F3D57"/>
    <w:rsid w:val="00933732"/>
    <w:rsid w:val="00961575"/>
    <w:rsid w:val="00963B59"/>
    <w:rsid w:val="00981DF4"/>
    <w:rsid w:val="00A63159"/>
    <w:rsid w:val="00AA7B4D"/>
    <w:rsid w:val="00C12EE8"/>
    <w:rsid w:val="00C23AEC"/>
    <w:rsid w:val="00D11A6A"/>
    <w:rsid w:val="00D34BF4"/>
    <w:rsid w:val="00D478F9"/>
    <w:rsid w:val="00DC58A1"/>
    <w:rsid w:val="00EA173D"/>
    <w:rsid w:val="00F413CE"/>
    <w:rsid w:val="00F73E15"/>
    <w:rsid w:val="00F77D08"/>
    <w:rsid w:val="00FB52A6"/>
    <w:rsid w:val="01E3453D"/>
    <w:rsid w:val="045768E7"/>
    <w:rsid w:val="09710F35"/>
    <w:rsid w:val="097A0A0D"/>
    <w:rsid w:val="0A0F142D"/>
    <w:rsid w:val="10DB3DCF"/>
    <w:rsid w:val="126B28D4"/>
    <w:rsid w:val="152C7BDC"/>
    <w:rsid w:val="169645C3"/>
    <w:rsid w:val="1904144E"/>
    <w:rsid w:val="195B18BD"/>
    <w:rsid w:val="1CCB2491"/>
    <w:rsid w:val="1D7329D8"/>
    <w:rsid w:val="1ECF0A0E"/>
    <w:rsid w:val="204A1E0F"/>
    <w:rsid w:val="249568F1"/>
    <w:rsid w:val="28DE17B3"/>
    <w:rsid w:val="2CA434C2"/>
    <w:rsid w:val="2CBA6E83"/>
    <w:rsid w:val="2D111678"/>
    <w:rsid w:val="36F640BD"/>
    <w:rsid w:val="3A492CAA"/>
    <w:rsid w:val="3AC2740B"/>
    <w:rsid w:val="3B135A0E"/>
    <w:rsid w:val="3CF0582E"/>
    <w:rsid w:val="48EF09A8"/>
    <w:rsid w:val="49A80879"/>
    <w:rsid w:val="4D571467"/>
    <w:rsid w:val="507B51AA"/>
    <w:rsid w:val="51E50A2A"/>
    <w:rsid w:val="534959D8"/>
    <w:rsid w:val="5A5E2337"/>
    <w:rsid w:val="5F100333"/>
    <w:rsid w:val="616A0F43"/>
    <w:rsid w:val="68D610DA"/>
    <w:rsid w:val="74FD0A49"/>
    <w:rsid w:val="751D7D77"/>
    <w:rsid w:val="780F40C8"/>
    <w:rsid w:val="7AE43FAA"/>
    <w:rsid w:val="7E25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next w:val="1"/>
    <w:qFormat/>
    <w:uiPriority w:val="1"/>
    <w:pPr>
      <w:numPr>
        <w:ilvl w:val="0"/>
        <w:numId w:val="1"/>
      </w:numPr>
      <w:spacing w:after="160" w:line="259" w:lineRule="auto"/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眉 Char"/>
    <w:basedOn w:val="8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3"/>
    <w:qFormat/>
    <w:uiPriority w:val="99"/>
    <w:rPr>
      <w:sz w:val="18"/>
      <w:szCs w:val="18"/>
    </w:rPr>
  </w:style>
  <w:style w:type="paragraph" w:customStyle="1" w:styleId="11">
    <w:name w:val="Table Paragraph"/>
    <w:basedOn w:val="1"/>
    <w:qFormat/>
    <w:uiPriority w:val="0"/>
    <w:pPr>
      <w:widowControl w:val="0"/>
    </w:pPr>
    <w:rPr>
      <w:rFonts w:ascii="Calibri" w:hAnsi="Calibri"/>
      <w:lang w:eastAsia="en-US"/>
    </w:rPr>
  </w:style>
  <w:style w:type="table" w:customStyle="1" w:styleId="12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1157</Words>
  <Characters>2125</Characters>
  <Lines>4</Lines>
  <Paragraphs>1</Paragraphs>
  <TotalTime>0</TotalTime>
  <ScaleCrop>false</ScaleCrop>
  <LinksUpToDate>false</LinksUpToDate>
  <CharactersWithSpaces>2252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2017-07-31T01:48:00Z</dcterms:created>
  <dc:creator>慧</dc:creator>
  <cp:lastModifiedBy>tassles-L</cp:lastModifiedBy>
  <dcterms:modified xsi:type="dcterms:W3CDTF">2026-05-18T09:09:36Z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7BC86363A4F141CA95D74975BC6233F6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