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20"/>
          <w:lang w:eastAsia="zh-CN"/>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sdt>
      <w:sdtPr>
        <w:rPr>
          <w:rFonts w:ascii="Times New Roman" w:hAnsi="Times New Roman" w:eastAsia="微软雅黑" w:cs="Times New Roman"/>
          <w:sz w:val="21"/>
        </w:rPr>
        <w:id w:val="147475785"/>
        <w:showingPlcHdr/>
        <w15:color w:val="DBDBDB"/>
      </w:sdtPr>
      <w:sdtEndPr>
        <w:rPr>
          <w:rFonts w:ascii="Times New Roman" w:hAnsi="Times New Roman" w:eastAsia="微软雅黑" w:cs="Times New Roman"/>
          <w:sz w:val="21"/>
        </w:rPr>
      </w:sdtEndPr>
      <w:sdtContent>
        <w:p>
          <w:pPr>
            <w:rPr>
              <w:rFonts w:ascii="Times New Roman" w:hAnsi="Times New Roman" w:eastAsia="微软雅黑" w:cs="Times New Roman"/>
            </w:rPr>
          </w:pPr>
          <w:r>
            <w:rPr>
              <w:rFonts w:ascii="Times New Roman" w:hAnsi="Times New Roman" w:eastAsia="微软雅黑" w:cs="Times New Roman"/>
              <w:sz w:val="21"/>
            </w:rPr>
            <w:t xml:space="preserve"> </w:t>
          </w:r>
        </w:p>
      </w:sdtContent>
    </w:sdt>
    <w:p>
      <w:pPr>
        <w:pStyle w:val="4"/>
        <w:jc w:val="center"/>
        <w:rPr>
          <w:rFonts w:ascii="Times New Roman" w:hAnsi="Times New Roman" w:eastAsia="微软雅黑" w:cs="Times New Roman"/>
          <w:sz w:val="48"/>
          <w:szCs w:val="48"/>
          <w:lang w:eastAsia="zh-CN"/>
        </w:rPr>
      </w:pPr>
      <w:bookmarkStart w:id="0" w:name="_Toc26189"/>
      <w:bookmarkStart w:id="1" w:name="_Toc12869"/>
      <w:r>
        <w:rPr>
          <w:rFonts w:ascii="Times New Roman" w:hAnsi="Times New Roman" w:eastAsia="微软雅黑" w:cs="Times New Roman"/>
          <w:sz w:val="48"/>
          <w:szCs w:val="48"/>
          <w:lang w:eastAsia="zh-CN"/>
        </w:rPr>
        <w:t>检测报告</w:t>
      </w:r>
      <w:bookmarkEnd w:id="0"/>
      <w:bookmarkEnd w:id="1"/>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30"/>
          <w:szCs w:val="30"/>
          <w:lang w:eastAsia="zh-CN"/>
        </w:rPr>
      </w:pPr>
    </w:p>
    <w:tbl>
      <w:tblPr>
        <w:tblStyle w:val="16"/>
        <w:tblpPr w:leftFromText="180" w:rightFromText="180" w:vertAnchor="text" w:horzAnchor="page" w:tblpX="2542" w:tblpY="537"/>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Times New Roman" w:hAnsi="Times New Roman" w:eastAsia="微软雅黑" w:cs="Times New Roman"/>
                <w:sz w:val="48"/>
                <w:lang w:eastAsia="zh-CN"/>
              </w:rPr>
            </w:pPr>
            <w:r>
              <w:rPr>
                <w:rFonts w:ascii="Times New Roman" w:hAnsi="Times New Roman" w:eastAsia="微软雅黑" w:cs="Times New Roman"/>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Times New Roman" w:hAnsi="Times New Roman" w:eastAsia="微软雅黑" w:cs="Times New Roman"/>
                <w:sz w:val="30"/>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Times New Roman" w:hAnsi="Times New Roman" w:eastAsia="微软雅黑" w:cs="Times New Roman"/>
                <w:sz w:val="48"/>
                <w:lang w:eastAsia="zh-CN"/>
              </w:rPr>
            </w:pPr>
            <w:r>
              <w:rPr>
                <w:rFonts w:ascii="Times New Roman" w:hAnsi="Times New Roman" w:eastAsia="微软雅黑" w:cs="Times New Roman"/>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eastAsia="微软雅黑" w:cs="Times New Roman"/>
                <w:sz w:val="30"/>
                <w:lang w:eastAsia="zh-CN"/>
              </w:rPr>
            </w:pPr>
            <w:r>
              <w:rPr>
                <w:rFonts w:hint="eastAsia" w:ascii="微软雅黑" w:eastAsia="微软雅黑"/>
                <w:sz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Times New Roman" w:hAnsi="Times New Roman" w:eastAsia="微软雅黑" w:cs="Times New Roman"/>
                <w:sz w:val="48"/>
                <w:lang w:eastAsia="zh-CN"/>
              </w:rPr>
            </w:pPr>
            <w:r>
              <w:rPr>
                <w:rFonts w:ascii="Times New Roman" w:hAnsi="Times New Roman" w:eastAsia="微软雅黑" w:cs="Times New Roman"/>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eastAsia="微软雅黑" w:cs="Times New Roman"/>
                <w:sz w:val="30"/>
                <w:lang w:eastAsia="zh-CN"/>
              </w:rPr>
            </w:pPr>
            <w:r>
              <w:rPr>
                <w:rFonts w:hint="eastAsia" w:ascii="微软雅黑" w:eastAsia="微软雅黑"/>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trPr>
        <w:tc>
          <w:tcPr>
            <w:tcW w:w="2124" w:type="dxa"/>
            <w:tcBorders>
              <w:top w:val="nil"/>
              <w:left w:val="nil"/>
              <w:bottom w:val="nil"/>
              <w:right w:val="nil"/>
            </w:tcBorders>
            <w:vAlign w:val="bottom"/>
          </w:tcPr>
          <w:p>
            <w:pPr>
              <w:pStyle w:val="6"/>
              <w:jc w:val="right"/>
              <w:rPr>
                <w:rFonts w:ascii="Times New Roman" w:hAnsi="Times New Roman" w:eastAsia="微软雅黑" w:cs="Times New Roman"/>
                <w:sz w:val="48"/>
                <w:lang w:eastAsia="zh-CN"/>
              </w:rPr>
            </w:pPr>
            <w:r>
              <w:rPr>
                <w:rFonts w:ascii="Times New Roman" w:hAnsi="Times New Roman" w:eastAsia="微软雅黑" w:cs="Times New Roman"/>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eastAsia="微软雅黑" w:cs="Times New Roman"/>
                <w:sz w:val="30"/>
                <w:lang w:eastAsia="zh-CN"/>
              </w:rPr>
            </w:pPr>
            <w:r>
              <w:rPr>
                <w:rFonts w:hint="eastAsia" w:ascii="微软雅黑" w:eastAsia="微软雅黑"/>
                <w:sz w:val="30"/>
                <w:lang w:eastAsia="zh-CN"/>
              </w:rPr>
              <w:t>{{ reportdate }}</w:t>
            </w:r>
          </w:p>
        </w:tc>
      </w:tr>
    </w:tbl>
    <w:p>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10" w:h="16840"/>
          <w:pgMar w:top="1580" w:right="0" w:bottom="280" w:left="20" w:header="720" w:footer="720" w:gutter="0"/>
          <w:pgBorders>
            <w:top w:val="none" w:sz="0" w:space="0"/>
            <w:left w:val="none" w:sz="0" w:space="0"/>
            <w:bottom w:val="none" w:sz="0" w:space="0"/>
            <w:right w:val="none" w:sz="0" w:space="0"/>
          </w:pgBorders>
          <w:pgNumType w:start="1"/>
          <w:cols w:space="720" w:num="1"/>
        </w:sectPr>
      </w:pPr>
    </w:p>
    <w:p>
      <w:pPr>
        <w:rPr>
          <w:rFonts w:ascii="Times New Roman" w:hAnsi="Times New Roman" w:eastAsia="微软雅黑" w:cs="Times New Roman"/>
          <w:b/>
          <w:color w:val="00B050"/>
          <w:sz w:val="32"/>
          <w:szCs w:val="32"/>
          <w:lang w:eastAsia="zh-CN"/>
        </w:rPr>
      </w:pPr>
    </w:p>
    <w:p>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70528" behindDoc="0" locked="0" layoutInCell="1" allowOverlap="1">
                <wp:simplePos x="0" y="0"/>
                <wp:positionH relativeFrom="column">
                  <wp:posOffset>-790575</wp:posOffset>
                </wp:positionH>
                <wp:positionV relativeFrom="paragraph">
                  <wp:posOffset>301625</wp:posOffset>
                </wp:positionV>
                <wp:extent cx="2209800" cy="485775"/>
                <wp:effectExtent l="0" t="0" r="0" b="190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70528;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pPr>
                        <w:jc w:val="center"/>
                      </w:pPr>
                    </w:p>
                  </w:txbxContent>
                </v:textbox>
              </v:rect>
            </w:pict>
          </mc:Fallback>
        </mc:AlternateContent>
      </w:r>
    </w:p>
    <w:p>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72576"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72576;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71552" behindDoc="0" locked="0" layoutInCell="1" allowOverlap="1">
                <wp:simplePos x="0" y="0"/>
                <wp:positionH relativeFrom="column">
                  <wp:posOffset>1419225</wp:posOffset>
                </wp:positionH>
                <wp:positionV relativeFrom="paragraph">
                  <wp:posOffset>67945</wp:posOffset>
                </wp:positionV>
                <wp:extent cx="1104900" cy="485775"/>
                <wp:effectExtent l="0" t="0" r="7620" b="190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00B050"/>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71552;mso-width-relative:page;mso-height-relative:page;" fillcolor="#00B050" filled="t" stroked="f" coordsize="21600,21600" o:gfxdata="UEsDBAoAAAAAAIdO4kAAAAAAAAAAAAAAAAAEAAAAZHJzL1BLAwQUAAAACACHTuJAsxKeldgAAAAJ&#10;AQAADwAAAGRycy9kb3ducmV2LnhtbE2PwU7DMAyG70i8Q2QkLmhL2gm6laY7IHHhMNhg96wxbUXj&#10;lCbdyp4ecxpH+//0+3OxnlwnjjiE1pOGZK5AIFXetlRr+Hh/ni1BhGjIms4TavjBAOvy+qowufUn&#10;2uJxF2vBJRRyo6GJsc+lDFWDzoS575E4+/SDM5HHoZZ2MCcud51MlXqQzrTEFxrT41OD1ddudBpc&#10;/F7F9q06v543yX7cvtxNGzNqfXuTqEcQEad4geFPn9WhZKeDH8kG0WlI08U9oxyoDAQDi1XGi4OG&#10;ZZaCLAv5/4PyF1BLAwQUAAAACACHTuJA/J5+nxkCAAA1BAAADgAAAGRycy9lMm9Eb2MueG1srVPB&#10;btswDL0P2D8Iui+2g6RpjThFl6DDgG4r1u0DZFmOhcmiRilxsq8fJadZ1l162MUQRfLpvUd6eXvo&#10;Ddsr9BpsxYtJzpmyEhpttxX//u3+3TVnPgjbCANWVfyoPL9dvX2zHFypptCBaRQyArG+HFzFuxBc&#10;mWVedqoXfgJOWUq2gL0IFOI2a1AMhN6bbJrnV9kA2DgEqbyn282Y5CdEfA0gtK2WagNy1ysbRlRU&#10;RgSS5DvtPF8ltm2rZPjStl4FZipOSkP60iN0ruM3Wy1FuUXhOi1PFMRrKLzQ1Att6dEz1EYEwXao&#10;/4HqtUTw0IaJhD4bhSRHSEWRv/DmqRNOJS1ktXdn0/3/g5Wf94/IdFPxKVliRU8T/0quCbs1il1F&#10;fwbnSyp7co8YFXr3APKHZxbWHVWpO0QYOiUaYlXE+uyvhhh4amX18AkaQhe7AMmqQ4t9BCQT2CFN&#10;5HieiDoEJumyKPLZTU7MJOVm1/PFYp6eEOVzt0MfPijoWTxUHIl7Qhf7Bx8iG1E+lyT2YHRzr41J&#10;AW7rtUG2F3E78vf5PC0EtfjLMmNjsYXYNiLGmyQzKhsdCof6cDKrhuZIghHGbaN/jQ4d4C/OBtq0&#10;ivufO4GKM/PRkmk3xWwWVzMFs/kiDgIvM/VlRlhJUBUPnI3HdRjXeedQbzt6qUj6LdyR0a1OHsQh&#10;jKxOvGmbkjWnzY/rehmnqj9/++o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xKeldgAAAAJAQAA&#10;DwAAAAAAAAABACAAAAAiAAAAZHJzL2Rvd25yZXYueG1sUEsBAhQAFAAAAAgAh07iQPyefp8ZAgAA&#10;NQQAAA4AAAAAAAAAAQAgAAAAJwEAAGRycy9lMm9Eb2MueG1sUEsFBgAAAAAGAAYAWQEAALIFAAAA&#10;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73600"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73600;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pPr>
        <w:pStyle w:val="12"/>
        <w:tabs>
          <w:tab w:val="right" w:leader="dot" w:pos="9870"/>
        </w:tabs>
        <w:spacing w:line="360" w:lineRule="auto"/>
        <w:ind w:left="440"/>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pStyle w:val="11"/>
        <w:tabs>
          <w:tab w:val="right" w:leader="dot" w:pos="9870"/>
        </w:tabs>
        <w:spacing w:line="360" w:lineRule="auto"/>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instrText xml:space="preserve"> HYPERLINK \l _Toc26514 </w:instrTex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样本信息</w: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ab/>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instrText xml:space="preserve"> PAGEREF _Toc26514 </w:instrTex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1</w: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p>
    <w:p>
      <w:pPr>
        <w:pStyle w:val="11"/>
        <w:tabs>
          <w:tab w:val="right" w:leader="dot" w:pos="9870"/>
        </w:tabs>
        <w:spacing w:line="360" w:lineRule="auto"/>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pP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instrText xml:space="preserve"> HYPERLINK \l _Toc26019 </w:instrTex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检测项目</w: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ab/>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instrText xml:space="preserve"> PAGEREF _Toc26019 </w:instrTex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2</w: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p>
    <w:p>
      <w:pPr>
        <w:pStyle w:val="11"/>
        <w:tabs>
          <w:tab w:val="right" w:leader="dot" w:pos="9870"/>
        </w:tabs>
        <w:spacing w:line="360" w:lineRule="auto"/>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pP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instrText xml:space="preserve"> HYPERLINK \l _Toc30259 </w:instrTex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检测结果小结</w: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ab/>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instrText xml:space="preserve"> PAGEREF _Toc30259 </w:instrTex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2</w: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p>
    <w:p>
      <w:pPr>
        <w:pStyle w:val="11"/>
        <w:tabs>
          <w:tab w:val="right" w:leader="dot" w:pos="9870"/>
        </w:tabs>
        <w:spacing w:line="360" w:lineRule="auto"/>
      </w:pP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instrText xml:space="preserve"> HYPERLINK \l _Toc6638 </w:instrTex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检测结果及用药提示</w: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ab/>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instrText xml:space="preserve"> PAGEREF _Toc6638 </w:instrTex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t>4</w:t>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r>
        <w:rPr>
          <w:rStyle w:val="18"/>
          <w:rFonts w:ascii="Times New Roman" w:hAnsi="Times New Roman" w:eastAsia="微软雅黑" w:cs="Times New Roman"/>
          <w:color w:val="FFFFFF" w:themeColor="background1"/>
          <w:sz w:val="28"/>
          <w:szCs w:val="28"/>
          <w:shd w:val="clear" w:color="auto" w:fill="00B050"/>
          <w:lang w:eastAsia="zh-CN"/>
          <w14:textFill>
            <w14:solidFill>
              <w14:schemeClr w14:val="bg1"/>
            </w14:solidFill>
          </w14:textFill>
        </w:rPr>
        <w:fldChar w:fldCharType="end"/>
      </w:r>
    </w:p>
    <w:p>
      <w:pPr>
        <w:pStyle w:val="12"/>
        <w:tabs>
          <w:tab w:val="right" w:leader="dot" w:pos="9870"/>
        </w:tabs>
        <w:spacing w:line="360" w:lineRule="auto"/>
        <w:ind w:left="440"/>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_Toc3436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靶向药物用药提示</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_Toc3436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p>
    <w:p>
      <w:pPr>
        <w:pStyle w:val="12"/>
        <w:tabs>
          <w:tab w:val="right" w:leader="dot" w:pos="9870"/>
        </w:tabs>
        <w:spacing w:line="360" w:lineRule="auto"/>
        <w:ind w:left="440"/>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_Toc14868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肿瘤遗传风险检测</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_Toc14868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7</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p>
    <w:p>
      <w:pPr>
        <w:pStyle w:val="11"/>
        <w:keepNext w:val="0"/>
        <w:keepLines w:val="0"/>
        <w:pageBreakBefore w:val="0"/>
        <w:widowControl w:val="0"/>
        <w:tabs>
          <w:tab w:val="right" w:leader="dot" w:pos="9870"/>
        </w:tabs>
        <w:kinsoku/>
        <w:wordWrap/>
        <w:overflowPunct/>
        <w:topLinePunct w:val="0"/>
        <w:autoSpaceDE/>
        <w:autoSpaceDN/>
        <w:bidi w:val="0"/>
        <w:adjustRightInd/>
        <w:snapToGrid/>
        <w:spacing w:line="360" w:lineRule="auto"/>
        <w:textAlignment w:val="auto"/>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HYPERLINK \l _Toc29988 </w:instrText>
      </w:r>
      <w:r>
        <w:rPr>
          <w:rFonts w:ascii="Times New Roman" w:hAnsi="Times New Roman" w:eastAsia="微软雅黑" w:cs="Times New Roman"/>
          <w:lang w:eastAsia="zh-CN"/>
        </w:rPr>
        <w:fldChar w:fldCharType="separate"/>
      </w:r>
      <w:r>
        <w:rPr>
          <w:rStyle w:val="18"/>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t>基因检测结果解析</w:t>
      </w:r>
      <w:r>
        <w:rPr>
          <w:rStyle w:val="18"/>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tab/>
      </w:r>
      <w:r>
        <w:rPr>
          <w:rStyle w:val="18"/>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instrText xml:space="preserve"> PAGEREF _Toc29988 </w:instrText>
      </w:r>
      <w:r>
        <w:rPr>
          <w:rStyle w:val="18"/>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t>8</w:t>
      </w:r>
      <w:r>
        <w:rPr>
          <w:rStyle w:val="18"/>
          <w:rFonts w:ascii="Times New Roman" w:hAnsi="Times New Roman" w:eastAsia="微软雅黑" w:cs="Times New Roman"/>
          <w:color w:val="FFFFFF" w:themeColor="background1"/>
          <w:sz w:val="28"/>
          <w:szCs w:val="28"/>
          <w:u w:val="none"/>
          <w:shd w:val="clear" w:color="auto" w:fill="45A3A7"/>
          <w:lang w:eastAsia="zh-CN"/>
          <w14:textFill>
            <w14:solidFill>
              <w14:schemeClr w14:val="bg1"/>
            </w14:solidFill>
          </w14:textFill>
        </w:rPr>
        <w:fldChar w:fldCharType="end"/>
      </w:r>
      <w:r>
        <w:rPr>
          <w:rFonts w:ascii="Times New Roman" w:hAnsi="Times New Roman" w:eastAsia="微软雅黑" w:cs="Times New Roman"/>
          <w:lang w:eastAsia="zh-CN"/>
        </w:rPr>
        <w:fldChar w:fldCharType="end"/>
      </w:r>
      <w:r>
        <w:rPr>
          <w:rFonts w:hint="eastAsia" w:ascii="Times New Roman" w:hAnsi="Times New Roman" w:eastAsia="微软雅黑" w:cs="Times New Roman"/>
          <w:sz w:val="24"/>
          <w:szCs w:val="24"/>
          <w:lang w:eastAsia="zh-CN"/>
        </w:rPr>
        <w:t>{% if drugAnalysisIndex == 'true' %}</w:t>
      </w:r>
    </w:p>
    <w:p>
      <w:pPr>
        <w:pStyle w:val="12"/>
        <w:tabs>
          <w:tab w:val="right" w:leader="dot" w:pos="9870"/>
        </w:tabs>
        <w:spacing w:line="360" w:lineRule="auto"/>
        <w:ind w:left="440"/>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_Toc15758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靶向药物检测解析</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_Toc15758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8</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 if crAnalysisIndex == 'true' %}</w:t>
      </w:r>
    </w:p>
    <w:p>
      <w:pPr>
        <w:pStyle w:val="12"/>
        <w:tabs>
          <w:tab w:val="right" w:leader="dot" w:pos="9870"/>
        </w:tabs>
        <w:spacing w:line="360" w:lineRule="auto"/>
        <w:ind w:left="440"/>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_Toc370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遗传风险检测结果解析</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_Toc370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11</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r>
        <w:rPr>
          <w:rFonts w:hint="eastAsia" w:ascii="Times New Roman" w:hAnsi="Times New Roman" w:eastAsia="微软雅黑" w:cs="Times New Roman"/>
          <w:sz w:val="24"/>
          <w:szCs w:val="24"/>
          <w:lang w:eastAsia="zh-CN"/>
        </w:rPr>
        <w:t>{% endif %}</w:t>
      </w:r>
    </w:p>
    <w:p>
      <w:pPr>
        <w:pStyle w:val="11"/>
        <w:keepNext w:val="0"/>
        <w:keepLines w:val="0"/>
        <w:pageBreakBefore w:val="0"/>
        <w:widowControl w:val="0"/>
        <w:tabs>
          <w:tab w:val="right" w:leader="dot" w:pos="9870"/>
        </w:tabs>
        <w:kinsoku/>
        <w:wordWrap/>
        <w:overflowPunct/>
        <w:topLinePunct w:val="0"/>
        <w:autoSpaceDE/>
        <w:autoSpaceDN/>
        <w:bidi w:val="0"/>
        <w:adjustRightInd/>
        <w:snapToGrid/>
        <w:spacing w:line="360" w:lineRule="auto"/>
        <w:textAlignment w:val="auto"/>
      </w:pP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instrText xml:space="preserve"> HYPERLINK \l _Toc143 </w:instrText>
      </w: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t>附录</w:t>
      </w: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tab/>
      </w: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instrText xml:space="preserve"> PAGEREF _Toc143 </w:instrText>
      </w: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fldChar w:fldCharType="separate"/>
      </w: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t>12</w:t>
      </w: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fldChar w:fldCharType="end"/>
      </w:r>
      <w:r>
        <w:rPr>
          <w:rStyle w:val="18"/>
          <w:rFonts w:ascii="Times New Roman" w:hAnsi="Times New Roman" w:eastAsia="微软雅黑" w:cs="Times New Roman"/>
          <w:color w:val="FFFFFF" w:themeColor="background1"/>
          <w:sz w:val="28"/>
          <w:szCs w:val="28"/>
          <w:u w:val="none"/>
          <w:shd w:val="clear" w:color="auto" w:fill="416AAB"/>
          <w:lang w:eastAsia="zh-CN"/>
          <w14:textFill>
            <w14:solidFill>
              <w14:schemeClr w14:val="bg1"/>
            </w14:solidFill>
          </w14:textFill>
        </w:rPr>
        <w:fldChar w:fldCharType="end"/>
      </w:r>
    </w:p>
    <w:p>
      <w:pPr>
        <w:pStyle w:val="12"/>
        <w:tabs>
          <w:tab w:val="right" w:leader="dot" w:pos="9870"/>
        </w:tabs>
        <w:spacing w:line="360" w:lineRule="auto"/>
        <w:ind w:left="440"/>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_Toc31824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样本控制情况</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_Toc31824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12</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p>
    <w:p>
      <w:pPr>
        <w:pStyle w:val="12"/>
        <w:tabs>
          <w:tab w:val="right" w:leader="dot" w:pos="9870"/>
        </w:tabs>
        <w:spacing w:line="360" w:lineRule="auto"/>
        <w:ind w:left="440"/>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_Toc20848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BRCA1&amp;BRCA2基因背景介绍</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_Toc20848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13</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p>
    <w:p>
      <w:pPr>
        <w:pStyle w:val="12"/>
        <w:tabs>
          <w:tab w:val="right" w:leader="dot" w:pos="9870"/>
        </w:tabs>
        <w:spacing w:line="360" w:lineRule="auto"/>
        <w:ind w:left="440"/>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_Toc7635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HRR及其它相关基因说明</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_Toc7635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15</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p>
    <w:p>
      <w:pPr>
        <w:pStyle w:val="12"/>
        <w:tabs>
          <w:tab w:val="right" w:leader="dot" w:pos="9870"/>
        </w:tabs>
        <w:spacing w:line="360" w:lineRule="auto"/>
        <w:ind w:left="440"/>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_Toc9876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易感人群特征</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_Toc9876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19</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p>
    <w:p>
      <w:pPr>
        <w:pStyle w:val="12"/>
        <w:tabs>
          <w:tab w:val="right" w:leader="dot" w:pos="9870"/>
        </w:tabs>
        <w:spacing w:line="360" w:lineRule="auto"/>
        <w:ind w:left="440"/>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_Toc5356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检测基因列表</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_Toc5356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21</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p>
    <w:p>
      <w:pPr>
        <w:pStyle w:val="12"/>
        <w:tabs>
          <w:tab w:val="right" w:leader="dot" w:pos="9870"/>
        </w:tabs>
        <w:spacing w:line="360" w:lineRule="auto"/>
        <w:ind w:left="440"/>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_Toc22045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检测流程</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_Toc22045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22</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p>
    <w:p>
      <w:pPr>
        <w:pStyle w:val="12"/>
        <w:tabs>
          <w:tab w:val="right" w:leader="dot" w:pos="9870"/>
        </w:tabs>
        <w:spacing w:line="360" w:lineRule="auto"/>
        <w:ind w:left="440"/>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HYPERLINK \l _Toc11307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参考文献</w:t>
      </w:r>
      <w:r>
        <w:rPr>
          <w:rFonts w:ascii="Times New Roman" w:hAnsi="Times New Roman" w:eastAsia="微软雅黑" w:cs="Times New Roman"/>
          <w:sz w:val="24"/>
          <w:szCs w:val="24"/>
          <w:lang w:eastAsia="zh-CN"/>
        </w:rPr>
        <w:tab/>
      </w: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 PAGEREF _Toc11307 </w:instrText>
      </w:r>
      <w:r>
        <w:rPr>
          <w:rFonts w:ascii="Times New Roman" w:hAnsi="Times New Roman" w:eastAsia="微软雅黑" w:cs="Times New Roman"/>
          <w:sz w:val="24"/>
          <w:szCs w:val="24"/>
          <w:lang w:eastAsia="zh-CN"/>
        </w:rPr>
        <w:fldChar w:fldCharType="separate"/>
      </w:r>
      <w:r>
        <w:rPr>
          <w:rFonts w:ascii="Times New Roman" w:hAnsi="Times New Roman" w:eastAsia="微软雅黑" w:cs="Times New Roman"/>
          <w:sz w:val="24"/>
          <w:szCs w:val="24"/>
          <w:lang w:eastAsia="zh-CN"/>
        </w:rPr>
        <w:t>23</w:t>
      </w:r>
      <w:r>
        <w:rPr>
          <w:rFonts w:ascii="Times New Roman" w:hAnsi="Times New Roman" w:eastAsia="微软雅黑" w:cs="Times New Roman"/>
          <w:sz w:val="24"/>
          <w:szCs w:val="24"/>
          <w:lang w:eastAsia="zh-CN"/>
        </w:rPr>
        <w:fldChar w:fldCharType="end"/>
      </w:r>
      <w:r>
        <w:rPr>
          <w:rFonts w:ascii="Times New Roman" w:hAnsi="Times New Roman" w:eastAsia="微软雅黑" w:cs="Times New Roman"/>
          <w:sz w:val="24"/>
          <w:szCs w:val="24"/>
          <w:lang w:eastAsia="zh-CN"/>
        </w:rPr>
        <w:fldChar w:fldCharType="end"/>
      </w: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pPr>
        <w:pStyle w:val="2"/>
        <w:rPr>
          <w:rFonts w:cs="Times New Roman"/>
        </w:rPr>
      </w:pPr>
      <w:bookmarkStart w:id="2" w:name="_Toc26514"/>
      <w:bookmarkStart w:id="3" w:name="_Toc21009_WPSOffice_Level1"/>
      <w:bookmarkStart w:id="4" w:name="_Toc13806"/>
      <w:bookmarkStart w:id="5" w:name="_Toc30143_WPSOffice_Level1"/>
      <w:bookmarkStart w:id="6" w:name="_Toc24178_WPSOffice_Level1"/>
      <w:bookmarkStart w:id="7" w:name="_Toc21669"/>
      <w:r>
        <w:rPr>
          <w:rFonts w:cs="Times New Roman"/>
        </w:rPr>
        <w:t>样本信息</w:t>
      </w:r>
      <w:bookmarkEnd w:id="2"/>
      <w:bookmarkEnd w:id="3"/>
      <w:bookmarkEnd w:id="4"/>
      <w:bookmarkEnd w:id="5"/>
      <w:bookmarkEnd w:id="6"/>
      <w:bookmarkEnd w:id="7"/>
    </w:p>
    <w:p>
      <w:pPr>
        <w:pStyle w:val="6"/>
        <w:rPr>
          <w:rFonts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shd w:val="clear" w:color="auto" w:fill="F2F2F2"/>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shd w:val="clear" w:color="auto" w:fill="F2F2F2"/>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shd w:val="clear" w:color="auto" w:fill="F2F2F2"/>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sample_type }}</w:t>
            </w:r>
          </w:p>
        </w:tc>
        <w:tc>
          <w:tcPr>
            <w:tcW w:w="3316"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 xml:space="preserve">临床诊断： </w:t>
            </w:r>
            <w:r>
              <w:rPr>
                <w:rFonts w:hint="eastAsia" w:ascii="Times New Roman" w:hAnsi="Times New Roman" w:eastAsia="微软雅黑" w:cs="Times New Roman"/>
                <w:bCs/>
                <w:color w:val="000000"/>
                <w:sz w:val="21"/>
                <w:szCs w:val="21"/>
                <w:lang w:eastAsia="zh-CN"/>
              </w:rPr>
              <w:t>{{ diseaseName }}</w:t>
            </w:r>
          </w:p>
        </w:tc>
        <w:tc>
          <w:tcPr>
            <w:tcW w:w="3323" w:type="dxa"/>
            <w:shd w:val="clear" w:color="auto" w:fill="F2F2F2"/>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lang w:eastAsia="zh-CN"/>
        </w:rPr>
      </w:pPr>
    </w:p>
    <w:p>
      <w:pPr>
        <w:ind w:firstLine="280" w:firstLineChars="100"/>
        <w:rPr>
          <w:rFonts w:ascii="Times New Roman" w:hAnsi="Times New Roman" w:eastAsia="微软雅黑" w:cs="Times New Roman"/>
          <w:b/>
          <w:color w:val="00B050"/>
          <w:sz w:val="28"/>
          <w:szCs w:val="28"/>
          <w:lang w:eastAsia="zh-CN"/>
        </w:rPr>
      </w:pPr>
    </w:p>
    <w:p>
      <w:pPr>
        <w:pStyle w:val="2"/>
        <w:rPr>
          <w:rFonts w:cs="Times New Roman"/>
        </w:rPr>
      </w:pPr>
      <w:bookmarkStart w:id="8" w:name="_Toc11015_WPSOffice_Level1"/>
      <w:bookmarkStart w:id="9" w:name="_Toc17451"/>
      <w:bookmarkStart w:id="10" w:name="_Toc18062_WPSOffice_Level1"/>
      <w:bookmarkStart w:id="11" w:name="_Toc26019"/>
      <w:bookmarkStart w:id="12" w:name="_Toc7021_WPSOffice_Level1"/>
      <w:bookmarkStart w:id="13" w:name="_Toc3823"/>
      <w:r>
        <w:rPr>
          <w:rFonts w:cs="Times New Roman"/>
        </w:rPr>
        <w:t>检测项目</w:t>
      </w:r>
      <w:bookmarkEnd w:id="8"/>
      <w:bookmarkEnd w:id="9"/>
      <w:bookmarkEnd w:id="10"/>
      <w:bookmarkEnd w:id="11"/>
      <w:bookmarkEnd w:id="12"/>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w:t>
      </w:r>
      <w:r>
        <w:rPr>
          <w:rFonts w:hint="eastAsia" w:ascii="Times New Roman" w:hAnsi="Times New Roman" w:eastAsia="微软雅黑" w:cs="Times New Roman"/>
          <w:bCs/>
          <w:sz w:val="21"/>
          <w:szCs w:val="21"/>
          <w:lang w:eastAsia="zh-CN"/>
        </w:rPr>
        <w:t>其中2</w:t>
      </w:r>
      <w:r>
        <w:rPr>
          <w:rFonts w:ascii="Times New Roman" w:hAnsi="Times New Roman" w:eastAsia="微软雅黑" w:cs="Times New Roman"/>
          <w:bCs/>
          <w:sz w:val="21"/>
          <w:szCs w:val="21"/>
          <w:lang w:eastAsia="zh-CN"/>
        </w:rPr>
        <w:t>4</w:t>
      </w:r>
      <w:r>
        <w:rPr>
          <w:rFonts w:hint="eastAsia" w:ascii="Times New Roman" w:hAnsi="Times New Roman" w:eastAsia="微软雅黑" w:cs="Times New Roman"/>
          <w:bCs/>
          <w:sz w:val="21"/>
          <w:szCs w:val="21"/>
          <w:lang w:eastAsia="zh-CN"/>
        </w:rPr>
        <w:t>个基因与靶向用药相关，2</w:t>
      </w:r>
      <w:r>
        <w:rPr>
          <w:rFonts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eastAsia="zh-CN"/>
        </w:rPr>
        <w:t>个基因与遗传风险相关，</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乳腺癌、卵巢癌、宫颈癌、子宫内膜癌、前列腺癌及胰腺癌等有遗传风险的癌种。检测突变形式为点突变（SNV）、小片段插入缺失（INDEL）、拷贝数变异（CNV）以及融合（FUSION）。</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pPr>
        <w:spacing w:line="276" w:lineRule="auto"/>
        <w:ind w:firstLine="420" w:firstLineChars="200"/>
        <w:jc w:val="both"/>
        <w:rPr>
          <w:rFonts w:ascii="Times New Roman" w:hAnsi="Times New Roman" w:eastAsia="微软雅黑" w:cs="Times New Roman"/>
          <w:bCs/>
          <w:sz w:val="21"/>
          <w:szCs w:val="21"/>
          <w:lang w:eastAsia="zh-CN"/>
        </w:rPr>
      </w:pPr>
    </w:p>
    <w:p>
      <w:pPr>
        <w:spacing w:line="276" w:lineRule="auto"/>
        <w:ind w:firstLine="560" w:firstLineChars="200"/>
        <w:jc w:val="both"/>
        <w:rPr>
          <w:rFonts w:ascii="Times New Roman" w:hAnsi="Times New Roman" w:eastAsia="微软雅黑" w:cs="Times New Roman"/>
          <w:b/>
          <w:color w:val="00B050"/>
          <w:sz w:val="28"/>
          <w:szCs w:val="28"/>
          <w:lang w:eastAsia="zh-CN"/>
        </w:rPr>
      </w:pPr>
    </w:p>
    <w:p>
      <w:pPr>
        <w:ind w:firstLine="280" w:firstLineChars="100"/>
        <w:rPr>
          <w:rFonts w:ascii="Times New Roman" w:hAnsi="Times New Roman" w:eastAsia="微软雅黑" w:cs="Times New Roman"/>
          <w:b/>
          <w:color w:val="00B050"/>
          <w:sz w:val="28"/>
          <w:szCs w:val="28"/>
          <w:lang w:eastAsia="zh-CN"/>
        </w:rPr>
      </w:pPr>
    </w:p>
    <w:p>
      <w:pPr>
        <w:ind w:firstLine="280" w:firstLineChars="100"/>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rPr>
          <w:rFonts w:cs="Times New Roman"/>
        </w:rPr>
      </w:pPr>
      <w:bookmarkStart w:id="14" w:name="_Toc6221_WPSOffice_Level1"/>
      <w:bookmarkStart w:id="15" w:name="_Toc25920"/>
      <w:bookmarkStart w:id="16" w:name="_Toc30259"/>
      <w:bookmarkStart w:id="17" w:name="_Toc23369_WPSOffice_Level1"/>
      <w:bookmarkStart w:id="18" w:name="_Toc18058"/>
      <w:bookmarkStart w:id="19" w:name="_Toc534807930"/>
      <w:r>
        <w:rPr>
          <w:rFonts w:cs="Times New Roman"/>
        </w:rPr>
        <w:t>检测结果小结</w:t>
      </w:r>
      <w:bookmarkEnd w:id="14"/>
      <w:bookmarkEnd w:id="15"/>
      <w:bookmarkEnd w:id="16"/>
      <w:bookmarkEnd w:id="17"/>
      <w:bookmarkEnd w:id="18"/>
    </w:p>
    <w:tbl>
      <w:tblPr>
        <w:tblStyle w:val="15"/>
        <w:tblpPr w:leftFromText="180" w:rightFromText="180" w:vertAnchor="text" w:horzAnchor="page" w:tblpX="1246" w:tblpY="213"/>
        <w:tblOverlap w:val="never"/>
        <w:tblW w:w="9558" w:type="dxa"/>
        <w:tblInd w:w="0" w:type="dxa"/>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trPr>
        <w:tc>
          <w:tcPr>
            <w:tcW w:w="3645" w:type="dxa"/>
            <w:tcBorders>
              <w:left w:val="nil"/>
              <w:bottom w:val="single" w:color="00AF50" w:sz="4" w:space="0"/>
              <w:right w:val="single" w:color="00AF50" w:sz="4" w:space="0"/>
            </w:tcBorders>
            <w:vAlign w:val="center"/>
          </w:tcPr>
          <w:p>
            <w:pPr>
              <w:jc w:val="center"/>
              <w:rPr>
                <w:rFonts w:ascii="Times New Roman" w:hAnsi="Times New Roman" w:eastAsia="微软雅黑" w:cs="Times New Roman"/>
                <w:b/>
                <w:sz w:val="21"/>
              </w:rPr>
            </w:pPr>
            <w:r>
              <w:rPr>
                <w:rFonts w:ascii="Times New Roman" w:hAnsi="Times New Roman" w:eastAsia="微软雅黑" w:cs="Times New Roman"/>
                <w:b/>
                <w:bCs/>
                <w:color w:val="00B050"/>
                <w:sz w:val="28"/>
                <w:szCs w:val="36"/>
                <w:lang w:eastAsia="zh-CN"/>
              </w:rPr>
              <w:br w:type="page"/>
            </w:r>
            <w:r>
              <w:rPr>
                <w:rFonts w:ascii="Times New Roman" w:hAnsi="Times New Roman" w:eastAsia="微软雅黑" w:cs="Times New Roman"/>
                <w:b/>
                <w:sz w:val="21"/>
              </w:rPr>
              <w:t>检测类型</w:t>
            </w:r>
          </w:p>
        </w:tc>
        <w:tc>
          <w:tcPr>
            <w:tcW w:w="5913" w:type="dxa"/>
            <w:tcBorders>
              <w:left w:val="single" w:color="00AF50" w:sz="4" w:space="0"/>
              <w:bottom w:val="single" w:color="00AF50" w:sz="4" w:space="0"/>
              <w:right w:val="nil"/>
            </w:tcBorders>
            <w:vAlign w:val="center"/>
          </w:tcPr>
          <w:p>
            <w:pPr>
              <w:jc w:val="center"/>
              <w:rPr>
                <w:rFonts w:ascii="Times New Roman" w:hAnsi="Times New Roman" w:eastAsia="微软雅黑" w:cs="Times New Roman"/>
                <w:b/>
              </w:rPr>
            </w:pPr>
            <w:r>
              <w:rPr>
                <w:rFonts w:ascii="Times New Roman" w:hAnsi="Times New Roman" w:eastAsia="微软雅黑" w:cs="Times New Roman"/>
                <w:b/>
                <w:sz w:val="21"/>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754" w:hRule="atLeast"/>
        </w:trPr>
        <w:tc>
          <w:tcPr>
            <w:tcW w:w="3645" w:type="dxa"/>
            <w:tcBorders>
              <w:top w:val="single" w:color="00AF50" w:sz="4" w:space="0"/>
              <w:left w:val="nil"/>
              <w:bottom w:val="single" w:color="00AF50" w:sz="4" w:space="0"/>
              <w:right w:val="single" w:color="00AF50" w:sz="4" w:space="0"/>
            </w:tcBorders>
            <w:shd w:val="clear" w:color="auto" w:fill="F1F1F1"/>
          </w:tcPr>
          <w:p>
            <w:pPr>
              <w:pStyle w:val="20"/>
              <w:spacing w:before="190"/>
              <w:ind w:left="119"/>
              <w:rPr>
                <w:rFonts w:ascii="Times New Roman" w:hAnsi="Times New Roman" w:eastAsia="微软雅黑" w:cs="Times New Roman"/>
                <w:sz w:val="21"/>
              </w:rPr>
            </w:pPr>
            <w:r>
              <w:rPr>
                <w:rFonts w:ascii="Times New Roman" w:hAnsi="Times New Roman" w:eastAsia="微软雅黑" w:cs="Times New Roman"/>
                <w:sz w:val="21"/>
              </w:rPr>
              <w:t>靶向用药指导</w:t>
            </w:r>
          </w:p>
        </w:tc>
        <w:tc>
          <w:tcPr>
            <w:tcW w:w="5913" w:type="dxa"/>
            <w:tcBorders>
              <w:top w:val="single" w:color="00AF50" w:sz="4" w:space="0"/>
              <w:left w:val="single" w:color="00AF50" w:sz="4" w:space="0"/>
              <w:bottom w:val="single" w:color="00AF50" w:sz="4" w:space="0"/>
              <w:right w:val="nil"/>
            </w:tcBorders>
            <w:shd w:val="clear" w:color="auto" w:fill="F1F1F1"/>
          </w:tcPr>
          <w:p>
            <w:pPr>
              <w:pStyle w:val="20"/>
              <w:spacing w:before="100" w:line="187" w:lineRule="auto"/>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summaryOfRresults.thisGeneticmarkerVwListSize }}</w:t>
            </w:r>
            <w:r>
              <w:rPr>
                <w:rFonts w:ascii="Times New Roman" w:hAnsi="Times New Roman" w:eastAsia="微软雅黑" w:cs="Times New Roman"/>
                <w:sz w:val="21"/>
                <w:szCs w:val="21"/>
                <w:highlight w:val="none"/>
                <w:lang w:eastAsia="zh-CN"/>
              </w:rPr>
              <w:t>个体细胞突变，其中</w:t>
            </w:r>
            <w:r>
              <w:rPr>
                <w:rFonts w:hint="eastAsia" w:ascii="Times New Roman" w:hAnsi="Times New Roman" w:eastAsia="微软雅黑" w:cs="黑体"/>
                <w:sz w:val="21"/>
                <w:highlight w:val="none"/>
                <w:lang w:eastAsia="zh-CN"/>
              </w:rPr>
              <w:t>{{ summaryOfRresults.somaticCellMedicationNum}}</w:t>
            </w:r>
            <w:r>
              <w:rPr>
                <w:rFonts w:ascii="Times New Roman" w:hAnsi="Times New Roman" w:eastAsia="微软雅黑" w:cs="Times New Roman"/>
                <w:sz w:val="21"/>
                <w:szCs w:val="21"/>
                <w:highlight w:val="none"/>
                <w:lang w:eastAsia="zh-CN"/>
              </w:rPr>
              <w:t>个与靶向药物相关；</w:t>
            </w:r>
          </w:p>
          <w:p>
            <w:pPr>
              <w:pStyle w:val="20"/>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summaryOfRresults.crAllListSize }}</w:t>
            </w:r>
            <w:r>
              <w:rPr>
                <w:rFonts w:ascii="Times New Roman" w:hAnsi="Times New Roman" w:eastAsia="微软雅黑" w:cs="Times New Roman"/>
                <w:sz w:val="21"/>
                <w:szCs w:val="21"/>
                <w:highlight w:val="none"/>
                <w:lang w:eastAsia="zh-CN"/>
              </w:rPr>
              <w:t>个胚系突变，其中</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trPr>
        <w:tc>
          <w:tcPr>
            <w:tcW w:w="3645" w:type="dxa"/>
            <w:tcBorders>
              <w:top w:val="single" w:color="00AF50" w:sz="4" w:space="0"/>
              <w:left w:val="nil"/>
              <w:bottom w:val="single" w:color="00AF50" w:sz="4" w:space="0"/>
              <w:right w:val="single" w:color="00AF50" w:sz="4" w:space="0"/>
            </w:tcBorders>
            <w:shd w:val="clear" w:color="auto" w:fill="F1F1F1"/>
          </w:tcPr>
          <w:p>
            <w:pPr>
              <w:pStyle w:val="20"/>
              <w:spacing w:before="77"/>
              <w:ind w:left="119"/>
              <w:rPr>
                <w:rFonts w:ascii="Times New Roman" w:hAnsi="Times New Roman" w:eastAsia="微软雅黑" w:cs="Times New Roman"/>
                <w:sz w:val="21"/>
              </w:rPr>
            </w:pPr>
            <w:r>
              <w:rPr>
                <w:rFonts w:ascii="Times New Roman" w:hAnsi="Times New Roman" w:eastAsia="微软雅黑" w:cs="Times New Roman"/>
                <w:sz w:val="21"/>
              </w:rPr>
              <w:t>肿瘤遗传风险提示</w:t>
            </w:r>
          </w:p>
        </w:tc>
        <w:tc>
          <w:tcPr>
            <w:tcW w:w="5913" w:type="dxa"/>
            <w:tcBorders>
              <w:top w:val="single" w:color="00AF50" w:sz="4" w:space="0"/>
              <w:left w:val="single" w:color="00AF50" w:sz="4" w:space="0"/>
              <w:bottom w:val="single" w:color="00AF50" w:sz="4" w:space="0"/>
              <w:right w:val="nil"/>
            </w:tcBorders>
            <w:shd w:val="clear" w:color="auto" w:fill="F1F1F1"/>
          </w:tcPr>
          <w:p>
            <w:pPr>
              <w:pStyle w:val="20"/>
              <w:spacing w:before="77"/>
              <w:ind w:left="118"/>
              <w:rPr>
                <w:rFonts w:ascii="Times New Roman" w:hAnsi="Times New Roman" w:eastAsia="微软雅黑" w:cs="Times New Roman"/>
                <w:sz w:val="21"/>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summaryOfRresults.crAllListSize }}</w:t>
            </w:r>
            <w:r>
              <w:rPr>
                <w:rFonts w:ascii="Times New Roman" w:hAnsi="Times New Roman" w:eastAsia="微软雅黑" w:cs="Times New Roman"/>
                <w:sz w:val="21"/>
                <w:szCs w:val="21"/>
                <w:highlight w:val="none"/>
                <w:lang w:eastAsia="zh-CN"/>
              </w:rPr>
              <w:t>个胚系突变，其中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trPr>
        <w:tc>
          <w:tcPr>
            <w:tcW w:w="3645" w:type="dxa"/>
            <w:tcBorders>
              <w:top w:val="single" w:color="00AF50" w:sz="4" w:space="0"/>
              <w:left w:val="nil"/>
              <w:bottom w:val="single" w:color="00AF50" w:sz="4" w:space="0"/>
              <w:right w:val="single" w:color="00AF50" w:sz="4" w:space="0"/>
            </w:tcBorders>
            <w:shd w:val="clear" w:color="auto" w:fill="F1F1F1"/>
          </w:tcPr>
          <w:p>
            <w:pPr>
              <w:pStyle w:val="20"/>
              <w:spacing w:before="77"/>
              <w:ind w:left="119"/>
              <w:rPr>
                <w:rFonts w:ascii="Times New Roman" w:hAnsi="Times New Roman" w:eastAsia="微软雅黑" w:cs="Times New Roman"/>
                <w:sz w:val="21"/>
              </w:rPr>
            </w:pPr>
            <w:r>
              <w:rPr>
                <w:rFonts w:ascii="Times New Roman" w:hAnsi="Times New Roman" w:eastAsia="微软雅黑" w:cs="Times New Roman"/>
                <w:sz w:val="21"/>
              </w:rPr>
              <w:t>样品总体质量评估</w:t>
            </w:r>
          </w:p>
        </w:tc>
        <w:tc>
          <w:tcPr>
            <w:tcW w:w="5913" w:type="dxa"/>
            <w:tcBorders>
              <w:top w:val="single" w:color="00AF50" w:sz="4" w:space="0"/>
              <w:left w:val="single" w:color="00AF50" w:sz="4" w:space="0"/>
              <w:bottom w:val="single" w:color="00AF50" w:sz="4" w:space="0"/>
              <w:right w:val="nil"/>
            </w:tcBorders>
            <w:shd w:val="clear" w:color="auto" w:fill="F1F1F1"/>
          </w:tcPr>
          <w:p>
            <w:pPr>
              <w:pStyle w:val="20"/>
              <w:spacing w:before="77"/>
              <w:ind w:left="118"/>
              <w:rPr>
                <w:rFonts w:ascii="Times New Roman" w:hAnsi="Times New Roman" w:eastAsia="微软雅黑" w:cs="Times New Roman"/>
                <w:sz w:val="21"/>
              </w:rPr>
            </w:pPr>
            <w:r>
              <w:rPr>
                <w:rFonts w:hint="eastAsia" w:ascii="Times New Roman" w:hAnsi="Times New Roman" w:eastAsia="微软雅黑" w:cs="黑体"/>
                <w:sz w:val="21"/>
                <w:lang w:eastAsia="zh-CN"/>
              </w:rPr>
              <w:t xml:space="preserve">{% if summaryOfRresults.qualityStat== </w:t>
            </w:r>
            <w:r>
              <w:rPr>
                <w:rFonts w:ascii="Times New Roman" w:hAnsi="Times New Roman" w:eastAsia="微软雅黑" w:cs="黑体"/>
                <w:sz w:val="21"/>
                <w:lang w:eastAsia="zh-CN"/>
              </w:rPr>
              <w:t>“</w:t>
            </w:r>
            <w:r>
              <w:rPr>
                <w:rFonts w:hint="eastAsia" w:ascii="Times New Roman" w:hAnsi="Times New Roman" w:eastAsia="微软雅黑" w:cs="黑体"/>
                <w:sz w:val="21"/>
                <w:lang w:val="en-US" w:eastAsia="zh-CN"/>
              </w:rPr>
              <w:t>D</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%}风险{% else %}合格{% endif %}</w:t>
            </w:r>
          </w:p>
        </w:tc>
      </w:tr>
    </w:tbl>
    <w:p>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val="en-US" w:eastAsia="zh-CN" w:bidi="ar"/>
        </w:rPr>
        <w:t>说明</w:t>
      </w:r>
      <w:r>
        <w:rPr>
          <w:rFonts w:ascii="微软雅黑" w:hAnsi="微软雅黑" w:eastAsia="微软雅黑" w:cs="微软雅黑"/>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ind w:left="755" w:leftChars="150" w:hanging="425" w:firstLineChars="0"/>
        <w:textAlignment w:val="auto"/>
        <w:rPr>
          <w:rFonts w:ascii="微软雅黑" w:hAnsi="微软雅黑" w:eastAsia="微软雅黑" w:cs="微软雅黑"/>
          <w:sz w:val="18"/>
          <w:szCs w:val="18"/>
          <w:lang w:val="en-US" w:eastAsia="zh-CN" w:bidi="ar"/>
        </w:rPr>
      </w:pPr>
      <w:r>
        <w:rPr>
          <w:rFonts w:ascii="微软雅黑" w:hAnsi="微软雅黑" w:eastAsia="微软雅黑" w:cs="微软雅黑"/>
          <w:sz w:val="18"/>
          <w:szCs w:val="18"/>
          <w:lang w:val="en-US" w:eastAsia="zh-CN" w:bidi="ar"/>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ind w:left="755" w:leftChars="150" w:hanging="425" w:firstLineChars="0"/>
        <w:textAlignment w:val="auto"/>
        <w:rPr>
          <w:rFonts w:ascii="微软雅黑" w:hAnsi="微软雅黑" w:eastAsia="微软雅黑" w:cs="微软雅黑"/>
          <w:sz w:val="18"/>
          <w:szCs w:val="18"/>
          <w:lang w:val="en-US"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keepNext w:val="0"/>
        <w:keepLines w:val="0"/>
        <w:pageBreakBefore w:val="0"/>
        <w:widowControl w:val="0"/>
        <w:numPr>
          <w:ilvl w:val="0"/>
          <w:numId w:val="6"/>
        </w:numPr>
        <w:kinsoku/>
        <w:wordWrap/>
        <w:overflowPunct/>
        <w:topLinePunct w:val="0"/>
        <w:autoSpaceDE/>
        <w:autoSpaceDN/>
        <w:bidi w:val="0"/>
        <w:adjustRightInd/>
        <w:snapToGrid/>
        <w:ind w:left="755" w:leftChars="150" w:hanging="425" w:firstLineChars="0"/>
        <w:textAlignment w:val="auto"/>
        <w:rPr>
          <w:rFonts w:ascii="微软雅黑" w:hAnsi="微软雅黑" w:eastAsia="微软雅黑" w:cs="微软雅黑"/>
          <w:sz w:val="18"/>
          <w:szCs w:val="18"/>
          <w:lang w:val="en-US" w:eastAsia="zh-CN" w:bidi="ar"/>
        </w:rPr>
      </w:pPr>
      <w:r>
        <w:rPr>
          <w:rFonts w:ascii="微软雅黑" w:hAnsi="微软雅黑" w:eastAsia="微软雅黑" w:cs="微软雅黑"/>
          <w:sz w:val="18"/>
          <w:szCs w:val="18"/>
          <w:lang w:val="en-US" w:eastAsia="zh-CN" w:bidi="ar"/>
        </w:rPr>
        <w:t>本报告只对本次采集样本负责，如有疑问，请在7个工作日内与我们联系。</w:t>
      </w:r>
      <w:r>
        <w:rPr>
          <w:rFonts w:hint="eastAsia" w:ascii="微软雅黑" w:hAnsi="微软雅黑" w:eastAsia="微软雅黑" w:cs="微软雅黑"/>
          <w:sz w:val="18"/>
          <w:szCs w:val="18"/>
          <w:lang w:val="en-US" w:eastAsia="zh-CN" w:bidi="ar"/>
        </w:rPr>
        <w:t xml:space="preserve">{% if summaryOfRresults.qualityStat== </w:t>
      </w:r>
      <w:r>
        <w:rPr>
          <w:rFonts w:ascii="微软雅黑" w:hAnsi="微软雅黑" w:eastAsia="微软雅黑" w:cs="微软雅黑"/>
          <w:sz w:val="18"/>
          <w:szCs w:val="18"/>
          <w:lang w:val="en-US" w:eastAsia="zh-CN" w:bidi="ar"/>
        </w:rPr>
        <w:t>“</w:t>
      </w:r>
      <w:r>
        <w:rPr>
          <w:rFonts w:hint="eastAsia" w:ascii="微软雅黑" w:hAnsi="微软雅黑" w:eastAsia="微软雅黑" w:cs="微软雅黑"/>
          <w:sz w:val="18"/>
          <w:szCs w:val="18"/>
          <w:lang w:val="en-US" w:eastAsia="zh-CN" w:bidi="ar"/>
        </w:rPr>
        <w:t>D</w:t>
      </w:r>
      <w:r>
        <w:rPr>
          <w:rFonts w:ascii="微软雅黑" w:hAnsi="微软雅黑" w:eastAsia="微软雅黑" w:cs="微软雅黑"/>
          <w:sz w:val="18"/>
          <w:szCs w:val="18"/>
          <w:lang w:val="en-US" w:eastAsia="zh-CN" w:bidi="ar"/>
        </w:rPr>
        <w:t>”</w:t>
      </w:r>
      <w:r>
        <w:rPr>
          <w:rFonts w:hint="eastAsia" w:ascii="微软雅黑" w:hAnsi="微软雅黑" w:eastAsia="微软雅黑" w:cs="微软雅黑"/>
          <w:sz w:val="18"/>
          <w:szCs w:val="18"/>
          <w:lang w:val="en-US" w:eastAsia="zh-CN" w:bidi="ar"/>
        </w:rPr>
        <w:t xml:space="preserve"> %}</w:t>
      </w:r>
    </w:p>
    <w:p>
      <w:pPr>
        <w:keepNext w:val="0"/>
        <w:keepLines w:val="0"/>
        <w:pageBreakBefore w:val="0"/>
        <w:widowControl w:val="0"/>
        <w:numPr>
          <w:ilvl w:val="0"/>
          <w:numId w:val="6"/>
        </w:numPr>
        <w:kinsoku/>
        <w:wordWrap/>
        <w:overflowPunct/>
        <w:topLinePunct w:val="0"/>
        <w:autoSpaceDE/>
        <w:autoSpaceDN/>
        <w:bidi w:val="0"/>
        <w:adjustRightInd/>
        <w:snapToGrid/>
        <w:ind w:left="755" w:leftChars="150" w:hanging="425" w:firstLineChars="0"/>
        <w:textAlignment w:val="auto"/>
        <w:rPr>
          <w:rFonts w:ascii="微软雅黑" w:hAnsi="微软雅黑" w:eastAsia="微软雅黑" w:cs="微软雅黑"/>
          <w:sz w:val="18"/>
          <w:szCs w:val="18"/>
          <w:lang w:val="en-US" w:eastAsia="zh-CN" w:bidi="ar"/>
        </w:rPr>
      </w:pPr>
      <w:r>
        <w:rPr>
          <w:rFonts w:ascii="微软雅黑" w:hAnsi="微软雅黑" w:eastAsia="微软雅黑" w:cs="微软雅黑"/>
          <w:sz w:val="18"/>
          <w:szCs w:val="18"/>
          <w:lang w:val="en-US" w:eastAsia="zh-CN" w:bidi="ar"/>
        </w:rPr>
        <w:t>该样本测序深度不足，</w:t>
      </w:r>
      <w:r>
        <w:rPr>
          <w:rFonts w:hint="eastAsia" w:ascii="微软雅黑" w:hAnsi="微软雅黑" w:eastAsia="微软雅黑" w:cs="微软雅黑"/>
          <w:sz w:val="18"/>
          <w:szCs w:val="18"/>
          <w:lang w:val="en-US" w:eastAsia="zh-CN" w:bidi="ar"/>
        </w:rPr>
        <w:t>风险出具，检测结果仅供参考。{% endif %}</w:t>
      </w:r>
    </w:p>
    <w:p>
      <w:pPr>
        <w:rPr>
          <w:rFonts w:ascii="微软雅黑" w:hAnsi="微软雅黑" w:eastAsia="微软雅黑" w:cs="微软雅黑"/>
          <w:sz w:val="18"/>
          <w:szCs w:val="18"/>
          <w:lang w:val="en-US" w:eastAsia="zh-CN" w:bidi="ar"/>
        </w:rPr>
      </w:pPr>
      <w:r>
        <w:rPr>
          <w:rFonts w:hint="eastAsia" w:ascii="微软雅黑" w:hAnsi="微软雅黑" w:eastAsia="微软雅黑" w:cs="微软雅黑"/>
          <w:sz w:val="18"/>
          <w:szCs w:val="18"/>
          <w:lang w:val="en-US" w:eastAsia="zh-CN" w:bidi="ar"/>
        </w:rPr>
        <w:br w:type="page"/>
      </w:r>
    </w:p>
    <w:p>
      <w:pPr>
        <w:pStyle w:val="2"/>
        <w:rPr>
          <w:rFonts w:cs="Times New Roman"/>
        </w:rPr>
      </w:pPr>
      <w:bookmarkStart w:id="20" w:name="_Toc20136_WPSOffice_Level1"/>
      <w:bookmarkStart w:id="21" w:name="_Toc22132"/>
      <w:bookmarkStart w:id="22" w:name="_Toc2781"/>
      <w:bookmarkStart w:id="23" w:name="_Toc6638"/>
      <w:bookmarkStart w:id="24" w:name="_Toc19898_WPSOffice_Level1"/>
      <w:r>
        <w:rPr>
          <w:rFonts w:cs="Times New Roman"/>
        </w:rPr>
        <w:t>检测结果及用药提示</w:t>
      </w:r>
      <w:bookmarkEnd w:id="19"/>
      <w:bookmarkEnd w:id="20"/>
      <w:bookmarkEnd w:id="21"/>
      <w:bookmarkEnd w:id="22"/>
      <w:bookmarkEnd w:id="23"/>
      <w:bookmarkEnd w:id="24"/>
    </w:p>
    <w:p>
      <w:pPr>
        <w:pStyle w:val="3"/>
        <w:rPr>
          <w:rFonts w:cs="Times New Roman"/>
        </w:rPr>
      </w:pPr>
      <w:bookmarkStart w:id="25" w:name="_Toc11015_WPSOffice_Level2"/>
      <w:bookmarkStart w:id="26" w:name="_Toc18062_WPSOffice_Level2"/>
      <w:bookmarkStart w:id="27" w:name="_Toc23375"/>
      <w:bookmarkStart w:id="28" w:name="_Toc9088"/>
      <w:bookmarkStart w:id="29" w:name="_Toc3436"/>
      <w:r>
        <w:rPr>
          <w:rFonts w:cs="Times New Roman"/>
        </w:rPr>
        <w:t>靶向药物用药提示</w:t>
      </w:r>
      <w:bookmarkEnd w:id="25"/>
      <w:bookmarkEnd w:id="26"/>
      <w:bookmarkEnd w:id="27"/>
      <w:bookmarkEnd w:id="28"/>
      <w:bookmarkEnd w:id="29"/>
    </w:p>
    <w:p>
      <w:pPr>
        <w:spacing w:after="240"/>
        <w:ind w:firstLine="420" w:firstLineChars="200"/>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本次样本共检出{{ summaryOfRresults.thisGeneticmarkerVwListSize }}个体细胞突变，其中{{summaryOfRresults.somaticDrugCount}}个与靶向药物相关；共检出{{ summaryOfRresults.crAllListSize }}个胚系突变，其中{{summaryOfRresults.crDrugList}}个与靶向药物相关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601"/>
        <w:gridCol w:w="1946"/>
        <w:gridCol w:w="1804"/>
        <w:gridCol w:w="1662"/>
        <w:gridCol w:w="1441"/>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vMerge w:val="restart"/>
            <w:shd w:val="clear" w:color="auto" w:fill="auto"/>
            <w:vAlign w:val="center"/>
          </w:tcPr>
          <w:p>
            <w:pPr>
              <w:pStyle w:val="20"/>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rPr>
              <w:t>突变基因</w:t>
            </w:r>
          </w:p>
        </w:tc>
        <w:tc>
          <w:tcPr>
            <w:tcW w:w="1378" w:type="dxa"/>
            <w:vMerge w:val="restart"/>
            <w:shd w:val="clear" w:color="auto" w:fill="auto"/>
            <w:vAlign w:val="center"/>
          </w:tcPr>
          <w:p>
            <w:pPr>
              <w:pStyle w:val="20"/>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rPr>
              <w:t>检测结果</w:t>
            </w:r>
          </w:p>
        </w:tc>
        <w:tc>
          <w:tcPr>
            <w:tcW w:w="601" w:type="dxa"/>
            <w:vMerge w:val="restart"/>
            <w:shd w:val="clear" w:color="auto" w:fill="auto"/>
            <w:vAlign w:val="center"/>
          </w:tcPr>
          <w:p>
            <w:pPr>
              <w:pStyle w:val="20"/>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rPr>
              <w:t>突变丰度</w:t>
            </w:r>
          </w:p>
        </w:tc>
        <w:tc>
          <w:tcPr>
            <w:tcW w:w="1661" w:type="dxa"/>
            <w:gridSpan w:val="3"/>
            <w:vAlign w:val="center"/>
          </w:tcPr>
          <w:p>
            <w:pPr>
              <w:pStyle w:val="20"/>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lang w:eastAsia="zh-CN"/>
              </w:rPr>
              <w:t>可能获益的药物</w:t>
            </w:r>
          </w:p>
        </w:tc>
        <w:tc>
          <w:tcPr>
            <w:tcW w:w="1440" w:type="dxa"/>
            <w:vMerge w:val="restart"/>
            <w:shd w:val="clear" w:color="auto" w:fill="auto"/>
            <w:vAlign w:val="center"/>
          </w:tcPr>
          <w:p>
            <w:pPr>
              <w:pStyle w:val="20"/>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lang w:eastAsia="zh-CN"/>
              </w:rPr>
              <w:t>可能耐药药物</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31" w:hRule="exact"/>
          <w:tblHeader/>
        </w:trPr>
        <w:tc>
          <w:tcPr>
            <w:tcW w:w="947" w:type="dxa"/>
            <w:vMerge w:val="continue"/>
            <w:shd w:val="clear" w:color="auto" w:fill="auto"/>
            <w:vAlign w:val="center"/>
          </w:tcPr>
          <w:p>
            <w:pPr>
              <w:jc w:val="center"/>
              <w:rPr>
                <w:rFonts w:ascii="Times New Roman" w:hAnsi="Times New Roman" w:eastAsia="微软雅黑" w:cs="Times New Roman"/>
                <w:color w:val="00B050"/>
                <w:sz w:val="21"/>
                <w:szCs w:val="21"/>
              </w:rPr>
            </w:pPr>
          </w:p>
        </w:tc>
        <w:tc>
          <w:tcPr>
            <w:tcW w:w="1378" w:type="dxa"/>
            <w:vMerge w:val="continue"/>
            <w:shd w:val="clear" w:color="auto" w:fill="auto"/>
            <w:vAlign w:val="center"/>
          </w:tcPr>
          <w:p>
            <w:pPr>
              <w:jc w:val="center"/>
              <w:rPr>
                <w:rFonts w:ascii="Times New Roman" w:hAnsi="Times New Roman" w:eastAsia="微软雅黑" w:cs="Times New Roman"/>
                <w:color w:val="00B050"/>
                <w:sz w:val="21"/>
                <w:szCs w:val="21"/>
              </w:rPr>
            </w:pPr>
          </w:p>
        </w:tc>
        <w:tc>
          <w:tcPr>
            <w:tcW w:w="601" w:type="dxa"/>
            <w:vMerge w:val="continue"/>
            <w:shd w:val="clear" w:color="auto" w:fill="auto"/>
            <w:vAlign w:val="center"/>
          </w:tcPr>
          <w:p>
            <w:pPr>
              <w:jc w:val="center"/>
              <w:rPr>
                <w:rFonts w:ascii="Times New Roman" w:hAnsi="Times New Roman" w:eastAsia="微软雅黑" w:cs="Times New Roman"/>
                <w:color w:val="00B050"/>
                <w:sz w:val="21"/>
                <w:szCs w:val="21"/>
              </w:rPr>
            </w:pPr>
          </w:p>
        </w:tc>
        <w:tc>
          <w:tcPr>
            <w:tcW w:w="1945" w:type="dxa"/>
            <w:shd w:val="clear" w:color="auto" w:fill="auto"/>
            <w:vAlign w:val="center"/>
          </w:tcPr>
          <w:p>
            <w:pPr>
              <w:pStyle w:val="20"/>
              <w:jc w:val="center"/>
              <w:rPr>
                <w:rFonts w:ascii="Times New Roman" w:hAnsi="Times New Roman" w:eastAsia="微软雅黑" w:cs="Times New Roman"/>
                <w:b/>
                <w:color w:val="00B050"/>
                <w:sz w:val="21"/>
                <w:szCs w:val="21"/>
                <w:lang w:eastAsia="zh-CN"/>
              </w:rPr>
            </w:pPr>
            <w:r>
              <w:rPr>
                <w:rFonts w:ascii="Times New Roman" w:hAnsi="Times New Roman" w:eastAsia="微软雅黑" w:cs="Times New Roman"/>
                <w:b/>
                <w:color w:val="00B050"/>
                <w:sz w:val="21"/>
                <w:szCs w:val="21"/>
              </w:rPr>
              <w:t>A级</w:t>
            </w:r>
          </w:p>
        </w:tc>
        <w:tc>
          <w:tcPr>
            <w:tcW w:w="1803" w:type="dxa"/>
            <w:shd w:val="clear" w:color="auto" w:fill="auto"/>
            <w:vAlign w:val="center"/>
          </w:tcPr>
          <w:p>
            <w:pPr>
              <w:pStyle w:val="20"/>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rPr>
              <w:t>B级</w:t>
            </w:r>
          </w:p>
        </w:tc>
        <w:tc>
          <w:tcPr>
            <w:tcW w:w="1661" w:type="dxa"/>
            <w:shd w:val="clear" w:color="auto" w:fill="auto"/>
            <w:vAlign w:val="center"/>
          </w:tcPr>
          <w:p>
            <w:pPr>
              <w:pStyle w:val="20"/>
              <w:jc w:val="center"/>
              <w:rPr>
                <w:rFonts w:ascii="Times New Roman" w:hAnsi="Times New Roman" w:eastAsia="微软雅黑" w:cs="Times New Roman"/>
                <w:b/>
                <w:color w:val="00B050"/>
                <w:sz w:val="21"/>
                <w:szCs w:val="21"/>
                <w:lang w:eastAsia="zh-CN"/>
              </w:rPr>
            </w:pPr>
            <w:r>
              <w:rPr>
                <w:rFonts w:ascii="Times New Roman" w:hAnsi="Times New Roman" w:eastAsia="微软雅黑" w:cs="Times New Roman"/>
                <w:b/>
                <w:color w:val="00B050"/>
                <w:sz w:val="21"/>
                <w:szCs w:val="21"/>
              </w:rPr>
              <w:t>C级</w:t>
            </w:r>
          </w:p>
        </w:tc>
        <w:tc>
          <w:tcPr>
            <w:tcW w:w="1440" w:type="dxa"/>
            <w:vMerge w:val="continue"/>
            <w:shd w:val="clear" w:color="auto" w:fill="auto"/>
          </w:tcPr>
          <w:p>
            <w:pPr>
              <w:rPr>
                <w:rFonts w:ascii="Times New Roman" w:hAnsi="Times New Roman" w:eastAsia="微软雅黑" w:cs="Times New Roman"/>
                <w:color w:val="00B050"/>
                <w:sz w:val="21"/>
                <w:szCs w:val="21"/>
              </w:rPr>
            </w:pP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{%tr if targetDrugTipLineStr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targetDrugTipLineStr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tip.DrugAStr == [] %}无{% else%}{% for d in tip.DrugAStr %}{%if loop.last%}{{</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 }}{%else%}{{</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w:t>
            </w:r>
          </w:p>
          <w:p>
            <w:pPr>
              <w:spacing w:before="1" w:line="249" w:lineRule="auto"/>
              <w:ind w:left="262" w:right="131"/>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 endif%}</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tip.DrugBStr == [] %}无{% else%}{% for d in tip.DrugBStr %}{%if loop.last%}{{</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 }}{%else%}{{</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w:t>
            </w:r>
          </w:p>
          <w:p>
            <w:pPr>
              <w:spacing w:before="1" w:line="249" w:lineRule="auto"/>
              <w:ind w:left="262" w:right="131"/>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 endif%}</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tip.DrugCStr == [] %}无{% else%}{% for d in tip.DrugCStr %}{%if loop.last%}{{</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 }}{%else%}{{</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w:t>
            </w:r>
          </w:p>
          <w:p>
            <w:pPr>
              <w:spacing w:before="1" w:line="249" w:lineRule="auto"/>
              <w:ind w:left="262" w:right="131"/>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 endif%}</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tip.ResistantDrug == [] %}无{% else%}{% for d in tip.ResistantDrug %}{%if loop.last%}{{</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 }}{%else%}{{</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w:t>
            </w:r>
          </w:p>
          <w:p>
            <w:pPr>
              <w:spacing w:before="1" w:line="249" w:lineRule="auto"/>
              <w:ind w:left="262" w:right="131"/>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 endfor %}{% endif%}</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突变丰度：在某位点产生突变的等位基因在该位点全部等位基因中所占比率。</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可能获益药物：A级：FDA/NMPA已经批准或各指南推荐在本癌种该靶点上可用的药物；B级：大型已注册II、III、IV期临床试验证实在本癌种该靶点可用的药物；C级：其他癌种A级证据，或I期临床试验/临床个例/研究者独立开展的多病例小型临床研究证实在本癌种该靶点可用的药物，或本癌种该靶点用药符合正在招募的大型已注册临床试验入组标准。</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可能耐药药物：FDA/NMPA已经批准的、NCCN指南推荐的、临床试验或者临床研究有明确结果的、药物敏感性可能降低或产生耐药的靶向药物。</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黑色粗体药物：FDA/NMPA已批准药物，未加粗药物为未上市药物。</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标注的药物：NMPA批准的靶向药物。</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标注的药物：符合正在招募的大型已注册临床试验入组标准的药物。</w:t>
      </w:r>
      <w:bookmarkEnd w:id="13"/>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多靶点循证检测结果中的符号意义：“+”表示“并且”，“/”表示“或者”，“!”表示“不满足”。</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if redFlag == True %}</w:t>
      </w:r>
      <w:r>
        <w:rPr>
          <w:rFonts w:hint="eastAsia" w:ascii="Times New Roman" w:hAnsi="Times New Roman" w:eastAsia="微软雅黑" w:cs="Times New Roman"/>
          <w:sz w:val="18"/>
          <w:szCs w:val="18"/>
          <w:highlight w:val="lightGray"/>
          <w:lang w:eastAsia="zh-CN"/>
        </w:rPr>
        <w:t>靶向药物提示中的药物建议综合考虑患者的经治情况，灰色底纹标注药物建议综合考虑对应生物标志物的检测结果，仅供临床参考。</w:t>
      </w:r>
      <w:r>
        <w:rPr>
          <w:rFonts w:hint="eastAsia" w:ascii="Times New Roman" w:hAnsi="Times New Roman" w:eastAsia="微软雅黑" w:cs="Times New Roman"/>
          <w:sz w:val="18"/>
          <w:szCs w:val="18"/>
          <w:lang w:val="en-US" w:eastAsia="zh-CN"/>
        </w:rPr>
        <w:t>{% else %}</w:t>
      </w:r>
      <w:r>
        <w:rPr>
          <w:rFonts w:hint="eastAsia" w:ascii="Times New Roman" w:hAnsi="Times New Roman" w:eastAsia="微软雅黑" w:cs="Times New Roman"/>
          <w:sz w:val="18"/>
          <w:szCs w:val="18"/>
          <w:lang w:eastAsia="zh-CN"/>
        </w:rPr>
        <w:t>靶向药物提示中的药物建议综合考虑患者的经治情况，灰色底纹标注药物建议综合考虑对应生物标志物的检测结果，仅供临床参考</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endif %}</w:t>
      </w:r>
    </w:p>
    <w:p>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p>
      <w:pPr>
        <w:jc w:val="both"/>
        <w:rPr>
          <w:rFonts w:ascii="Times New Roman" w:hAnsi="Times New Roman" w:eastAsia="微软雅黑" w:cs="Times New Roman"/>
          <w:b/>
          <w:bCs/>
          <w:color w:val="00B050"/>
          <w:sz w:val="24"/>
          <w:szCs w:val="30"/>
          <w:lang w:eastAsia="zh-CN"/>
        </w:rPr>
      </w:pPr>
      <w:r>
        <w:rPr>
          <w:rFonts w:ascii="Times New Roman" w:hAnsi="Times New Roman" w:eastAsia="微软雅黑" w:cs="Times New Roman"/>
          <w:b/>
          <w:bCs/>
          <w:color w:val="00B050"/>
          <w:sz w:val="24"/>
          <w:szCs w:val="30"/>
          <w:lang w:eastAsia="zh-CN"/>
        </w:rPr>
        <w:t>未知临床意义或无相关靶向用药的基因突变</w:t>
      </w:r>
    </w:p>
    <w:p>
      <w:pPr>
        <w:jc w:val="center"/>
        <w:rPr>
          <w:rFonts w:ascii="Times New Roman" w:hAnsi="Times New Roman" w:eastAsia="微软雅黑" w:cs="Times New Roman"/>
          <w:b/>
          <w:bCs/>
          <w:color w:val="00B050"/>
          <w:sz w:val="24"/>
          <w:szCs w:val="30"/>
          <w:lang w:eastAsia="zh-CN"/>
        </w:rPr>
      </w:pPr>
    </w:p>
    <w:tbl>
      <w:tblPr>
        <w:tblStyle w:val="15"/>
        <w:tblW w:w="994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1823"/>
        <w:gridCol w:w="3583"/>
        <w:gridCol w:w="2235"/>
        <w:gridCol w:w="2299"/>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182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lang w:eastAsia="zh-CN"/>
              </w:rPr>
            </w:pPr>
            <w:r>
              <w:rPr>
                <w:rFonts w:ascii="Times New Roman" w:hAnsi="Times New Roman" w:eastAsia="微软雅黑" w:cs="Times New Roman"/>
                <w:b/>
                <w:color w:val="00B050"/>
                <w:sz w:val="20"/>
                <w:szCs w:val="20"/>
                <w:lang w:eastAsia="zh-CN"/>
              </w:rPr>
              <w:t>基因名称</w:t>
            </w:r>
          </w:p>
        </w:tc>
        <w:tc>
          <w:tcPr>
            <w:tcW w:w="358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lang w:eastAsia="zh-CN"/>
              </w:rPr>
            </w:pPr>
            <w:r>
              <w:rPr>
                <w:rFonts w:ascii="Times New Roman" w:hAnsi="Times New Roman" w:eastAsia="微软雅黑" w:cs="Times New Roman"/>
                <w:b/>
                <w:color w:val="00B050"/>
                <w:sz w:val="20"/>
                <w:szCs w:val="20"/>
                <w:lang w:eastAsia="zh-CN"/>
              </w:rPr>
              <w:t>检测结果</w:t>
            </w:r>
          </w:p>
        </w:tc>
        <w:tc>
          <w:tcPr>
            <w:tcW w:w="2235"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lang w:eastAsia="zh-CN"/>
              </w:rPr>
            </w:pPr>
            <w:r>
              <w:rPr>
                <w:rFonts w:ascii="Times New Roman" w:hAnsi="Times New Roman" w:eastAsia="微软雅黑" w:cs="Times New Roman"/>
                <w:b/>
                <w:color w:val="00B050"/>
                <w:sz w:val="20"/>
                <w:szCs w:val="20"/>
                <w:lang w:eastAsia="zh-CN"/>
              </w:rPr>
              <w:t>突变类型</w:t>
            </w:r>
          </w:p>
        </w:tc>
        <w:tc>
          <w:tcPr>
            <w:tcW w:w="2299"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lang w:eastAsia="zh-CN"/>
              </w:rPr>
            </w:pPr>
            <w:r>
              <w:rPr>
                <w:rFonts w:ascii="Times New Roman" w:hAnsi="Times New Roman" w:eastAsia="微软雅黑" w:cs="Times New Roman"/>
                <w:b/>
                <w:color w:val="00B050"/>
                <w:sz w:val="20"/>
                <w:szCs w:val="20"/>
                <w:lang w:eastAsia="zh-CN"/>
              </w:rPr>
              <w:t>突变丰度</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unknownTipLineStr != []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unknownTipLineStr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tip.gene }}</w:t>
            </w:r>
          </w:p>
        </w:tc>
        <w:tc>
          <w:tcPr>
            <w:tcW w:w="3583" w:type="dxa"/>
            <w:shd w:val="clear" w:color="auto" w:fill="F2F2F2"/>
            <w:vAlign w:val="center"/>
          </w:tcPr>
          <w:p>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tip.ori_variant }}</w:t>
            </w:r>
          </w:p>
        </w:tc>
        <w:tc>
          <w:tcPr>
            <w:tcW w:w="2235" w:type="dxa"/>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w:t>
            </w:r>
          </w:p>
        </w:tc>
        <w:tc>
          <w:tcPr>
            <w:tcW w:w="2299" w:type="dxa"/>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rPr>
              <w:t>/</w:t>
            </w:r>
          </w:p>
        </w:tc>
        <w:tc>
          <w:tcPr>
            <w:tcW w:w="3583" w:type="dxa"/>
            <w:shd w:val="clear" w:color="auto" w:fill="F2F2F2"/>
            <w:vAlign w:val="center"/>
          </w:tcPr>
          <w:p>
            <w:pPr>
              <w:jc w:val="center"/>
              <w:rPr>
                <w:rFonts w:ascii="Times New Roman" w:hAnsi="Times New Roman" w:eastAsia="微软雅黑" w:cs="Times New Roman"/>
                <w:bCs/>
                <w:sz w:val="18"/>
                <w:szCs w:val="18"/>
              </w:rPr>
            </w:pPr>
            <w:r>
              <w:rPr>
                <w:rFonts w:ascii="Times New Roman" w:hAnsi="Times New Roman" w:eastAsia="微软雅黑" w:cs="Times New Roman"/>
                <w:sz w:val="18"/>
                <w:szCs w:val="18"/>
              </w:rPr>
              <w:t>/</w:t>
            </w:r>
          </w:p>
        </w:tc>
        <w:tc>
          <w:tcPr>
            <w:tcW w:w="2235" w:type="dxa"/>
            <w:shd w:val="clear" w:color="auto" w:fill="F2F2F2"/>
            <w:vAlign w:val="center"/>
          </w:tcPr>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rPr>
              <w:t>/</w:t>
            </w:r>
          </w:p>
        </w:tc>
        <w:tc>
          <w:tcPr>
            <w:tcW w:w="2299" w:type="dxa"/>
            <w:shd w:val="clear" w:color="auto" w:fill="F2F2F2"/>
            <w:vAlign w:val="center"/>
          </w:tcPr>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pPr>
        <w:pStyle w:val="22"/>
        <w:ind w:left="420"/>
        <w:rPr>
          <w:rFonts w:ascii="Times New Roman" w:hAnsi="Times New Roman" w:eastAsia="微软雅黑" w:cs="Times New Roman"/>
          <w:b/>
          <w:lang w:eastAsia="zh-CN"/>
        </w:rPr>
      </w:pPr>
    </w:p>
    <w:p>
      <w:pPr>
        <w:pStyle w:val="22"/>
        <w:rPr>
          <w:rFonts w:ascii="Times New Roman" w:hAnsi="Times New Roman" w:eastAsia="微软雅黑" w:cs="Times New Roman"/>
          <w:b/>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8"/>
        </w:numPr>
        <w:ind w:left="425" w:leftChars="0" w:hanging="425" w:firstLineChars="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未知临床意义的基因突变是指在出具报告时文献尚未报道，或者是突变意义已经明确但是无相关的靶向用药信息，或者是该突变意义不明确，可能存在潜在的临床意义</w:t>
      </w:r>
      <w:r>
        <w:rPr>
          <w:rFonts w:hint="eastAsia" w:ascii="Times New Roman" w:hAnsi="Times New Roman" w:eastAsia="微软雅黑" w:cs="Times New Roman"/>
          <w:sz w:val="18"/>
          <w:szCs w:val="18"/>
          <w:lang w:val="en-US" w:eastAsia="zh-CN"/>
        </w:rPr>
        <w:t>。</w:t>
      </w:r>
      <w:r>
        <w:rPr>
          <w:rFonts w:ascii="Times New Roman" w:hAnsi="Times New Roman" w:eastAsia="微软雅黑" w:cs="Times New Roman"/>
          <w:sz w:val="18"/>
          <w:szCs w:val="18"/>
          <w:shd w:val="clear" w:color="auto" w:fill="FFFFFF"/>
          <w:lang w:eastAsia="zh-CN"/>
        </w:rPr>
        <w:br w:type="page"/>
      </w:r>
    </w:p>
    <w:p>
      <w:pPr>
        <w:pStyle w:val="3"/>
        <w:rPr>
          <w:rFonts w:cs="Times New Roman"/>
          <w:lang w:eastAsia="zh-CN"/>
        </w:rPr>
      </w:pPr>
      <w:bookmarkStart w:id="30" w:name="_Hlk516758315"/>
      <w:bookmarkStart w:id="31" w:name="_Toc14868"/>
      <w:bookmarkStart w:id="32" w:name="_Toc13489_WPSOffice_Level2"/>
      <w:bookmarkStart w:id="33" w:name="_Toc19898_WPSOffice_Level2"/>
      <w:bookmarkStart w:id="34" w:name="_Toc24038"/>
      <w:bookmarkStart w:id="35" w:name="_Toc10743"/>
      <w:r>
        <w:rPr>
          <w:rFonts w:cs="Times New Roman"/>
          <w:lang w:eastAsia="zh-CN"/>
        </w:rPr>
        <w:t>肿瘤遗传</w:t>
      </w:r>
      <w:bookmarkEnd w:id="30"/>
      <w:r>
        <w:rPr>
          <w:rFonts w:cs="Times New Roman"/>
          <w:lang w:eastAsia="zh-CN"/>
        </w:rPr>
        <w:t>风险检测</w:t>
      </w:r>
      <w:bookmarkEnd w:id="31"/>
      <w:bookmarkEnd w:id="32"/>
      <w:bookmarkEnd w:id="33"/>
      <w:bookmarkEnd w:id="34"/>
      <w:bookmarkEnd w:id="35"/>
    </w:p>
    <w:p>
      <w:pPr>
        <w:spacing w:before="1" w:line="180" w:lineRule="exact"/>
        <w:rPr>
          <w:rFonts w:ascii="Times New Roman" w:hAnsi="Times New Roman" w:eastAsia="微软雅黑" w:cs="Times New Roman"/>
          <w:sz w:val="18"/>
          <w:szCs w:val="18"/>
          <w:lang w:eastAsia="zh-CN"/>
        </w:rPr>
      </w:pPr>
    </w:p>
    <w:tbl>
      <w:tblPr>
        <w:tblStyle w:val="21"/>
        <w:tblW w:w="9735" w:type="dxa"/>
        <w:tblInd w:w="113"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39"/>
        <w:gridCol w:w="814"/>
        <w:gridCol w:w="814"/>
        <w:gridCol w:w="1131"/>
        <w:gridCol w:w="1134"/>
        <w:gridCol w:w="1134"/>
        <w:gridCol w:w="1134"/>
        <w:gridCol w:w="992"/>
        <w:gridCol w:w="1343"/>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49" w:hRule="exact"/>
        </w:trPr>
        <w:tc>
          <w:tcPr>
            <w:tcW w:w="1239" w:type="dxa"/>
            <w:shd w:val="clear" w:color="auto" w:fill="FFFFFF" w:themeFill="background1"/>
            <w:vAlign w:val="center"/>
          </w:tcPr>
          <w:p>
            <w:pPr>
              <w:pStyle w:val="20"/>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基因</w:t>
            </w:r>
          </w:p>
        </w:tc>
        <w:tc>
          <w:tcPr>
            <w:tcW w:w="814" w:type="dxa"/>
            <w:shd w:val="clear" w:color="auto" w:fill="FFFFFF" w:themeFill="background1"/>
            <w:vAlign w:val="center"/>
          </w:tcPr>
          <w:p>
            <w:pPr>
              <w:pStyle w:val="20"/>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染色体</w:t>
            </w:r>
          </w:p>
        </w:tc>
        <w:tc>
          <w:tcPr>
            <w:tcW w:w="814" w:type="dxa"/>
            <w:shd w:val="clear" w:color="auto" w:fill="FFFFFF" w:themeFill="background1"/>
            <w:vAlign w:val="center"/>
          </w:tcPr>
          <w:p>
            <w:pPr>
              <w:pStyle w:val="20"/>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外显子</w:t>
            </w:r>
          </w:p>
        </w:tc>
        <w:tc>
          <w:tcPr>
            <w:tcW w:w="1131" w:type="dxa"/>
            <w:shd w:val="clear" w:color="auto" w:fill="FFFFFF" w:themeFill="background1"/>
            <w:vAlign w:val="center"/>
          </w:tcPr>
          <w:p>
            <w:pPr>
              <w:pStyle w:val="20"/>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核苷酸</w:t>
            </w:r>
          </w:p>
        </w:tc>
        <w:tc>
          <w:tcPr>
            <w:tcW w:w="1134" w:type="dxa"/>
            <w:shd w:val="clear" w:color="auto" w:fill="FFFFFF" w:themeFill="background1"/>
            <w:vAlign w:val="center"/>
          </w:tcPr>
          <w:p>
            <w:pPr>
              <w:pStyle w:val="20"/>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氨基酸</w:t>
            </w:r>
          </w:p>
        </w:tc>
        <w:tc>
          <w:tcPr>
            <w:tcW w:w="1134" w:type="dxa"/>
            <w:shd w:val="clear" w:color="auto" w:fill="FFFFFF" w:themeFill="background1"/>
            <w:vAlign w:val="center"/>
          </w:tcPr>
          <w:p>
            <w:pPr>
              <w:pStyle w:val="20"/>
              <w:spacing w:line="227"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pacing w:val="-1"/>
                <w:sz w:val="18"/>
                <w:szCs w:val="18"/>
              </w:rPr>
              <w:t>杂合/纯合</w:t>
            </w:r>
          </w:p>
        </w:tc>
        <w:tc>
          <w:tcPr>
            <w:tcW w:w="1134" w:type="dxa"/>
            <w:shd w:val="clear" w:color="auto" w:fill="FFFFFF" w:themeFill="background1"/>
            <w:vAlign w:val="center"/>
          </w:tcPr>
          <w:p>
            <w:pPr>
              <w:pStyle w:val="20"/>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突变类型</w:t>
            </w:r>
          </w:p>
        </w:tc>
        <w:tc>
          <w:tcPr>
            <w:tcW w:w="992" w:type="dxa"/>
            <w:shd w:val="clear" w:color="auto" w:fill="FFFFFF" w:themeFill="background1"/>
            <w:vAlign w:val="center"/>
          </w:tcPr>
          <w:p>
            <w:pPr>
              <w:pStyle w:val="20"/>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千人频率</w:t>
            </w:r>
          </w:p>
        </w:tc>
        <w:tc>
          <w:tcPr>
            <w:tcW w:w="1343" w:type="dxa"/>
            <w:shd w:val="clear" w:color="auto" w:fill="FFFFFF" w:themeFill="background1"/>
            <w:vAlign w:val="center"/>
          </w:tcPr>
          <w:p>
            <w:pPr>
              <w:pStyle w:val="20"/>
              <w:spacing w:line="214" w:lineRule="exact"/>
              <w:jc w:val="center"/>
              <w:rPr>
                <w:rFonts w:ascii="Times New Roman" w:hAnsi="Times New Roman" w:eastAsia="微软雅黑" w:cs="Times New Roman"/>
                <w:color w:val="00B050"/>
                <w:sz w:val="18"/>
                <w:szCs w:val="18"/>
              </w:rPr>
            </w:pPr>
            <w:r>
              <w:rPr>
                <w:rFonts w:ascii="Times New Roman" w:hAnsi="Times New Roman" w:eastAsia="微软雅黑" w:cs="Times New Roman"/>
                <w:b/>
                <w:bCs/>
                <w:color w:val="00B050"/>
                <w:sz w:val="18"/>
                <w:szCs w:val="18"/>
              </w:rPr>
              <w:t>临床意义</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{%tr if crCheckLineStr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{%tr for cr in crCheckLineStr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cr.Gene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cr.Chr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cr.Exon }}</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cr.pHGVS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cr.Zygosity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cr.ExonicFunc }}</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cr.c1000g2015aug_all }}</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tabs>
                <w:tab w:val="left" w:pos="4117"/>
              </w:tabs>
              <w:spacing w:before="2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ab/>
            </w:r>
            <w:r>
              <w:rPr>
                <w:rFonts w:hint="eastAsia" w:ascii="Times New Roman" w:hAnsi="Times New Roman" w:eastAsia="微软雅黑" w:cs="Times New Roman"/>
                <w:sz w:val="18"/>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{%tr endif %}</w:t>
            </w:r>
          </w:p>
        </w:tc>
      </w:tr>
    </w:tbl>
    <w:p>
      <w:pPr>
        <w:spacing w:before="4" w:line="240" w:lineRule="exact"/>
        <w:rPr>
          <w:rFonts w:ascii="Times New Roman" w:hAnsi="Times New Roman" w:eastAsia="微软雅黑" w:cs="Times New Roman"/>
          <w:sz w:val="24"/>
          <w:szCs w:val="24"/>
        </w:rPr>
      </w:pPr>
    </w:p>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val="zh-CN" w:eastAsia="zh-CN"/>
        </w:rPr>
        <w:t>致病性变异：有大量证据表明这种变异是高风险的致病性变异。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val="zh-CN" w:eastAsia="zh-CN"/>
        </w:rPr>
        <w:t>可能致病性变异：有一些证据表明这种变异是高风险的致病性变异。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val="zh-CN" w:eastAsia="zh-CN"/>
        </w:rPr>
        <w:t>不确定性变异：没有足够的证据，将变异分类到其他四类中。</w:t>
      </w:r>
    </w:p>
    <w:p>
      <w:pPr>
        <w:numPr>
          <w:ilvl w:val="0"/>
          <w:numId w:val="10"/>
        </w:numPr>
        <w:rPr>
          <w:rFonts w:ascii="Times New Roman" w:hAnsi="Times New Roman" w:eastAsia="微软雅黑" w:cs="Times New Roman"/>
          <w:sz w:val="18"/>
          <w:szCs w:val="18"/>
          <w:lang w:val="zh-CN" w:eastAsia="zh-CN"/>
        </w:rPr>
      </w:pP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rPr>
          <w:rFonts w:ascii="Times New Roman" w:hAnsi="Times New Roman" w:eastAsia="微软雅黑" w:cs="Times New Roman"/>
          <w:sz w:val="18"/>
          <w:szCs w:val="18"/>
          <w:lang w:eastAsia="zh-CN"/>
        </w:rPr>
      </w:pPr>
    </w:p>
    <w:p>
      <w:pPr>
        <w:widowControl/>
        <w:rPr>
          <w:rFonts w:ascii="Times New Roman" w:hAnsi="Times New Roman" w:eastAsia="微软雅黑" w:cs="Times New Roman"/>
          <w:bCs/>
          <w:lang w:eastAsia="zh-CN"/>
        </w:rPr>
      </w:pPr>
      <w:r>
        <w:rPr>
          <w:rFonts w:ascii="Times New Roman" w:hAnsi="Times New Roman" w:eastAsia="微软雅黑" w:cs="Times New Roman"/>
          <w:b/>
          <w:bCs/>
          <w:lang w:eastAsia="zh-CN"/>
        </w:rPr>
        <w:br w:type="page"/>
      </w:r>
    </w:p>
    <w:p>
      <w:pPr>
        <w:pStyle w:val="23"/>
        <w:rPr>
          <w:rFonts w:hint="default" w:ascii="Times New Roman" w:hAnsi="Times New Roman" w:eastAsia="微软雅黑" w:cs="Times New Roman"/>
          <w:bCs/>
          <w:sz w:val="18"/>
          <w:szCs w:val="18"/>
          <w:lang w:val="en-US" w:eastAsia="zh-CN"/>
        </w:rPr>
      </w:pPr>
      <w:bookmarkStart w:id="36" w:name="_Toc23846_WPSOffice_Level1"/>
      <w:bookmarkStart w:id="37" w:name="_Toc25727"/>
      <w:bookmarkStart w:id="38" w:name="_Toc4331_WPSOffice_Level1"/>
      <w:bookmarkStart w:id="39" w:name="_Toc23903"/>
      <w:bookmarkStart w:id="40" w:name="_Toc29988"/>
      <w:bookmarkStart w:id="41" w:name="_Toc32443_WPSOffice_Level1"/>
      <w:r>
        <w:t>基因检测结果解析</w:t>
      </w:r>
      <w:bookmarkEnd w:id="36"/>
      <w:bookmarkEnd w:id="37"/>
      <w:bookmarkEnd w:id="38"/>
      <w:bookmarkEnd w:id="39"/>
      <w:bookmarkEnd w:id="40"/>
      <w:bookmarkEnd w:id="41"/>
    </w:p>
    <w:p>
      <w:pPr>
        <w:widowControl/>
        <w:rPr>
          <w:rFonts w:hint="eastAsia" w:ascii="Times New Roman" w:hAnsi="Times New Roman" w:eastAsia="微软雅黑" w:cs="Times New Roman"/>
          <w:b/>
          <w:color w:val="45A3A7"/>
          <w:sz w:val="24"/>
          <w:szCs w:val="24"/>
          <w:lang w:eastAsia="zh-CN"/>
        </w:rPr>
      </w:pPr>
      <w:r>
        <w:rPr>
          <w:rFonts w:hint="eastAsia" w:ascii="Times New Roman" w:hAnsi="Times New Roman" w:eastAsia="微软雅黑" w:cs="Times New Roman"/>
          <w:b/>
          <w:color w:val="45A3A7"/>
          <w:sz w:val="24"/>
          <w:szCs w:val="24"/>
          <w:lang w:eastAsia="zh-CN"/>
        </w:rPr>
        <w:t>{% if drugAnalysisIndex == 'true' %}</w:t>
      </w:r>
    </w:p>
    <w:p>
      <w:pPr>
        <w:pStyle w:val="24"/>
      </w:pPr>
      <w:bookmarkStart w:id="42" w:name="_Toc15758"/>
      <w:bookmarkStart w:id="43" w:name="_Toc32443_WPSOffice_Level2"/>
      <w:bookmarkStart w:id="44" w:name="_Toc23606"/>
      <w:bookmarkStart w:id="45" w:name="_Toc4331_WPSOffice_Level2"/>
      <w:r>
        <w:t>靶向药物检测解析</w:t>
      </w:r>
      <w:bookmarkEnd w:id="42"/>
      <w:bookmarkEnd w:id="43"/>
      <w:bookmarkEnd w:id="44"/>
      <w:bookmarkEnd w:id="45"/>
    </w:p>
    <w:p>
      <w:pPr>
        <w:keepNext/>
        <w:spacing w:before="120" w:beforeLines="50" w:after="120" w:afterLines="50"/>
        <w:rPr>
          <w:rFonts w:ascii="Times New Roman" w:hAnsi="Times New Roman" w:eastAsia="微软雅黑" w:cs="Times New Roman"/>
          <w:b/>
          <w:color w:val="45A3A7"/>
          <w:sz w:val="24"/>
          <w:szCs w:val="24"/>
          <w:lang w:eastAsia="zh-CN"/>
        </w:rPr>
      </w:pPr>
      <w:bookmarkStart w:id="46" w:name="_Toc15289_WPSOffice_Level3"/>
      <w:bookmarkStart w:id="47" w:name="_Toc6931_WPSOffice_Level3"/>
      <w:r>
        <w:rPr>
          <w:rFonts w:hint="eastAsia" w:ascii="Times New Roman" w:hAnsi="Times New Roman" w:eastAsia="微软雅黑" w:cs="Times New Roman"/>
          <w:b/>
          <w:color w:val="45A3A7"/>
          <w:sz w:val="24"/>
          <w:szCs w:val="24"/>
          <w:lang w:eastAsia="zh-CN"/>
        </w:rPr>
        <w:t>{%if TargetedDrugDetectionStr != [] %}{% for tdd in TargetedDrugDetectionStr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95"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{%tr if tdd.gene == </w:t>
            </w:r>
            <w:r>
              <w:rPr>
                <w:rFonts w:ascii="Times New Roman" w:hAnsi="Times New Roman" w:eastAsia="微软雅黑" w:cs="Times New Roman"/>
                <w:bCs/>
                <w:sz w:val="18"/>
                <w:szCs w:val="18"/>
                <w:lang w:eastAsia="zh-CN"/>
              </w:rPr>
              <w:t>‘</w:t>
            </w:r>
            <w:r>
              <w:rPr>
                <w:rFonts w:ascii="Times New Roman" w:hAnsi="Times New Roman" w:eastAsia="微软雅黑" w:cs="Times New Roman"/>
                <w:sz w:val="18"/>
                <w:szCs w:val="18"/>
                <w:lang w:eastAsia="zh-CN"/>
              </w:rPr>
              <w:t>多靶点循证</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突变位点</w:t>
            </w:r>
          </w:p>
        </w:tc>
        <w:tc>
          <w:tcPr>
            <w:tcW w:w="8247"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if</w:t>
            </w:r>
            <w:r>
              <w:rPr>
                <w:rFonts w:hint="eastAsia" w:ascii="Times New Roman" w:hAnsi="Times New Roman" w:eastAsia="微软雅黑" w:cs="Times New Roman"/>
                <w:bCs/>
                <w:sz w:val="18"/>
                <w:szCs w:val="18"/>
                <w:lang w:eastAsia="zh-CN"/>
              </w:rPr>
              <w:t xml:space="preserve"> tdd.simple_vars</w:t>
            </w:r>
            <w:r>
              <w:rPr>
                <w:rFonts w:hint="eastAsia" w:ascii="Times New Roman" w:hAnsi="Times New Roman" w:eastAsia="微软雅黑" w:cs="Times New Roman"/>
                <w:sz w:val="18"/>
                <w:szCs w:val="18"/>
                <w:lang w:eastAsia="zh-CN"/>
              </w:rPr>
              <w:t xml:space="preserve"> == [] %}无{% else%}</w:t>
            </w:r>
            <w:r>
              <w:rPr>
                <w:rFonts w:hint="eastAsia" w:ascii="Times New Roman" w:hAnsi="Times New Roman" w:eastAsia="微软雅黑" w:cs="Times New Roman"/>
                <w:bCs/>
                <w:sz w:val="18"/>
                <w:szCs w:val="18"/>
                <w:lang w:eastAsia="zh-CN"/>
              </w:rPr>
              <w:t>{% for sv in tdd.simple_vars%}</w:t>
            </w:r>
            <w:r>
              <w:rPr>
                <w:rFonts w:hint="eastAsia" w:ascii="Times New Roman" w:hAnsi="Times New Roman" w:eastAsia="微软雅黑" w:cs="Times New Roman"/>
                <w:sz w:val="18"/>
                <w:szCs w:val="18"/>
                <w:lang w:eastAsia="zh-CN"/>
              </w:rPr>
              <w:t>{% if loop.last %}</w:t>
            </w:r>
            <w:r>
              <w:rPr>
                <w:rFonts w:hint="eastAsia" w:ascii="Times New Roman" w:hAnsi="Times New Roman" w:eastAsia="微软雅黑" w:cs="Times New Roman"/>
                <w:bCs/>
                <w:sz w:val="18"/>
                <w:szCs w:val="18"/>
                <w:lang w:eastAsia="zh-CN"/>
              </w:rPr>
              <w:t>{{ sv }}{% else %}{{ sv }}</w:t>
            </w:r>
          </w:p>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endif %}{% endfor %}{%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restart"/>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潜在获益药物</w:t>
            </w:r>
          </w:p>
        </w:tc>
        <w:tc>
          <w:tcPr>
            <w:tcW w:w="1191"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A级</w:t>
            </w:r>
          </w:p>
        </w:tc>
        <w:tc>
          <w:tcPr>
            <w:tcW w:w="8247" w:type="dxa"/>
            <w:vAlign w:val="center"/>
          </w:tcPr>
          <w:p>
            <w:pPr>
              <w:keepNext w:val="0"/>
              <w:keepLines w:val="0"/>
              <w:pageBreakBefore w:val="0"/>
              <w:widowControl w:val="0"/>
              <w:kinsoku/>
              <w:wordWrap/>
              <w:overflowPunct/>
              <w:topLinePunct w:val="0"/>
              <w:autoSpaceDE/>
              <w:autoSpaceDN/>
              <w:bidi w:val="0"/>
              <w:adjustRightInd/>
              <w:snapToGrid/>
              <w:spacing w:before="1" w:line="250" w:lineRule="auto"/>
              <w:ind w:right="0"/>
              <w:jc w:val="center"/>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 }}{%else%}{{</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B级</w:t>
            </w:r>
          </w:p>
        </w:tc>
        <w:tc>
          <w:tcPr>
            <w:tcW w:w="8247" w:type="dxa"/>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 }}{%else%}{{</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C级</w:t>
            </w:r>
          </w:p>
        </w:tc>
        <w:tc>
          <w:tcPr>
            <w:tcW w:w="8247" w:type="dxa"/>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 }}{%else%}{{</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潜在耐药信息</w:t>
            </w:r>
          </w:p>
        </w:tc>
        <w:tc>
          <w:tcPr>
            <w:tcW w:w="8247" w:type="dxa"/>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tdd.resistantStr == [] %}无{% else%}{% for d in tdd.resistantStr %}{%if loop.last%}{{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 }}{%else%}{{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循证医学证据</w:t>
            </w:r>
          </w:p>
        </w:tc>
        <w:tc>
          <w:tcPr>
            <w:tcW w:w="8247" w:type="dxa"/>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'recommend:' %}</w:t>
            </w:r>
            <w:r>
              <w:rPr>
                <w:rFonts w:hint="eastAsia" w:ascii="Times New Roman" w:hAnsi="Times New Roman" w:eastAsia="微软雅黑" w:cs="Times New Roman"/>
                <w:b/>
                <w:bCs/>
                <w:sz w:val="18"/>
                <w:szCs w:val="18"/>
                <w:lang w:eastAsia="zh-CN"/>
              </w:rPr>
              <w:t>{{md.value}}</w:t>
            </w:r>
            <w:r>
              <w:rPr>
                <w:rFonts w:hint="eastAsia" w:ascii="Times New Roman" w:hAnsi="Times New Roman" w:eastAsia="微软雅黑" w:cs="Times New Roman"/>
                <w:sz w:val="18"/>
                <w:szCs w:val="18"/>
                <w:lang w:eastAsia="zh-CN"/>
              </w:rPr>
              <w:t>{%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endif %}{% endfor %}</w:t>
            </w:r>
          </w:p>
        </w:tc>
      </w:tr>
    </w:tbl>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color w:val="45A3A7"/>
          <w:sz w:val="24"/>
          <w:lang w:eastAsia="zh-CN"/>
        </w:rPr>
        <w:t xml:space="preserve">{%if </w:t>
      </w:r>
      <w:r>
        <w:rPr>
          <w:rFonts w:hint="eastAsia" w:ascii="Times New Roman" w:hAnsi="Times New Roman" w:eastAsia="微软雅黑" w:cs="Times New Roman"/>
          <w:b/>
          <w:color w:val="45A3A7"/>
          <w:sz w:val="24"/>
          <w:szCs w:val="24"/>
          <w:lang w:eastAsia="zh-CN"/>
        </w:rPr>
        <w:t>tdd.</w:t>
      </w:r>
      <w:r>
        <w:rPr>
          <w:rFonts w:hint="eastAsia" w:ascii="Times New Roman" w:hAnsi="Times New Roman" w:eastAsia="微软雅黑" w:cs="Times New Roman"/>
          <w:b/>
          <w:color w:val="45A3A7"/>
          <w:sz w:val="24"/>
          <w:lang w:eastAsia="zh-CN"/>
        </w:rPr>
        <w:t>drugInformationStr != [] %}</w:t>
      </w:r>
    </w:p>
    <w:p>
      <w:pPr>
        <w:keepNext/>
        <w:spacing w:before="26" w:after="120" w:afterLines="50"/>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t>药物信息</w:t>
      </w:r>
    </w:p>
    <w:tbl>
      <w:tblPr>
        <w:tblStyle w:val="15"/>
        <w:tblpPr w:leftFromText="180" w:rightFromText="180" w:vertAnchor="text" w:horzAnchor="page" w:tblpX="1139" w:tblpY="7"/>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药物名称</w:t>
            </w:r>
          </w:p>
        </w:tc>
        <w:tc>
          <w:tcPr>
            <w:tcW w:w="8255" w:type="dxa"/>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适应症</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Pr>
          <w:p>
            <w:pPr>
              <w:keepNext/>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cs="Times New Roman"/>
                <w:b/>
                <w:color w:val="45A3A7"/>
                <w:sz w:val="18"/>
                <w:szCs w:val="18"/>
                <w:lang w:eastAsia="zh-CN"/>
              </w:rPr>
              <w:t>{%tr for dis in tdd.drugInformationStr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Cs/>
                <w:sz w:val="18"/>
                <w:szCs w:val="18"/>
                <w:lang w:eastAsia="zh-CN"/>
              </w:rPr>
              <w:t>dis</w:t>
            </w:r>
            <w:r>
              <w:rPr>
                <w:rFonts w:hint="eastAsia" w:ascii="Times New Roman" w:hAnsi="Times New Roman" w:eastAsia="微软雅黑" w:cs="Times New Roman"/>
                <w:bCs/>
                <w:sz w:val="18"/>
                <w:szCs w:val="18"/>
                <w:lang w:val="en-US" w:eastAsia="zh-CN"/>
              </w:rPr>
              <w:t>.name</w:t>
            </w:r>
            <w:r>
              <w:rPr>
                <w:rFonts w:hint="eastAsia" w:ascii="Times New Roman" w:hAnsi="Times New Roman" w:eastAsia="微软雅黑" w:cs="Times New Roman"/>
                <w:sz w:val="18"/>
                <w:szCs w:val="18"/>
                <w:lang w:eastAsia="zh-CN"/>
              </w:rPr>
              <w:t xml:space="preserve"> | ms(</w:t>
            </w:r>
            <w:r>
              <w:rPr>
                <w:rFonts w:hint="eastAsia" w:ascii="Times New Roman" w:hAnsi="Times New Roman" w:eastAsia="微软雅黑" w:cs="Times New Roman"/>
                <w:bCs/>
                <w:sz w:val="18"/>
                <w:szCs w:val="18"/>
                <w:lang w:eastAsia="zh-CN"/>
              </w:rPr>
              <w:t>dis</w:t>
            </w:r>
            <w:r>
              <w:rPr>
                <w:rFonts w:hint="eastAsia" w:ascii="Times New Roman" w:hAnsi="Times New Roman" w:eastAsia="微软雅黑" w:cs="Times New Roman"/>
                <w:sz w:val="18"/>
                <w:szCs w:val="18"/>
                <w:lang w:eastAsia="zh-CN"/>
              </w:rPr>
              <w:t>.isbold</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bCs/>
                <w:sz w:val="18"/>
                <w:szCs w:val="18"/>
                <w:lang w:eastAsia="zh-CN"/>
              </w:rPr>
              <w:t>dis</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isRed)}}</w:t>
            </w:r>
          </w:p>
        </w:tc>
        <w:tc>
          <w:tcPr>
            <w:tcW w:w="8255" w:type="dxa"/>
          </w:tcPr>
          <w:p>
            <w:pPr>
              <w:keepNext/>
              <w:spacing w:before="26"/>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 xml:space="preserve">d in </w:t>
            </w:r>
            <w:r>
              <w:rPr>
                <w:rFonts w:hint="eastAsia" w:ascii="Times New Roman" w:hAnsi="Times New Roman" w:eastAsia="微软雅黑" w:cs="Times New Roman"/>
                <w:bCs/>
                <w:sz w:val="18"/>
                <w:szCs w:val="18"/>
                <w:lang w:eastAsia="zh-CN"/>
              </w:rPr>
              <w:t>dis.drugInfo</w:t>
            </w:r>
            <w:r>
              <w:rPr>
                <w:rFonts w:hint="eastAsia" w:ascii="Times New Roman" w:hAnsi="Times New Roman" w:eastAsia="微软雅黑" w:cs="Times New Roman"/>
                <w:sz w:val="18"/>
                <w:szCs w:val="18"/>
                <w:lang w:eastAsia="zh-CN"/>
              </w:rPr>
              <w:t xml:space="preserve"> %}{%if loop.last%}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dd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dd</w:t>
            </w:r>
            <w:r>
              <w:rPr>
                <w:rFonts w:hint="eastAsia" w:ascii="Times New Roman" w:hAnsi="Times New Roman" w:eastAsia="微软雅黑" w:cs="Times New Roman"/>
                <w:bCs/>
                <w:sz w:val="18"/>
                <w:szCs w:val="18"/>
                <w:lang w:eastAsia="zh-CN"/>
              </w:rPr>
              <w:t xml:space="preserve"> }}</w:t>
            </w:r>
          </w:p>
          <w:p>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vAlign w:val="center"/>
          </w:tcPr>
          <w:p>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color w:val="45A3A7"/>
          <w:sz w:val="24"/>
          <w:lang w:eastAsia="zh-CN"/>
        </w:rPr>
        <w:t xml:space="preserve">{% endif %}{%if </w:t>
      </w:r>
      <w:r>
        <w:rPr>
          <w:rFonts w:hint="eastAsia" w:ascii="Times New Roman" w:hAnsi="Times New Roman" w:eastAsia="微软雅黑" w:cs="Times New Roman"/>
          <w:b/>
          <w:color w:val="45A3A7"/>
          <w:sz w:val="24"/>
          <w:szCs w:val="24"/>
          <w:lang w:eastAsia="zh-CN"/>
        </w:rPr>
        <w:t>tdd.</w:t>
      </w:r>
      <w:r>
        <w:rPr>
          <w:rFonts w:hint="eastAsia" w:ascii="Times New Roman" w:hAnsi="Times New Roman" w:eastAsia="微软雅黑" w:cs="Times New Roman"/>
          <w:b/>
          <w:color w:val="45A3A7"/>
          <w:sz w:val="24"/>
          <w:lang w:eastAsia="zh-CN"/>
        </w:rPr>
        <w:t>clinicalTrialInformationStr!= [] %}</w:t>
      </w:r>
    </w:p>
    <w:p>
      <w:pPr>
        <w:keepNext/>
        <w:spacing w:before="26" w:after="120" w:afterLines="50"/>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color w:val="45A3A7"/>
          <w:sz w:val="24"/>
          <w:lang w:eastAsia="zh-CN"/>
        </w:rPr>
        <w:t>临床试验信息</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ID</w:t>
            </w:r>
          </w:p>
        </w:tc>
        <w:tc>
          <w:tcPr>
            <w:tcW w:w="3884" w:type="dxa"/>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临床试验名称</w:t>
            </w:r>
          </w:p>
        </w:tc>
        <w:tc>
          <w:tcPr>
            <w:tcW w:w="1246"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肿瘤类型</w:t>
            </w:r>
          </w:p>
        </w:tc>
        <w:tc>
          <w:tcPr>
            <w:tcW w:w="1035"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阶段</w:t>
            </w:r>
          </w:p>
        </w:tc>
        <w:tc>
          <w:tcPr>
            <w:tcW w:w="1204"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药物</w:t>
            </w:r>
          </w:p>
        </w:tc>
        <w:tc>
          <w:tcPr>
            <w:tcW w:w="856"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45A3A7"/>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 }}{%else%}{{</w:t>
            </w:r>
            <w:r>
              <w:rPr>
                <w:rFonts w:hint="eastAsia" w:ascii="Times New Roman" w:hAnsi="Times New Roman" w:eastAsia="微软雅黑" w:cs="Times New Roman"/>
                <w:sz w:val="18"/>
                <w:szCs w:val="18"/>
                <w:lang w:val="en-US" w:eastAsia="zh-CN"/>
              </w:rPr>
              <w:t>r</w:t>
            </w:r>
            <w:r>
              <w:rPr>
                <w:rFonts w:hint="eastAsia" w:ascii="Times New Roman" w:hAnsi="Times New Roman" w:eastAsia="微软雅黑" w:cs="Times New Roman"/>
                <w:sz w:val="18"/>
                <w:szCs w:val="18"/>
                <w:lang w:eastAsia="zh-CN"/>
              </w:rPr>
              <w:t xml:space="preserve"> d.name | ms(d.isbold</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isRed)}}</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cs="Times New Roman"/>
          <w:b/>
          <w:color w:val="45A3A7"/>
          <w:sz w:val="24"/>
          <w:szCs w:val="24"/>
          <w:lang w:eastAsia="zh-CN"/>
        </w:rPr>
        <w:t>{% endif %}</w:t>
      </w:r>
      <w:r>
        <w:rPr>
          <w:rFonts w:hint="eastAsia"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color w:val="45A3A7"/>
          <w:sz w:val="24"/>
          <w:szCs w:val="24"/>
          <w:lang w:eastAsia="zh-CN"/>
        </w:rPr>
        <w:t>{% endfor %}{% endif %}{% endif %}{% if unknownVarAnalysisStr != [] %}未知临床意义基因突变解析</w:t>
      </w:r>
      <w:r>
        <w:rPr>
          <w:rFonts w:hint="eastAsia" w:ascii="Times New Roman" w:hAnsi="Times New Roman" w:eastAsia="微软雅黑" w:cs="Times New Roman"/>
          <w:b/>
          <w:color w:val="45A3A7"/>
          <w:sz w:val="20"/>
          <w:szCs w:val="20"/>
          <w:lang w:eastAsia="zh-CN"/>
        </w:rPr>
        <w:t xml:space="preserve">{% for </w:t>
      </w:r>
      <w:r>
        <w:rPr>
          <w:rFonts w:hint="eastAsia" w:ascii="Times New Roman" w:hAnsi="Times New Roman" w:eastAsia="微软雅黑" w:cs="Times New Roman"/>
          <w:b/>
          <w:color w:val="45A3A7"/>
          <w:sz w:val="20"/>
          <w:szCs w:val="20"/>
          <w:lang w:val="en-US" w:eastAsia="zh-CN"/>
        </w:rPr>
        <w:t>vu</w:t>
      </w:r>
      <w:r>
        <w:rPr>
          <w:rFonts w:hint="eastAsia" w:ascii="Times New Roman" w:hAnsi="Times New Roman" w:eastAsia="微软雅黑" w:cs="Times New Roman"/>
          <w:b/>
          <w:color w:val="45A3A7"/>
          <w:sz w:val="20"/>
          <w:szCs w:val="20"/>
          <w:lang w:eastAsia="zh-CN"/>
        </w:rPr>
        <w:t xml:space="preserve">s in </w:t>
      </w:r>
      <w:r>
        <w:rPr>
          <w:rFonts w:hint="eastAsia" w:ascii="Times New Roman" w:hAnsi="Times New Roman" w:eastAsia="微软雅黑" w:cs="Times New Roman"/>
          <w:b/>
          <w:color w:val="45A3A7"/>
          <w:sz w:val="24"/>
          <w:szCs w:val="24"/>
          <w:lang w:eastAsia="zh-CN"/>
        </w:rPr>
        <w:t xml:space="preserve">unknownVarAnalysisStr </w:t>
      </w:r>
      <w:r>
        <w:rPr>
          <w:rFonts w:hint="eastAsia" w:ascii="Times New Roman" w:hAnsi="Times New Roman" w:eastAsia="微软雅黑" w:cs="Times New Roman"/>
          <w:b/>
          <w:color w:val="45A3A7"/>
          <w:sz w:val="20"/>
          <w:szCs w:val="20"/>
          <w:lang w:eastAsia="zh-CN"/>
        </w:rPr>
        <w:t>%}</w:t>
      </w:r>
    </w:p>
    <w:p>
      <w:pPr>
        <w:keepNext/>
        <w:spacing w:before="240" w:beforeLines="100" w:line="360" w:lineRule="auto"/>
        <w:rPr>
          <w:rFonts w:ascii="Times New Roman" w:hAnsi="Times New Roman" w:eastAsia="微软雅黑" w:cs="Times New Roman"/>
          <w:b/>
          <w:color w:val="45A3A7"/>
          <w:sz w:val="20"/>
          <w:szCs w:val="20"/>
          <w:lang w:eastAsia="zh-CN"/>
        </w:rPr>
      </w:pPr>
      <w:r>
        <w:rPr>
          <w:rFonts w:hint="eastAsia" w:ascii="Times New Roman" w:hAnsi="Times New Roman" w:eastAsia="微软雅黑" w:cs="Times New Roman"/>
          <w:b/>
          <w:color w:val="45A3A7"/>
          <w:sz w:val="20"/>
          <w:szCs w:val="20"/>
          <w:lang w:eastAsia="zh-CN"/>
        </w:rPr>
        <w:t xml:space="preserve">{{ </w:t>
      </w:r>
      <w:r>
        <w:rPr>
          <w:rFonts w:hint="eastAsia" w:ascii="Times New Roman" w:hAnsi="Times New Roman" w:eastAsia="微软雅黑" w:cs="Times New Roman"/>
          <w:b/>
          <w:color w:val="45A3A7"/>
          <w:sz w:val="20"/>
          <w:szCs w:val="20"/>
          <w:lang w:val="en-US" w:eastAsia="zh-CN"/>
        </w:rPr>
        <w:t>vu</w:t>
      </w:r>
      <w:r>
        <w:rPr>
          <w:rFonts w:hint="eastAsia" w:ascii="Times New Roman" w:hAnsi="Times New Roman" w:eastAsia="微软雅黑" w:cs="Times New Roman"/>
          <w:b/>
          <w:color w:val="45A3A7"/>
          <w:sz w:val="20"/>
          <w:szCs w:val="20"/>
          <w:lang w:eastAsia="zh-CN"/>
        </w:rPr>
        <w:t>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vAlign w:val="center"/>
          </w:tcPr>
          <w:p>
            <w:pPr>
              <w:keepNext/>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突变形式</w:t>
            </w:r>
          </w:p>
        </w:tc>
        <w:tc>
          <w:tcPr>
            <w:tcW w:w="8027" w:type="dxa"/>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xml:space="preserve">{{ </w:t>
            </w:r>
            <w:r>
              <w:rPr>
                <w:rFonts w:hint="eastAsia" w:ascii="Times New Roman" w:hAnsi="Times New Roman" w:eastAsia="微软雅黑" w:cs="Times New Roman"/>
                <w:color w:val="000000"/>
                <w:sz w:val="18"/>
                <w:szCs w:val="18"/>
                <w:lang w:val="en-US" w:eastAsia="zh-CN"/>
              </w:rPr>
              <w:t>vu</w:t>
            </w:r>
            <w:r>
              <w:rPr>
                <w:rFonts w:hint="eastAsia" w:ascii="Times New Roman" w:hAnsi="Times New Roman" w:eastAsia="微软雅黑" w:cs="Times New Roman"/>
                <w:color w:val="000000"/>
                <w:sz w:val="18"/>
                <w:szCs w:val="18"/>
                <w:lang w:eastAsia="zh-CN"/>
              </w:rPr>
              <w:t>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突变说明</w:t>
            </w:r>
          </w:p>
        </w:tc>
        <w:tc>
          <w:tcPr>
            <w:tcW w:w="8027" w:type="dxa"/>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xml:space="preserve">{{ </w:t>
            </w:r>
            <w:r>
              <w:rPr>
                <w:rFonts w:hint="eastAsia" w:ascii="Times New Roman" w:hAnsi="Times New Roman" w:eastAsia="微软雅黑" w:cs="Times New Roman"/>
                <w:color w:val="000000"/>
                <w:sz w:val="18"/>
                <w:szCs w:val="18"/>
                <w:lang w:val="en-US" w:eastAsia="zh-CN"/>
              </w:rPr>
              <w:t>vu</w:t>
            </w:r>
            <w:r>
              <w:rPr>
                <w:rFonts w:hint="eastAsia" w:ascii="Times New Roman" w:hAnsi="Times New Roman" w:eastAsia="微软雅黑" w:cs="Times New Roman"/>
                <w:color w:val="000000"/>
                <w:sz w:val="18"/>
                <w:szCs w:val="18"/>
                <w:lang w:eastAsia="zh-CN"/>
              </w:rPr>
              <w:t>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基因说明</w:t>
            </w:r>
          </w:p>
        </w:tc>
        <w:tc>
          <w:tcPr>
            <w:tcW w:w="8027" w:type="dxa"/>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vu</w:t>
            </w:r>
            <w:r>
              <w:rPr>
                <w:rFonts w:hint="eastAsia" w:ascii="Times New Roman" w:hAnsi="Times New Roman" w:eastAsia="微软雅黑" w:cs="Times New Roman"/>
                <w:sz w:val="18"/>
                <w:szCs w:val="18"/>
                <w:lang w:eastAsia="zh-CN"/>
              </w:rPr>
              <w:t>s.gene_description_chinese }}</w:t>
            </w:r>
          </w:p>
        </w:tc>
      </w:tr>
    </w:tbl>
    <w:p>
      <w:pPr>
        <w:widowControl/>
        <w:rPr>
          <w:rFonts w:ascii="Times New Roman" w:hAnsi="Times New Roman" w:eastAsia="微软雅黑" w:cs="Times New Roman"/>
          <w:sz w:val="20"/>
          <w:szCs w:val="18"/>
          <w:lang w:eastAsia="zh-CN"/>
        </w:rPr>
      </w:pPr>
      <w:bookmarkStart w:id="89" w:name="_GoBack"/>
      <w:bookmarkEnd w:id="89"/>
      <w:r>
        <w:rPr>
          <w:rFonts w:hint="eastAsia" w:ascii="Times New Roman" w:hAnsi="Times New Roman" w:eastAsia="微软雅黑" w:cs="Times New Roman"/>
          <w:b/>
          <w:color w:val="45A3A7"/>
          <w:sz w:val="20"/>
          <w:szCs w:val="20"/>
          <w:lang w:eastAsia="zh-CN"/>
        </w:rPr>
        <w:t>{% endfor %}</w:t>
      </w:r>
      <w:r>
        <w:rPr>
          <w:rFonts w:ascii="Times New Roman" w:hAnsi="Times New Roman" w:eastAsia="微软雅黑" w:cs="Times New Roman"/>
          <w:sz w:val="20"/>
          <w:szCs w:val="18"/>
          <w:lang w:eastAsia="zh-CN"/>
        </w:rPr>
        <w:br w:type="page"/>
      </w:r>
    </w:p>
    <w:p>
      <w:pPr>
        <w:rPr>
          <w:rFonts w:ascii="Times New Roman" w:hAnsi="Times New Roman" w:eastAsia="微软雅黑" w:cs="Times New Roman"/>
          <w:b/>
          <w:lang w:eastAsia="zh-CN"/>
        </w:rPr>
      </w:pPr>
      <w:r>
        <w:rPr>
          <w:rFonts w:hint="eastAsia"/>
          <w:lang w:eastAsia="zh-CN"/>
        </w:rPr>
        <w:t>{% endif %}</w:t>
      </w:r>
      <w:r>
        <w:rPr>
          <w:rFonts w:hint="eastAsia" w:ascii="Times New Roman" w:hAnsi="Times New Roman" w:eastAsia="微软雅黑" w:cs="Times New Roman"/>
          <w:sz w:val="18"/>
          <w:lang w:eastAsia="zh-CN"/>
        </w:rPr>
        <w:t xml:space="preserve">{% if crAnalysisIndex == </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true</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 xml:space="preserve"> %}</w:t>
      </w:r>
    </w:p>
    <w:p>
      <w:pPr>
        <w:pStyle w:val="24"/>
        <w:rPr>
          <w:rFonts w:ascii="Times New Roman" w:hAnsi="Times New Roman" w:eastAsia="微软雅黑" w:cs="Times New Roman"/>
          <w:b/>
          <w:color w:val="45A3A7"/>
          <w:sz w:val="20"/>
          <w:szCs w:val="20"/>
          <w:lang w:eastAsia="zh-CN"/>
        </w:rPr>
      </w:pPr>
      <w:bookmarkStart w:id="48" w:name="_Toc370"/>
      <w:r>
        <w:t>遗传风险检测结果解析</w:t>
      </w:r>
      <w:bookmarkEnd w:id="48"/>
      <w:r>
        <w:rPr>
          <w:rFonts w:hint="eastAsia" w:ascii="Times New Roman" w:hAnsi="Times New Roman" w:eastAsia="微软雅黑" w:cs="Times New Roman"/>
          <w:b/>
          <w:color w:val="45A3A7"/>
          <w:sz w:val="24"/>
          <w:szCs w:val="24"/>
          <w:lang w:eastAsia="zh-CN"/>
        </w:rPr>
        <w:t>{% for genetic</w:t>
      </w:r>
      <w:r>
        <w:rPr>
          <w:rFonts w:hint="eastAsia" w:cs="Times New Roman"/>
          <w:b/>
          <w:color w:val="45A3A7"/>
          <w:sz w:val="24"/>
          <w:szCs w:val="24"/>
          <w:lang w:eastAsia="zh-CN"/>
        </w:rPr>
        <w:t xml:space="preserve"> </w:t>
      </w:r>
      <w:r>
        <w:rPr>
          <w:rFonts w:hint="eastAsia" w:ascii="Times New Roman" w:hAnsi="Times New Roman" w:eastAsia="微软雅黑" w:cs="Times New Roman"/>
          <w:b/>
          <w:color w:val="45A3A7"/>
          <w:sz w:val="24"/>
          <w:szCs w:val="24"/>
          <w:lang w:eastAsia="zh-CN"/>
        </w:rPr>
        <w:t>in geneticCancerRiskInfo%}</w:t>
      </w:r>
    </w:p>
    <w:p>
      <w:pPr>
        <w:spacing w:before="240" w:beforeLines="100" w:line="360" w:lineRule="auto"/>
        <w:rPr>
          <w:rFonts w:ascii="Times New Roman" w:hAnsi="Times New Roman" w:eastAsia="微软雅黑" w:cs="Times New Roman"/>
          <w:b/>
          <w:color w:val="45A3A7"/>
          <w:sz w:val="20"/>
          <w:szCs w:val="20"/>
          <w:lang w:eastAsia="zh-CN"/>
        </w:rPr>
      </w:pPr>
      <w:r>
        <w:rPr>
          <w:rFonts w:hint="eastAsia" w:ascii="Times New Roman" w:hAnsi="Times New Roman" w:eastAsia="微软雅黑" w:cs="Times New Roman"/>
          <w:b/>
          <w:color w:val="45A3A7"/>
          <w:sz w:val="20"/>
          <w:szCs w:val="20"/>
          <w:lang w:eastAsia="zh-CN"/>
        </w:rPr>
        <w:t xml:space="preserve">{{ </w:t>
      </w:r>
      <w:r>
        <w:rPr>
          <w:rFonts w:hint="eastAsia" w:ascii="Times New Roman" w:hAnsi="Times New Roman" w:eastAsia="微软雅黑" w:cs="Times New Roman"/>
          <w:b/>
          <w:color w:val="45A3A7"/>
          <w:sz w:val="24"/>
          <w:szCs w:val="24"/>
          <w:lang w:eastAsia="zh-CN"/>
        </w:rPr>
        <w:t>genetic.</w:t>
      </w:r>
      <w:r>
        <w:rPr>
          <w:rFonts w:hint="eastAsia" w:ascii="Times New Roman" w:hAnsi="Times New Roman" w:eastAsia="微软雅黑" w:cs="Times New Roman"/>
          <w:b/>
          <w:color w:val="45A3A7"/>
          <w:sz w:val="20"/>
          <w:szCs w:val="20"/>
          <w:lang w:eastAsia="zh-CN"/>
        </w:rPr>
        <w:t>Gene }}</w:t>
      </w:r>
    </w:p>
    <w:tbl>
      <w:tblPr>
        <w:tblStyle w:val="15"/>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31" w:hRule="atLeast"/>
          <w:jc w:val="center"/>
        </w:trPr>
        <w:tc>
          <w:tcPr>
            <w:tcW w:w="1843" w:type="dxa"/>
          </w:tcPr>
          <w:p>
            <w:pP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突变形式</w:t>
            </w:r>
          </w:p>
        </w:tc>
        <w:tc>
          <w:tcPr>
            <w:tcW w:w="8027" w:type="dxa"/>
            <w:vAlign w:val="center"/>
          </w:tcPr>
          <w:p>
            <w:pPr>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genetic.FreDesc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突变说明</w:t>
            </w:r>
          </w:p>
        </w:tc>
        <w:tc>
          <w:tcPr>
            <w:tcW w:w="8027" w:type="dxa"/>
          </w:tcPr>
          <w:p>
            <w:p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genetic.mutDesc}}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基因说明</w:t>
            </w:r>
          </w:p>
        </w:tc>
        <w:tc>
          <w:tcPr>
            <w:tcW w:w="8027" w:type="dxa"/>
          </w:tcPr>
          <w:p>
            <w:p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genetic.GeneDesc}}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lang w:eastAsia="zh-CN"/>
              </w:rPr>
            </w:pPr>
            <w:r>
              <w:rPr>
                <w:rFonts w:hint="eastAsia" w:ascii="Times New Roman" w:hAnsi="Times New Roman" w:eastAsia="微软雅黑" w:cs="Times New Roman"/>
                <w:b/>
                <w:color w:val="45A3A7"/>
                <w:sz w:val="18"/>
                <w:szCs w:val="18"/>
                <w:lang w:eastAsia="zh-CN"/>
              </w:rPr>
              <w:t>变异解析</w:t>
            </w:r>
          </w:p>
        </w:tc>
        <w:tc>
          <w:tcPr>
            <w:tcW w:w="8027" w:type="dxa"/>
          </w:tcPr>
          <w:p>
            <w:p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genetic.VarClianno}}</w:t>
            </w:r>
          </w:p>
        </w:tc>
      </w:tr>
    </w:tbl>
    <w:p>
      <w:pPr>
        <w:rPr>
          <w:rFonts w:ascii="Times New Roman" w:hAnsi="Times New Roman" w:eastAsia="微软雅黑" w:cs="Times New Roman"/>
          <w:b/>
          <w:color w:val="45A3A7"/>
          <w:sz w:val="24"/>
          <w:szCs w:val="24"/>
          <w:lang w:eastAsia="zh-CN"/>
        </w:rPr>
      </w:pPr>
      <w:r>
        <w:rPr>
          <w:rFonts w:hint="eastAsia" w:ascii="Times New Roman" w:hAnsi="Times New Roman" w:eastAsia="微软雅黑" w:cs="Times New Roman"/>
          <w:b/>
          <w:color w:val="45A3A7"/>
          <w:sz w:val="20"/>
          <w:szCs w:val="20"/>
          <w:lang w:eastAsia="zh-CN"/>
        </w:rPr>
        <w:t>{% endfor %}</w:t>
      </w:r>
      <w:r>
        <w:rPr>
          <w:rFonts w:ascii="Times New Roman" w:hAnsi="Times New Roman" w:eastAsia="微软雅黑" w:cs="Times New Roman"/>
          <w:b/>
          <w:color w:val="45A3A7"/>
          <w:sz w:val="24"/>
          <w:szCs w:val="24"/>
          <w:lang w:eastAsia="zh-CN"/>
        </w:rPr>
        <w:br w:type="page"/>
      </w:r>
      <w:r>
        <w:rPr>
          <w:rFonts w:hint="eastAsia"/>
          <w:sz w:val="16"/>
          <w:lang w:eastAsia="zh-CN"/>
        </w:rPr>
        <w:t>{% endif %}</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color w:val="auto"/>
          <w:sz w:val="18"/>
          <w:szCs w:val="18"/>
          <w:lang w:val="en-US" w:eastAsia="zh-CN" w:bidi="ar-SA"/>
        </w:rPr>
        <w:t>if drugAnalysisIndex != 'true' and unknownVarAnalysisStr == [] and crAnalysisIndex != ‘true’</w:t>
      </w:r>
      <w:r>
        <w:rPr>
          <w:rFonts w:hint="eastAsia" w:ascii="Times New Roman" w:hAnsi="Times New Roman" w:eastAsia="微软雅黑" w:cs="Times New Roman"/>
          <w:bCs/>
          <w:sz w:val="18"/>
          <w:szCs w:val="18"/>
          <w:lang w:val="en-US" w:eastAsia="zh-CN"/>
        </w:rPr>
        <w:t xml:space="preserve"> %}</w:t>
      </w:r>
    </w:p>
    <w:p>
      <w:pPr>
        <w:jc w:val="left"/>
        <w:rPr>
          <w:rFonts w:hint="default" w:ascii="Times New Roman" w:hAnsi="Times New Roman" w:eastAsia="微软雅黑" w:cs="Times New Roman"/>
          <w:bCs/>
          <w:sz w:val="18"/>
          <w:szCs w:val="18"/>
          <w:lang w:eastAsia="zh-CN"/>
        </w:rPr>
      </w:pPr>
      <w:bookmarkStart w:id="49" w:name="_Toc13196_WPSOffice_Level1"/>
      <w:bookmarkStart w:id="50" w:name="_Toc1707_WPSOffice_Level1"/>
      <w:bookmarkStart w:id="51" w:name="_Toc27302"/>
      <w:bookmarkStart w:id="52" w:name="_Toc21764_WPSOffice_Level1"/>
      <w:bookmarkStart w:id="53" w:name="_Toc143"/>
      <w:r>
        <w:rPr>
          <w:rFonts w:hint="default" w:ascii="Times New Roman" w:hAnsi="Times New Roman" w:eastAsia="微软雅黑" w:cs="Times New Roman"/>
          <w:bCs/>
          <w:sz w:val="18"/>
          <w:szCs w:val="18"/>
          <w:lang w:eastAsia="zh-CN"/>
        </w:rPr>
        <w:t>未检出靶向用药相关的体细胞基因突变；未检出未知临床意义体细胞基因突变；未检出致病或可能致病性胚系突变。</w:t>
      </w:r>
    </w:p>
    <w:p>
      <w:r>
        <w:rPr>
          <w:rFonts w:hint="default" w:ascii="Times New Roman" w:hAnsi="Times New Roman" w:eastAsia="微软雅黑" w:cs="Times New Roman"/>
          <w:bCs/>
          <w:sz w:val="18"/>
          <w:szCs w:val="18"/>
          <w:lang w:eastAsia="zh-CN"/>
        </w:rPr>
        <w:br w:type="page"/>
      </w:r>
      <w:r>
        <w:rPr>
          <w:rFonts w:hint="eastAsia"/>
          <w:sz w:val="16"/>
          <w:lang w:eastAsia="zh-CN"/>
        </w:rPr>
        <w:t>{% endif %}</w:t>
      </w:r>
    </w:p>
    <w:p>
      <w:pPr>
        <w:pStyle w:val="26"/>
      </w:pPr>
      <w:r>
        <w:t>附录</w:t>
      </w:r>
      <w:bookmarkEnd w:id="46"/>
      <w:bookmarkEnd w:id="49"/>
      <w:bookmarkEnd w:id="50"/>
      <w:bookmarkEnd w:id="51"/>
      <w:bookmarkEnd w:id="52"/>
      <w:bookmarkEnd w:id="53"/>
    </w:p>
    <w:p>
      <w:pPr>
        <w:pStyle w:val="27"/>
      </w:pPr>
      <w:bookmarkStart w:id="54" w:name="_Toc15840_WPSOffice_Level1"/>
      <w:bookmarkStart w:id="55" w:name="_Toc14255_WPSOffice_Level1"/>
      <w:bookmarkStart w:id="56" w:name="_Toc31824"/>
      <w:r>
        <w:t>样本控制情况</w:t>
      </w:r>
      <w:bookmarkEnd w:id="47"/>
      <w:bookmarkEnd w:id="54"/>
      <w:bookmarkEnd w:id="55"/>
      <w:bookmarkEnd w:id="56"/>
    </w:p>
    <w:p>
      <w:pPr>
        <w:rPr>
          <w:lang w:eastAsia="zh-CN"/>
        </w:rPr>
      </w:pPr>
    </w:p>
    <w:tbl>
      <w:tblPr>
        <w:tblStyle w:val="15"/>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vAlign w:val="center"/>
          </w:tcPr>
          <w:p>
            <w:pPr>
              <w:spacing w:before="95"/>
              <w:ind w:left="119"/>
              <w:rPr>
                <w:rFonts w:ascii="微软雅黑" w:hAnsi="微软雅黑" w:eastAsia="微软雅黑" w:cs="微软雅黑"/>
                <w:b/>
                <w:sz w:val="21"/>
              </w:rPr>
            </w:pPr>
            <w:r>
              <w:rPr>
                <w:rFonts w:hint="eastAsia" w:ascii="微软雅黑" w:hAnsi="微软雅黑" w:eastAsia="微软雅黑" w:cs="微软雅黑"/>
                <w:b/>
                <w:sz w:val="21"/>
              </w:rPr>
              <w:t>质控环节</w:t>
            </w:r>
          </w:p>
        </w:tc>
        <w:tc>
          <w:tcPr>
            <w:tcW w:w="3649" w:type="dxa"/>
            <w:tcBorders>
              <w:left w:val="single" w:color="416AAB" w:sz="4" w:space="0"/>
              <w:bottom w:val="single" w:color="416AAB" w:sz="4" w:space="0"/>
              <w:right w:val="single" w:color="416AAB" w:sz="4" w:space="0"/>
            </w:tcBorders>
            <w:vAlign w:val="center"/>
          </w:tcPr>
          <w:p>
            <w:pPr>
              <w:spacing w:before="95"/>
              <w:ind w:left="118"/>
              <w:rPr>
                <w:rFonts w:ascii="微软雅黑" w:hAnsi="微软雅黑" w:eastAsia="微软雅黑" w:cs="微软雅黑"/>
                <w:b/>
                <w:sz w:val="21"/>
              </w:rPr>
            </w:pPr>
            <w:r>
              <w:rPr>
                <w:rFonts w:hint="eastAsia" w:ascii="微软雅黑" w:hAnsi="微软雅黑" w:eastAsia="微软雅黑" w:cs="微软雅黑"/>
                <w:b/>
                <w:sz w:val="21"/>
              </w:rPr>
              <w:t>质控参数</w:t>
            </w:r>
          </w:p>
        </w:tc>
        <w:tc>
          <w:tcPr>
            <w:tcW w:w="3078" w:type="dxa"/>
            <w:tcBorders>
              <w:left w:val="single" w:color="416AAB" w:sz="4" w:space="0"/>
              <w:bottom w:val="single" w:color="416AAB" w:sz="4" w:space="0"/>
              <w:right w:val="nil"/>
            </w:tcBorders>
            <w:vAlign w:val="center"/>
          </w:tcPr>
          <w:p>
            <w:pPr>
              <w:spacing w:before="95"/>
              <w:ind w:left="118"/>
              <w:rPr>
                <w:rFonts w:ascii="微软雅黑" w:hAnsi="微软雅黑" w:eastAsia="微软雅黑" w:cs="微软雅黑"/>
                <w:b/>
                <w:sz w:val="21"/>
              </w:rPr>
            </w:pPr>
            <w:r>
              <w:rPr>
                <w:rFonts w:hint="eastAsia" w:ascii="微软雅黑" w:hAnsi="微软雅黑" w:eastAsia="微软雅黑" w:cs="微软雅黑"/>
                <w:b/>
                <w:sz w:val="21"/>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vAlign w:val="center"/>
          </w:tcPr>
          <w:p>
            <w:pPr>
              <w:spacing w:before="94"/>
              <w:ind w:left="119"/>
              <w:rPr>
                <w:rFonts w:ascii="微软雅黑" w:hAnsi="微软雅黑" w:eastAsia="微软雅黑" w:cs="微软雅黑"/>
                <w:sz w:val="21"/>
              </w:rPr>
            </w:pPr>
            <w:r>
              <w:rPr>
                <w:rFonts w:hint="eastAsia" w:ascii="微软雅黑" w:hAnsi="微软雅黑" w:eastAsia="微软雅黑" w:cs="微软雅黑"/>
                <w:sz w:val="21"/>
              </w:rPr>
              <w:t>病理质控</w:t>
            </w:r>
          </w:p>
        </w:tc>
        <w:tc>
          <w:tcPr>
            <w:tcW w:w="3649" w:type="dxa"/>
            <w:tcBorders>
              <w:top w:val="single" w:color="416AAB" w:sz="4" w:space="0"/>
              <w:left w:val="single" w:color="416AAB" w:sz="4" w:space="0"/>
              <w:bottom w:val="single" w:color="416AAB" w:sz="4" w:space="0"/>
              <w:right w:val="single" w:color="416AAB" w:sz="4" w:space="0"/>
            </w:tcBorders>
            <w:vAlign w:val="center"/>
          </w:tcPr>
          <w:p>
            <w:pPr>
              <w:spacing w:before="94"/>
              <w:ind w:left="118"/>
              <w:rPr>
                <w:rFonts w:ascii="微软雅黑" w:hAnsi="微软雅黑" w:eastAsia="微软雅黑" w:cs="微软雅黑"/>
                <w:sz w:val="21"/>
              </w:rPr>
            </w:pPr>
            <w:r>
              <w:rPr>
                <w:rFonts w:hint="eastAsia" w:ascii="微软雅黑" w:hAnsi="微软雅黑" w:eastAsia="微软雅黑" w:cs="微软雅黑"/>
                <w:sz w:val="21"/>
              </w:rPr>
              <w:t>肿瘤细胞含量</w:t>
            </w:r>
          </w:p>
        </w:tc>
        <w:tc>
          <w:tcPr>
            <w:tcW w:w="3078" w:type="dxa"/>
            <w:tcBorders>
              <w:top w:val="single" w:color="416AAB" w:sz="4" w:space="0"/>
              <w:left w:val="single" w:color="416AAB" w:sz="4" w:space="0"/>
              <w:bottom w:val="single" w:color="416AAB" w:sz="4" w:space="0"/>
              <w:right w:val="nil"/>
            </w:tcBorders>
            <w:vAlign w:val="center"/>
          </w:tcPr>
          <w:p>
            <w:pPr>
              <w:spacing w:before="175"/>
              <w:ind w:left="118"/>
              <w:rPr>
                <w:rFonts w:ascii="Times New Roman" w:hAnsi="Times New Roman" w:eastAsia="微软雅黑" w:cs="Times New Roman"/>
                <w:sz w:val="21"/>
              </w:rPr>
            </w:pPr>
            <w:r>
              <w:rPr>
                <w:rFonts w:hint="eastAsia" w:ascii="Times New Roman" w:hAnsi="Times New Roman" w:eastAsia="微软雅黑" w:cs="Times New Roman"/>
                <w:sz w:val="21"/>
              </w:rPr>
              <w:t xml:space="preserve">{% if summaryOfRresults.type == </w:t>
            </w:r>
            <w:r>
              <w:rPr>
                <w:rFonts w:ascii="Times New Roman" w:hAnsi="Times New Roman" w:eastAsia="微软雅黑" w:cs="Times New Roman"/>
                <w:sz w:val="21"/>
              </w:rPr>
              <w:t>“tissue”</w:t>
            </w:r>
            <w:r>
              <w:rPr>
                <w:rFonts w:hint="eastAsia" w:ascii="Times New Roman" w:hAnsi="Times New Roman" w:eastAsia="微软雅黑" w:cs="Times New Roman"/>
                <w:sz w:val="21"/>
              </w:rPr>
              <w:t xml:space="preserve"> %}&gt;=</w:t>
            </w:r>
            <w:r>
              <w:rPr>
                <w:rFonts w:ascii="Times New Roman" w:hAnsi="Times New Roman" w:eastAsia="微软雅黑" w:cs="Times New Roman"/>
                <w:sz w:val="21"/>
              </w:rPr>
              <w:t>20%</w:t>
            </w:r>
            <w:r>
              <w:rPr>
                <w:rFonts w:hint="eastAsia" w:ascii="Times New Roman" w:hAnsi="Times New Roman" w:eastAsia="微软雅黑" w:cs="Times New Roman"/>
                <w:sz w:val="21"/>
              </w:rPr>
              <w:t>{% else %}</w:t>
            </w:r>
            <w:r>
              <w:rPr>
                <w:rFonts w:ascii="Times New Roman" w:hAnsi="Times New Roman" w:eastAsia="微软雅黑" w:cs="Times New Roman"/>
                <w:sz w:val="21"/>
              </w:rPr>
              <w:t>不适用</w:t>
            </w:r>
            <w:r>
              <w:rPr>
                <w:rFonts w:hint="eastAsia" w:ascii="Times New Roman" w:hAnsi="Times New Roman" w:eastAsia="微软雅黑" w:cs="Times New Roman"/>
                <w:sz w:val="21"/>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ind w:left="119"/>
              <w:rPr>
                <w:rFonts w:ascii="微软雅黑" w:hAnsi="微软雅黑" w:eastAsia="微软雅黑" w:cs="微软雅黑"/>
                <w:sz w:val="21"/>
              </w:rPr>
            </w:pPr>
            <w:r>
              <w:rPr>
                <w:rFonts w:ascii="Times New Roman" w:hAnsi="Times New Roman" w:eastAsia="微软雅黑" w:cs="Times New Roman"/>
                <w:sz w:val="21"/>
              </w:rPr>
              <w:t>DNA</w:t>
            </w:r>
            <w:r>
              <w:rPr>
                <w:rFonts w:hint="eastAsia" w:ascii="微软雅黑" w:hAnsi="微软雅黑" w:eastAsia="微软雅黑" w:cs="微软雅黑"/>
                <w:sz w:val="21"/>
              </w:rPr>
              <w:t>质量</w:t>
            </w:r>
          </w:p>
        </w:tc>
        <w:tc>
          <w:tcPr>
            <w:tcW w:w="3649" w:type="dxa"/>
            <w:tcBorders>
              <w:top w:val="single" w:color="416AAB" w:sz="4" w:space="0"/>
              <w:left w:val="single" w:color="416AAB" w:sz="4" w:space="0"/>
              <w:bottom w:val="single" w:color="416AAB" w:sz="4" w:space="0"/>
              <w:right w:val="single" w:color="416AAB" w:sz="4" w:space="0"/>
            </w:tcBorders>
            <w:vAlign w:val="center"/>
          </w:tcPr>
          <w:p>
            <w:pPr>
              <w:spacing w:before="94"/>
              <w:ind w:left="118"/>
              <w:rPr>
                <w:rFonts w:ascii="微软雅黑" w:hAnsi="微软雅黑" w:eastAsia="微软雅黑" w:cs="微软雅黑"/>
                <w:sz w:val="21"/>
              </w:rPr>
            </w:pPr>
            <w:r>
              <w:rPr>
                <w:rFonts w:ascii="Times New Roman" w:hAnsi="Times New Roman" w:eastAsia="微软雅黑" w:cs="Times New Roman"/>
                <w:sz w:val="21"/>
              </w:rPr>
              <w:t>DNA</w:t>
            </w:r>
            <w:r>
              <w:rPr>
                <w:rFonts w:hint="eastAsia" w:ascii="微软雅黑" w:hAnsi="微软雅黑" w:eastAsia="微软雅黑" w:cs="微软雅黑"/>
                <w:sz w:val="21"/>
              </w:rPr>
              <w:t>总量</w:t>
            </w:r>
          </w:p>
        </w:tc>
        <w:tc>
          <w:tcPr>
            <w:tcW w:w="3078" w:type="dxa"/>
            <w:tcBorders>
              <w:top w:val="single" w:color="416AAB" w:sz="4" w:space="0"/>
              <w:left w:val="single" w:color="416AAB" w:sz="4" w:space="0"/>
              <w:bottom w:val="single" w:color="416AAB" w:sz="4" w:space="0"/>
              <w:right w:val="nil"/>
            </w:tcBorders>
            <w:vAlign w:val="center"/>
          </w:tcPr>
          <w:p>
            <w:pPr>
              <w:spacing w:before="175"/>
              <w:ind w:left="118"/>
              <w:rPr>
                <w:rFonts w:ascii="Times New Roman" w:hAnsi="Times New Roman" w:eastAsia="微软雅黑" w:cs="Times New Roman"/>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2"/>
              </w:rPr>
              <w:t>&gt;</w:t>
            </w:r>
            <w:r>
              <w:rPr>
                <w:rFonts w:hint="eastAsia" w:ascii="Times New Roman" w:hAnsi="Times New Roman" w:eastAsia="微软雅黑" w:cs="Times New Roman"/>
                <w:sz w:val="21"/>
                <w:szCs w:val="22"/>
              </w:rPr>
              <w:t>=</w:t>
            </w:r>
            <w:r>
              <w:rPr>
                <w:rFonts w:ascii="Times New Roman" w:hAnsi="Times New Roman" w:eastAsia="微软雅黑" w:cs="Times New Roman"/>
                <w:sz w:val="21"/>
              </w:rPr>
              <w:t>1</w:t>
            </w:r>
            <w:r>
              <w:rPr>
                <w:rFonts w:hint="eastAsia" w:ascii="Times New Roman" w:hAnsi="Times New Roman" w:eastAsia="微软雅黑" w:cs="Times New Roman"/>
                <w:sz w:val="21"/>
                <w:lang w:val="en-US" w:eastAsia="zh-CN"/>
              </w:rPr>
              <w:t>2</w:t>
            </w:r>
            <w:r>
              <w:rPr>
                <w:rFonts w:ascii="Times New Roman" w:hAnsi="Times New Roman" w:eastAsia="微软雅黑" w:cs="Times New Roman"/>
                <w:sz w:val="21"/>
              </w:rPr>
              <w:t>0ng</w:t>
            </w:r>
            <w:r>
              <w:rPr>
                <w:rFonts w:hint="eastAsia" w:ascii="Times New Roman" w:hAnsi="Times New Roman" w:eastAsia="微软雅黑" w:cs="黑体"/>
                <w:sz w:val="21"/>
              </w:rPr>
              <w:t>{% else %}</w:t>
            </w:r>
            <w:r>
              <w:rPr>
                <w:rFonts w:hint="eastAsia" w:ascii="微软雅黑" w:hAnsi="微软雅黑" w:eastAsia="微软雅黑" w:cs="微软雅黑"/>
                <w:sz w:val="21"/>
                <w:szCs w:val="22"/>
              </w:rPr>
              <w:t>&gt;</w:t>
            </w:r>
            <w:r>
              <w:rPr>
                <w:rFonts w:hint="eastAsia" w:ascii="Times New Roman" w:hAnsi="Times New Roman" w:eastAsia="微软雅黑" w:cs="Times New Roman"/>
                <w:sz w:val="21"/>
                <w:szCs w:val="22"/>
              </w:rPr>
              <w:t>=</w:t>
            </w:r>
            <w:r>
              <w:rPr>
                <w:rFonts w:hint="eastAsia" w:ascii="Times New Roman" w:hAnsi="Times New Roman" w:eastAsia="微软雅黑" w:cs="Times New Roman"/>
                <w:sz w:val="21"/>
                <w:szCs w:val="22"/>
                <w:lang w:val="en-US" w:eastAsia="zh-CN"/>
              </w:rPr>
              <w:t>3</w:t>
            </w:r>
            <w:r>
              <w:rPr>
                <w:rFonts w:ascii="Times New Roman" w:hAnsi="Times New Roman" w:eastAsia="微软雅黑" w:cs="Times New Roman"/>
                <w:sz w:val="21"/>
              </w:rPr>
              <w:t>0ng</w:t>
            </w:r>
            <w:r>
              <w:rPr>
                <w:rFonts w:hint="eastAsia" w:ascii="Times New Roman" w:hAnsi="Times New Roman" w:eastAsia="微软雅黑" w:cs="黑体"/>
                <w:sz w:val="21"/>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vAlign w:val="center"/>
          </w:tcPr>
          <w:p>
            <w:pPr>
              <w:rPr>
                <w:rFonts w:ascii="微软雅黑" w:hAnsi="微软雅黑" w:eastAsia="微软雅黑" w:cs="微软雅黑"/>
                <w:sz w:val="2"/>
                <w:szCs w:val="2"/>
              </w:rPr>
            </w:pPr>
          </w:p>
        </w:tc>
        <w:tc>
          <w:tcPr>
            <w:tcW w:w="3649" w:type="dxa"/>
            <w:tcBorders>
              <w:top w:val="single" w:color="416AAB" w:sz="4" w:space="0"/>
              <w:left w:val="single" w:color="416AAB" w:sz="4" w:space="0"/>
              <w:bottom w:val="single" w:color="416AAB" w:sz="4" w:space="0"/>
              <w:right w:val="single" w:color="416AAB" w:sz="4" w:space="0"/>
            </w:tcBorders>
            <w:vAlign w:val="center"/>
          </w:tcPr>
          <w:p>
            <w:pPr>
              <w:spacing w:before="94"/>
              <w:ind w:left="118"/>
              <w:rPr>
                <w:rFonts w:ascii="微软雅黑" w:hAnsi="微软雅黑" w:eastAsia="微软雅黑" w:cs="微软雅黑"/>
                <w:sz w:val="21"/>
              </w:rPr>
            </w:pPr>
            <w:r>
              <w:rPr>
                <w:rFonts w:ascii="Times New Roman" w:hAnsi="Times New Roman" w:eastAsia="微软雅黑" w:cs="Times New Roman"/>
                <w:sz w:val="21"/>
              </w:rPr>
              <w:t>DNA</w:t>
            </w:r>
            <w:r>
              <w:rPr>
                <w:rFonts w:hint="eastAsia" w:ascii="微软雅黑" w:hAnsi="微软雅黑" w:eastAsia="微软雅黑" w:cs="微软雅黑"/>
                <w:sz w:val="21"/>
              </w:rPr>
              <w:t>降解程度</w:t>
            </w:r>
          </w:p>
        </w:tc>
        <w:tc>
          <w:tcPr>
            <w:tcW w:w="3078" w:type="dxa"/>
            <w:tcBorders>
              <w:top w:val="single" w:color="416AAB" w:sz="4" w:space="0"/>
              <w:left w:val="single" w:color="416AAB" w:sz="4" w:space="0"/>
              <w:bottom w:val="single" w:color="416AAB" w:sz="4" w:space="0"/>
              <w:right w:val="nil"/>
            </w:tcBorders>
            <w:vAlign w:val="center"/>
          </w:tcPr>
          <w:p>
            <w:pPr>
              <w:spacing w:before="94"/>
              <w:ind w:left="118"/>
              <w:rPr>
                <w:rFonts w:ascii="微软雅黑" w:hAnsi="微软雅黑" w:eastAsia="微软雅黑" w:cs="微软雅黑"/>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2"/>
              </w:rPr>
              <w:t>&gt;</w:t>
            </w:r>
            <w:r>
              <w:rPr>
                <w:rFonts w:hint="eastAsia" w:ascii="Times New Roman" w:hAnsi="Times New Roman" w:eastAsia="微软雅黑" w:cs="Times New Roman"/>
                <w:sz w:val="21"/>
                <w:szCs w:val="22"/>
              </w:rPr>
              <w:t>=</w:t>
            </w:r>
            <w:r>
              <w:rPr>
                <w:rFonts w:ascii="Times New Roman" w:hAnsi="Times New Roman" w:eastAsia="微软雅黑" w:cs="Times New Roman"/>
                <w:sz w:val="21"/>
              </w:rPr>
              <w:t>C级</w:t>
            </w:r>
            <w:r>
              <w:rPr>
                <w:rFonts w:hint="eastAsia" w:ascii="Times New Roman" w:hAnsi="Times New Roman" w:eastAsia="微软雅黑" w:cs="黑体"/>
                <w:sz w:val="21"/>
              </w:rPr>
              <w:t>{% else %}</w:t>
            </w:r>
            <w:r>
              <w:rPr>
                <w:rFonts w:ascii="Times New Roman" w:hAnsi="Times New Roman" w:eastAsia="微软雅黑" w:cs="Times New Roman"/>
                <w:sz w:val="21"/>
              </w:rPr>
              <w:t>不适用</w:t>
            </w:r>
            <w:r>
              <w:rPr>
                <w:rFonts w:hint="eastAsia" w:ascii="Times New Roman" w:hAnsi="Times New Roman" w:eastAsia="微软雅黑" w:cs="黑体"/>
                <w:sz w:val="21"/>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vAlign w:val="center"/>
          </w:tcPr>
          <w:p>
            <w:pPr>
              <w:rPr>
                <w:rFonts w:ascii="微软雅黑" w:hAnsi="微软雅黑" w:eastAsia="微软雅黑" w:cs="微软雅黑"/>
                <w:sz w:val="2"/>
                <w:szCs w:val="2"/>
              </w:rPr>
            </w:pPr>
          </w:p>
        </w:tc>
        <w:tc>
          <w:tcPr>
            <w:tcW w:w="3649" w:type="dxa"/>
            <w:tcBorders>
              <w:top w:val="single" w:color="416AAB" w:sz="4" w:space="0"/>
              <w:left w:val="single" w:color="416AAB" w:sz="4" w:space="0"/>
              <w:bottom w:val="single" w:color="416AAB" w:sz="4" w:space="0"/>
              <w:right w:val="single" w:color="416AAB" w:sz="4" w:space="0"/>
            </w:tcBorders>
            <w:vAlign w:val="center"/>
          </w:tcPr>
          <w:p>
            <w:pPr>
              <w:spacing w:before="94"/>
              <w:ind w:left="118"/>
              <w:rPr>
                <w:rFonts w:ascii="微软雅黑" w:hAnsi="微软雅黑" w:eastAsia="微软雅黑" w:cs="微软雅黑"/>
                <w:sz w:val="21"/>
              </w:rPr>
            </w:pPr>
            <w:r>
              <w:rPr>
                <w:rFonts w:hint="eastAsia" w:ascii="微软雅黑" w:hAnsi="微软雅黑" w:eastAsia="微软雅黑" w:cs="微软雅黑"/>
                <w:sz w:val="21"/>
              </w:rPr>
              <w:t>文库出库量</w:t>
            </w:r>
          </w:p>
        </w:tc>
        <w:tc>
          <w:tcPr>
            <w:tcW w:w="3078" w:type="dxa"/>
            <w:tcBorders>
              <w:top w:val="single" w:color="416AAB" w:sz="4" w:space="0"/>
              <w:left w:val="single" w:color="416AAB" w:sz="4" w:space="0"/>
              <w:bottom w:val="single" w:color="416AAB" w:sz="4" w:space="0"/>
              <w:right w:val="nil"/>
            </w:tcBorders>
            <w:vAlign w:val="center"/>
          </w:tcPr>
          <w:p>
            <w:pPr>
              <w:spacing w:before="175"/>
              <w:ind w:left="118"/>
              <w:rPr>
                <w:rFonts w:ascii="微软雅黑" w:hAnsi="微软雅黑" w:eastAsia="微软雅黑" w:cs="微软雅黑"/>
                <w:sz w:val="21"/>
              </w:rPr>
            </w:pPr>
            <w:r>
              <w:rPr>
                <w:rFonts w:hint="eastAsia" w:ascii="微软雅黑" w:hAnsi="微软雅黑" w:eastAsia="微软雅黑" w:cs="微软雅黑"/>
                <w:sz w:val="21"/>
              </w:rPr>
              <w:t>&gt;</w:t>
            </w:r>
            <w:r>
              <w:rPr>
                <w:rFonts w:hint="eastAsia" w:ascii="Times New Roman" w:hAnsi="Times New Roman" w:eastAsia="微软雅黑" w:cs="Times New Roman"/>
                <w:sz w:val="21"/>
              </w:rPr>
              <w:t>=</w:t>
            </w:r>
            <w:r>
              <w:rPr>
                <w:rFonts w:ascii="Times New Roman" w:hAnsi="Times New Roman" w:eastAsia="微软雅黑" w:cs="Times New Roman"/>
                <w:sz w:val="21"/>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spacing w:before="1"/>
              <w:ind w:left="119"/>
              <w:rPr>
                <w:rFonts w:ascii="微软雅黑" w:hAnsi="微软雅黑" w:eastAsia="微软雅黑" w:cs="微软雅黑"/>
                <w:sz w:val="21"/>
              </w:rPr>
            </w:pPr>
            <w:r>
              <w:rPr>
                <w:rFonts w:hint="eastAsia" w:ascii="微软雅黑" w:hAnsi="微软雅黑" w:eastAsia="微软雅黑" w:cs="微软雅黑"/>
                <w:sz w:val="21"/>
              </w:rPr>
              <w:t>测序质控</w:t>
            </w:r>
          </w:p>
        </w:tc>
        <w:tc>
          <w:tcPr>
            <w:tcW w:w="3649" w:type="dxa"/>
            <w:tcBorders>
              <w:top w:val="single" w:color="416AAB" w:sz="4" w:space="0"/>
              <w:left w:val="single" w:color="416AAB" w:sz="4" w:space="0"/>
              <w:bottom w:val="single" w:color="416AAB" w:sz="4" w:space="0"/>
              <w:right w:val="single" w:color="416AAB" w:sz="4" w:space="0"/>
            </w:tcBorders>
            <w:vAlign w:val="center"/>
          </w:tcPr>
          <w:p>
            <w:pPr>
              <w:spacing w:before="94"/>
              <w:ind w:left="118"/>
              <w:rPr>
                <w:rFonts w:ascii="微软雅黑" w:hAnsi="微软雅黑" w:eastAsia="微软雅黑" w:cs="微软雅黑"/>
                <w:sz w:val="21"/>
              </w:rPr>
            </w:pPr>
            <w:r>
              <w:rPr>
                <w:rFonts w:hint="eastAsia" w:ascii="微软雅黑" w:hAnsi="微软雅黑" w:eastAsia="微软雅黑" w:cs="微软雅黑"/>
                <w:sz w:val="21"/>
              </w:rPr>
              <w:t>平均</w:t>
            </w:r>
            <w:r>
              <w:rPr>
                <w:rFonts w:ascii="Times New Roman" w:hAnsi="Times New Roman" w:eastAsia="微软雅黑" w:cs="Times New Roman"/>
                <w:sz w:val="21"/>
                <w:highlight w:val="none"/>
              </w:rPr>
              <w:t>有效</w:t>
            </w:r>
            <w:r>
              <w:rPr>
                <w:rFonts w:hint="eastAsia" w:ascii="微软雅黑" w:hAnsi="微软雅黑" w:eastAsia="微软雅黑" w:cs="微软雅黑"/>
                <w:sz w:val="21"/>
              </w:rPr>
              <w:t>测序深度</w:t>
            </w:r>
          </w:p>
        </w:tc>
        <w:tc>
          <w:tcPr>
            <w:tcW w:w="3078" w:type="dxa"/>
            <w:tcBorders>
              <w:top w:val="single" w:color="416AAB" w:sz="4" w:space="0"/>
              <w:left w:val="single" w:color="416AAB" w:sz="4" w:space="0"/>
              <w:bottom w:val="single" w:color="416AAB" w:sz="4" w:space="0"/>
              <w:right w:val="nil"/>
            </w:tcBorders>
            <w:vAlign w:val="center"/>
          </w:tcPr>
          <w:p>
            <w:pPr>
              <w:spacing w:before="175"/>
              <w:ind w:left="118"/>
              <w:rPr>
                <w:rFonts w:ascii="微软雅黑" w:hAnsi="微软雅黑" w:eastAsia="微软雅黑" w:cs="微软雅黑"/>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2"/>
              </w:rPr>
              <w:t>&gt;</w:t>
            </w:r>
            <w:r>
              <w:rPr>
                <w:rFonts w:hint="eastAsia" w:ascii="Times New Roman" w:hAnsi="Times New Roman" w:eastAsia="微软雅黑" w:cs="Times New Roman"/>
                <w:sz w:val="21"/>
                <w:szCs w:val="22"/>
              </w:rPr>
              <w:t>=</w:t>
            </w:r>
            <w:r>
              <w:rPr>
                <w:rFonts w:ascii="Times New Roman" w:hAnsi="Times New Roman" w:eastAsia="微软雅黑" w:cs="Times New Roman"/>
                <w:sz w:val="21"/>
              </w:rPr>
              <w:t>1</w:t>
            </w:r>
            <w:r>
              <w:rPr>
                <w:rFonts w:hint="eastAsia" w:ascii="Times New Roman" w:hAnsi="Times New Roman" w:eastAsia="微软雅黑" w:cs="Times New Roman"/>
                <w:sz w:val="21"/>
                <w:lang w:val="en-US" w:eastAsia="zh-CN"/>
              </w:rPr>
              <w:t>0</w:t>
            </w:r>
            <w:r>
              <w:rPr>
                <w:rFonts w:ascii="Times New Roman" w:hAnsi="Times New Roman" w:eastAsia="微软雅黑" w:cs="Times New Roman"/>
                <w:sz w:val="21"/>
              </w:rPr>
              <w:t>00X</w:t>
            </w:r>
            <w:r>
              <w:rPr>
                <w:rFonts w:hint="eastAsia" w:ascii="Times New Roman" w:hAnsi="Times New Roman" w:eastAsia="微软雅黑" w:cs="黑体"/>
                <w:sz w:val="21"/>
              </w:rPr>
              <w:t>{% else %}</w:t>
            </w:r>
            <w:r>
              <w:rPr>
                <w:rFonts w:hint="eastAsia" w:ascii="微软雅黑" w:hAnsi="微软雅黑" w:eastAsia="微软雅黑" w:cs="微软雅黑"/>
                <w:sz w:val="21"/>
                <w:szCs w:val="22"/>
              </w:rPr>
              <w:t>&gt;</w:t>
            </w:r>
            <w:r>
              <w:rPr>
                <w:rFonts w:hint="eastAsia" w:ascii="Times New Roman" w:hAnsi="Times New Roman" w:eastAsia="微软雅黑" w:cs="Times New Roman"/>
                <w:sz w:val="21"/>
                <w:szCs w:val="22"/>
              </w:rPr>
              <w:t>=</w:t>
            </w:r>
            <w:r>
              <w:rPr>
                <w:rFonts w:ascii="Times New Roman" w:hAnsi="Times New Roman" w:eastAsia="微软雅黑" w:cs="Times New Roman"/>
                <w:sz w:val="21"/>
              </w:rPr>
              <w:t>1</w:t>
            </w:r>
            <w:r>
              <w:rPr>
                <w:rFonts w:hint="eastAsia" w:ascii="Times New Roman" w:hAnsi="Times New Roman" w:eastAsia="微软雅黑" w:cs="Times New Roman"/>
                <w:sz w:val="21"/>
                <w:lang w:val="en-US" w:eastAsia="zh-CN"/>
              </w:rPr>
              <w:t>6</w:t>
            </w:r>
            <w:r>
              <w:rPr>
                <w:rFonts w:ascii="Times New Roman" w:hAnsi="Times New Roman" w:eastAsia="微软雅黑" w:cs="Times New Roman"/>
                <w:sz w:val="21"/>
              </w:rPr>
              <w:t>00X</w:t>
            </w:r>
            <w:r>
              <w:rPr>
                <w:rFonts w:hint="eastAsia" w:ascii="Times New Roman" w:hAnsi="Times New Roman" w:eastAsia="微软雅黑" w:cs="黑体"/>
                <w:sz w:val="21"/>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10" w:hRule="atLeast"/>
        </w:trPr>
        <w:tc>
          <w:tcPr>
            <w:tcW w:w="3078" w:type="dxa"/>
            <w:vMerge w:val="continue"/>
            <w:tcBorders>
              <w:top w:val="single" w:color="416AAB" w:sz="4" w:space="0"/>
              <w:left w:val="nil"/>
              <w:bottom w:val="single" w:color="416AAB" w:sz="4" w:space="0"/>
              <w:right w:val="single" w:color="416AAB" w:sz="4" w:space="0"/>
            </w:tcBorders>
            <w:vAlign w:val="center"/>
          </w:tcPr>
          <w:p>
            <w:pPr>
              <w:rPr>
                <w:rFonts w:ascii="微软雅黑" w:hAnsi="微软雅黑" w:eastAsia="微软雅黑" w:cs="微软雅黑"/>
                <w:sz w:val="2"/>
                <w:szCs w:val="2"/>
              </w:rPr>
            </w:pPr>
          </w:p>
        </w:tc>
        <w:tc>
          <w:tcPr>
            <w:tcW w:w="3649" w:type="dxa"/>
            <w:tcBorders>
              <w:top w:val="single" w:color="416AAB" w:sz="4" w:space="0"/>
              <w:left w:val="single" w:color="416AAB" w:sz="4" w:space="0"/>
              <w:bottom w:val="single" w:color="416AAB" w:sz="4" w:space="0"/>
              <w:right w:val="single" w:color="416AAB" w:sz="4" w:space="0"/>
            </w:tcBorders>
            <w:vAlign w:val="center"/>
          </w:tcPr>
          <w:p>
            <w:pPr>
              <w:spacing w:before="95"/>
              <w:ind w:left="118"/>
              <w:rPr>
                <w:rFonts w:ascii="微软雅黑" w:hAnsi="微软雅黑" w:eastAsia="微软雅黑" w:cs="微软雅黑"/>
                <w:sz w:val="21"/>
              </w:rPr>
            </w:pPr>
            <w:r>
              <w:rPr>
                <w:rFonts w:hint="eastAsia" w:ascii="微软雅黑" w:hAnsi="微软雅黑" w:eastAsia="微软雅黑" w:cs="微软雅黑"/>
                <w:sz w:val="21"/>
              </w:rPr>
              <w:t>目标区域覆盖度</w:t>
            </w:r>
          </w:p>
        </w:tc>
        <w:tc>
          <w:tcPr>
            <w:tcW w:w="3078" w:type="dxa"/>
            <w:tcBorders>
              <w:top w:val="single" w:color="416AAB" w:sz="4" w:space="0"/>
              <w:left w:val="single" w:color="416AAB" w:sz="4" w:space="0"/>
              <w:bottom w:val="single" w:color="416AAB" w:sz="4" w:space="0"/>
              <w:right w:val="nil"/>
            </w:tcBorders>
            <w:vAlign w:val="center"/>
          </w:tcPr>
          <w:p>
            <w:pPr>
              <w:spacing w:before="95"/>
              <w:ind w:left="118"/>
              <w:rPr>
                <w:rFonts w:ascii="微软雅黑" w:hAnsi="微软雅黑" w:eastAsia="微软雅黑" w:cs="微软雅黑"/>
                <w:sz w:val="21"/>
              </w:rPr>
            </w:pPr>
            <w:r>
              <w:rPr>
                <w:rFonts w:ascii="Times New Roman" w:hAnsi="Times New Roman" w:eastAsia="微软雅黑" w:cs="Times New Roman"/>
                <w:sz w:val="21"/>
              </w:rPr>
              <w:t>99%</w:t>
            </w:r>
            <w:r>
              <w:rPr>
                <w:rFonts w:hint="eastAsia" w:ascii="微软雅黑" w:hAnsi="微软雅黑" w:eastAsia="微软雅黑" w:cs="微软雅黑"/>
                <w:sz w:val="21"/>
              </w:rPr>
              <w:t>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2" w:hRule="atLeast"/>
        </w:trPr>
        <w:tc>
          <w:tcPr>
            <w:tcW w:w="3078" w:type="dxa"/>
            <w:vMerge w:val="continue"/>
            <w:tcBorders>
              <w:top w:val="single" w:color="416AAB" w:sz="4" w:space="0"/>
              <w:left w:val="nil"/>
              <w:bottom w:val="single" w:color="416AAB" w:sz="4" w:space="0"/>
              <w:right w:val="single" w:color="416AAB" w:sz="4" w:space="0"/>
            </w:tcBorders>
            <w:vAlign w:val="center"/>
          </w:tcPr>
          <w:p>
            <w:pPr>
              <w:rPr>
                <w:rFonts w:ascii="微软雅黑" w:hAnsi="微软雅黑" w:eastAsia="微软雅黑" w:cs="微软雅黑"/>
                <w:sz w:val="2"/>
                <w:szCs w:val="2"/>
              </w:rPr>
            </w:pPr>
          </w:p>
        </w:tc>
        <w:tc>
          <w:tcPr>
            <w:tcW w:w="3649" w:type="dxa"/>
            <w:tcBorders>
              <w:top w:val="single" w:color="416AAB" w:sz="4" w:space="0"/>
              <w:left w:val="single" w:color="416AAB" w:sz="4" w:space="0"/>
              <w:bottom w:val="single" w:color="416AAB" w:sz="4" w:space="0"/>
              <w:right w:val="single" w:color="416AAB" w:sz="4" w:space="0"/>
            </w:tcBorders>
            <w:vAlign w:val="center"/>
          </w:tcPr>
          <w:p>
            <w:pPr>
              <w:spacing w:before="95"/>
              <w:ind w:left="118"/>
              <w:rPr>
                <w:rFonts w:ascii="微软雅黑" w:hAnsi="微软雅黑" w:eastAsia="微软雅黑" w:cs="微软雅黑"/>
                <w:sz w:val="21"/>
              </w:rPr>
            </w:pPr>
            <w:r>
              <w:rPr>
                <w:rFonts w:hint="eastAsia" w:ascii="微软雅黑" w:hAnsi="微软雅黑" w:eastAsia="微软雅黑" w:cs="微软雅黑"/>
                <w:sz w:val="21"/>
              </w:rPr>
              <w:t>碱基质量</w:t>
            </w:r>
            <w:r>
              <w:rPr>
                <w:rFonts w:ascii="Times New Roman" w:hAnsi="Times New Roman" w:eastAsia="微软雅黑" w:cs="Times New Roman"/>
                <w:sz w:val="21"/>
              </w:rPr>
              <w:t>Q30</w:t>
            </w:r>
          </w:p>
        </w:tc>
        <w:tc>
          <w:tcPr>
            <w:tcW w:w="3078" w:type="dxa"/>
            <w:tcBorders>
              <w:top w:val="single" w:color="416AAB" w:sz="4" w:space="0"/>
              <w:left w:val="single" w:color="416AAB" w:sz="4" w:space="0"/>
              <w:bottom w:val="single" w:color="416AAB" w:sz="4" w:space="0"/>
              <w:right w:val="nil"/>
            </w:tcBorders>
            <w:vAlign w:val="center"/>
          </w:tcPr>
          <w:p>
            <w:pPr>
              <w:spacing w:before="95"/>
              <w:ind w:left="118"/>
              <w:rPr>
                <w:rFonts w:ascii="微软雅黑" w:hAnsi="微软雅黑" w:eastAsia="微软雅黑" w:cs="微软雅黑"/>
                <w:sz w:val="21"/>
              </w:rPr>
            </w:pPr>
            <w:r>
              <w:rPr>
                <w:rFonts w:ascii="Times New Roman" w:hAnsi="Times New Roman" w:eastAsia="微软雅黑" w:cs="Times New Roman"/>
                <w:sz w:val="21"/>
              </w:rPr>
              <w:t>85%</w:t>
            </w:r>
            <w:r>
              <w:rPr>
                <w:rFonts w:hint="eastAsia" w:ascii="微软雅黑" w:hAnsi="微软雅黑" w:eastAsia="微软雅黑" w:cs="微软雅黑"/>
                <w:sz w:val="21"/>
              </w:rPr>
              <w:t>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top w:val="single" w:color="416AAB" w:sz="4" w:space="0"/>
              <w:left w:val="nil"/>
              <w:right w:val="single" w:color="416AAB" w:sz="4" w:space="0"/>
            </w:tcBorders>
            <w:shd w:val="clear" w:color="auto" w:fill="F1F1F1"/>
            <w:vAlign w:val="center"/>
          </w:tcPr>
          <w:p>
            <w:pPr>
              <w:spacing w:before="94"/>
              <w:ind w:left="119"/>
              <w:rPr>
                <w:sz w:val="21"/>
              </w:rPr>
            </w:pPr>
            <w:r>
              <w:rPr>
                <w:rFonts w:ascii="微软雅黑" w:hAnsi="微软雅黑" w:eastAsia="微软雅黑" w:cs="微软雅黑"/>
                <w:sz w:val="21"/>
              </w:rPr>
              <w:t>总体质量评估</w:t>
            </w:r>
          </w:p>
        </w:tc>
        <w:tc>
          <w:tcPr>
            <w:tcW w:w="6727" w:type="dxa"/>
            <w:gridSpan w:val="2"/>
            <w:tcBorders>
              <w:top w:val="single" w:color="416AAB" w:sz="4" w:space="0"/>
              <w:left w:val="single" w:color="416AAB" w:sz="4" w:space="0"/>
              <w:right w:val="nil"/>
            </w:tcBorders>
            <w:shd w:val="clear" w:color="auto" w:fill="F1F1F1"/>
            <w:vAlign w:val="center"/>
          </w:tcPr>
          <w:p>
            <w:pPr>
              <w:spacing w:before="52"/>
              <w:jc w:val="center"/>
              <w:rPr>
                <w:sz w:val="21"/>
              </w:rPr>
            </w:pPr>
            <w:r>
              <w:rPr>
                <w:rFonts w:hint="eastAsia" w:ascii="Times New Roman" w:hAnsi="Times New Roman" w:eastAsia="微软雅黑" w:cs="黑体"/>
                <w:sz w:val="21"/>
                <w:lang w:eastAsia="zh-CN"/>
              </w:rPr>
              <w:t xml:space="preserve">{% if summaryOfRresults.qualityStat== </w:t>
            </w:r>
            <w:r>
              <w:rPr>
                <w:rFonts w:ascii="Times New Roman" w:hAnsi="Times New Roman" w:eastAsia="微软雅黑" w:cs="黑体"/>
                <w:sz w:val="21"/>
                <w:lang w:eastAsia="zh-CN"/>
              </w:rPr>
              <w:t>“</w:t>
            </w:r>
            <w:r>
              <w:rPr>
                <w:rFonts w:hint="eastAsia" w:ascii="Times New Roman" w:hAnsi="Times New Roman" w:eastAsia="微软雅黑" w:cs="黑体"/>
                <w:sz w:val="21"/>
                <w:lang w:val="en-US" w:eastAsia="zh-CN"/>
              </w:rPr>
              <w:t>D</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%}风险{% else %}合格{% endif %}</w:t>
            </w:r>
          </w:p>
        </w:tc>
      </w:tr>
    </w:tbl>
    <w:p>
      <w:pPr>
        <w:rPr>
          <w:rFonts w:ascii="Times New Roman" w:hAnsi="Times New Roman" w:eastAsia="微软雅黑" w:cs="Times New Roman"/>
          <w:lang w:eastAsia="zh-CN"/>
        </w:rPr>
      </w:pPr>
    </w:p>
    <w:p>
      <w:pPr>
        <w:pStyle w:val="6"/>
        <w:rPr>
          <w:rFonts w:ascii="Times New Roman" w:hAnsi="Times New Roman" w:eastAsia="微软雅黑" w:cs="Times New Roman"/>
          <w:b/>
          <w:sz w:val="6"/>
        </w:rPr>
      </w:pPr>
    </w:p>
    <w:p>
      <w:pPr>
        <w:spacing w:before="53" w:line="301" w:lineRule="exact"/>
        <w:ind w:left="133"/>
        <w:rPr>
          <w:rFonts w:ascii="Times New Roman" w:hAnsi="Times New Roman" w:eastAsia="微软雅黑" w:cs="Times New Roman"/>
          <w:b/>
          <w:sz w:val="18"/>
        </w:rPr>
      </w:pPr>
      <w:r>
        <w:rPr>
          <w:rFonts w:ascii="Times New Roman" w:hAnsi="Times New Roman" w:eastAsia="微软雅黑" w:cs="Times New Roman"/>
          <w:b/>
          <w:sz w:val="18"/>
        </w:rPr>
        <w:t>DNA 降解程度说明:</w:t>
      </w:r>
    </w:p>
    <w:p>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A级：有主带，或降解均匀且降解区域主要集中在5000bp以上。</w:t>
      </w:r>
    </w:p>
    <w:p>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B级：无主带，降解均匀且降解区域主要集中在1500-5000bp之间。</w:t>
      </w:r>
    </w:p>
    <w:p>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C级：无主带，降解均匀且降解区域主要集中在500-1500bp之间。</w:t>
      </w:r>
    </w:p>
    <w:p>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D</w:t>
      </w:r>
      <w:r>
        <w:rPr>
          <w:rFonts w:ascii="Times New Roman" w:hAnsi="Times New Roman" w:eastAsia="微软雅黑" w:cs="Times New Roman"/>
          <w:spacing w:val="3"/>
          <w:lang w:eastAsia="zh-CN"/>
        </w:rPr>
        <w:t>级</w:t>
      </w:r>
      <w:r>
        <w:rPr>
          <w:rFonts w:ascii="Times New Roman" w:hAnsi="Times New Roman" w:eastAsia="微软雅黑" w:cs="Times New Roman"/>
          <w:lang w:eastAsia="zh-CN"/>
        </w:rPr>
        <w:t>（</w:t>
      </w:r>
      <w:r>
        <w:rPr>
          <w:rFonts w:ascii="Times New Roman" w:hAnsi="Times New Roman" w:eastAsia="微软雅黑" w:cs="Times New Roman"/>
          <w:spacing w:val="1"/>
          <w:lang w:eastAsia="zh-CN"/>
        </w:rPr>
        <w:t>不合格</w:t>
      </w:r>
      <w:r>
        <w:rPr>
          <w:rFonts w:ascii="Times New Roman" w:hAnsi="Times New Roman" w:eastAsia="微软雅黑" w:cs="Times New Roman"/>
          <w:spacing w:val="-90"/>
          <w:lang w:eastAsia="zh-CN"/>
        </w:rPr>
        <w:t>）</w:t>
      </w:r>
      <w:r>
        <w:rPr>
          <w:rFonts w:ascii="Times New Roman" w:hAnsi="Times New Roman" w:eastAsia="微软雅黑" w:cs="Times New Roman"/>
          <w:lang w:eastAsia="zh-CN"/>
        </w:rPr>
        <w:t>）：无主带，降解均匀且降解区域主要集中在500-1500bp</w:t>
      </w:r>
      <w:r>
        <w:rPr>
          <w:rFonts w:ascii="Times New Roman" w:hAnsi="Times New Roman" w:eastAsia="微软雅黑" w:cs="Times New Roman"/>
          <w:spacing w:val="-1"/>
          <w:lang w:eastAsia="zh-CN"/>
        </w:rPr>
        <w:t>之间，但总量介于</w:t>
      </w:r>
      <w:r>
        <w:rPr>
          <w:rFonts w:ascii="Times New Roman" w:hAnsi="Times New Roman" w:eastAsia="微软雅黑" w:cs="Times New Roman"/>
          <w:lang w:eastAsia="zh-CN"/>
        </w:rPr>
        <w:t>100ng</w:t>
      </w:r>
      <w:r>
        <w:rPr>
          <w:rFonts w:ascii="Times New Roman" w:hAnsi="Times New Roman" w:eastAsia="微软雅黑" w:cs="Times New Roman"/>
          <w:spacing w:val="-3"/>
          <w:lang w:eastAsia="zh-CN"/>
        </w:rPr>
        <w:t>到</w:t>
      </w:r>
      <w:r>
        <w:rPr>
          <w:rFonts w:ascii="Times New Roman" w:hAnsi="Times New Roman" w:eastAsia="微软雅黑" w:cs="Times New Roman"/>
          <w:lang w:eastAsia="zh-CN"/>
        </w:rPr>
        <w:t>300ng之间；或降解区</w:t>
      </w:r>
      <w:r>
        <w:rPr>
          <w:rFonts w:ascii="Times New Roman" w:hAnsi="Times New Roman" w:eastAsia="微软雅黑" w:cs="Times New Roman"/>
          <w:spacing w:val="-2"/>
          <w:lang w:eastAsia="zh-CN"/>
        </w:rPr>
        <w:t>域弥散在</w:t>
      </w:r>
      <w:r>
        <w:rPr>
          <w:rFonts w:ascii="Times New Roman" w:hAnsi="Times New Roman" w:eastAsia="微软雅黑" w:cs="Times New Roman"/>
          <w:lang w:eastAsia="zh-CN"/>
        </w:rPr>
        <w:t>150-1000bp</w:t>
      </w:r>
      <w:r>
        <w:rPr>
          <w:rFonts w:ascii="Times New Roman" w:hAnsi="Times New Roman" w:eastAsia="微软雅黑" w:cs="Times New Roman"/>
          <w:spacing w:val="-2"/>
          <w:lang w:eastAsia="zh-CN"/>
        </w:rPr>
        <w:t>，或集中在</w:t>
      </w:r>
      <w:r>
        <w:rPr>
          <w:rFonts w:ascii="Times New Roman" w:hAnsi="Times New Roman" w:eastAsia="微软雅黑" w:cs="Times New Roman"/>
          <w:lang w:eastAsia="zh-CN"/>
        </w:rPr>
        <w:t>500bp以下。</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27"/>
      </w:pPr>
      <w:bookmarkStart w:id="57" w:name="_Hlk33190413"/>
      <w:bookmarkStart w:id="58" w:name="_Toc20848"/>
      <w:r>
        <w:t>BRCA1&amp;BRCA2</w:t>
      </w:r>
      <w:bookmarkEnd w:id="57"/>
      <w:r>
        <w:t>基因背景介绍</w:t>
      </w:r>
      <w:bookmarkEnd w:id="58"/>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 1.7%，而携带 BRCA1 突变的女性到 70 岁时患卵巢癌的风险高达39%~46%，携带 BRCA2 基因突变的女性到 70 岁时患卵巢癌的风险为 10%~27%。遗传性卵巢癌患者约50%是由于BRCA1 和BRCA2 基因突变所导致的。</w:t>
      </w: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t>BRCA1&amp;BRCA2基因说明及用药提示</w:t>
      </w:r>
      <w:bookmarkStart w:id="59" w:name="_Hlk33179213"/>
    </w:p>
    <w:p>
      <w:pPr>
        <w:spacing w:before="26"/>
        <w:rPr>
          <w:rFonts w:ascii="Times New Roman" w:hAnsi="Times New Roman" w:eastAsia="微软雅黑" w:cs="Times New Roman"/>
          <w:b/>
          <w:bCs/>
          <w:color w:val="416AAB"/>
          <w:sz w:val="24"/>
          <w:szCs w:val="24"/>
          <w:lang w:eastAsia="zh-CN"/>
        </w:rPr>
      </w:pPr>
    </w:p>
    <w:bookmarkEnd w:id="59"/>
    <w:tbl>
      <w:tblPr>
        <w:tblStyle w:val="15"/>
        <w:tblW w:w="0" w:type="auto"/>
        <w:tblInd w:w="-147" w:type="dxa"/>
        <w:tblLayout w:type="fixed"/>
        <w:tblCellMar>
          <w:top w:w="0" w:type="dxa"/>
          <w:left w:w="0" w:type="dxa"/>
          <w:bottom w:w="0" w:type="dxa"/>
          <w:right w:w="0" w:type="dxa"/>
        </w:tblCellMar>
      </w:tblPr>
      <w:tblGrid>
        <w:gridCol w:w="709"/>
        <w:gridCol w:w="4820"/>
        <w:gridCol w:w="2268"/>
        <w:gridCol w:w="2410"/>
      </w:tblGrid>
      <w:tr>
        <w:tblPrEx>
          <w:tblCellMar>
            <w:top w:w="0" w:type="dxa"/>
            <w:left w:w="0" w:type="dxa"/>
            <w:bottom w:w="0" w:type="dxa"/>
            <w:right w:w="0" w:type="dxa"/>
          </w:tblCellMar>
        </w:tblPrEx>
        <w:trPr>
          <w:trHeight w:val="413" w:hRule="atLeast"/>
        </w:trPr>
        <w:tc>
          <w:tcPr>
            <w:tcW w:w="709" w:type="dxa"/>
            <w:shd w:val="clear" w:color="auto" w:fill="2954A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shd w:val="clear" w:color="auto" w:fill="2954A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268" w:type="dxa"/>
            <w:shd w:val="clear" w:color="auto" w:fill="2954A1"/>
            <w:vAlign w:val="center"/>
          </w:tcPr>
          <w:p>
            <w:pPr>
              <w:pStyle w:val="20"/>
              <w:jc w:val="center"/>
              <w:rPr>
                <w:rFonts w:ascii="Times New Roman" w:hAnsi="Times New Roman" w:eastAsia="微软雅黑" w:cs="Times New Roman"/>
                <w:b/>
                <w:sz w:val="18"/>
                <w:szCs w:val="18"/>
              </w:rPr>
            </w:pPr>
            <w:bookmarkStart w:id="60" w:name="靶向药物"/>
            <w:bookmarkEnd w:id="60"/>
            <w:r>
              <w:rPr>
                <w:rFonts w:ascii="Times New Roman" w:hAnsi="Times New Roman" w:eastAsia="微软雅黑" w:cs="Times New Roman"/>
                <w:b/>
                <w:color w:val="FFFFFF"/>
                <w:sz w:val="18"/>
                <w:szCs w:val="18"/>
              </w:rPr>
              <w:t>靶向药物</w:t>
            </w:r>
          </w:p>
        </w:tc>
        <w:tc>
          <w:tcPr>
            <w:tcW w:w="2410" w:type="dxa"/>
            <w:shd w:val="clear" w:color="auto" w:fill="2954A1"/>
            <w:vAlign w:val="center"/>
          </w:tcPr>
          <w:p>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tblPrEx>
          <w:tblCellMar>
            <w:top w:w="0" w:type="dxa"/>
            <w:left w:w="0" w:type="dxa"/>
            <w:bottom w:w="0" w:type="dxa"/>
            <w:right w:w="0" w:type="dxa"/>
          </w:tblCellMar>
        </w:tblPrEx>
        <w:trPr>
          <w:trHeight w:val="969" w:hRule="atLeast"/>
        </w:trPr>
        <w:tc>
          <w:tcPr>
            <w:tcW w:w="709" w:type="dxa"/>
            <w:vAlign w:val="center"/>
          </w:tcPr>
          <w:p>
            <w:pPr>
              <w:pStyle w:val="20"/>
              <w:adjustRightInd w:val="0"/>
              <w:spacing w:before="158"/>
              <w:jc w:val="both"/>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BRCA1</w:t>
            </w:r>
          </w:p>
        </w:tc>
        <w:tc>
          <w:tcPr>
            <w:tcW w:w="4820" w:type="dxa"/>
            <w:vAlign w:val="center"/>
          </w:tcPr>
          <w:p>
            <w:pPr>
              <w:pStyle w:val="20"/>
              <w:spacing w:before="87" w:after="120" w:afterLines="50"/>
              <w:ind w:left="119" w:right="40"/>
              <w:jc w:val="both"/>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BRCA1定位于17号染色体长臂。该基因全长81kp，共有23个外显子，是肿瘤抑制基因。BRCA1非激活突变会导致Brca1蛋白肿瘤抑制功能的丧失，扰乱DNA修复过程造成DNA损伤的积累，并且细胞周期检查点功能的缺失，进而引起肿瘤发生。BRCA1缺陷会增加乳腺癌、卵巢癌风险</w:t>
            </w:r>
            <w:r>
              <w:rPr>
                <w:rFonts w:ascii="Times New Roman" w:hAnsi="Times New Roman" w:eastAsia="微软雅黑" w:cs="Times New Roman"/>
                <w:sz w:val="18"/>
                <w:szCs w:val="18"/>
                <w:vertAlign w:val="superscript"/>
                <w:lang w:eastAsia="zh-CN"/>
              </w:rPr>
              <w:t>[1-4]</w:t>
            </w:r>
            <w:r>
              <w:rPr>
                <w:rFonts w:ascii="Times New Roman" w:hAnsi="Times New Roman" w:eastAsia="微软雅黑" w:cs="Times New Roman"/>
                <w:sz w:val="18"/>
                <w:szCs w:val="18"/>
                <w:lang w:eastAsia="zh-CN"/>
              </w:rPr>
              <w:t>。BRCA1相关的疾病还包括子宫内膜癌、肠癌、胃癌等</w:t>
            </w:r>
            <w:r>
              <w:rPr>
                <w:rFonts w:ascii="Times New Roman" w:hAnsi="Times New Roman" w:eastAsia="微软雅黑" w:cs="Times New Roman"/>
                <w:sz w:val="18"/>
                <w:szCs w:val="18"/>
                <w:vertAlign w:val="superscript"/>
                <w:lang w:eastAsia="zh-CN"/>
              </w:rPr>
              <w:t>[5-9]</w:t>
            </w:r>
            <w:r>
              <w:rPr>
                <w:rFonts w:ascii="Times New Roman" w:hAnsi="Times New Roman" w:eastAsia="微软雅黑" w:cs="Times New Roman"/>
                <w:sz w:val="18"/>
                <w:szCs w:val="18"/>
                <w:lang w:eastAsia="zh-CN"/>
              </w:rPr>
              <w:t>。BRCA1胚系突变，倾向发生于家族性乳腺癌、卵巢癌、胰腺癌、前列腺癌、葡萄膜恶性黑色素瘤及食管癌等</w:t>
            </w:r>
            <w:r>
              <w:rPr>
                <w:rFonts w:ascii="Times New Roman" w:hAnsi="Times New Roman" w:eastAsia="微软雅黑" w:cs="Times New Roman"/>
                <w:sz w:val="18"/>
                <w:szCs w:val="18"/>
                <w:vertAlign w:val="superscript"/>
                <w:lang w:eastAsia="zh-CN"/>
              </w:rPr>
              <w:t>[10-14]</w:t>
            </w:r>
            <w:r>
              <w:rPr>
                <w:rFonts w:ascii="Times New Roman" w:hAnsi="Times New Roman" w:eastAsia="微软雅黑" w:cs="Times New Roman"/>
                <w:sz w:val="18"/>
                <w:szCs w:val="18"/>
                <w:lang w:eastAsia="zh-CN"/>
              </w:rPr>
              <w:t>。</w:t>
            </w:r>
          </w:p>
        </w:tc>
        <w:tc>
          <w:tcPr>
            <w:tcW w:w="2268" w:type="dxa"/>
            <w:vAlign w:val="center"/>
          </w:tcPr>
          <w:p>
            <w:pPr>
              <w:pStyle w:val="20"/>
              <w:adjustRightInd w:val="0"/>
              <w:spacing w:before="35"/>
              <w:ind w:left="110" w:leftChars="50"/>
              <w:jc w:val="both"/>
              <w:rPr>
                <w:rFonts w:ascii="Times New Roman" w:hAnsi="Times New Roman" w:eastAsia="微软雅黑" w:cs="Times New Roman"/>
                <w:sz w:val="18"/>
                <w:szCs w:val="18"/>
              </w:rPr>
            </w:pPr>
            <w:bookmarkStart w:id="61" w:name="mTOR_抑制剂："/>
            <w:bookmarkEnd w:id="61"/>
            <w:r>
              <w:rPr>
                <w:rFonts w:ascii="Times New Roman" w:hAnsi="Times New Roman" w:eastAsia="微软雅黑" w:cs="Times New Roman"/>
                <w:sz w:val="18"/>
                <w:szCs w:val="18"/>
              </w:rPr>
              <w:t>Olaparib（奥拉帕利）</w:t>
            </w:r>
            <w:r>
              <w:rPr>
                <w:rFonts w:ascii="Times New Roman" w:hAnsi="Times New Roman" w:eastAsia="微软雅黑" w:cs="Times New Roman"/>
                <w:sz w:val="18"/>
                <w:szCs w:val="18"/>
                <w:vertAlign w:val="superscript"/>
              </w:rPr>
              <w:t>1*</w:t>
            </w:r>
            <w:r>
              <w:rPr>
                <w:rFonts w:ascii="Times New Roman" w:hAnsi="Times New Roman" w:eastAsia="微软雅黑" w:cs="Times New Roman"/>
                <w:sz w:val="18"/>
                <w:szCs w:val="18"/>
              </w:rPr>
              <w:t>、</w:t>
            </w:r>
          </w:p>
          <w:p>
            <w:pPr>
              <w:pStyle w:val="20"/>
              <w:adjustRightInd w:val="0"/>
              <w:spacing w:before="35"/>
              <w:ind w:left="110" w:leftChars="50"/>
              <w:jc w:val="both"/>
              <w:rPr>
                <w:rFonts w:ascii="Times New Roman" w:hAnsi="Times New Roman" w:eastAsia="微软雅黑" w:cs="Times New Roman"/>
                <w:sz w:val="18"/>
                <w:szCs w:val="18"/>
              </w:rPr>
            </w:pPr>
            <w:r>
              <w:rPr>
                <w:rFonts w:ascii="Times New Roman" w:hAnsi="Times New Roman" w:eastAsia="微软雅黑" w:cs="Times New Roman"/>
                <w:sz w:val="18"/>
                <w:szCs w:val="18"/>
              </w:rPr>
              <w:t>Rucaparib（芦卡帕尼）</w:t>
            </w:r>
            <w:r>
              <w:rPr>
                <w:rFonts w:ascii="Times New Roman" w:hAnsi="Times New Roman" w:eastAsia="微软雅黑" w:cs="Times New Roman"/>
                <w:sz w:val="18"/>
                <w:szCs w:val="18"/>
                <w:vertAlign w:val="superscript"/>
              </w:rPr>
              <w:t>1</w:t>
            </w:r>
            <w:r>
              <w:rPr>
                <w:rFonts w:ascii="Times New Roman" w:hAnsi="Times New Roman" w:eastAsia="微软雅黑" w:cs="Times New Roman"/>
                <w:sz w:val="18"/>
                <w:szCs w:val="18"/>
              </w:rPr>
              <w:t>、</w:t>
            </w:r>
          </w:p>
          <w:p>
            <w:pPr>
              <w:pStyle w:val="20"/>
              <w:adjustRightInd w:val="0"/>
              <w:spacing w:before="35"/>
              <w:ind w:left="110" w:leftChars="50"/>
              <w:jc w:val="both"/>
              <w:rPr>
                <w:rFonts w:ascii="Times New Roman" w:hAnsi="Times New Roman" w:eastAsia="微软雅黑" w:cs="Times New Roman"/>
                <w:sz w:val="18"/>
                <w:szCs w:val="18"/>
                <w:vertAlign w:val="superscript"/>
              </w:rPr>
            </w:pPr>
            <w:r>
              <w:rPr>
                <w:rFonts w:ascii="Times New Roman" w:hAnsi="Times New Roman" w:eastAsia="微软雅黑" w:cs="Times New Roman"/>
                <w:sz w:val="18"/>
                <w:szCs w:val="18"/>
              </w:rPr>
              <w:t>Niraparib（尼拉帕利）</w:t>
            </w:r>
            <w:r>
              <w:rPr>
                <w:rFonts w:ascii="Times New Roman" w:hAnsi="Times New Roman" w:eastAsia="微软雅黑" w:cs="Times New Roman"/>
                <w:sz w:val="18"/>
                <w:szCs w:val="18"/>
                <w:vertAlign w:val="superscript"/>
              </w:rPr>
              <w:t>1</w:t>
            </w:r>
            <w:r>
              <w:rPr>
                <w:rFonts w:hint="eastAsia"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8"/>
                <w:szCs w:val="18"/>
              </w:rPr>
              <w:t>、</w:t>
            </w:r>
          </w:p>
          <w:p>
            <w:pPr>
              <w:adjustRightInd w:val="0"/>
              <w:ind w:left="110" w:leftChars="50"/>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Fluzoparib</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rPr>
              <w:t>氟唑帕利</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vertAlign w:val="superscript"/>
              </w:rPr>
              <w:t>1*</w:t>
            </w:r>
            <w:r>
              <w:rPr>
                <w:rFonts w:hint="eastAsia" w:ascii="Times New Roman" w:hAnsi="Times New Roman" w:eastAsia="微软雅黑" w:cs="Times New Roman"/>
                <w:sz w:val="18"/>
                <w:szCs w:val="18"/>
                <w:vertAlign w:val="baseline"/>
                <w:lang w:eastAsia="zh-CN"/>
              </w:rPr>
              <w:t>、</w:t>
            </w:r>
            <w:r>
              <w:rPr>
                <w:rFonts w:ascii="Times New Roman" w:hAnsi="Times New Roman" w:eastAsia="微软雅黑" w:cs="Times New Roman"/>
                <w:sz w:val="18"/>
                <w:szCs w:val="18"/>
              </w:rPr>
              <w:t>Talazoparib</w:t>
            </w:r>
            <w:r>
              <w:rPr>
                <w:rFonts w:ascii="Times New Roman" w:hAnsi="Times New Roman" w:eastAsia="微软雅黑" w:cs="Times New Roman"/>
                <w:sz w:val="18"/>
                <w:szCs w:val="18"/>
                <w:vertAlign w:val="superscript"/>
              </w:rPr>
              <w:t>1</w:t>
            </w:r>
            <w:r>
              <w:rPr>
                <w:rFonts w:ascii="Times New Roman" w:hAnsi="Times New Roman" w:eastAsia="微软雅黑" w:cs="Times New Roman"/>
                <w:sz w:val="18"/>
                <w:szCs w:val="18"/>
              </w:rPr>
              <w:t>、Iniparib</w:t>
            </w:r>
            <w:r>
              <w:rPr>
                <w:rFonts w:ascii="Times New Roman" w:hAnsi="Times New Roman" w:eastAsia="微软雅黑" w:cs="Times New Roman"/>
                <w:sz w:val="18"/>
                <w:szCs w:val="18"/>
                <w:vertAlign w:val="superscript"/>
              </w:rPr>
              <w:t>2</w:t>
            </w:r>
          </w:p>
          <w:p>
            <w:pPr>
              <w:pStyle w:val="20"/>
              <w:spacing w:before="35" w:line="319" w:lineRule="auto"/>
              <w:ind w:left="110" w:leftChars="50"/>
              <w:jc w:val="both"/>
              <w:rPr>
                <w:rFonts w:ascii="Times New Roman" w:hAnsi="Times New Roman" w:eastAsia="微软雅黑" w:cs="Times New Roman"/>
                <w:sz w:val="18"/>
                <w:szCs w:val="18"/>
              </w:rPr>
            </w:pPr>
          </w:p>
        </w:tc>
        <w:tc>
          <w:tcPr>
            <w:tcW w:w="2410" w:type="dxa"/>
            <w:vAlign w:val="center"/>
          </w:tcPr>
          <w:p>
            <w:pPr>
              <w:pStyle w:val="20"/>
              <w:spacing w:line="324" w:lineRule="auto"/>
              <w:ind w:left="121" w:right="181"/>
              <w:jc w:val="both"/>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携带BRCA1胚系或体细胞失活性突变的肿瘤可能对PARP抑制剂敏感</w:t>
            </w:r>
            <w:r>
              <w:rPr>
                <w:rFonts w:ascii="Times New Roman" w:hAnsi="Times New Roman" w:eastAsia="微软雅黑" w:cs="Times New Roman"/>
                <w:sz w:val="18"/>
                <w:szCs w:val="18"/>
                <w:vertAlign w:val="superscript"/>
                <w:lang w:eastAsia="zh-CN"/>
              </w:rPr>
              <w:t>[15-28]</w:t>
            </w:r>
            <w:r>
              <w:rPr>
                <w:rFonts w:ascii="Times New Roman" w:hAnsi="Times New Roman" w:eastAsia="微软雅黑" w:cs="Times New Roman"/>
                <w:sz w:val="18"/>
                <w:szCs w:val="18"/>
                <w:lang w:eastAsia="zh-CN"/>
              </w:rPr>
              <w:t>，例如奥拉帕利、芦卡帕尼、尼拉帕利</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rPr>
              <w:t>氟唑帕利</w:t>
            </w:r>
            <w:r>
              <w:rPr>
                <w:rFonts w:ascii="Times New Roman" w:hAnsi="Times New Roman" w:eastAsia="微软雅黑" w:cs="Times New Roman"/>
                <w:sz w:val="18"/>
                <w:szCs w:val="18"/>
                <w:lang w:eastAsia="zh-CN"/>
              </w:rPr>
              <w:t>等。如携带BRCA1致病性胚系突变，建议直系亲属进行遗传易感性基因筛查。</w:t>
            </w:r>
          </w:p>
        </w:tc>
      </w:tr>
      <w:tr>
        <w:tblPrEx>
          <w:tblCellMar>
            <w:top w:w="0" w:type="dxa"/>
            <w:left w:w="0" w:type="dxa"/>
            <w:bottom w:w="0" w:type="dxa"/>
            <w:right w:w="0" w:type="dxa"/>
          </w:tblCellMar>
        </w:tblPrEx>
        <w:trPr>
          <w:trHeight w:val="969" w:hRule="atLeast"/>
        </w:trPr>
        <w:tc>
          <w:tcPr>
            <w:tcW w:w="709" w:type="dxa"/>
            <w:vAlign w:val="center"/>
          </w:tcPr>
          <w:p>
            <w:pPr>
              <w:pStyle w:val="20"/>
              <w:adjustRightInd w:val="0"/>
              <w:spacing w:before="159"/>
              <w:jc w:val="both"/>
              <w:rPr>
                <w:rFonts w:ascii="Times New Roman" w:hAnsi="Times New Roman" w:eastAsia="微软雅黑" w:cs="Times New Roman"/>
                <w:b/>
                <w:sz w:val="18"/>
                <w:szCs w:val="18"/>
              </w:rPr>
            </w:pPr>
            <w:r>
              <w:rPr>
                <w:rFonts w:ascii="Times New Roman" w:hAnsi="Times New Roman" w:eastAsia="微软雅黑" w:cs="Times New Roman"/>
                <w:b/>
                <w:sz w:val="18"/>
                <w:szCs w:val="18"/>
              </w:rPr>
              <w:t>BRCA2</w:t>
            </w:r>
          </w:p>
        </w:tc>
        <w:tc>
          <w:tcPr>
            <w:tcW w:w="4820" w:type="dxa"/>
            <w:vAlign w:val="center"/>
          </w:tcPr>
          <w:p>
            <w:pPr>
              <w:pStyle w:val="20"/>
              <w:spacing w:before="87" w:after="120" w:afterLines="50"/>
              <w:ind w:left="119"/>
              <w:jc w:val="both"/>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BRCA2定位于13号染色体长臂12-13区。该基因全长约70kb，共有27个外显子，是肿瘤抑制基因，其mRNA长约10kb所编码的BRCA2蛋白含有3418个氨基酸。BRCA2非激活突变会导致Brca2蛋白肿瘤抑制功能的丧失，扰乱DNA修复过程造成DNA损伤的积累，并且细胞周期检查点功能的缺失，进而引起肿瘤发生。BRCA2缺陷会增加乳腺癌、卵巢癌风险</w:t>
            </w:r>
            <w:r>
              <w:rPr>
                <w:rFonts w:ascii="Times New Roman" w:hAnsi="Times New Roman" w:eastAsia="微软雅黑" w:cs="Times New Roman"/>
                <w:sz w:val="18"/>
                <w:szCs w:val="18"/>
                <w:vertAlign w:val="superscript"/>
                <w:lang w:eastAsia="zh-CN"/>
              </w:rPr>
              <w:t>[1-4]</w:t>
            </w:r>
            <w:r>
              <w:rPr>
                <w:rFonts w:ascii="Times New Roman" w:hAnsi="Times New Roman" w:eastAsia="微软雅黑" w:cs="Times New Roman"/>
                <w:sz w:val="18"/>
                <w:szCs w:val="18"/>
                <w:lang w:eastAsia="zh-CN"/>
              </w:rPr>
              <w:t>。BRCA2相关的疾病还包括子宫内膜癌、肠癌、胃癌等</w:t>
            </w:r>
            <w:r>
              <w:rPr>
                <w:rFonts w:ascii="Times New Roman" w:hAnsi="Times New Roman" w:eastAsia="微软雅黑" w:cs="Times New Roman"/>
                <w:sz w:val="18"/>
                <w:szCs w:val="18"/>
                <w:vertAlign w:val="superscript"/>
                <w:lang w:eastAsia="zh-CN"/>
              </w:rPr>
              <w:t>[5-9]</w:t>
            </w:r>
            <w:r>
              <w:rPr>
                <w:rFonts w:ascii="Times New Roman" w:hAnsi="Times New Roman" w:eastAsia="微软雅黑" w:cs="Times New Roman"/>
                <w:sz w:val="18"/>
                <w:szCs w:val="18"/>
                <w:lang w:eastAsia="zh-CN"/>
              </w:rPr>
              <w:t>。BRCA2胚系突变，倾向发生于家族性乳腺癌、卵巢癌、胰腺癌、前列腺癌、葡萄膜恶性黑色素瘤及食管癌等</w:t>
            </w:r>
            <w:r>
              <w:rPr>
                <w:rFonts w:ascii="Times New Roman" w:hAnsi="Times New Roman" w:eastAsia="微软雅黑" w:cs="Times New Roman"/>
                <w:sz w:val="18"/>
                <w:szCs w:val="18"/>
                <w:vertAlign w:val="superscript"/>
                <w:lang w:eastAsia="zh-CN"/>
              </w:rPr>
              <w:t>[10-14]</w:t>
            </w:r>
            <w:r>
              <w:rPr>
                <w:rFonts w:ascii="Times New Roman" w:hAnsi="Times New Roman" w:eastAsia="微软雅黑" w:cs="Times New Roman"/>
                <w:sz w:val="18"/>
                <w:szCs w:val="18"/>
                <w:lang w:eastAsia="zh-CN"/>
              </w:rPr>
              <w:t>。</w:t>
            </w:r>
          </w:p>
        </w:tc>
        <w:tc>
          <w:tcPr>
            <w:tcW w:w="2268" w:type="dxa"/>
            <w:vAlign w:val="center"/>
          </w:tcPr>
          <w:p>
            <w:pPr>
              <w:pStyle w:val="20"/>
              <w:adjustRightInd w:val="0"/>
              <w:spacing w:before="35"/>
              <w:ind w:left="110" w:leftChars="50"/>
              <w:jc w:val="both"/>
              <w:rPr>
                <w:rFonts w:ascii="Times New Roman" w:hAnsi="Times New Roman" w:eastAsia="微软雅黑" w:cs="Times New Roman"/>
                <w:sz w:val="18"/>
                <w:szCs w:val="18"/>
              </w:rPr>
            </w:pPr>
            <w:r>
              <w:rPr>
                <w:rFonts w:ascii="Times New Roman" w:hAnsi="Times New Roman" w:eastAsia="微软雅黑" w:cs="Times New Roman"/>
                <w:sz w:val="18"/>
                <w:szCs w:val="18"/>
              </w:rPr>
              <w:t>Olaparib（奥拉帕利）</w:t>
            </w:r>
            <w:r>
              <w:rPr>
                <w:rFonts w:ascii="Times New Roman" w:hAnsi="Times New Roman" w:eastAsia="微软雅黑" w:cs="Times New Roman"/>
                <w:sz w:val="18"/>
                <w:szCs w:val="18"/>
                <w:vertAlign w:val="superscript"/>
              </w:rPr>
              <w:t>1*</w:t>
            </w:r>
            <w:r>
              <w:rPr>
                <w:rFonts w:ascii="Times New Roman" w:hAnsi="Times New Roman" w:eastAsia="微软雅黑" w:cs="Times New Roman"/>
                <w:sz w:val="18"/>
                <w:szCs w:val="18"/>
              </w:rPr>
              <w:t>、</w:t>
            </w:r>
          </w:p>
          <w:p>
            <w:pPr>
              <w:pStyle w:val="20"/>
              <w:adjustRightInd w:val="0"/>
              <w:spacing w:before="35"/>
              <w:ind w:left="110" w:leftChars="50"/>
              <w:jc w:val="both"/>
              <w:rPr>
                <w:rFonts w:ascii="Times New Roman" w:hAnsi="Times New Roman" w:eastAsia="微软雅黑" w:cs="Times New Roman"/>
                <w:sz w:val="18"/>
                <w:szCs w:val="18"/>
              </w:rPr>
            </w:pPr>
            <w:r>
              <w:rPr>
                <w:rFonts w:ascii="Times New Roman" w:hAnsi="Times New Roman" w:eastAsia="微软雅黑" w:cs="Times New Roman"/>
                <w:sz w:val="18"/>
                <w:szCs w:val="18"/>
              </w:rPr>
              <w:t>Rucaparib（芦卡帕尼）</w:t>
            </w:r>
            <w:r>
              <w:rPr>
                <w:rFonts w:ascii="Times New Roman" w:hAnsi="Times New Roman" w:eastAsia="微软雅黑" w:cs="Times New Roman"/>
                <w:sz w:val="18"/>
                <w:szCs w:val="18"/>
                <w:vertAlign w:val="superscript"/>
              </w:rPr>
              <w:t>1</w:t>
            </w:r>
            <w:r>
              <w:rPr>
                <w:rFonts w:ascii="Times New Roman" w:hAnsi="Times New Roman" w:eastAsia="微软雅黑" w:cs="Times New Roman"/>
                <w:sz w:val="18"/>
                <w:szCs w:val="18"/>
              </w:rPr>
              <w:t>、</w:t>
            </w:r>
          </w:p>
          <w:p>
            <w:pPr>
              <w:pStyle w:val="20"/>
              <w:adjustRightInd w:val="0"/>
              <w:spacing w:before="35"/>
              <w:ind w:left="110" w:leftChars="50"/>
              <w:jc w:val="both"/>
              <w:rPr>
                <w:rFonts w:ascii="Times New Roman" w:hAnsi="Times New Roman" w:eastAsia="微软雅黑" w:cs="Times New Roman"/>
                <w:sz w:val="18"/>
                <w:szCs w:val="18"/>
                <w:vertAlign w:val="superscript"/>
              </w:rPr>
            </w:pPr>
            <w:r>
              <w:rPr>
                <w:rFonts w:ascii="Times New Roman" w:hAnsi="Times New Roman" w:eastAsia="微软雅黑" w:cs="Times New Roman"/>
                <w:sz w:val="18"/>
                <w:szCs w:val="18"/>
              </w:rPr>
              <w:t>Niraparib（尼拉帕利）</w:t>
            </w:r>
            <w:r>
              <w:rPr>
                <w:rFonts w:ascii="Times New Roman" w:hAnsi="Times New Roman" w:eastAsia="微软雅黑" w:cs="Times New Roman"/>
                <w:sz w:val="18"/>
                <w:szCs w:val="18"/>
                <w:vertAlign w:val="superscript"/>
              </w:rPr>
              <w:t>1</w:t>
            </w:r>
            <w:r>
              <w:rPr>
                <w:rFonts w:hint="eastAsia"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Fluzoparib</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rPr>
              <w:t>氟唑帕利</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vertAlign w:val="superscript"/>
              </w:rPr>
              <w:t>1*</w:t>
            </w:r>
            <w:r>
              <w:rPr>
                <w:rFonts w:hint="eastAsia" w:ascii="Times New Roman" w:hAnsi="Times New Roman" w:eastAsia="微软雅黑" w:cs="Times New Roman"/>
                <w:sz w:val="18"/>
                <w:szCs w:val="18"/>
                <w:vertAlign w:val="baseline"/>
                <w:lang w:eastAsia="zh-CN"/>
              </w:rPr>
              <w:t>、</w:t>
            </w:r>
          </w:p>
          <w:p>
            <w:pPr>
              <w:adjustRightInd w:val="0"/>
              <w:ind w:left="110" w:leftChars="50"/>
              <w:jc w:val="both"/>
              <w:rPr>
                <w:rFonts w:ascii="Times New Roman" w:hAnsi="Times New Roman" w:eastAsia="微软雅黑" w:cs="Times New Roman"/>
                <w:sz w:val="18"/>
                <w:szCs w:val="18"/>
              </w:rPr>
            </w:pPr>
            <w:r>
              <w:rPr>
                <w:rFonts w:ascii="Times New Roman" w:hAnsi="Times New Roman" w:eastAsia="微软雅黑" w:cs="Times New Roman"/>
                <w:sz w:val="18"/>
                <w:szCs w:val="18"/>
              </w:rPr>
              <w:t>Talazoparib</w:t>
            </w:r>
            <w:r>
              <w:rPr>
                <w:rFonts w:ascii="Times New Roman" w:hAnsi="Times New Roman" w:eastAsia="微软雅黑" w:cs="Times New Roman"/>
                <w:sz w:val="18"/>
                <w:szCs w:val="18"/>
                <w:vertAlign w:val="superscript"/>
              </w:rPr>
              <w:t>1</w:t>
            </w:r>
            <w:r>
              <w:rPr>
                <w:rFonts w:ascii="Times New Roman" w:hAnsi="Times New Roman" w:eastAsia="微软雅黑" w:cs="Times New Roman"/>
                <w:sz w:val="18"/>
                <w:szCs w:val="18"/>
              </w:rPr>
              <w:t>、Iniparib</w:t>
            </w:r>
            <w:r>
              <w:rPr>
                <w:rFonts w:ascii="Times New Roman" w:hAnsi="Times New Roman" w:eastAsia="微软雅黑" w:cs="Times New Roman"/>
                <w:sz w:val="18"/>
                <w:szCs w:val="18"/>
                <w:vertAlign w:val="superscript"/>
              </w:rPr>
              <w:t>2</w:t>
            </w:r>
          </w:p>
          <w:p>
            <w:pPr>
              <w:pStyle w:val="20"/>
              <w:spacing w:before="35" w:line="319" w:lineRule="auto"/>
              <w:ind w:left="110" w:leftChars="50"/>
              <w:jc w:val="both"/>
              <w:rPr>
                <w:rFonts w:ascii="Times New Roman" w:hAnsi="Times New Roman" w:eastAsia="微软雅黑" w:cs="Times New Roman"/>
                <w:sz w:val="18"/>
                <w:szCs w:val="18"/>
              </w:rPr>
            </w:pPr>
          </w:p>
        </w:tc>
        <w:tc>
          <w:tcPr>
            <w:tcW w:w="2410" w:type="dxa"/>
            <w:vAlign w:val="center"/>
          </w:tcPr>
          <w:p>
            <w:pPr>
              <w:pStyle w:val="20"/>
              <w:spacing w:line="324" w:lineRule="auto"/>
              <w:ind w:left="121" w:right="181"/>
              <w:jc w:val="both"/>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携带BRCA2胚系或体细胞失活性突变的肿瘤可能对PARP抑制剂敏感</w:t>
            </w:r>
            <w:r>
              <w:rPr>
                <w:rFonts w:ascii="Times New Roman" w:hAnsi="Times New Roman" w:eastAsia="微软雅黑" w:cs="Times New Roman"/>
                <w:sz w:val="18"/>
                <w:szCs w:val="18"/>
                <w:vertAlign w:val="superscript"/>
                <w:lang w:eastAsia="zh-CN"/>
              </w:rPr>
              <w:t>[15-28]</w:t>
            </w:r>
            <w:r>
              <w:rPr>
                <w:rFonts w:ascii="Times New Roman" w:hAnsi="Times New Roman" w:eastAsia="微软雅黑" w:cs="Times New Roman"/>
                <w:sz w:val="18"/>
                <w:szCs w:val="18"/>
                <w:lang w:eastAsia="zh-CN"/>
              </w:rPr>
              <w:t>，例如奥拉帕利、芦卡帕尼、尼拉帕利</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rPr>
              <w:t>氟唑帕利</w:t>
            </w:r>
            <w:r>
              <w:rPr>
                <w:rFonts w:ascii="Times New Roman" w:hAnsi="Times New Roman" w:eastAsia="微软雅黑" w:cs="Times New Roman"/>
                <w:sz w:val="18"/>
                <w:szCs w:val="18"/>
                <w:lang w:eastAsia="zh-CN"/>
              </w:rPr>
              <w:t>等。如携带BRCA2致病性胚系突变，建议直系亲属进行遗传易感性基因筛查。</w:t>
            </w:r>
          </w:p>
        </w:tc>
      </w:tr>
    </w:tbl>
    <w:p>
      <w:pP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t>BRCA1&amp;BRCA2靶向药物研究信息</w:t>
      </w:r>
    </w:p>
    <w:p>
      <w:pPr>
        <w:pStyle w:val="6"/>
        <w:spacing w:after="1"/>
        <w:ind w:right="330" w:rightChars="150"/>
        <w:rPr>
          <w:rFonts w:ascii="Times New Roman" w:hAnsi="Times New Roman" w:eastAsia="微软雅黑" w:cs="Times New Roman"/>
          <w:b/>
          <w:sz w:val="16"/>
        </w:rPr>
      </w:pPr>
    </w:p>
    <w:tbl>
      <w:tblPr>
        <w:tblStyle w:val="15"/>
        <w:tblpPr w:leftFromText="180" w:rightFromText="180" w:vertAnchor="text" w:horzAnchor="page" w:tblpX="984" w:tblpY="194"/>
        <w:tblOverlap w:val="never"/>
        <w:tblW w:w="0" w:type="auto"/>
        <w:tblInd w:w="0" w:type="dxa"/>
        <w:tblLayout w:type="fixed"/>
        <w:tblCellMar>
          <w:top w:w="0" w:type="dxa"/>
          <w:left w:w="108" w:type="dxa"/>
          <w:bottom w:w="0" w:type="dxa"/>
          <w:right w:w="108" w:type="dxa"/>
        </w:tblCellMar>
      </w:tblPr>
      <w:tblGrid>
        <w:gridCol w:w="1724"/>
        <w:gridCol w:w="1428"/>
        <w:gridCol w:w="1428"/>
        <w:gridCol w:w="5627"/>
      </w:tblGrid>
      <w:tr>
        <w:tblPrEx>
          <w:tblCellMar>
            <w:top w:w="0" w:type="dxa"/>
            <w:left w:w="108" w:type="dxa"/>
            <w:bottom w:w="0" w:type="dxa"/>
            <w:right w:w="108" w:type="dxa"/>
          </w:tblCellMar>
        </w:tblPrEx>
        <w:trPr>
          <w:trHeight w:val="416" w:hRule="atLeast"/>
        </w:trPr>
        <w:tc>
          <w:tcPr>
            <w:tcW w:w="1724" w:type="dxa"/>
            <w:shd w:val="clear" w:color="auto" w:fill="2954A1"/>
            <w:vAlign w:val="center"/>
          </w:tcPr>
          <w:p>
            <w:pPr>
              <w:pStyle w:val="20"/>
              <w:spacing w:before="10"/>
              <w:jc w:val="center"/>
              <w:rPr>
                <w:rFonts w:ascii="Times New Roman" w:hAnsi="Times New Roman" w:eastAsia="微软雅黑" w:cs="Times New Roman"/>
                <w:b/>
                <w:color w:val="FFFFFF"/>
                <w:sz w:val="21"/>
                <w:szCs w:val="21"/>
              </w:rPr>
            </w:pPr>
            <w:r>
              <w:rPr>
                <w:rFonts w:ascii="Times New Roman" w:hAnsi="Times New Roman" w:eastAsia="微软雅黑" w:cs="Times New Roman"/>
                <w:b/>
                <w:color w:val="FFFFFF"/>
                <w:sz w:val="21"/>
                <w:szCs w:val="21"/>
              </w:rPr>
              <w:t>药物名称</w:t>
            </w:r>
          </w:p>
        </w:tc>
        <w:tc>
          <w:tcPr>
            <w:tcW w:w="1428" w:type="dxa"/>
            <w:shd w:val="clear" w:color="auto" w:fill="2954A1"/>
            <w:vAlign w:val="center"/>
          </w:tcPr>
          <w:p>
            <w:pPr>
              <w:pStyle w:val="20"/>
              <w:spacing w:before="10"/>
              <w:jc w:val="center"/>
              <w:rPr>
                <w:rFonts w:ascii="Times New Roman" w:hAnsi="Times New Roman" w:eastAsia="微软雅黑" w:cs="Times New Roman"/>
                <w:b/>
                <w:color w:val="FFFFFF"/>
                <w:sz w:val="21"/>
                <w:szCs w:val="21"/>
              </w:rPr>
            </w:pPr>
            <w:r>
              <w:rPr>
                <w:rFonts w:ascii="Times New Roman" w:hAnsi="Times New Roman" w:eastAsia="微软雅黑" w:cs="Times New Roman"/>
                <w:b/>
                <w:color w:val="FFFFFF"/>
                <w:sz w:val="21"/>
                <w:szCs w:val="21"/>
              </w:rPr>
              <w:t>相关疾病</w:t>
            </w:r>
          </w:p>
        </w:tc>
        <w:tc>
          <w:tcPr>
            <w:tcW w:w="1428" w:type="dxa"/>
            <w:shd w:val="clear" w:color="auto" w:fill="2954A1"/>
            <w:vAlign w:val="center"/>
          </w:tcPr>
          <w:p>
            <w:pPr>
              <w:pStyle w:val="20"/>
              <w:spacing w:before="10"/>
              <w:jc w:val="center"/>
              <w:rPr>
                <w:rFonts w:ascii="Times New Roman" w:hAnsi="Times New Roman" w:eastAsia="微软雅黑" w:cs="Times New Roman"/>
                <w:b/>
                <w:color w:val="FFFFFF"/>
                <w:sz w:val="21"/>
                <w:szCs w:val="21"/>
              </w:rPr>
            </w:pPr>
            <w:r>
              <w:rPr>
                <w:rFonts w:ascii="Times New Roman" w:hAnsi="Times New Roman" w:eastAsia="微软雅黑" w:cs="Times New Roman"/>
                <w:b/>
                <w:color w:val="FFFFFF"/>
                <w:sz w:val="21"/>
                <w:szCs w:val="21"/>
              </w:rPr>
              <w:t>证据等级</w:t>
            </w:r>
          </w:p>
        </w:tc>
        <w:tc>
          <w:tcPr>
            <w:tcW w:w="5627" w:type="dxa"/>
            <w:shd w:val="clear" w:color="auto" w:fill="2954A1"/>
            <w:vAlign w:val="center"/>
          </w:tcPr>
          <w:p>
            <w:pPr>
              <w:pStyle w:val="20"/>
              <w:spacing w:before="10"/>
              <w:ind w:left="880"/>
              <w:jc w:val="center"/>
              <w:rPr>
                <w:rFonts w:ascii="Times New Roman" w:hAnsi="Times New Roman" w:eastAsia="微软雅黑" w:cs="Times New Roman"/>
                <w:b/>
                <w:color w:val="FFFFFF"/>
                <w:sz w:val="21"/>
                <w:szCs w:val="21"/>
              </w:rPr>
            </w:pPr>
            <w:r>
              <w:rPr>
                <w:rFonts w:ascii="Times New Roman" w:hAnsi="Times New Roman" w:eastAsia="微软雅黑" w:cs="Times New Roman"/>
                <w:b/>
                <w:color w:val="FFFFFF"/>
                <w:sz w:val="21"/>
                <w:szCs w:val="21"/>
              </w:rPr>
              <w:t>循证医学信息</w:t>
            </w:r>
          </w:p>
        </w:tc>
      </w:tr>
      <w:tr>
        <w:tblPrEx>
          <w:tblCellMar>
            <w:top w:w="0" w:type="dxa"/>
            <w:left w:w="108" w:type="dxa"/>
            <w:bottom w:w="0" w:type="dxa"/>
            <w:right w:w="108" w:type="dxa"/>
          </w:tblCellMar>
        </w:tblPrEx>
        <w:trPr>
          <w:trHeight w:val="1981" w:hRule="atLeast"/>
        </w:trPr>
        <w:tc>
          <w:tcPr>
            <w:tcW w:w="1724"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奥拉帕利</w:t>
            </w:r>
            <w:r>
              <w:rPr>
                <w:rFonts w:ascii="Times New Roman" w:hAnsi="Times New Roman" w:eastAsia="微软雅黑" w:cs="Times New Roman"/>
                <w:kern w:val="2"/>
                <w:sz w:val="18"/>
                <w:szCs w:val="18"/>
                <w:vertAlign w:val="superscript"/>
              </w:rPr>
              <w:t>1*</w:t>
            </w:r>
          </w:p>
        </w:tc>
        <w:tc>
          <w:tcPr>
            <w:tcW w:w="1428"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卵巢癌</w:t>
            </w:r>
          </w:p>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乳腺癌</w:t>
            </w:r>
          </w:p>
        </w:tc>
        <w:tc>
          <w:tcPr>
            <w:tcW w:w="1428"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获批上市</w:t>
            </w:r>
          </w:p>
        </w:tc>
        <w:tc>
          <w:tcPr>
            <w:tcW w:w="5627" w:type="dxa"/>
            <w:vAlign w:val="center"/>
          </w:tcPr>
          <w:p>
            <w:pPr>
              <w:spacing w:before="120" w:beforeLines="50" w:after="120" w:afterLines="50" w:line="300" w:lineRule="exact"/>
              <w:ind w:right="110" w:rightChars="50"/>
              <w:jc w:val="both"/>
              <w:rPr>
                <w:rFonts w:ascii="Times New Roman" w:hAnsi="Times New Roman" w:eastAsia="微软雅黑" w:cs="Times New Roman"/>
                <w:kern w:val="2"/>
                <w:sz w:val="18"/>
                <w:szCs w:val="18"/>
                <w:lang w:eastAsia="zh-CN"/>
              </w:rPr>
            </w:pPr>
            <w:r>
              <w:rPr>
                <w:rFonts w:ascii="Times New Roman" w:hAnsi="Times New Roman" w:eastAsia="微软雅黑" w:cs="Times New Roman"/>
                <w:kern w:val="2"/>
                <w:sz w:val="18"/>
                <w:szCs w:val="18"/>
                <w:lang w:eastAsia="zh-CN"/>
              </w:rPr>
              <w:t>美国FDA批准奥拉帕利（Olaparib）用于：已接受过≥3次化疗的BRCA突变晚期卵巢癌患者；化疗后疗效评价为CR或PR的复发性卵巢上皮癌、输卵管癌或原发性腹膜癌患者的维持治疗；携带BRCA胚系突变的ERBB2阴性转移性乳腺癌，以及HR阳性的已经进行过内分泌治疗或不适合内分泌治疗的患者[FDA Reference ID: 4365687]。</w:t>
            </w:r>
          </w:p>
          <w:p>
            <w:pPr>
              <w:spacing w:before="120" w:beforeLines="50" w:after="120" w:afterLines="50" w:line="300" w:lineRule="exact"/>
              <w:ind w:right="110" w:rightChars="50"/>
              <w:jc w:val="both"/>
              <w:rPr>
                <w:rFonts w:ascii="Times New Roman" w:hAnsi="Times New Roman" w:eastAsia="微软雅黑" w:cs="Times New Roman"/>
                <w:kern w:val="2"/>
                <w:sz w:val="18"/>
                <w:szCs w:val="18"/>
                <w:lang w:eastAsia="zh-CN"/>
              </w:rPr>
            </w:pPr>
            <w:r>
              <w:rPr>
                <w:rFonts w:ascii="Times New Roman" w:hAnsi="Times New Roman" w:eastAsia="微软雅黑" w:cs="Times New Roman"/>
                <w:kern w:val="2"/>
                <w:sz w:val="18"/>
                <w:szCs w:val="18"/>
                <w:lang w:eastAsia="zh-CN"/>
              </w:rPr>
              <w:t>NMPA批准奥拉帕利用于治疗铂敏感复发性卵巢癌维持治疗，无论BRCA突变与否。</w:t>
            </w:r>
          </w:p>
        </w:tc>
      </w:tr>
      <w:tr>
        <w:tblPrEx>
          <w:tblCellMar>
            <w:top w:w="0" w:type="dxa"/>
            <w:left w:w="108" w:type="dxa"/>
            <w:bottom w:w="0" w:type="dxa"/>
            <w:right w:w="108" w:type="dxa"/>
          </w:tblCellMar>
        </w:tblPrEx>
        <w:trPr>
          <w:trHeight w:val="1649" w:hRule="atLeast"/>
        </w:trPr>
        <w:tc>
          <w:tcPr>
            <w:tcW w:w="1724"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sz w:val="18"/>
              </w:rPr>
              <w:t>芦卡帕尼</w:t>
            </w:r>
            <w:r>
              <w:rPr>
                <w:rFonts w:ascii="Times New Roman" w:hAnsi="Times New Roman" w:eastAsia="微软雅黑" w:cs="Times New Roman"/>
                <w:kern w:val="2"/>
                <w:sz w:val="18"/>
                <w:szCs w:val="18"/>
                <w:vertAlign w:val="superscript"/>
              </w:rPr>
              <w:t>1</w:t>
            </w:r>
          </w:p>
        </w:tc>
        <w:tc>
          <w:tcPr>
            <w:tcW w:w="1428"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卵巢癌</w:t>
            </w:r>
          </w:p>
        </w:tc>
        <w:tc>
          <w:tcPr>
            <w:tcW w:w="1428"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获批上市</w:t>
            </w:r>
          </w:p>
        </w:tc>
        <w:tc>
          <w:tcPr>
            <w:tcW w:w="5627" w:type="dxa"/>
            <w:vAlign w:val="center"/>
          </w:tcPr>
          <w:p>
            <w:pPr>
              <w:spacing w:before="120" w:beforeLines="50" w:after="120" w:afterLines="50" w:line="300" w:lineRule="exact"/>
              <w:ind w:right="110" w:rightChars="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lang w:eastAsia="zh-CN"/>
              </w:rPr>
              <w:t>FDA批准rubraca（</w:t>
            </w:r>
            <w:r>
              <w:rPr>
                <w:rFonts w:hint="eastAsia" w:ascii="Times New Roman" w:hAnsi="Times New Roman" w:eastAsia="微软雅黑" w:cs="Times New Roman"/>
                <w:kern w:val="2"/>
                <w:sz w:val="18"/>
                <w:szCs w:val="18"/>
                <w:lang w:val="en-US" w:eastAsia="zh-CN"/>
              </w:rPr>
              <w:t>R</w:t>
            </w:r>
            <w:r>
              <w:rPr>
                <w:rFonts w:ascii="Times New Roman" w:hAnsi="Times New Roman" w:eastAsia="微软雅黑" w:cs="Times New Roman"/>
                <w:kern w:val="2"/>
                <w:sz w:val="18"/>
                <w:szCs w:val="18"/>
                <w:lang w:eastAsia="zh-CN"/>
              </w:rPr>
              <w:t xml:space="preserve">ucaparib）用于已接受过两种或两种以上化疗且携带有害的BRCA突变（胚系或体细胞突变）的晚期卵巢癌患者。Rubraca的安全性和有效性基于106位BRCA突变晚期卵巢癌患者参与的两项单臂临床试验，他们之前都接受过两种或两种以上化疗方案治疗。 </w:t>
            </w:r>
            <w:r>
              <w:rPr>
                <w:rFonts w:ascii="Times New Roman" w:hAnsi="Times New Roman" w:eastAsia="微软雅黑" w:cs="Times New Roman"/>
                <w:kern w:val="2"/>
                <w:sz w:val="18"/>
                <w:szCs w:val="18"/>
              </w:rPr>
              <w:t>接受Rubraca的受试者中54%有肿瘤完全或部分缩小，中位时间为9.2个月[FDA Reference ID: 4030092]。</w:t>
            </w:r>
          </w:p>
        </w:tc>
      </w:tr>
      <w:tr>
        <w:tblPrEx>
          <w:tblCellMar>
            <w:top w:w="0" w:type="dxa"/>
            <w:left w:w="108" w:type="dxa"/>
            <w:bottom w:w="0" w:type="dxa"/>
            <w:right w:w="108" w:type="dxa"/>
          </w:tblCellMar>
        </w:tblPrEx>
        <w:trPr>
          <w:trHeight w:val="843" w:hRule="atLeast"/>
        </w:trPr>
        <w:tc>
          <w:tcPr>
            <w:tcW w:w="1724" w:type="dxa"/>
            <w:vAlign w:val="center"/>
          </w:tcPr>
          <w:p>
            <w:pPr>
              <w:ind w:right="330" w:rightChars="150"/>
              <w:jc w:val="both"/>
              <w:rPr>
                <w:rFonts w:hint="eastAsia" w:ascii="Times New Roman" w:hAnsi="Times New Roman" w:eastAsia="微软雅黑" w:cs="Times New Roman"/>
                <w:kern w:val="2"/>
                <w:sz w:val="18"/>
                <w:szCs w:val="18"/>
                <w:lang w:val="en-US" w:eastAsia="zh-CN"/>
              </w:rPr>
            </w:pPr>
            <w:r>
              <w:rPr>
                <w:rFonts w:ascii="Times New Roman" w:hAnsi="Times New Roman" w:eastAsia="微软雅黑" w:cs="Times New Roman"/>
                <w:kern w:val="2"/>
                <w:sz w:val="18"/>
                <w:szCs w:val="18"/>
              </w:rPr>
              <w:t>尼拉帕利</w:t>
            </w:r>
            <w:r>
              <w:rPr>
                <w:rFonts w:ascii="Times New Roman" w:hAnsi="Times New Roman" w:eastAsia="微软雅黑" w:cs="Times New Roman"/>
                <w:kern w:val="2"/>
                <w:sz w:val="18"/>
                <w:szCs w:val="18"/>
                <w:vertAlign w:val="superscript"/>
              </w:rPr>
              <w:t>1</w:t>
            </w:r>
            <w:r>
              <w:rPr>
                <w:rFonts w:hint="eastAsia" w:ascii="Times New Roman" w:hAnsi="Times New Roman" w:eastAsia="微软雅黑" w:cs="Times New Roman"/>
                <w:kern w:val="2"/>
                <w:sz w:val="18"/>
                <w:szCs w:val="18"/>
                <w:vertAlign w:val="superscript"/>
                <w:lang w:val="en-US" w:eastAsia="zh-CN"/>
              </w:rPr>
              <w:t>*</w:t>
            </w:r>
          </w:p>
        </w:tc>
        <w:tc>
          <w:tcPr>
            <w:tcW w:w="1428"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卵巢癌</w:t>
            </w:r>
          </w:p>
        </w:tc>
        <w:tc>
          <w:tcPr>
            <w:tcW w:w="1428"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获批上市</w:t>
            </w:r>
          </w:p>
        </w:tc>
        <w:tc>
          <w:tcPr>
            <w:tcW w:w="5627" w:type="dxa"/>
            <w:vAlign w:val="center"/>
          </w:tcPr>
          <w:p>
            <w:pPr>
              <w:spacing w:before="120" w:beforeLines="50" w:after="120" w:afterLines="50" w:line="300" w:lineRule="exact"/>
              <w:ind w:right="110" w:rightChars="50"/>
              <w:jc w:val="both"/>
              <w:rPr>
                <w:rFonts w:ascii="Times New Roman" w:hAnsi="Times New Roman" w:eastAsia="微软雅黑" w:cs="Times New Roman"/>
                <w:kern w:val="2"/>
                <w:sz w:val="18"/>
                <w:szCs w:val="18"/>
                <w:lang w:eastAsia="zh-CN"/>
              </w:rPr>
            </w:pPr>
            <w:r>
              <w:rPr>
                <w:rFonts w:ascii="Times New Roman" w:hAnsi="Times New Roman" w:eastAsia="微软雅黑" w:cs="Times New Roman"/>
                <w:kern w:val="2"/>
                <w:sz w:val="18"/>
                <w:szCs w:val="18"/>
              </w:rPr>
              <w:t>FDA批准尼拉帕利(Niraparib)，用于复发性上皮性卵巢，输卵管或原发性腹膜癌的成年患者的维持治疗</w:t>
            </w:r>
            <w:r>
              <w:rPr>
                <w:rFonts w:ascii="Times New Roman" w:hAnsi="Times New Roman" w:eastAsia="微软雅黑" w:cs="Times New Roman"/>
                <w:kern w:val="2"/>
                <w:sz w:val="18"/>
                <w:szCs w:val="18"/>
                <w:lang w:eastAsia="zh-CN"/>
              </w:rPr>
              <w:t>[FDA Reference ID:4075456]</w:t>
            </w:r>
            <w:r>
              <w:rPr>
                <w:rFonts w:ascii="Times New Roman" w:hAnsi="Times New Roman" w:eastAsia="微软雅黑" w:cs="Times New Roman"/>
                <w:kern w:val="2"/>
                <w:sz w:val="18"/>
                <w:szCs w:val="18"/>
              </w:rPr>
              <w:t>。</w:t>
            </w:r>
            <w:r>
              <w:rPr>
                <w:rFonts w:hint="eastAsia" w:ascii="Times New Roman" w:hAnsi="Times New Roman" w:eastAsia="微软雅黑" w:cs="Times New Roman"/>
                <w:kern w:val="2"/>
                <w:sz w:val="18"/>
                <w:szCs w:val="18"/>
                <w:lang w:eastAsia="zh-CN"/>
              </w:rPr>
              <w:t xml:space="preserve"> </w:t>
            </w:r>
            <w:r>
              <w:rPr>
                <w:rFonts w:ascii="Times New Roman" w:hAnsi="Times New Roman" w:eastAsia="微软雅黑" w:cs="Times New Roman"/>
                <w:kern w:val="2"/>
                <w:sz w:val="18"/>
                <w:szCs w:val="18"/>
                <w:lang w:eastAsia="zh-CN"/>
              </w:rPr>
              <w:t xml:space="preserve"> </w:t>
            </w:r>
          </w:p>
          <w:p>
            <w:pPr>
              <w:spacing w:before="120" w:beforeLines="50" w:after="120" w:afterLines="50" w:line="300" w:lineRule="exact"/>
              <w:ind w:right="110" w:rightChars="50"/>
              <w:jc w:val="both"/>
              <w:rPr>
                <w:rFonts w:ascii="Times New Roman" w:hAnsi="Times New Roman" w:eastAsia="微软雅黑" w:cs="Times New Roman"/>
                <w:kern w:val="2"/>
                <w:sz w:val="18"/>
                <w:szCs w:val="18"/>
              </w:rPr>
            </w:pPr>
            <w:r>
              <w:rPr>
                <w:rFonts w:hint="eastAsia" w:ascii="Times New Roman" w:hAnsi="Times New Roman" w:eastAsia="微软雅黑" w:cs="Times New Roman"/>
                <w:kern w:val="2"/>
                <w:sz w:val="18"/>
                <w:szCs w:val="18"/>
                <w:lang w:eastAsia="zh-CN"/>
              </w:rPr>
              <w:t>N</w:t>
            </w:r>
            <w:r>
              <w:rPr>
                <w:rFonts w:ascii="Times New Roman" w:hAnsi="Times New Roman" w:eastAsia="微软雅黑" w:cs="Times New Roman"/>
                <w:kern w:val="2"/>
                <w:sz w:val="18"/>
                <w:szCs w:val="18"/>
                <w:lang w:eastAsia="zh-CN"/>
              </w:rPr>
              <w:t>MPA</w:t>
            </w:r>
            <w:r>
              <w:rPr>
                <w:rFonts w:hint="eastAsia" w:ascii="Times New Roman" w:hAnsi="Times New Roman" w:eastAsia="微软雅黑" w:cs="Times New Roman"/>
                <w:kern w:val="2"/>
                <w:sz w:val="18"/>
                <w:szCs w:val="18"/>
                <w:lang w:eastAsia="zh-CN"/>
              </w:rPr>
              <w:t>批准尼拉帕利用于经含铂化疗完全或部分缓解的复发性上皮性卵巢癌、输卵管癌或原发性腹膜癌成人患者的维持治疗。</w:t>
            </w:r>
          </w:p>
        </w:tc>
      </w:tr>
      <w:tr>
        <w:tblPrEx>
          <w:tblCellMar>
            <w:top w:w="0" w:type="dxa"/>
            <w:left w:w="108" w:type="dxa"/>
            <w:bottom w:w="0" w:type="dxa"/>
            <w:right w:w="108" w:type="dxa"/>
          </w:tblCellMar>
        </w:tblPrEx>
        <w:trPr>
          <w:trHeight w:val="843" w:hRule="atLeast"/>
        </w:trPr>
        <w:tc>
          <w:tcPr>
            <w:tcW w:w="1724"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sz w:val="18"/>
              </w:rPr>
              <w:t xml:space="preserve">Talazoparib </w:t>
            </w:r>
            <w:r>
              <w:rPr>
                <w:rFonts w:ascii="Times New Roman" w:hAnsi="Times New Roman" w:eastAsia="微软雅黑" w:cs="Times New Roman"/>
                <w:kern w:val="2"/>
                <w:sz w:val="18"/>
                <w:szCs w:val="18"/>
                <w:vertAlign w:val="superscript"/>
              </w:rPr>
              <w:t>1</w:t>
            </w:r>
          </w:p>
        </w:tc>
        <w:tc>
          <w:tcPr>
            <w:tcW w:w="1428"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乳腺癌</w:t>
            </w:r>
          </w:p>
        </w:tc>
        <w:tc>
          <w:tcPr>
            <w:tcW w:w="1428"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获批上市</w:t>
            </w:r>
          </w:p>
        </w:tc>
        <w:tc>
          <w:tcPr>
            <w:tcW w:w="5627" w:type="dxa"/>
            <w:vAlign w:val="center"/>
          </w:tcPr>
          <w:p>
            <w:pPr>
              <w:spacing w:before="120" w:beforeLines="50" w:after="120" w:afterLines="50" w:line="300" w:lineRule="exact"/>
              <w:ind w:right="110" w:rightChars="50"/>
              <w:jc w:val="both"/>
              <w:rPr>
                <w:rFonts w:ascii="Times New Roman" w:hAnsi="Times New Roman" w:eastAsia="微软雅黑" w:cs="Times New Roman"/>
                <w:kern w:val="2"/>
                <w:sz w:val="18"/>
                <w:szCs w:val="18"/>
                <w:lang w:eastAsia="zh-CN"/>
              </w:rPr>
            </w:pPr>
            <w:r>
              <w:rPr>
                <w:rFonts w:ascii="Times New Roman" w:hAnsi="Times New Roman" w:eastAsia="微软雅黑" w:cs="Times New Roman"/>
                <w:kern w:val="2"/>
                <w:sz w:val="18"/>
                <w:szCs w:val="18"/>
                <w:lang w:eastAsia="zh-CN"/>
              </w:rPr>
              <w:t>FDA</w:t>
            </w:r>
            <w:r>
              <w:rPr>
                <w:rFonts w:hint="eastAsia" w:ascii="Times New Roman" w:hAnsi="Times New Roman" w:eastAsia="微软雅黑" w:cs="Times New Roman"/>
                <w:kern w:val="2"/>
                <w:sz w:val="18"/>
                <w:szCs w:val="18"/>
                <w:lang w:eastAsia="zh-CN"/>
              </w:rPr>
              <w:t>批准</w:t>
            </w:r>
            <w:r>
              <w:rPr>
                <w:rFonts w:ascii="Times New Roman" w:hAnsi="Times New Roman" w:eastAsia="微软雅黑" w:cs="Times New Roman"/>
                <w:kern w:val="2"/>
                <w:sz w:val="18"/>
                <w:szCs w:val="18"/>
                <w:lang w:eastAsia="zh-CN"/>
              </w:rPr>
              <w:t>Talazoparib</w:t>
            </w:r>
            <w:r>
              <w:rPr>
                <w:rFonts w:hint="eastAsia" w:ascii="Times New Roman" w:hAnsi="Times New Roman" w:eastAsia="微软雅黑" w:cs="Times New Roman"/>
                <w:kern w:val="2"/>
                <w:sz w:val="18"/>
                <w:szCs w:val="18"/>
                <w:lang w:eastAsia="zh-CN"/>
              </w:rPr>
              <w:t>用于携带有害或可能有害的胚系</w:t>
            </w:r>
            <w:r>
              <w:rPr>
                <w:rFonts w:ascii="Times New Roman" w:hAnsi="Times New Roman" w:eastAsia="微软雅黑" w:cs="Times New Roman"/>
                <w:kern w:val="2"/>
                <w:sz w:val="18"/>
                <w:szCs w:val="18"/>
                <w:lang w:eastAsia="zh-CN"/>
              </w:rPr>
              <w:t>BRCA</w:t>
            </w:r>
            <w:r>
              <w:rPr>
                <w:rFonts w:hint="eastAsia" w:ascii="Times New Roman" w:hAnsi="Times New Roman" w:eastAsia="微软雅黑" w:cs="Times New Roman"/>
                <w:kern w:val="2"/>
                <w:sz w:val="18"/>
                <w:szCs w:val="18"/>
                <w:lang w:eastAsia="zh-CN"/>
              </w:rPr>
              <w:t>突变、</w:t>
            </w:r>
            <w:r>
              <w:rPr>
                <w:rFonts w:ascii="Times New Roman" w:hAnsi="Times New Roman" w:eastAsia="微软雅黑" w:cs="Times New Roman"/>
                <w:kern w:val="2"/>
                <w:sz w:val="18"/>
                <w:szCs w:val="18"/>
                <w:lang w:eastAsia="zh-CN"/>
              </w:rPr>
              <w:t xml:space="preserve"> ERBB2</w:t>
            </w:r>
            <w:r>
              <w:rPr>
                <w:rFonts w:hint="eastAsia" w:ascii="Times New Roman" w:hAnsi="Times New Roman" w:eastAsia="微软雅黑" w:cs="Times New Roman"/>
                <w:kern w:val="2"/>
                <w:sz w:val="18"/>
                <w:szCs w:val="18"/>
                <w:lang w:eastAsia="zh-CN"/>
              </w:rPr>
              <w:t>阴性的局部进展或转移型乳腺癌患者</w:t>
            </w:r>
            <w:r>
              <w:rPr>
                <w:rFonts w:ascii="Times New Roman" w:hAnsi="Times New Roman" w:eastAsia="微软雅黑" w:cs="Times New Roman"/>
                <w:kern w:val="2"/>
                <w:sz w:val="18"/>
                <w:szCs w:val="18"/>
                <w:lang w:eastAsia="zh-CN"/>
              </w:rPr>
              <w:t>[FDA Reference ID: 4335341]</w:t>
            </w:r>
            <w:r>
              <w:rPr>
                <w:rFonts w:hint="eastAsia" w:ascii="Times New Roman" w:hAnsi="Times New Roman" w:eastAsia="微软雅黑" w:cs="Times New Roman"/>
                <w:kern w:val="2"/>
                <w:sz w:val="18"/>
                <w:szCs w:val="18"/>
                <w:lang w:eastAsia="zh-CN"/>
              </w:rPr>
              <w:t>。一项Ⅲ期临床研究（</w:t>
            </w:r>
            <w:r>
              <w:rPr>
                <w:rFonts w:ascii="Times New Roman" w:hAnsi="Times New Roman" w:eastAsia="微软雅黑" w:cs="Times New Roman"/>
                <w:kern w:val="2"/>
                <w:sz w:val="18"/>
                <w:szCs w:val="18"/>
                <w:lang w:eastAsia="zh-CN"/>
              </w:rPr>
              <w:t>NCT01945775</w:t>
            </w:r>
            <w:r>
              <w:rPr>
                <w:rFonts w:hint="eastAsia" w:ascii="Times New Roman" w:hAnsi="Times New Roman" w:eastAsia="微软雅黑" w:cs="Times New Roman"/>
                <w:kern w:val="2"/>
                <w:sz w:val="18"/>
                <w:szCs w:val="18"/>
                <w:lang w:eastAsia="zh-CN"/>
              </w:rPr>
              <w:t>）招募了</w:t>
            </w:r>
            <w:r>
              <w:rPr>
                <w:rFonts w:ascii="Times New Roman" w:hAnsi="Times New Roman" w:eastAsia="微软雅黑" w:cs="Times New Roman"/>
                <w:kern w:val="2"/>
                <w:sz w:val="18"/>
                <w:szCs w:val="18"/>
                <w:lang w:eastAsia="zh-CN"/>
              </w:rPr>
              <w:t>431</w:t>
            </w:r>
            <w:r>
              <w:rPr>
                <w:rFonts w:hint="eastAsia" w:ascii="Times New Roman" w:hAnsi="Times New Roman" w:eastAsia="微软雅黑" w:cs="Times New Roman"/>
                <w:kern w:val="2"/>
                <w:sz w:val="18"/>
                <w:szCs w:val="18"/>
                <w:lang w:eastAsia="zh-CN"/>
              </w:rPr>
              <w:t>例该类型的乳腺癌患者，按</w:t>
            </w:r>
            <w:r>
              <w:rPr>
                <w:rFonts w:ascii="Times New Roman" w:hAnsi="Times New Roman" w:eastAsia="微软雅黑" w:cs="Times New Roman"/>
                <w:kern w:val="2"/>
                <w:sz w:val="18"/>
                <w:szCs w:val="18"/>
                <w:lang w:eastAsia="zh-CN"/>
              </w:rPr>
              <w:t>2:1</w:t>
            </w:r>
            <w:r>
              <w:rPr>
                <w:rFonts w:hint="eastAsia" w:ascii="Times New Roman" w:hAnsi="Times New Roman" w:eastAsia="微软雅黑" w:cs="Times New Roman"/>
                <w:kern w:val="2"/>
                <w:sz w:val="18"/>
                <w:szCs w:val="18"/>
                <w:lang w:eastAsia="zh-CN"/>
              </w:rPr>
              <w:t>比例给以</w:t>
            </w:r>
            <w:r>
              <w:rPr>
                <w:rFonts w:ascii="Times New Roman" w:hAnsi="Times New Roman" w:eastAsia="微软雅黑" w:cs="Times New Roman"/>
                <w:kern w:val="2"/>
                <w:sz w:val="18"/>
                <w:szCs w:val="18"/>
                <w:lang w:eastAsia="zh-CN"/>
              </w:rPr>
              <w:t>Talazoparib</w:t>
            </w:r>
            <w:r>
              <w:rPr>
                <w:rFonts w:hint="eastAsia" w:ascii="Times New Roman" w:hAnsi="Times New Roman" w:eastAsia="微软雅黑" w:cs="Times New Roman"/>
                <w:kern w:val="2"/>
                <w:sz w:val="18"/>
                <w:szCs w:val="18"/>
                <w:lang w:eastAsia="zh-CN"/>
              </w:rPr>
              <w:t>和化疗，结果显示</w:t>
            </w:r>
            <w:r>
              <w:rPr>
                <w:rFonts w:ascii="Times New Roman" w:hAnsi="Times New Roman" w:eastAsia="微软雅黑" w:cs="Times New Roman"/>
                <w:kern w:val="2"/>
                <w:sz w:val="18"/>
                <w:szCs w:val="18"/>
                <w:lang w:eastAsia="zh-CN"/>
              </w:rPr>
              <w:t>Talazoparib</w:t>
            </w:r>
            <w:r>
              <w:rPr>
                <w:rFonts w:hint="eastAsia" w:ascii="Times New Roman" w:hAnsi="Times New Roman" w:eastAsia="微软雅黑" w:cs="Times New Roman"/>
                <w:kern w:val="2"/>
                <w:sz w:val="18"/>
                <w:szCs w:val="18"/>
                <w:lang w:eastAsia="zh-CN"/>
              </w:rPr>
              <w:t>和化疗组中位</w:t>
            </w:r>
            <w:r>
              <w:rPr>
                <w:rFonts w:ascii="Times New Roman" w:hAnsi="Times New Roman" w:eastAsia="微软雅黑" w:cs="Times New Roman"/>
                <w:kern w:val="2"/>
                <w:sz w:val="18"/>
                <w:szCs w:val="18"/>
                <w:lang w:eastAsia="zh-CN"/>
              </w:rPr>
              <w:t>PFS</w:t>
            </w:r>
            <w:r>
              <w:rPr>
                <w:rFonts w:hint="eastAsia" w:ascii="Times New Roman" w:hAnsi="Times New Roman" w:eastAsia="微软雅黑" w:cs="Times New Roman"/>
                <w:kern w:val="2"/>
                <w:sz w:val="18"/>
                <w:szCs w:val="18"/>
                <w:lang w:eastAsia="zh-CN"/>
              </w:rPr>
              <w:t>分别为</w:t>
            </w:r>
            <w:r>
              <w:rPr>
                <w:rFonts w:ascii="Times New Roman" w:hAnsi="Times New Roman" w:eastAsia="微软雅黑" w:cs="Times New Roman"/>
                <w:kern w:val="2"/>
                <w:sz w:val="18"/>
                <w:szCs w:val="18"/>
                <w:lang w:eastAsia="zh-CN"/>
              </w:rPr>
              <w:t>8.6</w:t>
            </w:r>
            <w:r>
              <w:rPr>
                <w:rFonts w:hint="eastAsia" w:ascii="Times New Roman" w:hAnsi="Times New Roman" w:eastAsia="微软雅黑" w:cs="Times New Roman"/>
                <w:kern w:val="2"/>
                <w:sz w:val="18"/>
                <w:szCs w:val="18"/>
                <w:lang w:eastAsia="zh-CN"/>
              </w:rPr>
              <w:t>和</w:t>
            </w:r>
            <w:r>
              <w:rPr>
                <w:rFonts w:ascii="Times New Roman" w:hAnsi="Times New Roman" w:eastAsia="微软雅黑" w:cs="Times New Roman"/>
                <w:kern w:val="2"/>
                <w:sz w:val="18"/>
                <w:szCs w:val="18"/>
                <w:lang w:eastAsia="zh-CN"/>
              </w:rPr>
              <w:t>5.6</w:t>
            </w:r>
            <w:r>
              <w:rPr>
                <w:rFonts w:hint="eastAsia" w:ascii="Times New Roman" w:hAnsi="Times New Roman" w:eastAsia="微软雅黑" w:cs="Times New Roman"/>
                <w:kern w:val="2"/>
                <w:sz w:val="18"/>
                <w:szCs w:val="18"/>
                <w:lang w:eastAsia="zh-CN"/>
              </w:rPr>
              <w:t>个月</w:t>
            </w:r>
            <w:r>
              <w:rPr>
                <w:rFonts w:ascii="Times New Roman" w:hAnsi="Times New Roman" w:eastAsia="微软雅黑" w:cs="Times New Roman"/>
                <w:kern w:val="2"/>
                <w:sz w:val="18"/>
                <w:szCs w:val="18"/>
                <w:lang w:eastAsia="zh-CN"/>
              </w:rPr>
              <w:t xml:space="preserve"> (HR 0.54; 95% CI: 0.41-0.71; p&lt;0.0001)。</w:t>
            </w:r>
          </w:p>
        </w:tc>
      </w:tr>
      <w:tr>
        <w:tblPrEx>
          <w:tblCellMar>
            <w:top w:w="0" w:type="dxa"/>
            <w:left w:w="108" w:type="dxa"/>
            <w:bottom w:w="0" w:type="dxa"/>
            <w:right w:w="108" w:type="dxa"/>
          </w:tblCellMar>
        </w:tblPrEx>
        <w:trPr>
          <w:trHeight w:val="843" w:hRule="atLeast"/>
        </w:trPr>
        <w:tc>
          <w:tcPr>
            <w:tcW w:w="1724" w:type="dxa"/>
            <w:vAlign w:val="center"/>
          </w:tcPr>
          <w:p>
            <w:pPr>
              <w:ind w:right="330" w:rightChars="150"/>
              <w:jc w:val="both"/>
              <w:rPr>
                <w:rFonts w:ascii="Times New Roman" w:hAnsi="Times New Roman" w:eastAsia="微软雅黑" w:cs="Times New Roman"/>
                <w:sz w:val="18"/>
              </w:rPr>
            </w:pPr>
            <w:r>
              <w:rPr>
                <w:rFonts w:hint="eastAsia" w:ascii="Times New Roman" w:hAnsi="Times New Roman" w:eastAsia="微软雅黑" w:cs="Times New Roman"/>
                <w:sz w:val="18"/>
                <w:szCs w:val="18"/>
              </w:rPr>
              <w:t>氟唑帕利</w:t>
            </w:r>
            <w:r>
              <w:rPr>
                <w:rFonts w:ascii="Times New Roman" w:hAnsi="Times New Roman" w:eastAsia="微软雅黑" w:cs="Times New Roman"/>
                <w:sz w:val="18"/>
                <w:szCs w:val="18"/>
                <w:vertAlign w:val="superscript"/>
              </w:rPr>
              <w:t>1*</w:t>
            </w:r>
          </w:p>
        </w:tc>
        <w:tc>
          <w:tcPr>
            <w:tcW w:w="1428"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卵巢癌</w:t>
            </w:r>
          </w:p>
        </w:tc>
        <w:tc>
          <w:tcPr>
            <w:tcW w:w="1428" w:type="dxa"/>
            <w:vAlign w:val="center"/>
          </w:tcPr>
          <w:p>
            <w:pPr>
              <w:ind w:right="330" w:rightChars="150"/>
              <w:jc w:val="both"/>
              <w:rPr>
                <w:rFonts w:ascii="Times New Roman" w:hAnsi="Times New Roman" w:eastAsia="微软雅黑" w:cs="Times New Roman"/>
                <w:kern w:val="2"/>
                <w:sz w:val="18"/>
                <w:szCs w:val="18"/>
              </w:rPr>
            </w:pPr>
            <w:r>
              <w:rPr>
                <w:rFonts w:ascii="Times New Roman" w:hAnsi="Times New Roman" w:eastAsia="微软雅黑" w:cs="Times New Roman"/>
                <w:kern w:val="2"/>
                <w:sz w:val="18"/>
                <w:szCs w:val="18"/>
              </w:rPr>
              <w:t>获批上市</w:t>
            </w:r>
          </w:p>
        </w:tc>
        <w:tc>
          <w:tcPr>
            <w:tcW w:w="5627" w:type="dxa"/>
            <w:vAlign w:val="center"/>
          </w:tcPr>
          <w:p>
            <w:pPr>
              <w:spacing w:before="120" w:beforeLines="50" w:after="120" w:afterLines="50" w:line="300" w:lineRule="exact"/>
              <w:ind w:right="110" w:rightChars="50"/>
              <w:jc w:val="both"/>
              <w:rPr>
                <w:rFonts w:ascii="Times New Roman" w:hAnsi="Times New Roman" w:eastAsia="微软雅黑" w:cs="Times New Roman"/>
                <w:kern w:val="2"/>
                <w:sz w:val="18"/>
                <w:szCs w:val="18"/>
                <w:lang w:eastAsia="zh-CN"/>
              </w:rPr>
            </w:pPr>
            <w:r>
              <w:rPr>
                <w:rFonts w:hint="eastAsia" w:ascii="Times New Roman" w:hAnsi="Times New Roman" w:eastAsia="微软雅黑" w:cs="Times New Roman"/>
                <w:kern w:val="2"/>
                <w:sz w:val="18"/>
                <w:szCs w:val="18"/>
                <w:lang w:eastAsia="zh-CN"/>
              </w:rPr>
              <w:t>NMPA批准</w:t>
            </w:r>
            <w:r>
              <w:rPr>
                <w:rFonts w:hint="eastAsia" w:ascii="Times New Roman" w:hAnsi="Times New Roman" w:eastAsia="微软雅黑" w:cs="Times New Roman"/>
                <w:sz w:val="18"/>
                <w:szCs w:val="18"/>
              </w:rPr>
              <w:t>氟唑帕利</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rPr>
              <w:t>Fluzoparib</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kern w:val="2"/>
                <w:sz w:val="18"/>
                <w:szCs w:val="18"/>
                <w:lang w:eastAsia="zh-CN"/>
              </w:rPr>
              <w:t>用于：既往经过二线及以上化疗的伴有胚系BRCA突变（gBRCAm）的铂敏感复发性卵巢癌、输卵管癌或原发性腹膜癌患者的治疗；铂敏感复发性上皮性卵巢癌、输卵管癌或原发性腹膜癌成人患者在含铂化疗达到完全缓解或部分缓解后的维持治疗。</w:t>
            </w:r>
          </w:p>
        </w:tc>
      </w:tr>
    </w:tbl>
    <w:p>
      <w:pPr>
        <w:rPr>
          <w:rFonts w:ascii="Times New Roman" w:hAnsi="Times New Roman" w:eastAsia="微软雅黑" w:cs="Times New Roman"/>
          <w:lang w:eastAsia="zh-CN"/>
        </w:rPr>
      </w:pPr>
    </w:p>
    <w:p>
      <w:pPr>
        <w:rPr>
          <w:rFonts w:ascii="微软雅黑 Light" w:hAnsi="微软雅黑 Light" w:eastAsia="微软雅黑 Light"/>
          <w:b/>
          <w:sz w:val="18"/>
          <w:szCs w:val="18"/>
        </w:rPr>
      </w:pPr>
      <w:r>
        <w:rPr>
          <w:rFonts w:ascii="微软雅黑 Light" w:hAnsi="微软雅黑 Light" w:eastAsia="微软雅黑 Light"/>
          <w:b/>
          <w:sz w:val="18"/>
          <w:szCs w:val="18"/>
        </w:rPr>
        <w:t>注：</w:t>
      </w:r>
    </w:p>
    <w:p>
      <w:pPr>
        <w:pStyle w:val="39"/>
        <w:numPr>
          <w:ilvl w:val="0"/>
          <w:numId w:val="11"/>
        </w:numPr>
        <w:autoSpaceDE w:val="0"/>
        <w:autoSpaceDN w:val="0"/>
        <w:ind w:firstLineChars="0"/>
        <w:rPr>
          <w:rFonts w:ascii="微软雅黑 Light" w:hAnsi="微软雅黑 Light" w:eastAsia="微软雅黑 Light"/>
          <w:sz w:val="18"/>
          <w:szCs w:val="18"/>
          <w:lang w:eastAsia="zh-CN"/>
        </w:rPr>
      </w:pPr>
      <w:r>
        <w:rPr>
          <w:rFonts w:hint="eastAsia" w:ascii="微软雅黑 Light" w:hAnsi="微软雅黑 Light" w:eastAsia="微软雅黑 Light"/>
          <w:sz w:val="18"/>
          <w:szCs w:val="18"/>
          <w:lang w:eastAsia="zh-CN"/>
        </w:rPr>
        <w:t>数字</w:t>
      </w:r>
      <w:r>
        <w:rPr>
          <w:rFonts w:ascii="微软雅黑 Light" w:hAnsi="微软雅黑 Light" w:eastAsia="微软雅黑 Light"/>
          <w:sz w:val="18"/>
          <w:szCs w:val="18"/>
          <w:lang w:eastAsia="zh-CN"/>
        </w:rPr>
        <w:t>1</w:t>
      </w:r>
      <w:r>
        <w:rPr>
          <w:rFonts w:hint="eastAsia" w:ascii="微软雅黑 Light" w:hAnsi="微软雅黑 Light" w:eastAsia="微软雅黑 Light"/>
          <w:sz w:val="18"/>
          <w:szCs w:val="18"/>
          <w:lang w:eastAsia="zh-CN"/>
        </w:rPr>
        <w:t>表示</w:t>
      </w:r>
      <w:r>
        <w:rPr>
          <w:rFonts w:ascii="微软雅黑 Light" w:hAnsi="微软雅黑 Light" w:eastAsia="微软雅黑 Light"/>
          <w:sz w:val="18"/>
          <w:szCs w:val="18"/>
          <w:lang w:eastAsia="zh-CN"/>
        </w:rPr>
        <w:t>FDA</w:t>
      </w:r>
      <w:r>
        <w:rPr>
          <w:rFonts w:hint="eastAsia" w:ascii="微软雅黑 Light" w:hAnsi="微软雅黑 Light" w:eastAsia="微软雅黑 Light"/>
          <w:sz w:val="18"/>
          <w:szCs w:val="18"/>
          <w:lang w:eastAsia="zh-CN"/>
        </w:rPr>
        <w:t>获批</w:t>
      </w:r>
      <w:r>
        <w:rPr>
          <w:rFonts w:ascii="微软雅黑 Light" w:hAnsi="微软雅黑 Light" w:eastAsia="微软雅黑 Light"/>
          <w:sz w:val="18"/>
          <w:szCs w:val="18"/>
          <w:lang w:eastAsia="zh-CN"/>
        </w:rPr>
        <w:t>药物</w:t>
      </w:r>
      <w:r>
        <w:rPr>
          <w:rFonts w:hint="eastAsia" w:ascii="微软雅黑 Light" w:hAnsi="微软雅黑 Light" w:eastAsia="微软雅黑 Light"/>
          <w:sz w:val="18"/>
          <w:szCs w:val="18"/>
          <w:lang w:eastAsia="zh-CN"/>
        </w:rPr>
        <w:t>；</w:t>
      </w:r>
    </w:p>
    <w:p>
      <w:pPr>
        <w:pStyle w:val="39"/>
        <w:numPr>
          <w:ilvl w:val="0"/>
          <w:numId w:val="11"/>
        </w:numPr>
        <w:autoSpaceDE w:val="0"/>
        <w:autoSpaceDN w:val="0"/>
        <w:ind w:firstLineChars="0"/>
        <w:rPr>
          <w:rFonts w:ascii="微软雅黑 Light" w:hAnsi="微软雅黑 Light" w:eastAsia="微软雅黑 Light"/>
          <w:sz w:val="18"/>
          <w:szCs w:val="18"/>
          <w:lang w:eastAsia="zh-CN"/>
        </w:rPr>
      </w:pPr>
      <w:r>
        <w:rPr>
          <w:rFonts w:hint="eastAsia" w:ascii="微软雅黑 Light" w:hAnsi="微软雅黑 Light" w:eastAsia="微软雅黑 Light"/>
          <w:sz w:val="18"/>
          <w:szCs w:val="18"/>
          <w:lang w:eastAsia="zh-CN"/>
        </w:rPr>
        <w:t>数字</w:t>
      </w:r>
      <w:r>
        <w:rPr>
          <w:rFonts w:ascii="微软雅黑 Light" w:hAnsi="微软雅黑 Light" w:eastAsia="微软雅黑 Light"/>
          <w:sz w:val="18"/>
          <w:szCs w:val="18"/>
          <w:lang w:eastAsia="zh-CN"/>
        </w:rPr>
        <w:t>2</w:t>
      </w:r>
      <w:r>
        <w:rPr>
          <w:rFonts w:hint="eastAsia" w:ascii="微软雅黑 Light" w:hAnsi="微软雅黑 Light" w:eastAsia="微软雅黑 Light"/>
          <w:sz w:val="18"/>
          <w:szCs w:val="18"/>
          <w:lang w:eastAsia="zh-CN"/>
        </w:rPr>
        <w:t>表示临床试验的药物；</w:t>
      </w:r>
    </w:p>
    <w:p>
      <w:pPr>
        <w:pStyle w:val="39"/>
        <w:numPr>
          <w:ilvl w:val="0"/>
          <w:numId w:val="11"/>
        </w:numPr>
        <w:autoSpaceDE w:val="0"/>
        <w:autoSpaceDN w:val="0"/>
        <w:ind w:firstLineChars="0"/>
        <w:rPr>
          <w:rFonts w:ascii="微软雅黑 Light" w:hAnsi="微软雅黑 Light" w:eastAsia="微软雅黑 Light"/>
          <w:sz w:val="18"/>
          <w:szCs w:val="18"/>
          <w:lang w:eastAsia="zh-CN"/>
        </w:rPr>
      </w:pPr>
      <w:r>
        <w:rPr>
          <w:rFonts w:ascii="微软雅黑 Light" w:hAnsi="微软雅黑 Light" w:eastAsia="微软雅黑 Light"/>
          <w:sz w:val="18"/>
          <w:szCs w:val="18"/>
          <w:lang w:eastAsia="zh-CN"/>
        </w:rPr>
        <w:t>*</w:t>
      </w:r>
      <w:r>
        <w:rPr>
          <w:rFonts w:hint="eastAsia" w:ascii="微软雅黑 Light" w:hAnsi="微软雅黑 Light" w:eastAsia="微软雅黑 Light"/>
          <w:sz w:val="18"/>
          <w:szCs w:val="18"/>
          <w:lang w:eastAsia="zh-CN"/>
        </w:rPr>
        <w:t>表示</w:t>
      </w:r>
      <w:r>
        <w:rPr>
          <w:rFonts w:ascii="微软雅黑 Light" w:hAnsi="微软雅黑 Light" w:eastAsia="微软雅黑 Light"/>
          <w:sz w:val="18"/>
          <w:szCs w:val="18"/>
          <w:lang w:eastAsia="zh-CN"/>
        </w:rPr>
        <w:t>NMPA</w:t>
      </w:r>
      <w:r>
        <w:rPr>
          <w:rFonts w:hint="eastAsia" w:ascii="微软雅黑 Light" w:hAnsi="微软雅黑 Light" w:eastAsia="微软雅黑 Light"/>
          <w:sz w:val="18"/>
          <w:szCs w:val="18"/>
          <w:lang w:eastAsia="zh-CN"/>
        </w:rPr>
        <w:t>获批药物。</w:t>
      </w:r>
    </w:p>
    <w:p>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pPr>
        <w:pStyle w:val="27"/>
      </w:pPr>
      <w:bookmarkStart w:id="62" w:name="_Toc7635"/>
      <w:r>
        <w:t>HRR及其它相关基因说明</w:t>
      </w:r>
      <w:bookmarkEnd w:id="62"/>
    </w:p>
    <w:p>
      <w:pPr>
        <w:spacing w:before="26"/>
        <w:rPr>
          <w:rFonts w:ascii="Times New Roman" w:hAnsi="Times New Roman" w:eastAsia="微软雅黑" w:cs="Times New Roman"/>
          <w:b/>
          <w:bCs/>
          <w:color w:val="416AAB"/>
          <w:sz w:val="24"/>
          <w:szCs w:val="24"/>
          <w:lang w:eastAsia="zh-CN"/>
        </w:rPr>
      </w:pPr>
    </w:p>
    <w:tbl>
      <w:tblPr>
        <w:tblStyle w:val="15"/>
        <w:tblW w:w="0" w:type="auto"/>
        <w:tblInd w:w="-5" w:type="dxa"/>
        <w:tblLayout w:type="fixed"/>
        <w:tblCellMar>
          <w:top w:w="0" w:type="dxa"/>
          <w:left w:w="108" w:type="dxa"/>
          <w:bottom w:w="0" w:type="dxa"/>
          <w:right w:w="108" w:type="dxa"/>
        </w:tblCellMar>
      </w:tblPr>
      <w:tblGrid>
        <w:gridCol w:w="1231"/>
        <w:gridCol w:w="8834"/>
      </w:tblGrid>
      <w:tr>
        <w:tblPrEx>
          <w:tblCellMar>
            <w:top w:w="0" w:type="dxa"/>
            <w:left w:w="108" w:type="dxa"/>
            <w:bottom w:w="0" w:type="dxa"/>
            <w:right w:w="108" w:type="dxa"/>
          </w:tblCellMar>
        </w:tblPrEx>
        <w:trPr>
          <w:trHeight w:val="320" w:hRule="atLeast"/>
        </w:trPr>
        <w:tc>
          <w:tcPr>
            <w:tcW w:w="1231" w:type="dxa"/>
            <w:shd w:val="clear" w:color="auto" w:fill="2954A1"/>
            <w:vAlign w:val="center"/>
          </w:tcPr>
          <w:p>
            <w:pPr>
              <w:jc w:val="center"/>
              <w:rPr>
                <w:rFonts w:ascii="Times New Roman" w:hAnsi="Times New Roman" w:eastAsia="微软雅黑" w:cs="Times New Roman"/>
                <w:color w:val="FFFFFF"/>
              </w:rPr>
            </w:pPr>
            <w:r>
              <w:rPr>
                <w:rFonts w:ascii="Times New Roman" w:hAnsi="Times New Roman" w:eastAsia="微软雅黑" w:cs="Times New Roman"/>
                <w:color w:val="FFFFFF"/>
              </w:rPr>
              <w:t>基因</w:t>
            </w:r>
          </w:p>
        </w:tc>
        <w:tc>
          <w:tcPr>
            <w:tcW w:w="8834" w:type="dxa"/>
            <w:shd w:val="clear" w:color="auto" w:fill="2954A1"/>
            <w:vAlign w:val="center"/>
          </w:tcPr>
          <w:p>
            <w:pPr>
              <w:jc w:val="center"/>
              <w:rPr>
                <w:rFonts w:ascii="Times New Roman" w:hAnsi="Times New Roman" w:eastAsia="微软雅黑" w:cs="Times New Roman"/>
                <w:color w:val="FFFFFF"/>
              </w:rPr>
            </w:pPr>
            <w:r>
              <w:rPr>
                <w:rFonts w:ascii="Times New Roman" w:hAnsi="Times New Roman" w:eastAsia="微软雅黑" w:cs="Times New Roman"/>
                <w:color w:val="FFFFFF"/>
              </w:rPr>
              <w:t>基因说明</w:t>
            </w:r>
          </w:p>
        </w:tc>
      </w:tr>
      <w:tr>
        <w:tblPrEx>
          <w:tblCellMar>
            <w:top w:w="0" w:type="dxa"/>
            <w:left w:w="108" w:type="dxa"/>
            <w:bottom w:w="0" w:type="dxa"/>
            <w:right w:w="108" w:type="dxa"/>
          </w:tblCellMar>
        </w:tblPrEx>
        <w:trPr>
          <w:trHeight w:val="86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ATM</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tblPrEx>
          <w:tblCellMar>
            <w:top w:w="0" w:type="dxa"/>
            <w:left w:w="108" w:type="dxa"/>
            <w:bottom w:w="0" w:type="dxa"/>
            <w:right w:w="108" w:type="dxa"/>
          </w:tblCellMar>
        </w:tblPrEx>
        <w:trPr>
          <w:trHeight w:val="86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tblPrEx>
          <w:tblCellMar>
            <w:top w:w="0" w:type="dxa"/>
            <w:left w:w="108" w:type="dxa"/>
            <w:bottom w:w="0" w:type="dxa"/>
            <w:right w:w="108" w:type="dxa"/>
          </w:tblCellMar>
        </w:tblPrEx>
        <w:trPr>
          <w:trHeight w:val="34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tblPrEx>
          <w:tblCellMar>
            <w:top w:w="0" w:type="dxa"/>
            <w:left w:w="108" w:type="dxa"/>
            <w:bottom w:w="0" w:type="dxa"/>
            <w:right w:w="108" w:type="dxa"/>
          </w:tblCellMar>
        </w:tblPrEx>
        <w:trPr>
          <w:trHeight w:val="56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rPr>
              <w:t>ABRAXAS1，编码BRCA1A复合物亚基，位于4q21.23。该基因通过招募RAP80，与BRCA1形成复合物，与DNA损伤抗性，G2/M检查点控制，DNA修复相关</w:t>
            </w:r>
            <w:r>
              <w:rPr>
                <w:rFonts w:ascii="Times New Roman" w:hAnsi="Times New Roman" w:eastAsia="微软雅黑" w:cs="Times New Roman"/>
                <w:color w:val="000000"/>
                <w:sz w:val="18"/>
                <w:szCs w:val="18"/>
                <w:vertAlign w:val="superscript"/>
              </w:rPr>
              <w:t>[29]</w:t>
            </w:r>
            <w:r>
              <w:rPr>
                <w:rFonts w:ascii="Times New Roman" w:hAnsi="Times New Roman" w:eastAsia="微软雅黑" w:cs="Times New Roman"/>
                <w:color w:val="000000"/>
                <w:sz w:val="18"/>
                <w:szCs w:val="18"/>
              </w:rPr>
              <w:t>。</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ascii="Times New Roman" w:hAnsi="Times New Roman" w:eastAsia="微软雅黑" w:cs="Times New Roman"/>
                <w:color w:val="000000"/>
                <w:sz w:val="18"/>
                <w:szCs w:val="18"/>
                <w:vertAlign w:val="superscript"/>
                <w:lang w:eastAsia="zh-CN"/>
              </w:rPr>
              <w:t>[30]</w:t>
            </w:r>
            <w:r>
              <w:rPr>
                <w:rFonts w:ascii="Times New Roman" w:hAnsi="Times New Roman" w:eastAsia="微软雅黑" w:cs="Times New Roman"/>
                <w:color w:val="000000"/>
                <w:sz w:val="18"/>
                <w:szCs w:val="18"/>
                <w:lang w:eastAsia="zh-CN"/>
              </w:rPr>
              <w:t>。</w:t>
            </w:r>
          </w:p>
        </w:tc>
      </w:tr>
      <w:tr>
        <w:tblPrEx>
          <w:tblCellMar>
            <w:top w:w="0" w:type="dxa"/>
            <w:left w:w="108" w:type="dxa"/>
            <w:bottom w:w="0" w:type="dxa"/>
            <w:right w:w="108" w:type="dxa"/>
          </w:tblCellMar>
        </w:tblPrEx>
        <w:trPr>
          <w:trHeight w:val="114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tblPrEx>
          <w:tblCellMar>
            <w:top w:w="0" w:type="dxa"/>
            <w:left w:w="108" w:type="dxa"/>
            <w:bottom w:w="0" w:type="dxa"/>
            <w:right w:w="108" w:type="dxa"/>
          </w:tblCellMar>
        </w:tblPrEx>
        <w:trPr>
          <w:trHeight w:val="114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ascii="Times New Roman" w:hAnsi="Times New Roman" w:eastAsia="微软雅黑" w:cs="Times New Roman"/>
                <w:color w:val="000000"/>
                <w:sz w:val="18"/>
                <w:szCs w:val="18"/>
                <w:vertAlign w:val="superscript"/>
                <w:lang w:eastAsia="zh-CN"/>
              </w:rPr>
              <w:t>[31]</w:t>
            </w:r>
            <w:r>
              <w:rPr>
                <w:rFonts w:ascii="Times New Roman" w:hAnsi="Times New Roman" w:eastAsia="微软雅黑" w:cs="Times New Roman"/>
                <w:color w:val="000000"/>
                <w:sz w:val="18"/>
                <w:szCs w:val="18"/>
                <w:lang w:eastAsia="zh-CN"/>
              </w:rPr>
              <w:t>。</w:t>
            </w:r>
            <w:r>
              <w:rPr>
                <w:rFonts w:ascii="Times New Roman" w:hAnsi="Times New Roman" w:eastAsia="微软雅黑" w:cs="Times New Roman"/>
                <w:color w:val="000000"/>
                <w:sz w:val="18"/>
                <w:szCs w:val="18"/>
              </w:rPr>
              <w:t>于GEN1相关的疾病包括着色性干皮病、Tick-BorneRelapsingFever等。</w:t>
            </w:r>
          </w:p>
        </w:tc>
      </w:tr>
      <w:tr>
        <w:tblPrEx>
          <w:tblCellMar>
            <w:top w:w="0" w:type="dxa"/>
            <w:left w:w="108" w:type="dxa"/>
            <w:bottom w:w="0" w:type="dxa"/>
            <w:right w:w="108" w:type="dxa"/>
          </w:tblCellMar>
        </w:tblPrEx>
        <w:trPr>
          <w:trHeight w:val="86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tblPrEx>
          <w:tblCellMar>
            <w:top w:w="0" w:type="dxa"/>
            <w:left w:w="108" w:type="dxa"/>
            <w:bottom w:w="0" w:type="dxa"/>
            <w:right w:w="108" w:type="dxa"/>
          </w:tblCellMar>
        </w:tblPrEx>
        <w:trPr>
          <w:trHeight w:val="86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tblPrEx>
          <w:tblCellMar>
            <w:top w:w="0" w:type="dxa"/>
            <w:left w:w="108" w:type="dxa"/>
            <w:bottom w:w="0" w:type="dxa"/>
            <w:right w:w="108" w:type="dxa"/>
          </w:tblCellMar>
        </w:tblPrEx>
        <w:trPr>
          <w:trHeight w:val="114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tblPrEx>
          <w:tblCellMar>
            <w:top w:w="0" w:type="dxa"/>
            <w:left w:w="108" w:type="dxa"/>
            <w:bottom w:w="0" w:type="dxa"/>
            <w:right w:w="108" w:type="dxa"/>
          </w:tblCellMar>
        </w:tblPrEx>
        <w:trPr>
          <w:trHeight w:val="34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tblPrEx>
          <w:tblCellMar>
            <w:top w:w="0" w:type="dxa"/>
            <w:left w:w="108" w:type="dxa"/>
            <w:bottom w:w="0" w:type="dxa"/>
            <w:right w:w="108" w:type="dxa"/>
          </w:tblCellMar>
        </w:tblPrEx>
        <w:trPr>
          <w:trHeight w:val="114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tblPrEx>
          <w:tblCellMar>
            <w:top w:w="0" w:type="dxa"/>
            <w:left w:w="108" w:type="dxa"/>
            <w:bottom w:w="0" w:type="dxa"/>
            <w:right w:w="108" w:type="dxa"/>
          </w:tblCellMar>
        </w:tblPrEx>
        <w:trPr>
          <w:trHeight w:val="86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tblPrEx>
          <w:tblCellMar>
            <w:top w:w="0" w:type="dxa"/>
            <w:left w:w="108" w:type="dxa"/>
            <w:bottom w:w="0" w:type="dxa"/>
            <w:right w:w="108" w:type="dxa"/>
          </w:tblCellMar>
        </w:tblPrEx>
        <w:trPr>
          <w:trHeight w:val="114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tblPrEx>
          <w:tblCellMar>
            <w:top w:w="0" w:type="dxa"/>
            <w:left w:w="108" w:type="dxa"/>
            <w:bottom w:w="0" w:type="dxa"/>
            <w:right w:w="108" w:type="dxa"/>
          </w:tblCellMar>
        </w:tblPrEx>
        <w:trPr>
          <w:trHeight w:val="114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RAD54L编码DEAD-类解旋酶蛋白，与酵母中的Rad54相似，该基因定位于1p34.1。参与DNA同源重组和修复相关。于RAD54L相关的疾病包括家族性非霍金奇型淋巴瘤、结肠腺癌等。</w:t>
            </w:r>
          </w:p>
        </w:tc>
      </w:tr>
      <w:tr>
        <w:tblPrEx>
          <w:tblCellMar>
            <w:top w:w="0" w:type="dxa"/>
            <w:left w:w="108" w:type="dxa"/>
            <w:bottom w:w="0" w:type="dxa"/>
            <w:right w:w="108" w:type="dxa"/>
          </w:tblCellMar>
        </w:tblPrEx>
        <w:trPr>
          <w:trHeight w:val="112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tblPrEx>
          <w:tblCellMar>
            <w:top w:w="0" w:type="dxa"/>
            <w:left w:w="108" w:type="dxa"/>
            <w:bottom w:w="0" w:type="dxa"/>
            <w:right w:w="108" w:type="dxa"/>
          </w:tblCellMar>
        </w:tblPrEx>
        <w:trPr>
          <w:trHeight w:val="125"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tblPrEx>
          <w:tblCellMar>
            <w:top w:w="0" w:type="dxa"/>
            <w:left w:w="108" w:type="dxa"/>
            <w:bottom w:w="0" w:type="dxa"/>
            <w:right w:w="108" w:type="dxa"/>
          </w:tblCellMar>
        </w:tblPrEx>
        <w:trPr>
          <w:trHeight w:val="84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tblPrEx>
          <w:tblCellMar>
            <w:top w:w="0" w:type="dxa"/>
            <w:left w:w="108" w:type="dxa"/>
            <w:bottom w:w="0" w:type="dxa"/>
            <w:right w:w="108" w:type="dxa"/>
          </w:tblCellMar>
        </w:tblPrEx>
        <w:trPr>
          <w:trHeight w:val="86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tblPrEx>
          <w:tblCellMar>
            <w:top w:w="0" w:type="dxa"/>
            <w:left w:w="108" w:type="dxa"/>
            <w:bottom w:w="0" w:type="dxa"/>
            <w:right w:w="108" w:type="dxa"/>
          </w:tblCellMar>
        </w:tblPrEx>
        <w:trPr>
          <w:trHeight w:val="58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tblPrEx>
          <w:tblCellMar>
            <w:top w:w="0" w:type="dxa"/>
            <w:left w:w="108" w:type="dxa"/>
            <w:bottom w:w="0" w:type="dxa"/>
            <w:right w:w="108" w:type="dxa"/>
          </w:tblCellMar>
        </w:tblPrEx>
        <w:trPr>
          <w:trHeight w:val="86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tblPrEx>
          <w:tblCellMar>
            <w:top w:w="0" w:type="dxa"/>
            <w:left w:w="108" w:type="dxa"/>
            <w:bottom w:w="0" w:type="dxa"/>
            <w:right w:w="108" w:type="dxa"/>
          </w:tblCellMar>
        </w:tblPrEx>
        <w:trPr>
          <w:trHeight w:val="86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tblPrEx>
          <w:tblCellMar>
            <w:top w:w="0" w:type="dxa"/>
            <w:left w:w="108" w:type="dxa"/>
            <w:bottom w:w="0" w:type="dxa"/>
            <w:right w:w="108" w:type="dxa"/>
          </w:tblCellMar>
        </w:tblPrEx>
        <w:trPr>
          <w:trHeight w:val="142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tblPrEx>
          <w:tblCellMar>
            <w:top w:w="0" w:type="dxa"/>
            <w:left w:w="108" w:type="dxa"/>
            <w:bottom w:w="0" w:type="dxa"/>
            <w:right w:w="108" w:type="dxa"/>
          </w:tblCellMar>
        </w:tblPrEx>
        <w:trPr>
          <w:trHeight w:val="1140" w:hRule="atLeast"/>
        </w:trPr>
        <w:tc>
          <w:tcPr>
            <w:tcW w:w="1231" w:type="dxa"/>
            <w:vAlign w:val="center"/>
          </w:tcPr>
          <w:p>
            <w:pPr>
              <w:jc w:val="center"/>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8834" w:type="dxa"/>
            <w:vAlign w:val="center"/>
          </w:tcPr>
          <w:p>
            <w:pPr>
              <w:spacing w:before="72" w:beforeLines="30" w:after="72" w:afterLines="30" w:line="260" w:lineRule="exact"/>
              <w:jc w:val="both"/>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pPr>
        <w:rPr>
          <w:rFonts w:ascii="Times New Roman" w:hAnsi="Times New Roman" w:eastAsia="微软雅黑" w:cs="Times New Roman"/>
          <w:sz w:val="18"/>
          <w:szCs w:val="18"/>
          <w:lang w:eastAsia="zh-CN"/>
        </w:rPr>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720" w:num="1"/>
          <w:docGrid w:linePitch="299" w:charSpace="0"/>
        </w:sectPr>
      </w:pPr>
      <w:bookmarkStart w:id="63" w:name="_Toc28454_WPSOffice_Level1"/>
    </w:p>
    <w:p>
      <w:pPr>
        <w:spacing w:before="26"/>
        <w:rPr>
          <w:rFonts w:ascii="Times New Roman" w:hAnsi="Times New Roman" w:eastAsia="微软雅黑" w:cs="Times New Roman"/>
          <w:b/>
          <w:bCs/>
          <w:color w:val="416AAB"/>
          <w:sz w:val="24"/>
          <w:szCs w:val="24"/>
          <w:lang w:eastAsia="zh-CN"/>
        </w:rPr>
      </w:pPr>
      <w:bookmarkStart w:id="64" w:name="_Toc26985_WPSOffice_Level1"/>
      <w:bookmarkStart w:id="65" w:name="_Toc20170_WPSOffice_Level1"/>
    </w:p>
    <w:p>
      <w:pPr>
        <w:pStyle w:val="27"/>
      </w:pPr>
      <w:bookmarkStart w:id="66" w:name="_Toc9876"/>
      <w:r>
        <w:t>易感人群特征</w:t>
      </w:r>
      <w:bookmarkEnd w:id="66"/>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患者发病年龄46-50岁发病，同时伴有：</w:t>
      </w:r>
    </w:p>
    <w:p>
      <w:pPr>
        <w:widowControl/>
        <w:numPr>
          <w:ilvl w:val="0"/>
          <w:numId w:val="12"/>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 血缘近亲有任何年龄发病的乳腺癌史、卵巢癌史、胰腺癌史、前列腺癌史（Gleason评分≥7）或导管内前列腺癌；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 血缘近亲有≤50岁发病的乳腺癌史；</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 ；</w:t>
      </w:r>
    </w:p>
    <w:p>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 血缘近亲有任何年龄发病的乳腺癌或前列腺癌（任何级别）；</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pPr>
        <w:spacing w:before="26"/>
        <w:ind w:firstLine="660" w:firstLineChars="300"/>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pPr>
        <w:spacing w:before="26"/>
        <w:ind w:left="218" w:leftChars="99" w:firstLine="2"/>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spacing w:before="26"/>
        <w:rPr>
          <w:rFonts w:ascii="Times New Roman" w:hAnsi="Times New Roman" w:eastAsia="微软雅黑" w:cs="Times New Roman"/>
          <w:b/>
          <w:bCs/>
          <w:sz w:val="24"/>
          <w:szCs w:val="24"/>
          <w:lang w:eastAsia="zh-CN"/>
        </w:rPr>
      </w:pPr>
    </w:p>
    <w:p>
      <w:pPr>
        <w:spacing w:before="26"/>
        <w:rPr>
          <w:lang w:eastAsia="zh-CN"/>
        </w:rPr>
      </w:pPr>
      <w:r>
        <w:rPr>
          <w:rFonts w:hint="eastAsia" w:ascii="Times New Roman" w:hAnsi="Times New Roman" w:eastAsia="微软雅黑" w:cs="Times New Roman"/>
          <w:b/>
          <w:bCs/>
          <w:sz w:val="24"/>
          <w:szCs w:val="24"/>
          <w:lang w:eastAsia="zh-CN"/>
        </w:rPr>
        <w:t>胰腺癌易感人群特征</w:t>
      </w:r>
    </w:p>
    <w:p>
      <w:pPr>
        <w:pStyle w:val="27"/>
        <w:outlineLvl w:val="9"/>
        <w:rPr>
          <w:b w:val="0"/>
          <w:bCs w:val="0"/>
          <w:color w:val="auto"/>
          <w:sz w:val="22"/>
          <w:szCs w:val="22"/>
        </w:rPr>
      </w:pPr>
      <w:bookmarkStart w:id="67" w:name="_Toc3846"/>
      <w:bookmarkStart w:id="68" w:name="_Toc5400"/>
      <w:r>
        <w:rPr>
          <w:b w:val="0"/>
          <w:bCs w:val="0"/>
          <w:color w:val="auto"/>
          <w:sz w:val="22"/>
          <w:szCs w:val="22"/>
        </w:rPr>
        <w:t>1 40岁以上，同时伴有≥1项下述者</w:t>
      </w:r>
      <w:bookmarkEnd w:id="67"/>
      <w:bookmarkEnd w:id="68"/>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pPr>
        <w:pStyle w:val="27"/>
        <w:outlineLvl w:val="9"/>
        <w:rPr>
          <w:b w:val="0"/>
          <w:bCs w:val="0"/>
          <w:color w:val="auto"/>
          <w:sz w:val="22"/>
          <w:szCs w:val="22"/>
        </w:rPr>
      </w:pPr>
      <w:bookmarkStart w:id="69" w:name="_Toc10299"/>
      <w:bookmarkStart w:id="70" w:name="_Toc126"/>
      <w:r>
        <w:rPr>
          <w:b w:val="0"/>
          <w:bCs w:val="0"/>
          <w:color w:val="auto"/>
          <w:sz w:val="22"/>
          <w:szCs w:val="22"/>
        </w:rPr>
        <w:t>2 有胰腺癌家族史、糖尿病史</w:t>
      </w:r>
      <w:bookmarkEnd w:id="69"/>
      <w:bookmarkEnd w:id="70"/>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pPr>
        <w:spacing w:before="26"/>
        <w:rPr>
          <w:rFonts w:ascii="Times New Roman" w:hAnsi="Times New Roman" w:eastAsia="微软雅黑" w:cs="Times New Roman"/>
          <w:sz w:val="18"/>
          <w:szCs w:val="18"/>
          <w:lang w:eastAsia="zh-CN"/>
        </w:rPr>
      </w:pPr>
    </w:p>
    <w:p>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pStyle w:val="27"/>
        <w:rPr>
          <w:rFonts w:ascii="Times New Roman" w:hAnsi="Times New Roman" w:eastAsia="微软雅黑" w:cs="Times New Roman"/>
          <w:b/>
          <w:color w:val="416AAB"/>
          <w:sz w:val="24"/>
        </w:rPr>
      </w:pPr>
      <w:r>
        <w:br w:type="page"/>
      </w:r>
      <w:bookmarkStart w:id="71" w:name="_Toc5356"/>
      <w:r>
        <w:t>检测基因列表</w:t>
      </w:r>
      <w:bookmarkEnd w:id="71"/>
    </w:p>
    <w:p>
      <w:pPr>
        <w:spacing w:line="259" w:lineRule="exact"/>
        <w:ind w:left="3328" w:right="3328"/>
        <w:jc w:val="center"/>
        <w:rPr>
          <w:rFonts w:ascii="Times New Roman" w:hAnsi="Times New Roman" w:eastAsia="微软雅黑" w:cs="Times New Roman"/>
          <w:b/>
          <w:color w:val="416AAB"/>
          <w:sz w:val="24"/>
        </w:rPr>
      </w:pPr>
    </w:p>
    <w:tbl>
      <w:tblPr>
        <w:tblStyle w:val="15"/>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Gene</w:t>
            </w:r>
            <w:r>
              <w:rPr>
                <w:rFonts w:hint="eastAsia" w:ascii="Times New Roman" w:hAnsi="Times New Roman" w:eastAsia="微软雅黑" w:cs="Times New Roman"/>
                <w:sz w:val="18"/>
                <w:szCs w:val="18"/>
                <w:lang w:eastAsia="zh-CN"/>
              </w:rPr>
              <w:t xml:space="preserve"> in </w:t>
            </w:r>
            <w:r>
              <w:rPr>
                <w:rFonts w:hint="default" w:ascii="Times New Roman" w:hAnsi="Times New Roman" w:eastAsia="微软雅黑" w:cs="Times New Roman"/>
                <w:sz w:val="18"/>
                <w:szCs w:val="18"/>
                <w:lang w:val="en-US" w:eastAsia="zh-CN"/>
              </w:rPr>
              <w:t>“APC*,AR,ATM*,ATR,BARD1,BRCA1*,BRCA2*,BRIP1*,CDH1*,CDK12,CHEK1,CHEK2*,EPCAM*,ERCC3,ESR1,ABRAXAS1,FANCA,FANCL,FANCM,GEN1,HDAC2,ERBB2,MER11,MLH1*,MLH3,MSH2*,MSH6*,MUTYH,NBN*,NF1*,PALB2*,PIK3CA,PMS2*,PPM1D,PPP2R2A,PTEN*,RAD50*,RAD51B,RAD51C*,RAD51D*,RAD54L,STK11*,TP53*,TSC1,TSC2”</w:t>
            </w:r>
            <w:r>
              <w:rPr>
                <w:rFonts w:hint="eastAsia" w:ascii="Times New Roman" w:hAnsi="Times New Roman" w:eastAsia="微软雅黑" w:cs="Times New Roman"/>
                <w:sz w:val="18"/>
                <w:szCs w:val="18"/>
                <w:lang w:val="en-US" w:eastAsia="zh-CN"/>
              </w:rPr>
              <w:t xml:space="preserve"> | red(9,18,False) </w:t>
            </w:r>
            <w:r>
              <w:rPr>
                <w:rFonts w:hint="eastAsia" w:ascii="Times New Roman" w:hAnsi="Times New Roman" w:eastAsia="微软雅黑" w:cs="Times New Roman"/>
                <w:sz w:val="18"/>
                <w:szCs w:val="18"/>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80" w:type="dxa"/>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i w:val="0"/>
                <w:iCs w:val="0"/>
                <w:sz w:val="18"/>
                <w:szCs w:val="18"/>
                <w:lang w:val="en-US" w:eastAsia="zh-CN"/>
              </w:rPr>
              <w:t>{{r Gene[0] }}</w:t>
            </w:r>
          </w:p>
        </w:tc>
        <w:tc>
          <w:tcPr>
            <w:tcW w:w="1089" w:type="dxa"/>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i w:val="0"/>
                <w:iCs w:val="0"/>
                <w:sz w:val="18"/>
                <w:szCs w:val="18"/>
                <w:lang w:val="en-US" w:eastAsia="zh-CN"/>
              </w:rPr>
              <w:t>{{r Gene[1] }}</w:t>
            </w:r>
          </w:p>
        </w:tc>
        <w:tc>
          <w:tcPr>
            <w:tcW w:w="1095" w:type="dxa"/>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i w:val="0"/>
                <w:iCs w:val="0"/>
                <w:sz w:val="18"/>
                <w:szCs w:val="18"/>
                <w:lang w:val="en-US" w:eastAsia="zh-CN"/>
              </w:rPr>
              <w:t>{{r Gene[2] }}</w:t>
            </w:r>
          </w:p>
        </w:tc>
        <w:tc>
          <w:tcPr>
            <w:tcW w:w="1155" w:type="dxa"/>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i w:val="0"/>
                <w:iCs w:val="0"/>
                <w:sz w:val="18"/>
                <w:szCs w:val="18"/>
                <w:lang w:val="en-US" w:eastAsia="zh-CN"/>
              </w:rPr>
              <w:t>{{r Gene[3] }}</w:t>
            </w:r>
          </w:p>
        </w:tc>
        <w:tc>
          <w:tcPr>
            <w:tcW w:w="1099" w:type="dxa"/>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i w:val="0"/>
                <w:iCs w:val="0"/>
                <w:sz w:val="18"/>
                <w:szCs w:val="18"/>
                <w:lang w:val="en-US" w:eastAsia="zh-CN"/>
              </w:rPr>
              <w:t>{{r Gene[4] }}</w:t>
            </w:r>
          </w:p>
        </w:tc>
        <w:tc>
          <w:tcPr>
            <w:tcW w:w="1007" w:type="dxa"/>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i w:val="0"/>
                <w:iCs w:val="0"/>
                <w:sz w:val="18"/>
                <w:szCs w:val="18"/>
                <w:lang w:val="en-US" w:eastAsia="zh-CN"/>
              </w:rPr>
              <w:t>{{r Gene[5] }}</w:t>
            </w:r>
          </w:p>
        </w:tc>
        <w:tc>
          <w:tcPr>
            <w:tcW w:w="1243" w:type="dxa"/>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i w:val="0"/>
                <w:iCs w:val="0"/>
                <w:sz w:val="18"/>
                <w:szCs w:val="18"/>
                <w:lang w:val="en-US" w:eastAsia="zh-CN"/>
              </w:rPr>
              <w:t>{{r Gene[6] }}</w:t>
            </w:r>
          </w:p>
        </w:tc>
        <w:tc>
          <w:tcPr>
            <w:tcW w:w="1151" w:type="dxa"/>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i w:val="0"/>
                <w:iCs w:val="0"/>
                <w:sz w:val="18"/>
                <w:szCs w:val="18"/>
                <w:lang w:val="en-US" w:eastAsia="zh-CN"/>
              </w:rPr>
              <w:t>{{r Gene[7] }}</w:t>
            </w:r>
          </w:p>
        </w:tc>
        <w:tc>
          <w:tcPr>
            <w:tcW w:w="1057" w:type="dxa"/>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i w:val="0"/>
                <w:iCs w:val="0"/>
                <w:sz w:val="18"/>
                <w:szCs w:val="18"/>
                <w:lang w:val="en-US" w:eastAsia="zh-CN"/>
              </w:rPr>
              <w:t>{{r Gene[8]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noWrap w:val="0"/>
            <w:vAlign w:val="center"/>
          </w:tcPr>
          <w:p>
            <w:pPr>
              <w:jc w:val="center"/>
              <w:rPr>
                <w:rFonts w:hint="default"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endfor</w:t>
            </w:r>
            <w:r>
              <w:rPr>
                <w:rFonts w:hint="eastAsia" w:ascii="Times New Roman" w:hAnsi="Times New Roman" w:eastAsia="微软雅黑" w:cs="Times New Roman"/>
                <w:sz w:val="18"/>
                <w:szCs w:val="18"/>
                <w:lang w:eastAsia="zh-CN"/>
              </w:rPr>
              <w:t>%}</w:t>
            </w:r>
          </w:p>
        </w:tc>
      </w:tr>
    </w:tbl>
    <w:p>
      <w:r>
        <w:rPr>
          <w:rFonts w:hint="eastAsia" w:ascii="Times New Roman" w:hAnsi="Times New Roman" w:eastAsia="微软雅黑" w:cs="Times New Roman"/>
          <w:sz w:val="18"/>
          <w:szCs w:val="18"/>
          <w:lang w:val="en-US" w:eastAsia="zh-CN" w:bidi="ar-SA"/>
        </w:rPr>
        <w:t>注：* 号标注为遗传风险检测基因。</w:t>
      </w:r>
      <w:r>
        <w:br w:type="page"/>
      </w:r>
    </w:p>
    <w:p>
      <w:pPr>
        <w:pStyle w:val="27"/>
      </w:pPr>
      <w:bookmarkStart w:id="72" w:name="_Toc22045"/>
      <w:r>
        <w:t>检测流程</w:t>
      </w:r>
      <w:bookmarkEnd w:id="63"/>
      <w:bookmarkEnd w:id="64"/>
      <w:bookmarkEnd w:id="65"/>
      <w:bookmarkEnd w:id="72"/>
    </w:p>
    <w:p>
      <w:pP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ind w:firstLine="3740" w:firstLineChars="1700"/>
        <w:rPr>
          <w:rFonts w:ascii="Times New Roman" w:hAnsi="Times New Roman" w:eastAsia="微软雅黑" w:cs="Times New Roman"/>
          <w:lang w:eastAsia="zh-CN"/>
        </w:rPr>
      </w:pPr>
      <w:r>
        <w:rPr>
          <w:rFonts w:ascii="Times New Roman" w:hAnsi="Times New Roman" w:eastAsia="微软雅黑" w:cs="Times New Roman"/>
          <w:lang w:eastAsia="zh-CN"/>
        </w:rPr>
        <w:drawing>
          <wp:anchor distT="0" distB="0" distL="114300" distR="114300" simplePos="0" relativeHeight="251661312" behindDoc="0" locked="0" layoutInCell="1" allowOverlap="1">
            <wp:simplePos x="0" y="0"/>
            <wp:positionH relativeFrom="column">
              <wp:posOffset>1196975</wp:posOffset>
            </wp:positionH>
            <wp:positionV relativeFrom="paragraph">
              <wp:posOffset>18415</wp:posOffset>
            </wp:positionV>
            <wp:extent cx="647700" cy="593090"/>
            <wp:effectExtent l="0" t="0" r="7620" b="127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416AAB"/>
          <w:sz w:val="48"/>
          <w:szCs w:val="48"/>
          <w:lang w:eastAsia="zh-CN"/>
        </w:rPr>
        <mc:AlternateContent>
          <mc:Choice Requires="wps">
            <w:drawing>
              <wp:anchor distT="0" distB="0" distL="114300" distR="114300" simplePos="0" relativeHeight="251662336" behindDoc="0" locked="0" layoutInCell="1" allowOverlap="1">
                <wp:simplePos x="0" y="0"/>
                <wp:positionH relativeFrom="column">
                  <wp:posOffset>745490</wp:posOffset>
                </wp:positionH>
                <wp:positionV relativeFrom="paragraph">
                  <wp:posOffset>3810</wp:posOffset>
                </wp:positionV>
                <wp:extent cx="0" cy="6440805"/>
                <wp:effectExtent l="38100" t="0" r="38100" b="571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0070C0"/>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2336;mso-width-relative:page;mso-height-relative:page;" filled="f" stroked="t" coordsize="21600,21600" o:gfxdata="UEsDBAoAAAAAAIdO4kAAAAAAAAAAAAAAAAAEAAAAZHJzL1BLAwQUAAAACACHTuJApMbSE9UAAAAJ&#10;AQAADwAAAGRycy9kb3ducmV2LnhtbE2PS0/DMBCE70j8B2uRuFE7VegjxKkAqTeEROHA0Y23dtR4&#10;HcXuA349Wy5w208zmp2pV+fQiyOOqYukoZgoEEhttB05DR/v67sFiJQNWdNHQg1fmGDVXF/VprLx&#10;RG943GQnOIRSZTT4nIdKytR6DCZN4oDE2i6OwWTG0Uk7mhOHh15OlZrJYDriD94M+Oyx3W8OQcOT&#10;/3afav84nZe5LXfRvd6vX1Dr25tCPYDIeM5/ZrjU5+rQcKdtPJBNomcu5iVbNcxAXORf3PKhinIJ&#10;sqnl/wXND1BLAwQUAAAACACHTuJAkks4/fMBAADjAwAADgAAAGRycy9lMm9Eb2MueG1srVNNbxsh&#10;EL1X6n9A3OtdR04ar7yOKrvpJW0tJf0BGNhdVGDQgL32v++AHadJLzn0gmA+3pt5MyzuDs6yvcZo&#10;wLd8Oqk5016CMr5v+a+n+0+3nMUkvBIWvG75UUd+t/z4YTGGRl/BAFZpZATiYzOGlg8phaaqohy0&#10;E3ECQXtydoBOJHpiXykUI6E7W13V9U01AqqAIHWMZF2fnPyMiO8BhK4zUq9B7pz26YSK2opELcXB&#10;hMiXpdqu0zL97LqoE7Mtp05TOYmE7tt8VsuFaHoUYTDyXIJ4TwlvenLCeCK9QK1FEmyH5h8oZyRC&#10;hC5NJLjq1EhRhLqY1m+0eRxE0KUXkjqGi+jx/8HKH/sNMqNaPufMC0cD/7JLUJjZdDbPAo0hNhS3&#10;8hvMLcqDfwwPIH9H5mE1CN/rEv50DJQ9zRnVq5T8iIFotuN3UBQjiKGodejQZUjSgR3KUI6XoehD&#10;YvJklGS9mc3q2/q6oIvmOTFgTN80OJYvLY8JhemHtALvafSA00Ij9g8x5bJE85yQWT3cG2vLBljP&#10;Rqp9Xl/XJSOCNSp7c1zEfruyyPYiL1H9uV6VvSG0V2EIO68KWhLGfvWKpaJIQkMaWc0zhdOKM6vp&#10;5+XbqSbrz4plkU5yb0EdN5jdWTyafSn+vKd5uf5+l6iXv7n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TG0hPVAAAACQEAAA8AAAAAAAAAAQAgAAAAIgAAAGRycy9kb3ducmV2LnhtbFBLAQIUABQA&#10;AAAIAIdO4kCSSzj98wEAAOMDAAAOAAAAAAAAAAEAIAAAACQBAABkcnMvZTJvRG9jLnhtbFBLBQYA&#10;AAAABgAGAFkBAACJBQAAAAA=&#10;">
                <v:fill on="f" focussize="0,0"/>
                <v:stroke weight="1.5pt" color="#0070C0" joinstyle="round" endarrow="block"/>
                <v:imagedata o:title=""/>
                <o:lock v:ext="edit" aspectratio="f"/>
              </v:shape>
            </w:pict>
          </mc:Fallback>
        </mc:AlternateContent>
      </w:r>
      <w:r>
        <w:rPr>
          <w:rFonts w:ascii="Times New Roman" w:hAnsi="Times New Roman" w:eastAsia="微软雅黑" w:cs="Times New Roman"/>
          <w:color w:val="416AAB"/>
          <w:sz w:val="48"/>
          <w:szCs w:val="48"/>
          <w:lang w:eastAsia="zh-CN"/>
        </w:rPr>
        <mc:AlternateContent>
          <mc:Choice Requires="wps">
            <w:drawing>
              <wp:anchor distT="45720" distB="45720" distL="114300" distR="114300" simplePos="0" relativeHeight="251663360" behindDoc="0" locked="0" layoutInCell="1" allowOverlap="1">
                <wp:simplePos x="0" y="0"/>
                <wp:positionH relativeFrom="column">
                  <wp:posOffset>3114675</wp:posOffset>
                </wp:positionH>
                <wp:positionV relativeFrom="paragraph">
                  <wp:posOffset>29210</wp:posOffset>
                </wp:positionV>
                <wp:extent cx="2278380" cy="617855"/>
                <wp:effectExtent l="0" t="0" r="7620" b="698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3360;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416AAB"/>
          <w:sz w:val="72"/>
          <w:szCs w:val="72"/>
          <w:lang w:eastAsia="zh-CN"/>
        </w:rPr>
        <w:t>1</w:t>
      </w:r>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r>
        <w:rPr>
          <w:rFonts w:ascii="Times New Roman" w:hAnsi="Times New Roman" w:eastAsia="微软雅黑" w:cs="Times New Roman"/>
          <w:lang w:eastAsia="zh-CN"/>
        </w:rPr>
        <mc:AlternateContent>
          <mc:Choice Requires="wps">
            <w:drawing>
              <wp:anchor distT="45720" distB="45720" distL="114300" distR="114300" simplePos="0" relativeHeight="251664384" behindDoc="0" locked="0" layoutInCell="1" allowOverlap="1">
                <wp:simplePos x="0" y="0"/>
                <wp:positionH relativeFrom="column">
                  <wp:posOffset>3114675</wp:posOffset>
                </wp:positionH>
                <wp:positionV relativeFrom="paragraph">
                  <wp:posOffset>260985</wp:posOffset>
                </wp:positionV>
                <wp:extent cx="2058035" cy="1087120"/>
                <wp:effectExtent l="0" t="0" r="14605" b="1016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3"/>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4384;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3"/>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lang w:eastAsia="zh-CN"/>
        </w:rPr>
        <w:drawing>
          <wp:anchor distT="0" distB="0" distL="114300" distR="114300" simplePos="0" relativeHeight="251665408" behindDoc="0" locked="0" layoutInCell="1" allowOverlap="1">
            <wp:simplePos x="0" y="0"/>
            <wp:positionH relativeFrom="column">
              <wp:posOffset>1196975</wp:posOffset>
            </wp:positionH>
            <wp:positionV relativeFrom="paragraph">
              <wp:posOffset>386080</wp:posOffset>
            </wp:positionV>
            <wp:extent cx="647700" cy="706120"/>
            <wp:effectExtent l="0" t="0" r="7620" b="1016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lang w:eastAsia="zh-CN"/>
        </w:rPr>
      </w:pPr>
      <w:bookmarkStart w:id="73" w:name="_Toc19277_WPSOffice_Level2"/>
      <w:bookmarkStart w:id="74" w:name="_Toc3149_WPSOffice_Level2"/>
      <w:r>
        <w:rPr>
          <w:rFonts w:ascii="Times New Roman" w:hAnsi="Times New Roman" w:eastAsia="微软雅黑" w:cs="Times New Roman"/>
          <w:color w:val="416AAB"/>
          <w:sz w:val="72"/>
          <w:szCs w:val="72"/>
          <w:lang w:eastAsia="zh-CN"/>
        </w:rPr>
        <w:t>2</w:t>
      </w:r>
      <w:bookmarkEnd w:id="73"/>
      <w:bookmarkEnd w:id="74"/>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r>
        <w:rPr>
          <w:rFonts w:ascii="Times New Roman" w:hAnsi="Times New Roman" w:eastAsia="微软雅黑" w:cs="Times New Roman"/>
          <w:lang w:eastAsia="zh-CN"/>
        </w:rPr>
        <mc:AlternateContent>
          <mc:Choice Requires="wps">
            <w:drawing>
              <wp:anchor distT="45720" distB="45720" distL="114300" distR="114300" simplePos="0" relativeHeight="251666432" behindDoc="0" locked="0" layoutInCell="1" allowOverlap="1">
                <wp:simplePos x="0" y="0"/>
                <wp:positionH relativeFrom="column">
                  <wp:posOffset>3114675</wp:posOffset>
                </wp:positionH>
                <wp:positionV relativeFrom="paragraph">
                  <wp:posOffset>245110</wp:posOffset>
                </wp:positionV>
                <wp:extent cx="2171700" cy="1303655"/>
                <wp:effectExtent l="0" t="0" r="7620" b="698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66432;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lang w:eastAsia="zh-CN"/>
        </w:rPr>
        <w:drawing>
          <wp:anchor distT="0" distB="0" distL="114300" distR="114300" simplePos="0" relativeHeight="251667456" behindDoc="0" locked="0" layoutInCell="1" allowOverlap="1">
            <wp:simplePos x="0" y="0"/>
            <wp:positionH relativeFrom="column">
              <wp:posOffset>1196975</wp:posOffset>
            </wp:positionH>
            <wp:positionV relativeFrom="paragraph">
              <wp:posOffset>414020</wp:posOffset>
            </wp:positionV>
            <wp:extent cx="647700" cy="633095"/>
            <wp:effectExtent l="0" t="0" r="7620" b="698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lang w:eastAsia="zh-CN"/>
        </w:rPr>
      </w:pPr>
      <w:bookmarkStart w:id="75" w:name="_Toc17014_WPSOffice_Level2"/>
      <w:bookmarkStart w:id="76" w:name="_Toc206_WPSOffice_Level2"/>
      <w:r>
        <w:rPr>
          <w:rFonts w:ascii="Times New Roman" w:hAnsi="Times New Roman" w:eastAsia="微软雅黑" w:cs="Times New Roman"/>
          <w:color w:val="416AAB"/>
          <w:sz w:val="72"/>
          <w:szCs w:val="72"/>
          <w:lang w:eastAsia="zh-CN"/>
        </w:rPr>
        <w:t>3</w:t>
      </w:r>
      <w:bookmarkEnd w:id="75"/>
      <w:bookmarkEnd w:id="76"/>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r>
        <w:rPr>
          <w:rFonts w:ascii="Times New Roman" w:hAnsi="Times New Roman" w:eastAsia="微软雅黑" w:cs="Times New Roman"/>
          <w:lang w:eastAsia="zh-CN"/>
        </w:rPr>
        <w:drawing>
          <wp:anchor distT="0" distB="0" distL="114300" distR="114300" simplePos="0" relativeHeight="251668480" behindDoc="0" locked="0" layoutInCell="1" allowOverlap="1">
            <wp:simplePos x="0" y="0"/>
            <wp:positionH relativeFrom="column">
              <wp:posOffset>1196975</wp:posOffset>
            </wp:positionH>
            <wp:positionV relativeFrom="paragraph">
              <wp:posOffset>398780</wp:posOffset>
            </wp:positionV>
            <wp:extent cx="647700" cy="650240"/>
            <wp:effectExtent l="0" t="0" r="7620" b="508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lang w:eastAsia="zh-CN"/>
        </w:rPr>
        <mc:AlternateContent>
          <mc:Choice Requires="wps">
            <w:drawing>
              <wp:anchor distT="45720" distB="45720" distL="114300" distR="114300" simplePos="0" relativeHeight="251669504" behindDoc="0" locked="0" layoutInCell="1" allowOverlap="1">
                <wp:simplePos x="0" y="0"/>
                <wp:positionH relativeFrom="column">
                  <wp:posOffset>3114675</wp:posOffset>
                </wp:positionH>
                <wp:positionV relativeFrom="paragraph">
                  <wp:posOffset>398780</wp:posOffset>
                </wp:positionV>
                <wp:extent cx="1637665" cy="736600"/>
                <wp:effectExtent l="0" t="0" r="8255" b="1016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69504;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pPr>
        <w:ind w:firstLine="3823" w:firstLineChars="531"/>
        <w:rPr>
          <w:rFonts w:ascii="Times New Roman" w:hAnsi="Times New Roman" w:eastAsia="微软雅黑" w:cs="Times New Roman"/>
          <w:color w:val="416AAB"/>
          <w:sz w:val="72"/>
          <w:szCs w:val="72"/>
          <w:lang w:eastAsia="zh-CN"/>
        </w:rPr>
      </w:pPr>
      <w:bookmarkStart w:id="77" w:name="_Toc50_WPSOffice_Level2"/>
      <w:bookmarkStart w:id="78" w:name="_Toc17792_WPSOffice_Level2"/>
      <w:r>
        <w:rPr>
          <w:rFonts w:ascii="Times New Roman" w:hAnsi="Times New Roman" w:eastAsia="微软雅黑" w:cs="Times New Roman"/>
          <w:color w:val="416AAB"/>
          <w:sz w:val="72"/>
          <w:szCs w:val="72"/>
          <w:lang w:eastAsia="zh-CN"/>
        </w:rPr>
        <w:t>4</w:t>
      </w:r>
      <w:bookmarkEnd w:id="77"/>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r>
        <w:rPr>
          <w:rFonts w:ascii="Times New Roman" w:hAnsi="Times New Roman" w:eastAsia="微软雅黑" w:cs="Times New Roman"/>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378460</wp:posOffset>
            </wp:positionV>
            <wp:extent cx="647700" cy="669925"/>
            <wp:effectExtent l="0" t="0" r="7620" b="63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lang w:eastAsia="zh-CN"/>
        </w:rPr>
      </w:pPr>
      <w:r>
        <w:rPr>
          <w:rFonts w:ascii="Times New Roman" w:hAnsi="Times New Roman" w:eastAsia="微软雅黑" w:cs="Times New Roman"/>
          <w:color w:val="416AAB"/>
          <w:sz w:val="72"/>
          <w:szCs w:val="72"/>
          <w:lang w:eastAsia="zh-CN"/>
        </w:rPr>
        <mc:AlternateContent>
          <mc:Choice Requires="wps">
            <w:drawing>
              <wp:anchor distT="45720" distB="45720" distL="114300" distR="114300" simplePos="0" relativeHeight="251660288" behindDoc="0" locked="0" layoutInCell="1" allowOverlap="1">
                <wp:simplePos x="0" y="0"/>
                <wp:positionH relativeFrom="column">
                  <wp:posOffset>3123565</wp:posOffset>
                </wp:positionH>
                <wp:positionV relativeFrom="paragraph">
                  <wp:posOffset>106045</wp:posOffset>
                </wp:positionV>
                <wp:extent cx="946150" cy="368300"/>
                <wp:effectExtent l="0" t="0" r="1397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60288;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416AAB"/>
          <w:sz w:val="72"/>
          <w:szCs w:val="72"/>
          <w:lang w:eastAsia="zh-CN"/>
        </w:rPr>
        <w:t>5</w:t>
      </w:r>
    </w:p>
    <w:p>
      <w:pPr>
        <w:rPr>
          <w:rFonts w:ascii="Times New Roman" w:hAnsi="Times New Roman" w:eastAsia="微软雅黑" w:cs="Times New Roman"/>
          <w:lang w:eastAsia="zh-CN"/>
        </w:rPr>
      </w:pPr>
    </w:p>
    <w:p>
      <w:pPr>
        <w:tabs>
          <w:tab w:val="left" w:pos="6770"/>
        </w:tabs>
        <w:spacing w:before="27"/>
        <w:rPr>
          <w:rFonts w:ascii="Times New Roman" w:hAnsi="Times New Roman" w:eastAsia="微软雅黑" w:cs="Times New Roman"/>
          <w:sz w:val="15"/>
          <w:lang w:eastAsia="zh-CN"/>
        </w:rPr>
      </w:pPr>
      <w:r>
        <w:rPr>
          <w:rFonts w:ascii="Times New Roman" w:hAnsi="Times New Roman" w:eastAsia="微软雅黑" w:cs="Times New Roman"/>
          <w:color w:val="0070C0"/>
          <w:lang w:eastAsia="zh-CN"/>
        </w:rPr>
        <w:br w:type="page"/>
      </w:r>
    </w:p>
    <w:p>
      <w:pPr>
        <w:pStyle w:val="27"/>
      </w:pPr>
      <w:bookmarkStart w:id="79" w:name="_Toc11307"/>
      <w:bookmarkStart w:id="80" w:name="_Toc13275"/>
      <w:bookmarkStart w:id="81" w:name="_Toc19584_WPSOffice_Level1"/>
      <w:bookmarkStart w:id="82" w:name="_Toc22623"/>
      <w:bookmarkStart w:id="83" w:name="_Toc14611_WPSOffice_Level1"/>
      <w:bookmarkStart w:id="84" w:name="_Toc22162_WPSOffice_Level1"/>
      <w:r>
        <w:t>参考文献</w:t>
      </w:r>
      <w:bookmarkEnd w:id="79"/>
    </w:p>
    <w:bookmarkEnd w:id="78"/>
    <w:bookmarkEnd w:id="80"/>
    <w:bookmarkEnd w:id="81"/>
    <w:bookmarkEnd w:id="82"/>
    <w:bookmarkEnd w:id="83"/>
    <w:bookmarkEnd w:id="84"/>
    <w:p>
      <w:pPr>
        <w:pStyle w:val="32"/>
        <w:widowControl/>
        <w:numPr>
          <w:ilvl w:val="0"/>
          <w:numId w:val="14"/>
        </w:numPr>
        <w:spacing w:before="120"/>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Nakonechny Q B, Gilks C B. Ovarian cancer in hereditary cancer susceptibility syndromes[J]. Surgical pathology clinics, 2016, 9(2): 189-199.</w:t>
      </w:r>
    </w:p>
    <w:p>
      <w:pPr>
        <w:pStyle w:val="32"/>
        <w:widowControl/>
        <w:numPr>
          <w:ilvl w:val="0"/>
          <w:numId w:val="14"/>
        </w:numPr>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Chui M H, Ryan P, Radigan J, et al. The histomorphology of Lynch syndrome–associated ovarian carcinomas: toward a subtype-specific screening strategy[J]. The American journal of surgical pathology, 2014, 38(9): 1173-1181.</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Lu K H, Daniels M. Endometrial and ovarian cancer in women with Lynch syndrome: update in screening and prevention[J]. Familial cancer, 2013, 12(2): 273-277.</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Lancaster J M, Powell C B, Chen L, et al. Society of Gynecologic Oncology statement on risk assessment for inherited gynecologic cancer predispositions[J]. Gynecologic oncology, 2015, 136(1): 3-7.</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Tr R, Mitra N, Wan F, et al. Association of type and location of BRCA1 and BRCA2 mutations with risk of breast and ovarian cancer[J]. JAMA INTERNAL MEDICINE, 2015 (Aprile): 1347-1361.</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Daly M B, Axilbund J E, Buys S, et al. Genetic/familial high-risk assessment: breast and ovarian[J]. Journal of the National Comprehensive Cancer Network, 2010, 8(5): 562-594.</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Walsh C S, Blum A, Walts A, et al. Lynch syndrome among gynecologic oncology patients meeting Bethesda guidelines for screening[J]. Gynecologic oncology, 2010, 116(3): 516-521.</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Shulman L P. Hereditary breast and ovarian cancer (HBOC): clinical features and counseling for BRCA1 and BRCA2, Lynch syndrome, Cowden syndrome, and Li-Fraumeni syndrome[J]. Obstetrics and Gynecology Clinics, 2010, 37(1): 109-133.</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Zhang S, Royer R, Li S, et al. Frequencies of BRCA1 and BRCA2 mutations among 1,342 unselected patients with invasive ovarian cancer[J]. Gynecologic oncology, 2011, 121(2): 353-357.</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Liu G, Yang D, Sun Y, et al. Differing clinical impact of BRCA1 and BRCA2 mutations in serous ovarian cancer[J]. Pharmacogenomics, 2012, 13(13): 1523-1535.</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Finch A, Beiner M, Lubinski J, et al. Salpingo-oophorectomy and the risk of ovarian, fallopian tube, and peritoneal cancers in women with a BRCA1 or BRCA2 Mutation[J]. Jama, 2006, 296(2): 185-192.</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Stan D L, Shuster L T, Wick M J, et al. Challenging and complex decisions in the management of the BRCA mutation carrier[J]. Journal of Women's Health, 2013, 22(10): 825-834.</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Elit L, Hirte H. Palliative systemic therapy for women with recurrent epithelial ovarian cancer: current options[J]. OncoTargets and therapy, 2013, 6: 107.</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Suh D H, Lee K H, Kim K, et al. Major clinical research advances in gynecologic cancer in 2014[J]. Journal of gynecologic oncology, 2015, 26(2): 156-167.</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bookmarkStart w:id="85" w:name="OLE_LINK36"/>
      <w:bookmarkStart w:id="86" w:name="OLE_LINK35"/>
      <w:r>
        <w:rPr>
          <w:rFonts w:ascii="Times New Roman" w:hAnsi="Times New Roman" w:eastAsia="微软雅黑"/>
          <w:color w:val="222222"/>
          <w:sz w:val="20"/>
          <w:szCs w:val="20"/>
          <w:shd w:val="clear" w:color="auto" w:fill="FFFFFF"/>
        </w:rPr>
        <w:t>Gelmon K A, Tischkowitz M, Mackay H, et al. Olaparib in patients with recurrent high-grade serous or poorly differentiated ovarian carcinoma or triple-negative breast cancer: a phase 2, multicentre, open-label, non-randomised study[J]. The lancet oncology, 2011, 12(9): 852-861.</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Audeh M W, Carmichael J, Penson R T, et al. Oral poly (ADP-ribose) polymerase inhibitor olaparib in patients with BRCA1 or BRCA2 mutations and recurrent ovarian cancer: a proof-of-concept trial[J]. The Lancet, 2010, 376(9737): 245-251.</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Fong P C, Yap T A, Boss D S, et al. Poly (ADP)-ribose polymerase inhibition: frequent durable responses in BRCA carrier ovarian cancer correlating with platinum-free interval[J]. Journal of clinical oncology, 2010, 28(15): 2512-2519.</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Ledermann J, Harter P, Gourley C, et al. Olaparib maintenance therapy in platinum-sensitive relapsed ovarian cancer[J]. New England Journal of Medicine, 2012, 366(15): 1382-1392.</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Kaufman B, Shapira-Frommer R, Schmutzler R K, et al. Olaparib monotherapy in patients with advanced cancer and a germline BRCA1/2 mutation[J]. Journal of clinical oncology: official journal of the American Society of Clinical Oncology, 2015, 33(3): 244.</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 xml:space="preserve">Butler T, Maravent S, Boisselle J, et al. </w:t>
      </w:r>
      <w:bookmarkStart w:id="87" w:name="OLE_LINK31"/>
      <w:bookmarkStart w:id="88" w:name="OLE_LINK32"/>
      <w:r>
        <w:rPr>
          <w:rFonts w:ascii="Times New Roman" w:hAnsi="Times New Roman" w:eastAsia="微软雅黑"/>
          <w:color w:val="222222"/>
          <w:sz w:val="20"/>
          <w:szCs w:val="20"/>
          <w:shd w:val="clear" w:color="auto" w:fill="FFFFFF"/>
        </w:rPr>
        <w:t>A review of 2014 cancer drug approvals, with a look at 2015 and beyond</w:t>
      </w:r>
      <w:bookmarkEnd w:id="87"/>
      <w:bookmarkEnd w:id="88"/>
      <w:r>
        <w:rPr>
          <w:rFonts w:ascii="Times New Roman" w:hAnsi="Times New Roman" w:eastAsia="微软雅黑"/>
          <w:color w:val="222222"/>
          <w:sz w:val="20"/>
          <w:szCs w:val="20"/>
          <w:shd w:val="clear" w:color="auto" w:fill="FFFFFF"/>
        </w:rPr>
        <w:t>[J]. Pharmacy and Therapeutics, 2015, 40(3): 191.</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Deeks E D. Olaparib: first global approval[J]. Drugs, 2015, 75(2): 231-240.</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Kim G, Ison G, McKee A E, et al. FDA approval summary: olaparib monotherapy in patients with deleterious germline BRCA-mutated advanced ovarian cancer treated with three or more lines of chemotherapy[J]. Clinical cancer research, 2015: clincanres. 0887.2015.</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Pujade-Lauraine E, Ledermann J A, Selle F, et al. Olaparib tablets as maintenance therapy in patients with platinum-sensitive, relapsed ovarian cancer and a BRCA1/2 mutation (SOLO2/ENGOT-Ov21): a double-blind, randomised, placebo-controlled, phase 3 trial[J]. The Lancet Oncology, 2017, 18(9): 1274-1284.</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Kristeleit R, Shapiro G I, Burris H A, et al. A phase I–II study of the oral PARP inhibitor rucaparib in patients with germline BRCA1/2-mutated ovarian carcinoma or other solid tumors[J]. Clinical Cancer Research, 2017.</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Swisher E M, Lin K K, Oza A M, et al. Rucaparib in relapsed, platinum-sensitive high-grade ovarian carcinoma (ARIEL2 Part 1): an international, multicentre, open-label, phase 2 trial[J]. The Lancet Oncology, 2017, 18(1): 75-87.</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Balasubramaniam S, Beaver J A, Horton S, et al. FDA approval summary: rucaparib for the treatment of patients with deleterious BRCA mutation–associated advanced ovarian cancer[J]. Clinical Cancer Research, 2017.</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Mirza M R, Monk B J, Herrstedt J, et al. Niraparib maintenance therapy in platinum-sensitive, recurrent ovarian cancer[J]. New England Journal of Medicine, 2016, 375(22): 2154-2164.</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Scott L J. Niraparib: first global approval[J]. Drugs, 2017, 77(9): 1029-1034.</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Muthiah Bose, Juliane Sachsenweger, Niina Laurila</w:t>
      </w:r>
      <w:r>
        <w:rPr>
          <w:rFonts w:ascii="Times New Roman" w:hAnsi="Times New Roman" w:eastAsia="微软雅黑"/>
          <w:color w:val="222222"/>
          <w:sz w:val="20"/>
          <w:szCs w:val="20"/>
          <w:shd w:val="clear" w:color="auto" w:fill="FFFFFF"/>
          <w:lang w:eastAsia="zh-CN"/>
        </w:rPr>
        <w:t xml:space="preserve">,et al. </w:t>
      </w:r>
      <w:r>
        <w:rPr>
          <w:rFonts w:ascii="Times New Roman" w:hAnsi="Times New Roman" w:eastAsia="微软雅黑"/>
          <w:color w:val="222222"/>
          <w:sz w:val="20"/>
          <w:szCs w:val="20"/>
          <w:shd w:val="clear" w:color="auto" w:fill="FFFFFF"/>
        </w:rPr>
        <w:t>BRCA1 misalignment results in an abnormal DNA damage response in hybrid ABRAXAS1 mutant vector cells[J].</w:t>
      </w:r>
      <w:r>
        <w:t xml:space="preserve"> </w:t>
      </w:r>
      <w:r>
        <w:rPr>
          <w:rFonts w:ascii="Times New Roman" w:hAnsi="Times New Roman" w:eastAsia="微软雅黑"/>
          <w:color w:val="222222"/>
          <w:sz w:val="20"/>
          <w:szCs w:val="20"/>
          <w:shd w:val="clear" w:color="auto" w:fill="FFFFFF"/>
        </w:rPr>
        <w:t>Hum Mol Genet, 2019,28(24):4148-4160.</w:t>
      </w:r>
    </w:p>
    <w:p>
      <w:pPr>
        <w:pStyle w:val="32"/>
        <w:widowControl/>
        <w:numPr>
          <w:ilvl w:val="0"/>
          <w:numId w:val="14"/>
        </w:numPr>
        <w:spacing w:before="27"/>
        <w:ind w:right="330" w:rightChars="150" w:firstLineChars="0"/>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Zdenek Kleibl, Vessela N Kristensen. Women at High Risk of Breast Cancer: Molecular Characteristics, Clinical Presentation and Management[J]. Breast, 2016, 28:136-44.</w:t>
      </w:r>
    </w:p>
    <w:p>
      <w:pPr>
        <w:pStyle w:val="32"/>
        <w:keepNext w:val="0"/>
        <w:keepLines w:val="0"/>
        <w:pageBreakBefore w:val="0"/>
        <w:widowControl w:val="0"/>
        <w:numPr>
          <w:ilvl w:val="0"/>
          <w:numId w:val="14"/>
        </w:numPr>
        <w:kinsoku/>
        <w:wordWrap/>
        <w:overflowPunct/>
        <w:topLinePunct w:val="0"/>
        <w:autoSpaceDE/>
        <w:autoSpaceDN/>
        <w:bidi w:val="0"/>
        <w:adjustRightInd/>
        <w:snapToGrid/>
        <w:spacing w:before="27"/>
        <w:ind w:left="420" w:right="330" w:rightChars="150" w:hanging="420" w:firstLineChars="0"/>
        <w:textAlignment w:val="auto"/>
        <w:rPr>
          <w:rFonts w:ascii="Times New Roman" w:hAnsi="Times New Roman" w:eastAsia="微软雅黑"/>
          <w:color w:val="222222"/>
          <w:sz w:val="20"/>
          <w:szCs w:val="20"/>
          <w:shd w:val="clear" w:color="auto" w:fill="FFFFFF"/>
        </w:rPr>
      </w:pPr>
      <w:r>
        <w:rPr>
          <w:rFonts w:ascii="Times New Roman" w:hAnsi="Times New Roman" w:eastAsia="微软雅黑"/>
          <w:color w:val="222222"/>
          <w:sz w:val="20"/>
          <w:szCs w:val="20"/>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color w:val="222222"/>
          <w:sz w:val="20"/>
          <w:szCs w:val="20"/>
          <w:shd w:val="clear" w:color="auto" w:fill="FFFFFF"/>
        </w:rPr>
        <w:t xml:space="preserve"> </w:t>
      </w:r>
      <w:r>
        <w:rPr>
          <w:rFonts w:ascii="Times New Roman" w:hAnsi="Times New Roman" w:eastAsia="微软雅黑"/>
          <w:color w:val="222222"/>
          <w:sz w:val="20"/>
          <w:szCs w:val="20"/>
          <w:shd w:val="clear" w:color="auto" w:fill="FFFFFF"/>
        </w:rPr>
        <w:t>2010, 124(1):283-8.</w:t>
      </w:r>
    </w:p>
    <w:bookmarkEnd w:id="85"/>
    <w:bookmarkEnd w:id="86"/>
    <w:p>
      <w:pPr>
        <w:widowControl/>
        <w:spacing w:after="84" w:line="259" w:lineRule="auto"/>
        <w:rPr>
          <w:rFonts w:ascii="Times New Roman" w:hAnsi="Times New Roman" w:eastAsia="微软雅黑" w:cs="Times New Roman"/>
          <w:sz w:val="15"/>
          <w:szCs w:val="15"/>
          <w:lang w:eastAsia="zh-CN"/>
        </w:rPr>
      </w:pPr>
    </w:p>
    <w:sectPr>
      <w:footerReference r:id="rId5" w:type="default"/>
      <w:pgSz w:w="11910" w:h="16840"/>
      <w:pgMar w:top="1037" w:right="1020" w:bottom="981" w:left="1020" w:header="624" w:footer="567" w:gutter="0"/>
      <w:pgBorders>
        <w:top w:val="none" w:sz="0" w:space="0"/>
        <w:left w:val="none" w:sz="0" w:space="0"/>
        <w:bottom w:val="none" w:sz="0" w:space="0"/>
        <w:right w:val="none" w:sz="0" w:space="0"/>
      </w:pgBorder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imes New Roman Regular">
    <w:altName w:val="Times New Roman"/>
    <w:panose1 w:val="02020703060505090304"/>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54563361"/>
    </w:sdtPr>
    <w:sdtContent>
      <w:p>
        <w:pPr>
          <w:pStyle w:val="9"/>
          <w:jc w:val="center"/>
        </w:pPr>
        <w:r>
          <w:fldChar w:fldCharType="begin"/>
        </w:r>
        <w:r>
          <w:instrText xml:space="preserve">PAGE \* MERGEFORMAT</w:instrText>
        </w:r>
        <w:r>
          <w:fldChar w:fldCharType="separate"/>
        </w:r>
        <w:r>
          <w:rPr>
            <w:lang w:val="zh-CN" w:eastAsia="zh-CN"/>
          </w:rPr>
          <w:t>2</w:t>
        </w:r>
        <w:r>
          <w:fldChar w:fldCharType="end"/>
        </w:r>
      </w:p>
    </w:sdtContent>
  </w:sdt>
  <w:p>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sz w:val="20"/>
      </w:rPr>
      <mc:AlternateContent>
        <mc:Choice Requires="wps">
          <w:drawing>
            <wp:anchor distT="0" distB="0" distL="114300" distR="114300" simplePos="0" relativeHeight="251674624"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pPr>
                      <w:pStyle w:val="9"/>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color w:val="7F7F7F"/>
        <w:sz w:val="20"/>
        <w:szCs w:val="20"/>
        <w:lang w:eastAsia="zh-CN"/>
      </w:rPr>
    </w:pPr>
    <w:r>
      <w:rPr>
        <w:rFonts w:ascii="Times New Roman" w:hAnsi="Times New Roman" w:eastAsia="微软雅黑" w:cs="Times New Roman"/>
        <w:color w:val="7F7F7F"/>
        <w:sz w:val="20"/>
        <w:szCs w:val="20"/>
        <w:lang w:eastAsia="zh-CN"/>
      </w:rPr>
      <w:t>——DNA损伤修复45基因分子分型研究——</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4904D764"/>
    <w:multiLevelType w:val="singleLevel"/>
    <w:tmpl w:val="4904D764"/>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9B7869"/>
    <w:multiLevelType w:val="multilevel"/>
    <w:tmpl w:val="589B7869"/>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D416980"/>
    <w:multiLevelType w:val="singleLevel"/>
    <w:tmpl w:val="5D416980"/>
    <w:lvl w:ilvl="0" w:tentative="0">
      <w:start w:val="1"/>
      <w:numFmt w:val="bullet"/>
      <w:lvlText w:val=""/>
      <w:lvlJc w:val="left"/>
      <w:pPr>
        <w:ind w:left="420"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7"/>
  </w:num>
  <w:num w:numId="2">
    <w:abstractNumId w:val="11"/>
  </w:num>
  <w:num w:numId="3">
    <w:abstractNumId w:val="9"/>
  </w:num>
  <w:num w:numId="4">
    <w:abstractNumId w:val="3"/>
  </w:num>
  <w:num w:numId="5">
    <w:abstractNumId w:val="4"/>
  </w:num>
  <w:num w:numId="6">
    <w:abstractNumId w:val="0"/>
  </w:num>
  <w:num w:numId="7">
    <w:abstractNumId w:val="2"/>
  </w:num>
  <w:num w:numId="8">
    <w:abstractNumId w:val="6"/>
  </w:num>
  <w:num w:numId="9">
    <w:abstractNumId w:val="5"/>
  </w:num>
  <w:num w:numId="10">
    <w:abstractNumId w:val="10"/>
  </w:num>
  <w:num w:numId="11">
    <w:abstractNumId w:val="1"/>
  </w:num>
  <w:num w:numId="12">
    <w:abstractNumId w:val="12"/>
  </w:num>
  <w:num w:numId="13">
    <w:abstractNumId w:val="13"/>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59B6"/>
    <w:rsid w:val="0000364B"/>
    <w:rsid w:val="00027462"/>
    <w:rsid w:val="00033443"/>
    <w:rsid w:val="000453A2"/>
    <w:rsid w:val="00050EC3"/>
    <w:rsid w:val="00053185"/>
    <w:rsid w:val="00063451"/>
    <w:rsid w:val="000A25EF"/>
    <w:rsid w:val="000E32CA"/>
    <w:rsid w:val="001141CA"/>
    <w:rsid w:val="001352AC"/>
    <w:rsid w:val="00146673"/>
    <w:rsid w:val="001846E1"/>
    <w:rsid w:val="001A7044"/>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3BFC"/>
    <w:rsid w:val="0038614A"/>
    <w:rsid w:val="003B27BF"/>
    <w:rsid w:val="003C764D"/>
    <w:rsid w:val="003C7EDD"/>
    <w:rsid w:val="0042313A"/>
    <w:rsid w:val="00423FDB"/>
    <w:rsid w:val="00431531"/>
    <w:rsid w:val="0045255C"/>
    <w:rsid w:val="004778D6"/>
    <w:rsid w:val="00485FF1"/>
    <w:rsid w:val="00497E3B"/>
    <w:rsid w:val="004C7418"/>
    <w:rsid w:val="00503BE5"/>
    <w:rsid w:val="00547D3B"/>
    <w:rsid w:val="00576C30"/>
    <w:rsid w:val="0059328A"/>
    <w:rsid w:val="00597074"/>
    <w:rsid w:val="005B2FCB"/>
    <w:rsid w:val="005C3DF8"/>
    <w:rsid w:val="00613EB6"/>
    <w:rsid w:val="006229F0"/>
    <w:rsid w:val="00656E82"/>
    <w:rsid w:val="00673D9E"/>
    <w:rsid w:val="006967F9"/>
    <w:rsid w:val="006C121F"/>
    <w:rsid w:val="006D6622"/>
    <w:rsid w:val="006F2551"/>
    <w:rsid w:val="00716B23"/>
    <w:rsid w:val="0072123B"/>
    <w:rsid w:val="0072776F"/>
    <w:rsid w:val="007316FA"/>
    <w:rsid w:val="007735A9"/>
    <w:rsid w:val="007765CB"/>
    <w:rsid w:val="007D3D01"/>
    <w:rsid w:val="00806D3D"/>
    <w:rsid w:val="00813930"/>
    <w:rsid w:val="00817F49"/>
    <w:rsid w:val="0085711A"/>
    <w:rsid w:val="008A1843"/>
    <w:rsid w:val="008B093B"/>
    <w:rsid w:val="008D1E6B"/>
    <w:rsid w:val="008E7370"/>
    <w:rsid w:val="00902C56"/>
    <w:rsid w:val="00940735"/>
    <w:rsid w:val="00943394"/>
    <w:rsid w:val="00965D87"/>
    <w:rsid w:val="0097261A"/>
    <w:rsid w:val="00977C1F"/>
    <w:rsid w:val="00993169"/>
    <w:rsid w:val="009C028A"/>
    <w:rsid w:val="009F2238"/>
    <w:rsid w:val="00A15B8C"/>
    <w:rsid w:val="00A46DCD"/>
    <w:rsid w:val="00A47654"/>
    <w:rsid w:val="00A6559D"/>
    <w:rsid w:val="00A730DE"/>
    <w:rsid w:val="00AB51A4"/>
    <w:rsid w:val="00B337C2"/>
    <w:rsid w:val="00B84550"/>
    <w:rsid w:val="00B87B69"/>
    <w:rsid w:val="00BD4CC0"/>
    <w:rsid w:val="00BE4CB2"/>
    <w:rsid w:val="00C17019"/>
    <w:rsid w:val="00CA5E09"/>
    <w:rsid w:val="00CA62B5"/>
    <w:rsid w:val="00CC09A6"/>
    <w:rsid w:val="00CF3B4D"/>
    <w:rsid w:val="00CF7ADD"/>
    <w:rsid w:val="00D12B04"/>
    <w:rsid w:val="00D50055"/>
    <w:rsid w:val="00D61A0F"/>
    <w:rsid w:val="00DA2F2F"/>
    <w:rsid w:val="00DC42D4"/>
    <w:rsid w:val="00E35D32"/>
    <w:rsid w:val="00E53230"/>
    <w:rsid w:val="00E9286C"/>
    <w:rsid w:val="00E9556A"/>
    <w:rsid w:val="00EC59B6"/>
    <w:rsid w:val="00F11CFA"/>
    <w:rsid w:val="00F261E1"/>
    <w:rsid w:val="00F51C09"/>
    <w:rsid w:val="00F809A8"/>
    <w:rsid w:val="00FD1C76"/>
    <w:rsid w:val="00FF1626"/>
    <w:rsid w:val="00FF5E46"/>
    <w:rsid w:val="00FF7BB1"/>
    <w:rsid w:val="011A0D8B"/>
    <w:rsid w:val="02CA5230"/>
    <w:rsid w:val="04867E30"/>
    <w:rsid w:val="04871837"/>
    <w:rsid w:val="04C17114"/>
    <w:rsid w:val="06D33A56"/>
    <w:rsid w:val="06F04A04"/>
    <w:rsid w:val="074043CC"/>
    <w:rsid w:val="07DB59EB"/>
    <w:rsid w:val="09FB1359"/>
    <w:rsid w:val="0A043ABA"/>
    <w:rsid w:val="0B86242F"/>
    <w:rsid w:val="0C3A0C95"/>
    <w:rsid w:val="0C3E5385"/>
    <w:rsid w:val="0C96240B"/>
    <w:rsid w:val="0DFF49C5"/>
    <w:rsid w:val="0E11445D"/>
    <w:rsid w:val="0E542351"/>
    <w:rsid w:val="0EBF2A43"/>
    <w:rsid w:val="0ED843CC"/>
    <w:rsid w:val="0EEC0C47"/>
    <w:rsid w:val="0FAF15A6"/>
    <w:rsid w:val="0FB9297A"/>
    <w:rsid w:val="10284659"/>
    <w:rsid w:val="10963380"/>
    <w:rsid w:val="12963DA1"/>
    <w:rsid w:val="13886440"/>
    <w:rsid w:val="13897526"/>
    <w:rsid w:val="13AB527B"/>
    <w:rsid w:val="13B34400"/>
    <w:rsid w:val="148972D9"/>
    <w:rsid w:val="14D804FC"/>
    <w:rsid w:val="15196B67"/>
    <w:rsid w:val="152E3223"/>
    <w:rsid w:val="153F7D0D"/>
    <w:rsid w:val="161A6AFC"/>
    <w:rsid w:val="17526BA2"/>
    <w:rsid w:val="17E476A7"/>
    <w:rsid w:val="17EE10AA"/>
    <w:rsid w:val="17EF172D"/>
    <w:rsid w:val="1ACF425B"/>
    <w:rsid w:val="1B142FDB"/>
    <w:rsid w:val="1B28649B"/>
    <w:rsid w:val="1BA36B7F"/>
    <w:rsid w:val="1C7A05D0"/>
    <w:rsid w:val="1C98707F"/>
    <w:rsid w:val="1CFB3D7D"/>
    <w:rsid w:val="1EAB0C6A"/>
    <w:rsid w:val="1EEB2832"/>
    <w:rsid w:val="1FCA404E"/>
    <w:rsid w:val="20205A20"/>
    <w:rsid w:val="20855B55"/>
    <w:rsid w:val="209432E5"/>
    <w:rsid w:val="20BE3A38"/>
    <w:rsid w:val="20E26FBF"/>
    <w:rsid w:val="216F18A9"/>
    <w:rsid w:val="21B82C79"/>
    <w:rsid w:val="22180203"/>
    <w:rsid w:val="235C2C2A"/>
    <w:rsid w:val="23D16E47"/>
    <w:rsid w:val="23DC4798"/>
    <w:rsid w:val="248A7AD8"/>
    <w:rsid w:val="24B139C0"/>
    <w:rsid w:val="25EE2D8B"/>
    <w:rsid w:val="26976104"/>
    <w:rsid w:val="26CA67C9"/>
    <w:rsid w:val="27870460"/>
    <w:rsid w:val="28846232"/>
    <w:rsid w:val="289838E5"/>
    <w:rsid w:val="28B74238"/>
    <w:rsid w:val="296B694A"/>
    <w:rsid w:val="296F5B95"/>
    <w:rsid w:val="299126EE"/>
    <w:rsid w:val="29DE0525"/>
    <w:rsid w:val="2A0557DF"/>
    <w:rsid w:val="2A3716AB"/>
    <w:rsid w:val="2A386E0C"/>
    <w:rsid w:val="2A4B084E"/>
    <w:rsid w:val="2AB8586F"/>
    <w:rsid w:val="2ADE2A02"/>
    <w:rsid w:val="2AF73530"/>
    <w:rsid w:val="2BC37381"/>
    <w:rsid w:val="2C165FD1"/>
    <w:rsid w:val="2C263173"/>
    <w:rsid w:val="2C427C83"/>
    <w:rsid w:val="2C7F1570"/>
    <w:rsid w:val="2D4D36FA"/>
    <w:rsid w:val="2E0C0EE9"/>
    <w:rsid w:val="2EB35A8A"/>
    <w:rsid w:val="302F01DB"/>
    <w:rsid w:val="3109732A"/>
    <w:rsid w:val="31EB0C63"/>
    <w:rsid w:val="32B71D27"/>
    <w:rsid w:val="32B76BA4"/>
    <w:rsid w:val="331D2C73"/>
    <w:rsid w:val="33E97D18"/>
    <w:rsid w:val="3410359D"/>
    <w:rsid w:val="34595184"/>
    <w:rsid w:val="34777EA9"/>
    <w:rsid w:val="357E5409"/>
    <w:rsid w:val="35B3556B"/>
    <w:rsid w:val="35F5325E"/>
    <w:rsid w:val="362639F9"/>
    <w:rsid w:val="368A6637"/>
    <w:rsid w:val="3691049E"/>
    <w:rsid w:val="371E73E3"/>
    <w:rsid w:val="372617A7"/>
    <w:rsid w:val="37E81DE8"/>
    <w:rsid w:val="3848012E"/>
    <w:rsid w:val="3974CECD"/>
    <w:rsid w:val="3B7944CF"/>
    <w:rsid w:val="3C2E4000"/>
    <w:rsid w:val="3C454C57"/>
    <w:rsid w:val="3D1C54C3"/>
    <w:rsid w:val="3D2F24DC"/>
    <w:rsid w:val="3D6C60E9"/>
    <w:rsid w:val="3D855C98"/>
    <w:rsid w:val="3EC949BD"/>
    <w:rsid w:val="3EF83886"/>
    <w:rsid w:val="3F8C2399"/>
    <w:rsid w:val="401851BE"/>
    <w:rsid w:val="405979F4"/>
    <w:rsid w:val="406C1020"/>
    <w:rsid w:val="40BA2B58"/>
    <w:rsid w:val="40DA6652"/>
    <w:rsid w:val="410D268C"/>
    <w:rsid w:val="41C73588"/>
    <w:rsid w:val="429012F2"/>
    <w:rsid w:val="42D8067D"/>
    <w:rsid w:val="43CC66BA"/>
    <w:rsid w:val="44076328"/>
    <w:rsid w:val="443D4776"/>
    <w:rsid w:val="446753DB"/>
    <w:rsid w:val="45252AAE"/>
    <w:rsid w:val="454A2BAB"/>
    <w:rsid w:val="45D4644E"/>
    <w:rsid w:val="46F17F96"/>
    <w:rsid w:val="47FE73E0"/>
    <w:rsid w:val="4A186239"/>
    <w:rsid w:val="4B315A79"/>
    <w:rsid w:val="4BDD7F56"/>
    <w:rsid w:val="4BE154B9"/>
    <w:rsid w:val="4CA5175E"/>
    <w:rsid w:val="4D1C23B3"/>
    <w:rsid w:val="4DC108F4"/>
    <w:rsid w:val="4DE929CA"/>
    <w:rsid w:val="4E694EDC"/>
    <w:rsid w:val="4ED24E8A"/>
    <w:rsid w:val="4FDF7E6D"/>
    <w:rsid w:val="51160562"/>
    <w:rsid w:val="5312550A"/>
    <w:rsid w:val="535803B1"/>
    <w:rsid w:val="53DE69BF"/>
    <w:rsid w:val="547B7136"/>
    <w:rsid w:val="54D723E8"/>
    <w:rsid w:val="55C15CC7"/>
    <w:rsid w:val="562D03CE"/>
    <w:rsid w:val="56717539"/>
    <w:rsid w:val="56BE67A9"/>
    <w:rsid w:val="570E1F40"/>
    <w:rsid w:val="57C96345"/>
    <w:rsid w:val="58A44110"/>
    <w:rsid w:val="5927169E"/>
    <w:rsid w:val="59EB0FCE"/>
    <w:rsid w:val="5AA6738E"/>
    <w:rsid w:val="5B432E45"/>
    <w:rsid w:val="5B592C68"/>
    <w:rsid w:val="5B900618"/>
    <w:rsid w:val="5D090FC9"/>
    <w:rsid w:val="5E233C16"/>
    <w:rsid w:val="5E964327"/>
    <w:rsid w:val="5F252FFF"/>
    <w:rsid w:val="5FA2526B"/>
    <w:rsid w:val="5FB61D64"/>
    <w:rsid w:val="5FE32170"/>
    <w:rsid w:val="5FF61953"/>
    <w:rsid w:val="5FFF5211"/>
    <w:rsid w:val="600E54F4"/>
    <w:rsid w:val="607B75C7"/>
    <w:rsid w:val="60D51A59"/>
    <w:rsid w:val="60E82224"/>
    <w:rsid w:val="61102A63"/>
    <w:rsid w:val="61B17DFE"/>
    <w:rsid w:val="61CF3CD4"/>
    <w:rsid w:val="62A05E37"/>
    <w:rsid w:val="62DB637F"/>
    <w:rsid w:val="640B7333"/>
    <w:rsid w:val="6469117D"/>
    <w:rsid w:val="64723B42"/>
    <w:rsid w:val="64896C50"/>
    <w:rsid w:val="649223CF"/>
    <w:rsid w:val="64EC6C5A"/>
    <w:rsid w:val="65016479"/>
    <w:rsid w:val="65B119A5"/>
    <w:rsid w:val="65F02953"/>
    <w:rsid w:val="66507577"/>
    <w:rsid w:val="670E76D1"/>
    <w:rsid w:val="671F1593"/>
    <w:rsid w:val="675D512D"/>
    <w:rsid w:val="679C2069"/>
    <w:rsid w:val="67D77C44"/>
    <w:rsid w:val="67E40A7E"/>
    <w:rsid w:val="68201962"/>
    <w:rsid w:val="69E80DFF"/>
    <w:rsid w:val="6A90444F"/>
    <w:rsid w:val="6B2031BA"/>
    <w:rsid w:val="6B6721F6"/>
    <w:rsid w:val="6C055638"/>
    <w:rsid w:val="6C0B233D"/>
    <w:rsid w:val="6C385BB0"/>
    <w:rsid w:val="6C81768C"/>
    <w:rsid w:val="6CA1407A"/>
    <w:rsid w:val="6DD51C16"/>
    <w:rsid w:val="6E13551C"/>
    <w:rsid w:val="6E7F79BB"/>
    <w:rsid w:val="70184EA3"/>
    <w:rsid w:val="70CB53E1"/>
    <w:rsid w:val="714000D7"/>
    <w:rsid w:val="7259341C"/>
    <w:rsid w:val="726D7A5A"/>
    <w:rsid w:val="72E63502"/>
    <w:rsid w:val="733A4CDB"/>
    <w:rsid w:val="734124FB"/>
    <w:rsid w:val="734521A8"/>
    <w:rsid w:val="73707E67"/>
    <w:rsid w:val="73A95296"/>
    <w:rsid w:val="741F0C23"/>
    <w:rsid w:val="74BC7F66"/>
    <w:rsid w:val="74D10052"/>
    <w:rsid w:val="755D633A"/>
    <w:rsid w:val="75686B98"/>
    <w:rsid w:val="764339F4"/>
    <w:rsid w:val="76A021B3"/>
    <w:rsid w:val="76B664D7"/>
    <w:rsid w:val="76EB2B73"/>
    <w:rsid w:val="776123B0"/>
    <w:rsid w:val="77D16924"/>
    <w:rsid w:val="78326601"/>
    <w:rsid w:val="79342564"/>
    <w:rsid w:val="7B3A50B0"/>
    <w:rsid w:val="7B4E7D23"/>
    <w:rsid w:val="7BBFB2CC"/>
    <w:rsid w:val="7BCA3B47"/>
    <w:rsid w:val="7C01614C"/>
    <w:rsid w:val="7C6E4BB7"/>
    <w:rsid w:val="7D612DC0"/>
    <w:rsid w:val="7D793C28"/>
    <w:rsid w:val="7F6A5445"/>
    <w:rsid w:val="7FBF83E0"/>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31"/>
    <w:qFormat/>
    <w:uiPriority w:val="0"/>
  </w:style>
  <w:style w:type="paragraph" w:styleId="6">
    <w:name w:val="Body Text"/>
    <w:basedOn w:val="1"/>
    <w:link w:val="35"/>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7"/>
    <w:qFormat/>
    <w:uiPriority w:val="0"/>
    <w:rPr>
      <w:sz w:val="18"/>
      <w:szCs w:val="18"/>
    </w:rPr>
  </w:style>
  <w:style w:type="paragraph" w:styleId="9">
    <w:name w:val="footer"/>
    <w:basedOn w:val="1"/>
    <w:link w:val="34"/>
    <w:unhideWhenUsed/>
    <w:qFormat/>
    <w:uiPriority w:val="99"/>
    <w:pPr>
      <w:tabs>
        <w:tab w:val="center" w:pos="4153"/>
        <w:tab w:val="right" w:pos="8306"/>
      </w:tabs>
      <w:snapToGrid w:val="0"/>
    </w:pPr>
    <w:rPr>
      <w:sz w:val="18"/>
      <w:szCs w:val="18"/>
    </w:rPr>
  </w:style>
  <w:style w:type="paragraph" w:styleId="10">
    <w:name w:val="header"/>
    <w:basedOn w:val="1"/>
    <w:link w:val="33"/>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8"/>
    <w:qFormat/>
    <w:uiPriority w:val="0"/>
    <w:rPr>
      <w:b/>
      <w:bCs/>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Hyperlink"/>
    <w:basedOn w:val="17"/>
    <w:unhideWhenUsed/>
    <w:qFormat/>
    <w:uiPriority w:val="99"/>
    <w:rPr>
      <w:color w:val="0563C1" w:themeColor="hyperlink"/>
      <w:u w:val="single"/>
      <w14:textFill>
        <w14:solidFill>
          <w14:schemeClr w14:val="hlink"/>
        </w14:solidFill>
      </w14:textFill>
    </w:rPr>
  </w:style>
  <w:style w:type="character" w:styleId="19">
    <w:name w:val="annotation reference"/>
    <w:basedOn w:val="17"/>
    <w:qFormat/>
    <w:uiPriority w:val="0"/>
    <w:rPr>
      <w:sz w:val="21"/>
      <w:szCs w:val="21"/>
    </w:rPr>
  </w:style>
  <w:style w:type="paragraph" w:customStyle="1" w:styleId="20">
    <w:name w:val="Table Paragraph"/>
    <w:basedOn w:val="1"/>
    <w:qFormat/>
    <w:uiPriority w:val="0"/>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character" w:customStyle="1" w:styleId="31">
    <w:name w:val="批注文字 字符"/>
    <w:basedOn w:val="17"/>
    <w:link w:val="5"/>
    <w:qFormat/>
    <w:uiPriority w:val="0"/>
    <w:rPr>
      <w:rFonts w:ascii="宋体" w:hAnsi="宋体" w:cs="宋体"/>
      <w:sz w:val="22"/>
      <w:szCs w:val="22"/>
      <w:lang w:eastAsia="en-US"/>
    </w:rPr>
  </w:style>
  <w:style w:type="paragraph" w:customStyle="1" w:styleId="32">
    <w:name w:val="列表段落1"/>
    <w:basedOn w:val="1"/>
    <w:qFormat/>
    <w:uiPriority w:val="0"/>
    <w:pPr>
      <w:ind w:firstLine="420" w:firstLineChars="200"/>
    </w:pPr>
    <w:rPr>
      <w:rFonts w:ascii="Calibri" w:hAnsi="Calibri" w:cs="Times New Roman"/>
    </w:rPr>
  </w:style>
  <w:style w:type="character" w:customStyle="1" w:styleId="33">
    <w:name w:val="页眉 字符"/>
    <w:basedOn w:val="17"/>
    <w:link w:val="10"/>
    <w:qFormat/>
    <w:uiPriority w:val="99"/>
    <w:rPr>
      <w:rFonts w:ascii="宋体" w:hAnsi="宋体" w:cs="宋体"/>
      <w:sz w:val="18"/>
      <w:szCs w:val="22"/>
      <w:lang w:eastAsia="en-US"/>
    </w:rPr>
  </w:style>
  <w:style w:type="character" w:customStyle="1" w:styleId="34">
    <w:name w:val="页脚 字符"/>
    <w:basedOn w:val="17"/>
    <w:link w:val="9"/>
    <w:qFormat/>
    <w:uiPriority w:val="99"/>
    <w:rPr>
      <w:rFonts w:ascii="宋体" w:hAnsi="宋体" w:cs="宋体"/>
      <w:sz w:val="18"/>
      <w:szCs w:val="18"/>
      <w:lang w:eastAsia="en-US"/>
    </w:rPr>
  </w:style>
  <w:style w:type="character" w:customStyle="1" w:styleId="35">
    <w:name w:val="正文文本 字符"/>
    <w:basedOn w:val="17"/>
    <w:link w:val="6"/>
    <w:qFormat/>
    <w:uiPriority w:val="1"/>
    <w:rPr>
      <w:rFonts w:ascii="宋体" w:hAnsi="宋体" w:cs="宋体"/>
      <w:sz w:val="18"/>
      <w:szCs w:val="18"/>
      <w:lang w:eastAsia="en-US"/>
    </w:rPr>
  </w:style>
  <w:style w:type="paragraph" w:customStyle="1" w:styleId="36">
    <w:name w:val="修订1"/>
    <w:hidden/>
    <w:semiHidden/>
    <w:qFormat/>
    <w:uiPriority w:val="99"/>
    <w:rPr>
      <w:rFonts w:ascii="宋体" w:hAnsi="宋体" w:eastAsia="宋体" w:cs="宋体"/>
      <w:sz w:val="22"/>
      <w:szCs w:val="22"/>
      <w:lang w:val="en-US" w:eastAsia="en-US" w:bidi="ar-SA"/>
    </w:rPr>
  </w:style>
  <w:style w:type="character" w:customStyle="1" w:styleId="37">
    <w:name w:val="批注框文本 字符"/>
    <w:basedOn w:val="17"/>
    <w:link w:val="8"/>
    <w:qFormat/>
    <w:uiPriority w:val="0"/>
    <w:rPr>
      <w:rFonts w:ascii="宋体" w:hAnsi="宋体" w:cs="宋体"/>
      <w:sz w:val="18"/>
      <w:szCs w:val="18"/>
      <w:lang w:eastAsia="en-US"/>
    </w:rPr>
  </w:style>
  <w:style w:type="character" w:customStyle="1" w:styleId="38">
    <w:name w:val="批注主题 字符"/>
    <w:basedOn w:val="31"/>
    <w:link w:val="14"/>
    <w:qFormat/>
    <w:uiPriority w:val="0"/>
    <w:rPr>
      <w:rFonts w:ascii="宋体" w:hAnsi="宋体" w:cs="宋体"/>
      <w:b/>
      <w:bCs/>
      <w:sz w:val="22"/>
      <w:szCs w:val="22"/>
      <w:lang w:eastAsia="en-US"/>
    </w:rPr>
  </w:style>
  <w:style w:type="paragraph" w:customStyle="1" w:styleId="39">
    <w:name w:val="列表段落2"/>
    <w:basedOn w:val="1"/>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3.emf"/><Relationship Id="rId8" Type="http://schemas.openxmlformats.org/officeDocument/2006/relationships/image" Target="media/image2.emf"/><Relationship Id="rId7" Type="http://schemas.openxmlformats.org/officeDocument/2006/relationships/image" Target="media/image1.emf"/><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emf"/><Relationship Id="rId10" Type="http://schemas.openxmlformats.org/officeDocument/2006/relationships/image" Target="media/image4.emf"/><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37C77EE-F50E-4FF7-A7EE-7426EBC1DDED}">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3687</Words>
  <Characters>21021</Characters>
  <Lines>175</Lines>
  <Paragraphs>49</Paragraphs>
  <TotalTime>1</TotalTime>
  <ScaleCrop>false</ScaleCrop>
  <LinksUpToDate>false</LinksUpToDate>
  <CharactersWithSpaces>24659</CharactersWithSpaces>
  <Application>WPS Office_11.1.0.10667_F1E327BC-269C-435d-A152-05C5408002CA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孤身一人</cp:lastModifiedBy>
  <dcterms:modified xsi:type="dcterms:W3CDTF">2021-07-09T09:14:24Z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2052-11.1.0.10667</vt:lpwstr>
  </property>
  <property fmtid="{D5CDD505-2E9C-101B-9397-08002B2CF9AE}" pid="3" name="ICV">
    <vt:lpwstr>ABD11CFDD3244E3081E5B43CAF9DD54D</vt:lpwstr>
  </property>
</Properties>
</file>