
<file path=[Content_Types].xml><?xml version="1.0" encoding="utf-8"?>
<Types xmlns="http://schemas.openxmlformats.org/package/2006/content-types">
  <Default Extension="xml" ContentType="application/xml"/>
  <Default Extension="emf" ContentType="image/x-emf"/>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highlight w:val="none"/>
          <w:lang w:eastAsia="zh-CN"/>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4"/>
        <w:jc w:val="center"/>
        <w:rPr>
          <w:sz w:val="48"/>
          <w:szCs w:val="48"/>
          <w:highlight w:val="none"/>
          <w:lang w:eastAsia="zh-CN"/>
        </w:rPr>
      </w:pPr>
      <w:bookmarkStart w:id="0" w:name="_Toc26189"/>
      <w:bookmarkStart w:id="1" w:name="_Toc12869"/>
      <w:r>
        <w:rPr>
          <w:rFonts w:hint="eastAsia"/>
          <w:sz w:val="48"/>
          <w:szCs w:val="48"/>
          <w:highlight w:val="none"/>
          <w:lang w:eastAsia="zh-CN"/>
        </w:rPr>
        <w:t>检测报告</w:t>
      </w:r>
      <w:bookmarkEnd w:id="0"/>
      <w:bookmarkEnd w:id="1"/>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pStyle w:val="11"/>
        <w:tabs>
          <w:tab w:val="right" w:leader="dot" w:pos="9870"/>
        </w:tabs>
        <w:spacing w:line="360" w:lineRule="auto"/>
        <w:rPr>
          <w:highlight w:val="none"/>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p>
    <w:sdt>
      <w:sdtPr>
        <w:rPr>
          <w:rFonts w:ascii="宋体" w:hAnsi="宋体" w:eastAsia="宋体" w:cs="宋体"/>
          <w:sz w:val="21"/>
          <w:szCs w:val="22"/>
          <w:highlight w:val="none"/>
          <w:lang w:val="en-US" w:eastAsia="en-US" w:bidi="ar-SA"/>
        </w:rPr>
        <w:id w:val="147458504"/>
        <w15:color w:val="DBDBDB"/>
        <w:docPartObj>
          <w:docPartGallery w:val="Table of Contents"/>
          <w:docPartUnique/>
        </w:docPartObj>
      </w:sdtPr>
      <w:sdtEndPr>
        <w:rPr>
          <w:rFonts w:hint="eastAsia" w:ascii="Times New Roman" w:hAnsi="Times New Roman" w:eastAsia="微软雅黑" w:cs="Times New Roman"/>
          <w:b/>
          <w:sz w:val="22"/>
          <w:szCs w:val="24"/>
          <w:highlight w:val="none"/>
          <w:lang w:val="en-US" w:eastAsia="zh-CN" w:bidi="ar-SA"/>
        </w:rPr>
      </w:sdtEndPr>
      <w:sdtContent>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hint="eastAsia" w:ascii="Times New Roman" w:hAnsi="Times New Roman" w:eastAsia="微软雅黑" w:cs="Times New Roman"/>
              <w:sz w:val="24"/>
              <w:szCs w:val="24"/>
              <w:highlight w:val="none"/>
              <w:lang w:eastAsia="zh-CN"/>
            </w:rPr>
            <w:fldChar w:fldCharType="begin"/>
          </w:r>
          <w:r>
            <w:rPr>
              <w:rFonts w:hint="eastAsia" w:ascii="Times New Roman" w:hAnsi="Times New Roman" w:eastAsia="微软雅黑" w:cs="Times New Roman"/>
              <w:sz w:val="24"/>
              <w:szCs w:val="24"/>
              <w:highlight w:val="none"/>
              <w:lang w:eastAsia="zh-CN"/>
            </w:rPr>
            <w:instrText xml:space="preserve">TOC \o "1-2" \h \u </w:instrText>
          </w:r>
          <w:r>
            <w:rPr>
              <w:rFonts w:hint="eastAsia" w:ascii="Times New Roman" w:hAnsi="Times New Roman" w:eastAsia="微软雅黑" w:cs="Times New Roman"/>
              <w:sz w:val="24"/>
              <w:szCs w:val="24"/>
              <w:highlight w:val="none"/>
              <w:lang w:eastAsia="zh-CN"/>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_Toc9228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_Toc9228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_Toc22761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_Toc22761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_Toc14519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_Toc14519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_Toc31243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_Toc31243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_Toc16390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_Toc16390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_Toc2974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_Toc2974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_Toc24047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肿瘤遗传风险检测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_Toc24047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_Toc24226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_Toc24226 \h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15</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_Toc28873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_Toc28873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_Toc19455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免疫检测结果解析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_Toc19455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18</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_Toc23045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遗传变异检测解析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_Toc23045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22</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_Toc4844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化疗药物检测解析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_Toc4844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_Toc14717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_Toc14717 \h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25</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_Toc9066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样本控制情况</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_Toc9066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_Toc6261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常见靶向药物相关基因检测列表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_Toc6261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_Toc32205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靶向突变基因信号通路解析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_Toc32205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33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_Toc10635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检测基因列表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_Toc10635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41</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_Toc22382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检测流程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_Toc22382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_Toc11550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参考文献</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_Toc11550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46</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fldChar w:fldCharType="end"/>
      </w:r>
    </w:p>
    <w:p>
      <w:pPr>
        <w:rPr>
          <w:highlight w:val="none"/>
          <w:lang w:eastAsia="zh-CN"/>
        </w:rPr>
      </w:pPr>
      <w:r>
        <w:rPr>
          <w:highlight w:val="none"/>
          <w:lang w:eastAsia="zh-CN"/>
        </w:rPr>
        <w:br w:type="page"/>
      </w:r>
    </w:p>
    <w:p>
      <w:pPr>
        <w:pStyle w:val="2"/>
        <w:rPr>
          <w:highlight w:val="none"/>
        </w:rPr>
      </w:pPr>
      <w:bookmarkStart w:id="2" w:name="_Toc30143_WPSOffice_Level1"/>
      <w:bookmarkStart w:id="3" w:name="_Toc9228"/>
      <w:bookmarkStart w:id="4" w:name="_Toc3619"/>
      <w:bookmarkStart w:id="5" w:name="_Toc21669"/>
      <w:bookmarkStart w:id="6" w:name="_Toc21009_WPSOffice_Level1"/>
      <w:bookmarkStart w:id="7" w:name="_Toc13806"/>
      <w:bookmarkStart w:id="8" w:name="_Toc24178_WPSOffice_Level1"/>
      <w:r>
        <w:rPr>
          <w:highlight w:val="none"/>
        </w:rPr>
        <w:t>样本信息</w:t>
      </w:r>
      <w:bookmarkEnd w:id="2"/>
      <w:bookmarkEnd w:id="3"/>
      <w:bookmarkEnd w:id="4"/>
      <w:bookmarkEnd w:id="5"/>
      <w:bookmarkEnd w:id="6"/>
      <w:bookmarkEnd w:id="7"/>
      <w:bookmarkEnd w:id="8"/>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送检医院：</w:t>
            </w:r>
            <w:r>
              <w:rPr>
                <w:rFonts w:hint="eastAsia" w:ascii="Times New Roman" w:hAnsi="Times New Roman" w:eastAsia="微软雅黑" w:cs="Times New Roman"/>
                <w:bCs/>
                <w:color w:val="000000"/>
                <w:sz w:val="21"/>
                <w:szCs w:val="21"/>
                <w:highlight w:val="none"/>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hint="eastAsia" w:ascii="Times New Roman" w:hAnsi="Times New Roman" w:eastAsia="微软雅黑" w:cs="Times New Roman"/>
                <w:color w:val="000000"/>
                <w:sz w:val="21"/>
                <w:szCs w:val="21"/>
                <w:highlight w:val="none"/>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hint="eastAsia" w:ascii="Times New Roman" w:hAnsi="Times New Roman" w:eastAsia="微软雅黑" w:cs="Times New Roman"/>
                <w:color w:val="000000"/>
                <w:sz w:val="21"/>
                <w:szCs w:val="21"/>
                <w:highlight w:val="none"/>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9" w:name="_Toc22761"/>
      <w:bookmarkStart w:id="10" w:name="_Toc11015_WPSOffice_Level1"/>
      <w:bookmarkStart w:id="11" w:name="_Toc7021_WPSOffice_Level1"/>
      <w:bookmarkStart w:id="12" w:name="_Toc17451"/>
      <w:bookmarkStart w:id="13" w:name="_Toc18062_WPSOffice_Level1"/>
      <w:bookmarkStart w:id="14" w:name="_Toc26731"/>
      <w:bookmarkStart w:id="15" w:name="_Toc3823"/>
      <w:r>
        <w:rPr>
          <w:highlight w:val="none"/>
        </w:rPr>
        <w:t>检测项目</w:t>
      </w:r>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本产品对与肿瘤密切相关的12</w:t>
      </w:r>
      <w:r>
        <w:rPr>
          <w:rFonts w:hint="eastAsia" w:ascii="Times New Roman" w:hAnsi="Times New Roman" w:eastAsia="微软雅黑" w:cs="Times New Roman"/>
          <w:bCs/>
          <w:sz w:val="21"/>
          <w:szCs w:val="21"/>
          <w:highlight w:val="none"/>
          <w:lang w:eastAsia="zh-CN"/>
        </w:rPr>
        <w:t>38</w:t>
      </w:r>
      <w:r>
        <w:rPr>
          <w:rFonts w:ascii="Times New Roman" w:hAnsi="Times New Roman" w:eastAsia="微软雅黑" w:cs="Times New Roman"/>
          <w:bCs/>
          <w:sz w:val="21"/>
          <w:szCs w:val="21"/>
          <w:highlight w:val="none"/>
          <w:lang w:eastAsia="zh-CN"/>
        </w:rPr>
        <w:t>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br w:type="page"/>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7" w:name="_Toc18058"/>
      <w:bookmarkStart w:id="18" w:name="_Toc6221_WPSOffice_Level1"/>
      <w:bookmarkStart w:id="19" w:name="_Toc14519"/>
      <w:bookmarkStart w:id="20" w:name="_Toc16576"/>
      <w:bookmarkStart w:id="21" w:name="_Toc23369_WPSOffice_Level1"/>
      <w:bookmarkStart w:id="22" w:name="_Toc25920"/>
      <w:r>
        <w:rPr>
          <w:rFonts w:hint="eastAsia"/>
          <w:highlight w:val="none"/>
        </w:rPr>
        <w:t>检测结果小结</w:t>
      </w:r>
      <w:bookmarkEnd w:id="17"/>
      <w:bookmarkEnd w:id="18"/>
      <w:bookmarkEnd w:id="19"/>
      <w:bookmarkEnd w:id="20"/>
      <w:bookmarkEnd w:id="21"/>
      <w:bookmarkEnd w:id="22"/>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41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restart"/>
            <w:tcBorders>
              <w:tl2br w:val="nil"/>
              <w:tr2bl w:val="nil"/>
            </w:tcBorders>
            <w:shd w:val="clear" w:color="auto" w:fill="F1F1F1"/>
            <w:vAlign w:val="center"/>
          </w:tcPr>
          <w:p>
            <w:pPr>
              <w:pStyle w:val="18"/>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MMR基因检测</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共检出</w:t>
            </w:r>
            <w:r>
              <w:rPr>
                <w:rFonts w:hint="eastAsia" w:ascii="Times New Roman" w:hAnsi="Times New Roman" w:eastAsia="微软雅黑" w:cs="Times New Roman"/>
                <w:sz w:val="21"/>
                <w:szCs w:val="21"/>
                <w:highlight w:val="none"/>
                <w:lang w:val="en-US" w:eastAsia="zh-CN" w:bidi="ar-SA"/>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default" w:ascii="Times New Roman" w:hAnsi="Times New Roman" w:eastAsia="微软雅黑" w:cs="Times New Roman"/>
                <w:sz w:val="21"/>
                <w:szCs w:val="21"/>
                <w:highlight w:val="none"/>
                <w:lang w:val="en-US" w:eastAsia="zh-CN" w:bidi="ar-SA"/>
              </w:rPr>
              <w:t>个MMR</w:t>
            </w:r>
            <w:r>
              <w:rPr>
                <w:rFonts w:hint="eastAsia" w:ascii="Times New Roman" w:hAnsi="Times New Roman" w:eastAsia="微软雅黑" w:cs="Times New Roman"/>
                <w:sz w:val="21"/>
                <w:szCs w:val="21"/>
                <w:highlight w:val="none"/>
                <w:lang w:val="en-US" w:eastAsia="zh-CN" w:bidi="ar-SA"/>
              </w:rPr>
              <w:t>基因</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可能</w:t>
            </w:r>
            <w:r>
              <w:rPr>
                <w:rFonts w:hint="default" w:ascii="Times New Roman" w:hAnsi="Times New Roman" w:eastAsia="微软雅黑" w:cs="Times New Roman"/>
                <w:sz w:val="21"/>
                <w:szCs w:val="21"/>
                <w:highlight w:val="none"/>
                <w:lang w:val="en-US" w:eastAsia="zh-CN" w:bidi="ar-SA"/>
              </w:rPr>
              <w:t>致病</w:t>
            </w:r>
            <w:r>
              <w:rPr>
                <w:rFonts w:hint="eastAsia" w:ascii="Times New Roman" w:hAnsi="Times New Roman" w:eastAsia="微软雅黑" w:cs="Times New Roman"/>
                <w:sz w:val="21"/>
                <w:szCs w:val="21"/>
                <w:highlight w:val="none"/>
                <w:lang w:val="en-US" w:eastAsia="zh-CN" w:bidi="ar-SA"/>
              </w:rPr>
              <w:t>性</w:t>
            </w:r>
            <w:r>
              <w:rPr>
                <w:rFonts w:hint="default" w:ascii="Times New Roman" w:hAnsi="Times New Roman" w:eastAsia="微软雅黑" w:cs="Times New Roman"/>
                <w:sz w:val="21"/>
                <w:szCs w:val="21"/>
                <w:highlight w:val="none"/>
                <w:lang w:val="en-US" w:eastAsia="zh-CN" w:bidi="ar-SA"/>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免疫正/负相关基因检测</w:t>
            </w:r>
          </w:p>
        </w:tc>
        <w:tc>
          <w:tcPr>
            <w:tcW w:w="5404" w:type="dxa"/>
            <w:tcBorders>
              <w:tl2br w:val="nil"/>
              <w:tr2bl w:val="nil"/>
            </w:tcBorders>
            <w:shd w:val="clear" w:color="auto" w:fill="F1F1F1"/>
            <w:vAlign w:val="top"/>
          </w:tcPr>
          <w:p>
            <w:pPr>
              <w:pStyle w:val="18"/>
              <w:spacing w:before="77"/>
              <w:ind w:left="119" w:leftChars="0" w:right="119" w:rightChars="0"/>
              <w:jc w:val="left"/>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3" w:name="_Toc31243"/>
      <w:bookmarkStart w:id="24" w:name="_Toc20136_WPSOffice_Level1"/>
      <w:bookmarkStart w:id="25" w:name="_Toc19898_WPSOffice_Level1"/>
      <w:bookmarkStart w:id="26" w:name="_Toc22132"/>
      <w:bookmarkStart w:id="27" w:name="_Toc2781"/>
      <w:bookmarkStart w:id="28" w:name="_Toc24235"/>
      <w:r>
        <w:rPr>
          <w:highlight w:val="none"/>
        </w:rPr>
        <w:t>检测结果及用药提示</w:t>
      </w:r>
      <w:bookmarkEnd w:id="16"/>
      <w:bookmarkEnd w:id="23"/>
      <w:bookmarkEnd w:id="24"/>
      <w:bookmarkEnd w:id="25"/>
      <w:bookmarkEnd w:id="26"/>
      <w:bookmarkEnd w:id="27"/>
      <w:bookmarkEnd w:id="28"/>
    </w:p>
    <w:p>
      <w:pPr>
        <w:pStyle w:val="3"/>
        <w:rPr>
          <w:highlight w:val="none"/>
        </w:rPr>
      </w:pPr>
      <w:bookmarkStart w:id="29" w:name="_Toc16390"/>
      <w:bookmarkStart w:id="30" w:name="_Toc23375"/>
      <w:bookmarkStart w:id="31" w:name="_Toc15063"/>
      <w:bookmarkStart w:id="32" w:name="_Toc11015_WPSOffice_Level2"/>
      <w:bookmarkStart w:id="33" w:name="_Toc18062_WPSOffice_Level2"/>
      <w:bookmarkStart w:id="34" w:name="_Toc9088"/>
      <w:r>
        <w:rPr>
          <w:highlight w:val="none"/>
        </w:rPr>
        <w:t>靶向药物用药提示</w:t>
      </w:r>
      <w:bookmarkEnd w:id="29"/>
      <w:bookmarkEnd w:id="30"/>
      <w:bookmarkEnd w:id="31"/>
      <w:bookmarkEnd w:id="32"/>
      <w:bookmarkEnd w:id="33"/>
      <w:bookmarkEnd w:id="34"/>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redFlag == True %}靶向药物提示中的药物建议综合考虑患者的经治情况，灰色底纹标注药物建议综合考虑对应生物标志物的检测结果，仅供临床参考。{%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0"/>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5" w:name="_Toc4339"/>
      <w:bookmarkStart w:id="36" w:name="_Toc17526"/>
      <w:bookmarkStart w:id="37" w:name="_Toc6221_WPSOffice_Level2"/>
      <w:bookmarkStart w:id="38" w:name="_Toc25737"/>
      <w:bookmarkStart w:id="39" w:name="_Toc2974"/>
      <w:bookmarkStart w:id="40" w:name="_Toc7551_WPSOffice_Level2"/>
      <w:r>
        <w:rPr>
          <w:highlight w:val="none"/>
          <w:lang w:eastAsia="zh-CN"/>
        </w:rPr>
        <w:t>免疫药物用药提示</w:t>
      </w:r>
      <w:bookmarkEnd w:id="35"/>
      <w:bookmarkEnd w:id="36"/>
      <w:bookmarkEnd w:id="37"/>
      <w:bookmarkEnd w:id="38"/>
      <w:bookmarkEnd w:id="39"/>
      <w:bookmarkEnd w:id="40"/>
    </w:p>
    <w:p>
      <w:pPr>
        <w:spacing w:before="29" w:line="360" w:lineRule="auto"/>
        <w:rPr>
          <w:rFonts w:ascii="Times New Roman" w:hAnsi="Times New Roman" w:eastAsia="微软雅黑" w:cs="Times New Roman"/>
          <w:b/>
          <w:color w:val="00B050"/>
          <w:sz w:val="24"/>
          <w:szCs w:val="24"/>
          <w:highlight w:val="none"/>
          <w:lang w:eastAsia="zh-CN"/>
        </w:rPr>
      </w:pPr>
      <w:bookmarkStart w:id="41" w:name="_Toc5824_WPSOffice_Level3"/>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bookmarkEnd w:id="41"/>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r>
        <w:rPr>
          <w:rFonts w:hint="eastAsia" w:ascii="Times New Roman" w:hAnsi="Times New Roman" w:eastAsia="微软雅黑" w:cs="Times New Roman"/>
          <w:b/>
          <w:color w:val="00B050"/>
          <w:sz w:val="24"/>
          <w:szCs w:val="24"/>
          <w:highlight w:val="none"/>
          <w:lang w:eastAsia="zh-CN"/>
        </w:rPr>
        <w:t>{% endif %}</w:t>
      </w:r>
    </w:p>
    <w:p>
      <w:pPr>
        <w:spacing w:before="29" w:line="360" w:lineRule="auto"/>
        <w:rPr>
          <w:rFonts w:ascii="Times New Roman" w:hAnsi="Times New Roman" w:eastAsia="微软雅黑" w:cs="Times New Roman"/>
          <w:b/>
          <w:color w:val="00B050"/>
          <w:sz w:val="24"/>
          <w:szCs w:val="24"/>
          <w:highlight w:val="none"/>
          <w:lang w:eastAsia="zh-CN"/>
        </w:rPr>
      </w:pPr>
    </w:p>
    <w:tbl>
      <w:tblPr>
        <w:tblStyle w:val="13"/>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3"/>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tcPr>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根据大数据统计结果，肿瘤突变负荷数据分布如左图蓝色部分所示，横坐标为每Mb测序数据中突变数目，即突变负荷；纵坐标为概率密度函数值: 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15748635;23875803]，吸烟[PMID:12379884;25765070]、POLE/POLD1基因突变[PMID:23636398;23447401;24583393;22810696;25568919]和微卫星不稳定（MSI）[PMID:23636398;22810696;25568919]等因素。</w:t>
      </w:r>
    </w:p>
    <w:p>
      <w:pPr>
        <w:widowControl/>
        <w:autoSpaceDE w:val="0"/>
        <w:autoSpaceDN w:val="0"/>
        <w:adjustRightInd w:val="0"/>
        <w:ind w:firstLine="36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25765070]。2016、2017年在抗PD-L1药物（Atezolizumab）治疗晚期尿路上皮癌的研究也显示，TMB可以作为一个非常好的预后标志物，突变负荷越高，预后越好[PMID:26952546,PMID:27939400]。此外，2016年的另一项对于黑色素瘤使用抗PD-1/PD-L1药物治疗的研究也显示，基于靶向捕获型NGS与全外显子NGS检测TMB具有高度一致性，且TMB对于抗PD-1/PD-L1的预后具有很好的预测效果[PMID:27671167]。2016年有研究表明基于靶向捕获型NGS检测的研究结果也显示TMB可以作为抗PD-1/PD-L1抗体治疗的潜在预后指标[JClinOncol34,2016（suppl;abstr9017）]。对中国人群肺腺癌患者的研究结果显示，TMB较高的患者具有更短的生存期[PMID: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ind w:firstLine="420" w:firstLineChars="200"/>
        <w:jc w:val="both"/>
        <w:rPr>
          <w:rFonts w:ascii="Times New Roman" w:hAnsi="Times New Roman" w:eastAsia="微软雅黑" w:cs="Times New Roman"/>
          <w:bCs/>
          <w:sz w:val="21"/>
          <w:szCs w:val="21"/>
          <w:highlight w:val="none"/>
          <w:shd w:val="clear" w:color="auto" w:fill="FFFFFF"/>
          <w:lang w:eastAsia="zh-CN"/>
        </w:rPr>
      </w:pP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8"/>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8"/>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p>
    <w:p>
      <w:pPr>
        <w:spacing w:before="29" w:line="360" w:lineRule="auto"/>
        <w:rPr>
          <w:rFonts w:ascii="Times New Roman" w:hAnsi="Times New Roman" w:eastAsia="微软雅黑" w:cs="Times New Roman"/>
          <w:b/>
          <w:color w:val="00B050"/>
          <w:sz w:val="24"/>
          <w:szCs w:val="24"/>
          <w:highlight w:val="none"/>
          <w:lang w:eastAsia="zh-CN"/>
        </w:rPr>
      </w:pPr>
      <w:bookmarkStart w:id="42"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42"/>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9"/>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ascii="Times New Roman" w:hAnsi="Times New Roman" w:eastAsia="微软雅黑" w:cs="Times New Roman"/>
          <w:sz w:val="18"/>
          <w:highlight w:val="none"/>
          <w:shd w:val="clear" w:color="auto" w:fill="FFFFFF"/>
          <w:lang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3"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43"/>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numPr>
          <w:ilvl w:val="255"/>
          <w:numId w:val="0"/>
        </w:numPr>
        <w:rPr>
          <w:rFonts w:ascii="Times New Roman" w:hAnsi="Times New Roman" w:eastAsia="微软雅黑" w:cs="Times New Roman"/>
          <w:sz w:val="18"/>
          <w:highlight w:val="none"/>
          <w:shd w:val="clear" w:color="auto" w:fill="FFFFFF"/>
          <w:lang w:eastAsia="zh-CN"/>
        </w:rPr>
      </w:pP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bookmarkStart w:id="44" w:name="OLE_LINK4"/>
      <w:r>
        <w:rPr>
          <w:rFonts w:ascii="Times New Roman" w:hAnsi="Times New Roman" w:eastAsia="微软雅黑" w:cs="Times New Roman"/>
          <w:b/>
          <w:color w:val="00B050"/>
          <w:sz w:val="24"/>
          <w:szCs w:val="24"/>
          <w:highlight w:val="none"/>
          <w:lang w:eastAsia="zh-CN" w:bidi="ar"/>
        </w:rPr>
        <w:t>免疫正相关基因检测结果</w:t>
      </w:r>
      <w:bookmarkEnd w:id="44"/>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1"/>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bookmarkStart w:id="45"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45"/>
    </w:p>
    <w:p>
      <w:pPr>
        <w:numPr>
          <w:ilvl w:val="0"/>
          <w:numId w:val="12"/>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rPr>
          <w:rFonts w:ascii="微软雅黑" w:hAnsi="微软雅黑" w:eastAsia="微软雅黑" w:cs="微软雅黑"/>
          <w:sz w:val="18"/>
          <w:szCs w:val="18"/>
          <w:highlight w:val="none"/>
          <w:shd w:val="clear" w:color="auto" w:fill="FFFFFF"/>
          <w:lang w:eastAsia="zh-CN" w:bidi="ar"/>
        </w:rPr>
      </w:pP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bookmarkStart w:id="390" w:name="_GoBack"/>
            <w:bookmarkEnd w:id="390"/>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hint="eastAsia" w:ascii="Times New Roman" w:hAnsi="Times New Roman" w:eastAsia="微软雅黑" w:cs="Times New Roman"/>
                <w:b/>
                <w:color w:val="FFFFFF"/>
                <w:sz w:val="18"/>
                <w:highlight w:val="none"/>
                <w:lang w:eastAsia="zh-CN"/>
              </w:rPr>
            </w:pPr>
            <w:r>
              <w:rPr>
                <w:rFonts w:hint="eastAsia" w:ascii="Times New Roman" w:hAnsi="Times New Roman" w:eastAsia="微软雅黑" w:cs="Times New Roman"/>
                <w:sz w:val="18"/>
                <w:highlight w:val="none"/>
                <w:lang w:val="en-US" w:eastAsia="zh-CN"/>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46" w:name="_Hlk516758315"/>
      <w:bookmarkStart w:id="47" w:name="_Toc10743"/>
      <w:bookmarkStart w:id="48" w:name="_Toc13489_WPSOffice_Level2"/>
      <w:bookmarkStart w:id="49" w:name="_Toc24047"/>
      <w:bookmarkStart w:id="50" w:name="_Toc19810"/>
      <w:bookmarkStart w:id="51" w:name="_Toc24038"/>
      <w:bookmarkStart w:id="52" w:name="_Toc19898_WPSOffice_Level2"/>
      <w:r>
        <w:rPr>
          <w:highlight w:val="none"/>
          <w:lang w:eastAsia="zh-CN"/>
        </w:rPr>
        <w:t>肿瘤遗传</w:t>
      </w:r>
      <w:bookmarkEnd w:id="46"/>
      <w:r>
        <w:rPr>
          <w:highlight w:val="none"/>
          <w:lang w:eastAsia="zh-CN"/>
        </w:rPr>
        <w:t>风险检测</w:t>
      </w:r>
      <w:bookmarkEnd w:id="47"/>
      <w:bookmarkEnd w:id="48"/>
      <w:bookmarkEnd w:id="49"/>
      <w:bookmarkEnd w:id="50"/>
      <w:bookmarkEnd w:id="51"/>
      <w:bookmarkEnd w:id="52"/>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4"/>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1"/>
        <w:rPr>
          <w:highlight w:val="none"/>
        </w:rPr>
      </w:pPr>
      <w:bookmarkStart w:id="53" w:name="_Toc4331_WPSOffice_Level1"/>
      <w:bookmarkStart w:id="54" w:name="_Toc23903"/>
      <w:bookmarkStart w:id="55" w:name="_Toc23846_WPSOffice_Level1"/>
      <w:bookmarkStart w:id="56" w:name="_Toc24226"/>
      <w:bookmarkStart w:id="57" w:name="_Toc180"/>
      <w:bookmarkStart w:id="58" w:name="_Toc32443_WPSOffice_Level1"/>
      <w:bookmarkStart w:id="59" w:name="_Toc25727"/>
      <w:r>
        <w:rPr>
          <w:highlight w:val="none"/>
        </w:rPr>
        <w:t>基因检测结果解析</w:t>
      </w:r>
      <w:bookmarkEnd w:id="53"/>
      <w:bookmarkEnd w:id="54"/>
      <w:bookmarkEnd w:id="55"/>
      <w:bookmarkEnd w:id="56"/>
      <w:bookmarkEnd w:id="57"/>
      <w:bookmarkEnd w:id="58"/>
      <w:bookmarkEnd w:id="59"/>
    </w:p>
    <w:p>
      <w:pPr>
        <w:rPr>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60" w:name="_Toc28873"/>
      <w:bookmarkStart w:id="61" w:name="_Toc4331_WPSOffice_Level2"/>
      <w:bookmarkStart w:id="62" w:name="_Toc32302"/>
      <w:bookmarkStart w:id="63" w:name="_Toc23606"/>
      <w:bookmarkStart w:id="64" w:name="_Toc32443_WPSOffice_Level2"/>
      <w:bookmarkStart w:id="65" w:name="_Toc26395"/>
      <w:r>
        <w:rPr>
          <w:rFonts w:hint="eastAsia"/>
          <w:highlight w:val="none"/>
        </w:rPr>
        <w:t>靶向药物检测解析</w:t>
      </w:r>
      <w:bookmarkEnd w:id="60"/>
      <w:bookmarkEnd w:id="61"/>
      <w:bookmarkEnd w:id="62"/>
      <w:bookmarkEnd w:id="63"/>
      <w:bookmarkEnd w:id="64"/>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5"/>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66" w:name="_Toc31324"/>
      <w:bookmarkStart w:id="67" w:name="_Toc19455"/>
      <w:r>
        <w:rPr>
          <w:rFonts w:ascii="微软雅黑" w:hAnsi="微软雅黑" w:eastAsia="微软雅黑" w:cs="微软雅黑"/>
          <w:b/>
          <w:color w:val="45A3A7"/>
          <w:szCs w:val="24"/>
          <w:highlight w:val="none"/>
          <w:lang w:eastAsia="zh-CN" w:bidi="ar"/>
        </w:rPr>
        <w:t>免疫检测结果解析</w:t>
      </w:r>
      <w:bookmarkEnd w:id="66"/>
      <w:bookmarkEnd w:id="67"/>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3" w:lineRule="auto"/>
        <w:rPr>
          <w:rFonts w:ascii="Times New Roman" w:hAnsi="Times New Roman" w:eastAsia="微软雅黑" w:cs="Times New Roman"/>
          <w:b/>
          <w:color w:val="45A3A7"/>
          <w:sz w:val="24"/>
          <w:szCs w:val="24"/>
          <w:highlight w:val="none"/>
        </w:rPr>
      </w:pP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 }}</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bookmarkEnd w:id="65"/>
      <w:r>
        <w:rPr>
          <w:rFonts w:ascii="微软雅黑" w:hAnsi="微软雅黑" w:eastAsia="微软雅黑" w:cs="微软雅黑"/>
          <w:b/>
          <w:color w:val="45A3A7"/>
          <w:sz w:val="24"/>
          <w:szCs w:val="24"/>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ascii="Times New Roman" w:hAnsi="Times New Roman" w:eastAsia="微软雅黑" w:cs="Times New Roman"/>
          <w:sz w:val="16"/>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if crAnalysisIndex == ‘true’ %}</w:t>
      </w:r>
    </w:p>
    <w:p>
      <w:pPr>
        <w:pStyle w:val="22"/>
        <w:rPr>
          <w:highlight w:val="none"/>
        </w:rPr>
      </w:pPr>
      <w:bookmarkStart w:id="68" w:name="_Toc23045"/>
      <w:r>
        <w:rPr>
          <w:rFonts w:hint="eastAsia"/>
          <w:highlight w:val="none"/>
        </w:rPr>
        <w:t>遗传变异检测解析</w:t>
      </w:r>
      <w:bookmarkEnd w:id="68"/>
    </w:p>
    <w:p>
      <w:pPr>
        <w:jc w:val="both"/>
        <w:rPr>
          <w:rFonts w:ascii="Times New Roman" w:hAnsi="Times New Roman" w:eastAsia="微软雅黑" w:cs="Times New Roman"/>
          <w:sz w:val="24"/>
          <w:szCs w:val="24"/>
          <w:highlight w:val="none"/>
          <w:lang w:eastAsia="zh-CN"/>
        </w:rPr>
      </w:pPr>
    </w:p>
    <w:p>
      <w:pPr>
        <w:pStyle w:val="23"/>
        <w:rPr>
          <w:highlight w:val="none"/>
        </w:rPr>
      </w:pPr>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3"/>
        <w:rPr>
          <w:sz w:val="20"/>
          <w:szCs w:val="18"/>
          <w:highlight w:val="none"/>
        </w:rPr>
      </w:pPr>
      <w:r>
        <w:rPr>
          <w:rFonts w:hint="eastAsia"/>
          <w:sz w:val="20"/>
          <w:szCs w:val="20"/>
          <w:highlight w:val="none"/>
        </w:rPr>
        <w:t>{% endfor %}</w:t>
      </w:r>
      <w:r>
        <w:rPr>
          <w:sz w:val="16"/>
          <w:highlight w:val="none"/>
        </w:rPr>
        <w:br w:type="page"/>
      </w:r>
      <w:r>
        <w:rPr>
          <w:rFonts w:hint="eastAsia"/>
          <w:sz w:val="16"/>
          <w:highlight w:val="none"/>
        </w:rPr>
        <w:t>{% endif %}</w:t>
      </w:r>
    </w:p>
    <w:p>
      <w:pPr>
        <w:pStyle w:val="22"/>
        <w:rPr>
          <w:highlight w:val="none"/>
        </w:rPr>
      </w:pPr>
      <w:bookmarkStart w:id="69" w:name="_Toc14132"/>
      <w:bookmarkStart w:id="70" w:name="_Toc16347"/>
      <w:bookmarkStart w:id="71" w:name="_Toc1707_WPSOffice_Level2"/>
      <w:bookmarkStart w:id="72" w:name="_Toc21764_WPSOffice_Level2"/>
      <w:bookmarkStart w:id="73" w:name="_Toc4844"/>
      <w:bookmarkStart w:id="74" w:name="_Toc26649"/>
      <w:r>
        <w:rPr>
          <w:highlight w:val="none"/>
        </w:rPr>
        <w:t>化疗药物检测解析</w:t>
      </w:r>
      <w:bookmarkEnd w:id="69"/>
      <w:bookmarkEnd w:id="70"/>
      <w:bookmarkEnd w:id="71"/>
      <w:bookmarkEnd w:id="72"/>
      <w:bookmarkEnd w:id="73"/>
      <w:bookmarkEnd w:id="74"/>
    </w:p>
    <w:p>
      <w:pPr>
        <w:pStyle w:val="23"/>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pPr>
        <w:pStyle w:val="23"/>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6"/>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pStyle w:val="23"/>
        <w:rPr>
          <w:b w:val="0"/>
          <w:sz w:val="16"/>
          <w:szCs w:val="30"/>
          <w:highlight w:val="none"/>
        </w:rPr>
      </w:pPr>
      <w:r>
        <w:rPr>
          <w:highlight w:val="none"/>
        </w:rPr>
        <w:br w:type="page"/>
      </w:r>
    </w:p>
    <w:p>
      <w:pPr>
        <w:pStyle w:val="24"/>
        <w:rPr>
          <w:highlight w:val="none"/>
        </w:rPr>
      </w:pPr>
      <w:bookmarkStart w:id="75" w:name="_Toc28240"/>
      <w:bookmarkStart w:id="76" w:name="_Toc21764_WPSOffice_Level1"/>
      <w:bookmarkStart w:id="77" w:name="_Toc13196_WPSOffice_Level1"/>
      <w:bookmarkStart w:id="78" w:name="_Toc1707_WPSOffice_Level1"/>
      <w:bookmarkStart w:id="79" w:name="_Toc13698"/>
      <w:bookmarkStart w:id="80" w:name="_Toc27302"/>
      <w:bookmarkStart w:id="81" w:name="_Toc14717"/>
      <w:r>
        <w:rPr>
          <w:highlight w:val="none"/>
        </w:rPr>
        <w:t>附录</w:t>
      </w:r>
      <w:bookmarkEnd w:id="75"/>
      <w:bookmarkEnd w:id="76"/>
      <w:bookmarkEnd w:id="77"/>
      <w:bookmarkEnd w:id="78"/>
      <w:bookmarkEnd w:id="79"/>
      <w:bookmarkEnd w:id="80"/>
      <w:bookmarkEnd w:id="81"/>
    </w:p>
    <w:p>
      <w:pPr>
        <w:pStyle w:val="25"/>
        <w:rPr>
          <w:highlight w:val="none"/>
        </w:rPr>
      </w:pPr>
      <w:bookmarkStart w:id="82" w:name="_Toc14255_WPSOffice_Level1"/>
      <w:bookmarkStart w:id="83" w:name="_Toc3674"/>
      <w:bookmarkStart w:id="84" w:name="_Toc9066"/>
      <w:bookmarkStart w:id="85" w:name="_Toc24085_WPSOffice_Level1"/>
      <w:bookmarkStart w:id="86" w:name="_Toc15840_WPSOffice_Level1"/>
      <w:r>
        <w:rPr>
          <w:rFonts w:hint="eastAsia"/>
          <w:highlight w:val="none"/>
        </w:rPr>
        <w:t>样本控制情况</w:t>
      </w:r>
      <w:bookmarkEnd w:id="82"/>
      <w:bookmarkEnd w:id="83"/>
      <w:bookmarkEnd w:id="84"/>
      <w:bookmarkEnd w:id="85"/>
      <w:bookmarkEnd w:id="86"/>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20</w:t>
            </w:r>
            <w:r>
              <w:rPr>
                <w:rFonts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eastAsia="zh-CN"/>
              </w:rPr>
              <w:t>30</w:t>
            </w:r>
            <w:r>
              <w:rPr>
                <w:rFonts w:hint="eastAsia" w:ascii="Times New Roman" w:hAnsi="Times New Roman" w:eastAsia="微软雅黑" w:cs="Times New Roman"/>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8</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eastAsia="zh-CN"/>
              </w:rPr>
              <w:t>1200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pP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567" w:footer="567" w:gutter="0"/>
          <w:cols w:space="720" w:num="1"/>
        </w:sectPr>
      </w:pPr>
    </w:p>
    <w:p>
      <w:pPr>
        <w:pStyle w:val="25"/>
        <w:spacing w:line="240" w:lineRule="exact"/>
        <w:rPr>
          <w:highlight w:val="none"/>
        </w:rPr>
      </w:pPr>
      <w:bookmarkStart w:id="87" w:name="_Toc6261"/>
      <w:bookmarkStart w:id="88" w:name="_Toc23688"/>
      <w:bookmarkStart w:id="89" w:name="_Toc11896_WPSOffice_Level1"/>
      <w:bookmarkStart w:id="90" w:name="_Toc11193_WPSOffice_Level1"/>
      <w:bookmarkStart w:id="91" w:name="_Toc28810_WPSOffice_Level1"/>
      <w:r>
        <w:rPr>
          <w:highlight w:val="none"/>
        </w:rPr>
        <w:t>常见靶向药物相关基因检测列表</w:t>
      </w:r>
      <w:bookmarkEnd w:id="87"/>
      <w:bookmarkEnd w:id="88"/>
      <w:bookmarkEnd w:id="89"/>
    </w:p>
    <w:bookmarkEnd w:id="90"/>
    <w:bookmarkEnd w:id="91"/>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92" w:name="OLE_LINK66"/>
            <w:bookmarkStart w:id="93" w:name="OLE_LINK59"/>
            <w:bookmarkStart w:id="94" w:name="OLE_LINK65"/>
            <w:bookmarkStart w:id="95" w:name="OLE_LINK73"/>
            <w:bookmarkStart w:id="96" w:name="OLE_LINK74"/>
            <w:bookmarkStart w:id="97" w:name="OLE_LINK57"/>
            <w:bookmarkStart w:id="98" w:name="OLE_LINK58"/>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585" w:hRule="exac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AKT1</w:t>
            </w:r>
          </w:p>
        </w:tc>
        <w:tc>
          <w:tcPr>
            <w:tcW w:w="688"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634" w:type="dxa"/>
            <w:vAlign w:val="center"/>
          </w:tcPr>
          <w:p>
            <w:pPr>
              <w:spacing w:before="19" w:line="315" w:lineRule="auto"/>
              <w:ind w:right="-8"/>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862" w:type="dxa"/>
            <w:vAlign w:val="center"/>
          </w:tcPr>
          <w:p>
            <w:pPr>
              <w:spacing w:before="19"/>
              <w:ind w:right="62"/>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在乳腺癌中，携带</w:t>
            </w:r>
            <w:r>
              <w:rPr>
                <w:rFonts w:ascii="Times New Roman" w:hAnsi="Times New Roman" w:eastAsia="微软雅黑" w:cs="Times New Roman"/>
                <w:spacing w:val="-1"/>
                <w:sz w:val="18"/>
                <w:szCs w:val="18"/>
                <w:highlight w:val="none"/>
                <w:lang w:eastAsia="zh-CN"/>
              </w:rPr>
              <w:t>AKT1 E17K</w:t>
            </w:r>
            <w:r>
              <w:rPr>
                <w:rFonts w:hint="eastAsia" w:ascii="Times New Roman" w:hAnsi="Times New Roman" w:eastAsia="微软雅黑" w:cs="Times New Roman"/>
                <w:spacing w:val="-1"/>
                <w:sz w:val="18"/>
                <w:szCs w:val="18"/>
                <w:highlight w:val="none"/>
                <w:lang w:eastAsia="zh-CN"/>
              </w:rPr>
              <w:t>突变的患者对</w:t>
            </w: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紫杉醇敏感</w:t>
            </w:r>
            <w:r>
              <w:rPr>
                <w:rFonts w:ascii="Times New Roman" w:hAnsi="Times New Roman" w:eastAsia="微软雅黑" w:cs="Times New Roman"/>
                <w:spacing w:val="-1"/>
                <w:sz w:val="18"/>
                <w:szCs w:val="18"/>
                <w:highlight w:val="none"/>
                <w:vertAlign w:val="superscript"/>
              </w:rPr>
              <w:t xml:space="preserve"> [1</w:t>
            </w:r>
            <w:r>
              <w:rPr>
                <w:rFonts w:hint="eastAsia"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vertAlign w:val="superscript"/>
              </w:rPr>
              <w:t>2]</w:t>
            </w:r>
            <w:r>
              <w:rPr>
                <w:rFonts w:hint="eastAsia"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hint="eastAsia" w:ascii="Times New Roman" w:hAnsi="Times New Roman" w:eastAsia="微软雅黑" w:cs="Times New Roman"/>
                <w:b/>
                <w:spacing w:val="-1"/>
                <w:sz w:val="18"/>
                <w:szCs w:val="18"/>
                <w:highlight w:val="none"/>
              </w:rPr>
              <w:t xml:space="preserve"> </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 xml:space="preserve"> </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 xml:space="preserve">批准联合用于非小细胞肺癌、甲状腺癌； </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敏感，BRAF</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76"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b/>
                <w:bCs/>
                <w:spacing w:val="-1"/>
                <w:sz w:val="18"/>
                <w:szCs w:val="18"/>
                <w:highlight w:val="none"/>
              </w:rPr>
              <w:t>伏美替尼</w:t>
            </w:r>
            <w:r>
              <w:rPr>
                <w:rFonts w:hint="eastAsia" w:ascii="微软雅黑" w:hAnsi="微软雅黑" w:eastAsia="微软雅黑" w:cs="Times New Roman"/>
                <w:b/>
                <w:bCs/>
                <w:spacing w:val="-1"/>
                <w:sz w:val="18"/>
                <w:szCs w:val="18"/>
                <w:highlight w:val="none"/>
                <w:lang w:val="en-US" w:eastAsia="zh-CN"/>
              </w:rPr>
              <w:t>*（</w:t>
            </w:r>
            <w:r>
              <w:rPr>
                <w:rFonts w:hint="default" w:ascii="Times New Roman" w:hAnsi="Times New Roman" w:eastAsia="微软雅黑" w:cs="Times New Roman"/>
                <w:b/>
                <w:bCs/>
                <w:spacing w:val="-1"/>
                <w:sz w:val="18"/>
                <w:szCs w:val="18"/>
                <w:highlight w:val="none"/>
                <w:lang w:val="en-US" w:eastAsia="zh-CN"/>
              </w:rPr>
              <w:t>Furmonertinib</w:t>
            </w:r>
            <w:r>
              <w:rPr>
                <w:rFonts w:hint="eastAsia" w:ascii="微软雅黑" w:hAnsi="微软雅黑" w:eastAsia="微软雅黑" w:cs="Times New Roman"/>
                <w:b/>
                <w:bCs/>
                <w:spacing w:val="-1"/>
                <w:sz w:val="18"/>
                <w:szCs w:val="18"/>
                <w:highlight w:val="none"/>
                <w:lang w:val="en-US" w:eastAsia="zh-CN"/>
              </w:rPr>
              <w:t>）</w:t>
            </w:r>
            <w:r>
              <w:rPr>
                <w:rFonts w:hint="eastAsia" w:ascii="微软雅黑" w:hAnsi="微软雅黑" w:eastAsia="微软雅黑" w:cs="Times New Roman"/>
                <w:b w:val="0"/>
                <w:bCs w:val="0"/>
                <w:spacing w:val="-1"/>
                <w:sz w:val="18"/>
                <w:szCs w:val="18"/>
                <w:highlight w:val="none"/>
                <w:lang w:val="en-US"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微软雅黑" w:hAnsi="微软雅黑" w:eastAsia="微软雅黑" w:cs="Times New Roman"/>
                <w:b w:val="0"/>
                <w:bCs w:val="0"/>
                <w:spacing w:val="-1"/>
                <w:sz w:val="18"/>
                <w:szCs w:val="18"/>
                <w:highlight w:val="none"/>
                <w:lang w:val="en-US" w:eastAsia="zh-CN"/>
              </w:rPr>
              <w:t>)；</w:t>
            </w:r>
          </w:p>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微软雅黑" w:hAnsi="微软雅黑"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伏美</w:t>
            </w:r>
            <w:r>
              <w:rPr>
                <w:rFonts w:ascii="微软雅黑" w:hAnsi="微软雅黑"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在肺鳞癌中，EGFR扩增的患者对奈西单抗+吉西他滨+ 顺铂敏感</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w:t>
            </w:r>
            <w:r>
              <w:rPr>
                <w:rFonts w:hint="eastAsia" w:ascii="Times New Roman" w:hAnsi="Times New Roman" w:eastAsia="微软雅黑" w:cs="Times New Roman"/>
                <w:spacing w:val="-1"/>
                <w:sz w:val="18"/>
                <w:szCs w:val="18"/>
                <w:highlight w:val="none"/>
                <w:vertAlign w:val="baseline"/>
                <w:lang w:eastAsia="zh-CN"/>
              </w:rPr>
              <w:t>非小细胞肺癌</w:t>
            </w:r>
            <w:r>
              <w:rPr>
                <w:rFonts w:hint="eastAsia" w:ascii="Times New Roman" w:hAnsi="Times New Roman" w:eastAsia="微软雅黑" w:cs="Times New Roman"/>
                <w:spacing w:val="-1"/>
                <w:sz w:val="18"/>
                <w:szCs w:val="18"/>
                <w:highlight w:val="none"/>
                <w:vertAlign w:val="baseline"/>
                <w:lang w:val="en-US" w:eastAsia="zh-CN"/>
              </w:rPr>
              <w:t>中，携带</w:t>
            </w:r>
            <w:r>
              <w:rPr>
                <w:rFonts w:hint="eastAsia" w:ascii="Times New Roman" w:hAnsi="Times New Roman" w:eastAsia="微软雅黑" w:cs="Times New Roman"/>
                <w:spacing w:val="-1"/>
                <w:sz w:val="18"/>
                <w:szCs w:val="18"/>
                <w:highlight w:val="none"/>
                <w:vertAlign w:val="baseline"/>
                <w:lang w:eastAsia="zh-CN"/>
              </w:rPr>
              <w:t>EGFR 20号外显子插入突变的患者</w:t>
            </w:r>
            <w:r>
              <w:rPr>
                <w:rFonts w:hint="eastAsia" w:ascii="Times New Roman" w:hAnsi="Times New Roman" w:eastAsia="微软雅黑" w:cs="Times New Roman"/>
                <w:spacing w:val="-1"/>
                <w:sz w:val="18"/>
                <w:szCs w:val="18"/>
                <w:highlight w:val="none"/>
                <w:vertAlign w:val="baseline"/>
                <w:lang w:val="en-US" w:eastAsia="zh-CN"/>
              </w:rPr>
              <w:t>对</w:t>
            </w:r>
            <w:r>
              <w:rPr>
                <w:rFonts w:hint="eastAsia" w:ascii="Times New Roman" w:hAnsi="Times New Roman" w:eastAsia="微软雅黑" w:cs="Times New Roman"/>
                <w:b w:val="0"/>
                <w:bCs w:val="0"/>
                <w:spacing w:val="-1"/>
                <w:sz w:val="18"/>
                <w:szCs w:val="18"/>
                <w:highlight w:val="none"/>
                <w:lang w:eastAsia="zh-CN"/>
              </w:rPr>
              <w:t>Amivantamab、</w:t>
            </w:r>
            <w:r>
              <w:rPr>
                <w:rFonts w:hint="eastAsia" w:ascii="Times New Roman" w:hAnsi="Times New Roman" w:eastAsia="微软雅黑" w:cs="Times New Roman"/>
                <w:spacing w:val="-1"/>
                <w:sz w:val="18"/>
                <w:szCs w:val="18"/>
                <w:highlight w:val="none"/>
                <w:vertAlign w:val="baseline"/>
                <w:lang w:val="en-US" w:eastAsia="zh-CN"/>
              </w:rPr>
              <w:t>Poziotinib敏感</w:t>
            </w:r>
            <w:r>
              <w:rPr>
                <w:rFonts w:hint="default" w:ascii="Times New Roman" w:hAnsi="Times New Roman" w:eastAsia="微软雅黑" w:cs="Times New Roman"/>
                <w:spacing w:val="-1"/>
                <w:sz w:val="18"/>
                <w:szCs w:val="18"/>
                <w:highlight w:val="none"/>
                <w:vertAlign w:val="superscript"/>
                <w:lang w:val="en-US" w:eastAsia="zh-CN"/>
              </w:rPr>
              <w:t>[</w:t>
            </w:r>
            <w:r>
              <w:rPr>
                <w:rFonts w:hint="eastAsia" w:ascii="Times New Roman" w:hAnsi="Times New Roman" w:eastAsia="微软雅黑" w:cs="Times New Roman"/>
                <w:sz w:val="18"/>
                <w:szCs w:val="18"/>
                <w:highlight w:val="none"/>
                <w:vertAlign w:val="superscript"/>
                <w:lang w:val="en-US" w:eastAsia="zh-CN"/>
              </w:rPr>
              <w:t>44-58,283]</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5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76"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（临床</w:t>
            </w:r>
            <w:r>
              <w:rPr>
                <w:rFonts w:ascii="Times New Roman" w:hAnsi="Times New Roman" w:eastAsia="微软雅黑" w:cs="Times New Roman"/>
                <w:spacing w:val="-1"/>
                <w:sz w:val="18"/>
                <w:szCs w:val="18"/>
                <w:highlight w:val="none"/>
                <w:lang w:eastAsia="zh-CN"/>
              </w:rPr>
              <w:t>II</w:t>
            </w:r>
            <w:r>
              <w:rPr>
                <w:rFonts w:hint="eastAsia" w:ascii="Times New Roman" w:hAnsi="Times New Roman" w:eastAsia="微软雅黑" w:cs="Times New Roman"/>
                <w:sz w:val="18"/>
                <w:szCs w:val="18"/>
                <w:highlight w:val="none"/>
                <w:lang w:eastAsia="zh-CN"/>
              </w:rPr>
              <w:t>期）</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食管癌中，</w:t>
            </w:r>
            <w:r>
              <w:rPr>
                <w:rFonts w:hint="eastAsia" w:ascii="Times New Roman" w:hAnsi="Times New Roman" w:eastAsia="微软雅黑" w:cs="Times New Roman"/>
                <w:spacing w:val="-1"/>
                <w:sz w:val="18"/>
                <w:szCs w:val="18"/>
                <w:highlight w:val="none"/>
                <w:lang w:eastAsia="zh-CN"/>
              </w:rPr>
              <w:t>携带FGFR2扩增突变的胃食管癌患者对AZD4547敏感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62-63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8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GNA11</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sz w:val="18"/>
                <w:szCs w:val="18"/>
                <w:highlight w:val="none"/>
              </w:rPr>
              <w:t>曲美替尼</w:t>
            </w:r>
            <w:r>
              <w:rPr>
                <w:rFonts w:hint="eastAsia" w:ascii="Times New Roman" w:hAnsi="Times New Roman" w:eastAsia="微软雅黑" w:cs="Times New Roman"/>
                <w:b/>
                <w:sz w:val="18"/>
                <w:szCs w:val="18"/>
                <w:highlight w:val="none"/>
              </w:rPr>
              <w:t>（</w:t>
            </w:r>
            <w:r>
              <w:rPr>
                <w:rFonts w:ascii="Times New Roman" w:hAnsi="Times New Roman" w:eastAsia="微软雅黑" w:cs="Times New Roman"/>
                <w:b/>
                <w:sz w:val="18"/>
                <w:szCs w:val="18"/>
                <w:highlight w:val="none"/>
              </w:rPr>
              <w:t>Trametinib）</w:t>
            </w:r>
            <w:r>
              <w:rPr>
                <w:rFonts w:ascii="Times New Roman" w:hAnsi="Times New Roman" w:eastAsia="微软雅黑" w:cs="Times New Roman"/>
                <w:sz w:val="18"/>
                <w:szCs w:val="18"/>
                <w:highlight w:val="none"/>
              </w:rPr>
              <w:t>（FDA 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z w:val="18"/>
                <w:szCs w:val="18"/>
                <w:highlight w:val="none"/>
                <w:lang w:eastAsia="zh-CN"/>
              </w:rPr>
              <w:t>葡萄膜</w:t>
            </w:r>
            <w:r>
              <w:rPr>
                <w:rFonts w:ascii="Times New Roman" w:hAnsi="Times New Roman" w:eastAsia="微软雅黑" w:cs="Times New Roman"/>
                <w:sz w:val="18"/>
                <w:szCs w:val="18"/>
                <w:highlight w:val="none"/>
                <w:lang w:eastAsia="zh-CN"/>
              </w:rPr>
              <w:t>黑色素瘤中，GNA11 Q209L突变（第9外显子）会导致GNA11持续激活，并增强 MAPK信号通路</w:t>
            </w:r>
            <w:r>
              <w:rPr>
                <w:rFonts w:hint="eastAsia" w:ascii="Times New Roman" w:hAnsi="Times New Roman" w:eastAsia="微软雅黑" w:cs="Times New Roman"/>
                <w:sz w:val="18"/>
                <w:szCs w:val="18"/>
                <w:highlight w:val="none"/>
                <w:lang w:eastAsia="zh-CN"/>
              </w:rPr>
              <w:t>。在一项临床前研究中，GNA11 Q209L突变体葡萄膜黑色素瘤细胞系对曲美替尼敏感。另有一项针对葡萄膜黑色素瘤患者的临床试验中，</w:t>
            </w:r>
            <w:r>
              <w:rPr>
                <w:rFonts w:ascii="Times New Roman" w:hAnsi="Times New Roman" w:eastAsia="微软雅黑" w:cs="Times New Roman"/>
                <w:sz w:val="18"/>
                <w:szCs w:val="18"/>
                <w:highlight w:val="none"/>
                <w:lang w:eastAsia="zh-CN"/>
              </w:rPr>
              <w:t>GNA11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64</w:t>
            </w:r>
            <w:r>
              <w:rPr>
                <w:rFonts w:ascii="Times New Roman" w:hAnsi="Times New Roman" w:eastAsia="微软雅黑" w:cs="Times New Roman"/>
                <w:sz w:val="18"/>
                <w:szCs w:val="18"/>
                <w:highlight w:val="none"/>
                <w:vertAlign w:val="superscript"/>
                <w:lang w:eastAsia="zh-CN"/>
              </w:rPr>
              <w:t>-6</w:t>
            </w:r>
            <w:r>
              <w:rPr>
                <w:rFonts w:hint="eastAsia" w:ascii="Times New Roman" w:hAnsi="Times New Roman" w:eastAsia="微软雅黑" w:cs="Times New Roman"/>
                <w:sz w:val="18"/>
                <w:szCs w:val="18"/>
                <w:highlight w:val="none"/>
                <w:vertAlign w:val="superscript"/>
                <w:lang w:eastAsia="zh-CN"/>
              </w:rPr>
              <w:t>9</w:t>
            </w:r>
            <w:r>
              <w:rPr>
                <w:rFonts w:ascii="Times New Roman" w:hAnsi="Times New Roman" w:eastAsia="微软雅黑" w:cs="Times New Roman"/>
                <w:sz w:val="18"/>
                <w:szCs w:val="18"/>
                <w:highlight w:val="none"/>
                <w:vertAlign w:val="superscript"/>
                <w:lang w:eastAsia="zh-CN"/>
              </w:rPr>
              <w:t>]</w:t>
            </w:r>
            <w:r>
              <w:rPr>
                <w:rFonts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03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GNAQ</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bCs/>
                <w:sz w:val="18"/>
                <w:szCs w:val="18"/>
                <w:highlight w:val="none"/>
              </w:rPr>
              <w:t>曲美替尼</w:t>
            </w:r>
            <w:r>
              <w:rPr>
                <w:rFonts w:hint="eastAsia" w:ascii="Times New Roman" w:hAnsi="Times New Roman" w:eastAsia="微软雅黑" w:cs="Times New Roman"/>
                <w:b/>
                <w:bCs/>
                <w:sz w:val="18"/>
                <w:szCs w:val="18"/>
                <w:highlight w:val="none"/>
              </w:rPr>
              <w:t>（Trametinib</w:t>
            </w:r>
            <w:r>
              <w:rPr>
                <w:rFonts w:ascii="Times New Roman" w:hAnsi="Times New Roman" w:eastAsia="微软雅黑" w:cs="Times New Roman"/>
                <w:b/>
                <w:bCs/>
                <w:sz w:val="18"/>
                <w:szCs w:val="18"/>
                <w:highlight w:val="none"/>
              </w:rPr>
              <w:t>）</w:t>
            </w:r>
            <w:r>
              <w:rPr>
                <w:rFonts w:ascii="Times New Roman" w:hAnsi="Times New Roman" w:eastAsia="微软雅黑" w:cs="Times New Roman"/>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葡萄膜</w:t>
            </w:r>
            <w:r>
              <w:rPr>
                <w:rFonts w:ascii="Times New Roman" w:hAnsi="Times New Roman" w:eastAsia="微软雅黑" w:cs="Times New Roman"/>
                <w:spacing w:val="-1"/>
                <w:sz w:val="18"/>
                <w:szCs w:val="18"/>
                <w:highlight w:val="none"/>
                <w:lang w:eastAsia="zh-CN"/>
              </w:rPr>
              <w:t>黑色素瘤中，GNAQ Q209L突变（第9外显子）会导致GNAQ持续激活，并增强 MAPK信号通路。</w:t>
            </w:r>
            <w:r>
              <w:rPr>
                <w:rFonts w:hint="eastAsia" w:ascii="Times New Roman" w:hAnsi="Times New Roman" w:eastAsia="微软雅黑" w:cs="Times New Roman"/>
                <w:sz w:val="18"/>
                <w:szCs w:val="18"/>
                <w:highlight w:val="none"/>
                <w:lang w:eastAsia="zh-CN"/>
              </w:rPr>
              <w:t>有一项针对葡萄膜黑色素瘤患者的临床试验中，</w:t>
            </w:r>
            <w:r>
              <w:rPr>
                <w:rFonts w:ascii="Times New Roman" w:hAnsi="Times New Roman" w:eastAsia="微软雅黑" w:cs="Times New Roman"/>
                <w:sz w:val="18"/>
                <w:szCs w:val="18"/>
                <w:highlight w:val="none"/>
                <w:lang w:eastAsia="zh-CN"/>
              </w:rPr>
              <w:t>GNAQ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70</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spacing w:val="-1"/>
                <w:sz w:val="18"/>
                <w:szCs w:val="18"/>
                <w:highlight w:val="none"/>
              </w:rPr>
              <w:t>拉帕替尼*（Lapatinib）</w:t>
            </w:r>
            <w:r>
              <w:rPr>
                <w:rFonts w:ascii="Times New Roman" w:hAnsi="Times New Roman" w:eastAsia="微软雅黑" w:cs="Times New Roman"/>
                <w:spacing w:val="-1"/>
                <w:sz w:val="18"/>
                <w:szCs w:val="18"/>
                <w:highlight w:val="none"/>
              </w:rPr>
              <w:t>（FDA/NMPA批准用于乳腺癌）；</w:t>
            </w:r>
          </w:p>
          <w:p>
            <w:pPr>
              <w:jc w:val="both"/>
              <w:rPr>
                <w:sz w:val="24"/>
                <w:szCs w:val="24"/>
                <w:highlight w:val="none"/>
                <w:lang w:eastAsia="zh-CN"/>
              </w:rPr>
            </w:pPr>
            <w:r>
              <w:rPr>
                <w:rFonts w:ascii="微软雅黑" w:hAnsi="微软雅黑" w:eastAsia="微软雅黑" w:cs="Times New Roman"/>
                <w:b/>
                <w:bCs/>
                <w:spacing w:val="-1"/>
                <w:sz w:val="18"/>
                <w:szCs w:val="18"/>
                <w:highlight w:val="none"/>
                <w:lang w:eastAsia="zh-CN"/>
              </w:rPr>
              <w:t>曲妥珠单抗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透明质酸酶</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化疗</w:t>
            </w:r>
          </w:p>
          <w:p>
            <w:pPr>
              <w:jc w:val="both"/>
              <w:rPr>
                <w:highlight w:val="none"/>
              </w:rPr>
            </w:pP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Trastuzumab+Pertuzumab+Hyaluronidase+Chemotherapy</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w:t>
            </w:r>
            <w:r>
              <w:rPr>
                <w:rFonts w:hint="eastAsia" w:ascii="Times New Roman" w:hAnsi="Times New Roman" w:eastAsia="微软雅黑" w:cs="Times New Roman"/>
                <w:spacing w:val="-1"/>
                <w:sz w:val="18"/>
                <w:szCs w:val="18"/>
                <w:highlight w:val="none"/>
              </w:rPr>
              <w:t>A</w:t>
            </w:r>
            <w:r>
              <w:rPr>
                <w:rFonts w:ascii="微软雅黑" w:hAnsi="微软雅黑" w:eastAsia="微软雅黑" w:cs="Times New Roman"/>
                <w:spacing w:val="-1"/>
                <w:sz w:val="18"/>
                <w:szCs w:val="18"/>
                <w:highlight w:val="none"/>
              </w:rPr>
              <w:t>批准用于乳腺</w:t>
            </w:r>
            <w:r>
              <w:rPr>
                <w:rFonts w:hint="eastAsia" w:ascii="微软雅黑" w:hAnsi="微软雅黑" w:eastAsia="微软雅黑" w:cs="Times New Roman"/>
                <w:spacing w:val="-1"/>
                <w:sz w:val="18"/>
                <w:szCs w:val="18"/>
                <w:highlight w:val="none"/>
              </w:rPr>
              <w:t>癌）；</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-美坦新偶联物（Ado-trastuzumab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（FDA/NMPA批准用于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曲妥珠单抗+帕妥珠单抗（Trastuzumab+Pertuzumab）</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曲妥珠单抗-deruxtecan（Trastuzumab-deruxtecan）</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微软雅黑" w:hAnsi="微软雅黑" w:eastAsia="微软雅黑" w:cs="Times New Roman"/>
                <w:b/>
                <w:bCs/>
                <w:spacing w:val="-1"/>
                <w:sz w:val="18"/>
                <w:szCs w:val="18"/>
                <w:highlight w:val="none"/>
              </w:rPr>
              <w:t>吡咯替尼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Pyrotinib</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NMPA</w:t>
            </w:r>
            <w:r>
              <w:rPr>
                <w:rFonts w:ascii="微软雅黑" w:hAnsi="微软雅黑" w:eastAsia="微软雅黑" w:cs="Times New Roman"/>
                <w:spacing w:val="-1"/>
                <w:sz w:val="18"/>
                <w:szCs w:val="18"/>
                <w:highlight w:val="none"/>
              </w:rPr>
              <w:t>批准用于乳腺癌）</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Cs/>
                <w:spacing w:val="-1"/>
                <w:sz w:val="18"/>
                <w:szCs w:val="18"/>
                <w:highlight w:val="none"/>
              </w:rPr>
              <w:t xml:space="preserve"> </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曲妥珠单抗+卡培他滨（Trastuzumab+Capecitabine）（NCCN指南推荐用于乳腺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 xml:space="preserve">透明质酸酶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化疗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曲妥珠单抗、曲妥珠单抗-美坦新偶联物、曲妥珠单抗+拉帕替尼、曲妥珠单抗+帕妥珠单抗、曲妥珠单抗-deruxtecan、</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指南推荐用于胃食管结合腺癌）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b w:val="0"/>
                <w:bCs w:val="0"/>
                <w:spacing w:val="-1"/>
                <w:sz w:val="18"/>
                <w:szCs w:val="18"/>
                <w:highlight w:val="none"/>
              </w:rPr>
              <w:t>吡咯替尼</w:t>
            </w: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Pyrotinib</w:t>
            </w:r>
            <w:r>
              <w:rPr>
                <w:rFonts w:hint="eastAsia" w:ascii="微软雅黑" w:hAnsi="微软雅黑"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lang w:val="en-US" w:eastAsia="zh-CN"/>
              </w:rPr>
              <w:t>临床II期</w:t>
            </w:r>
            <w:r>
              <w:rPr>
                <w:rFonts w:hint="default" w:ascii="Times New Roman" w:hAnsi="Times New Roman" w:eastAsia="微软雅黑" w:cs="Times New Roman"/>
                <w:b w:val="0"/>
                <w:bCs w:val="0"/>
                <w:spacing w:val="-1"/>
                <w:sz w:val="18"/>
                <w:szCs w:val="18"/>
                <w:highlight w:val="none"/>
              </w:rPr>
              <w:t>）</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6</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90</w:t>
            </w:r>
            <w:r>
              <w:rPr>
                <w:rFonts w:hint="eastAsia" w:ascii="Times New Roman" w:hAnsi="Times New Roman" w:eastAsia="微软雅黑" w:cs="Times New Roman"/>
                <w:spacing w:val="-1"/>
                <w:sz w:val="18"/>
                <w:szCs w:val="18"/>
                <w:highlight w:val="none"/>
                <w:vertAlign w:val="superscript"/>
                <w:lang w:val="en-US" w:eastAsia="zh-CN"/>
              </w:rPr>
              <w:t>, 284</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179"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p>
            <w:pPr>
              <w:spacing w:before="19"/>
              <w:ind w:right="-8"/>
              <w:jc w:val="left"/>
              <w:rPr>
                <w:rFonts w:ascii="Times New Roman" w:hAnsi="Times New Roman" w:eastAsia="微软雅黑" w:cs="Times New Roman"/>
                <w:spacing w:val="-1"/>
                <w:sz w:val="18"/>
                <w:szCs w:val="18"/>
                <w:highlight w:val="none"/>
              </w:rPr>
            </w:pP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 xml:space="preserve"> 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 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91</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（FDA/NMPA批准用于肾细胞腺癌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（FDA批准用于白血病）、</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107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9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MAP2K1</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（MEK1）</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sz w:val="24"/>
                <w:szCs w:val="24"/>
                <w:highlight w:val="none"/>
                <w:lang w:eastAsia="zh-CN"/>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结直肠癌中，</w:t>
            </w:r>
            <w:r>
              <w:rPr>
                <w:rFonts w:ascii="Times New Roman" w:hAnsi="Times New Roman" w:eastAsia="微软雅黑" w:cs="Times New Roman"/>
                <w:spacing w:val="-1"/>
                <w:sz w:val="18"/>
                <w:szCs w:val="18"/>
                <w:highlight w:val="none"/>
                <w:lang w:eastAsia="zh-CN"/>
              </w:rPr>
              <w:t xml:space="preserve">MAP2K1 </w:t>
            </w:r>
            <w:r>
              <w:rPr>
                <w:rFonts w:hint="eastAsia" w:ascii="微软雅黑" w:hAnsi="微软雅黑" w:eastAsia="微软雅黑" w:cs="Times New Roman"/>
                <w:spacing w:val="-1"/>
                <w:sz w:val="18"/>
                <w:szCs w:val="18"/>
                <w:highlight w:val="none"/>
                <w:lang w:eastAsia="zh-CN"/>
              </w:rPr>
              <w:t>激活突变对司美替尼</w:t>
            </w:r>
            <w:r>
              <w:rPr>
                <w:rFonts w:ascii="微软雅黑" w:hAnsi="微软雅黑"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13</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val="0"/>
                <w:bCs/>
                <w:spacing w:val="-1"/>
                <w:sz w:val="18"/>
                <w:szCs w:val="18"/>
                <w:highlight w:val="none"/>
              </w:rPr>
              <w:t>贝美替尼（Binimetinib）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33</w:t>
            </w:r>
            <w:r>
              <w:rPr>
                <w:rFonts w:ascii="Times New Roman" w:hAnsi="Times New Roman" w:eastAsia="微软雅黑" w:cs="Times New Roman"/>
                <w:spacing w:val="-1"/>
                <w:sz w:val="18"/>
                <w:szCs w:val="18"/>
                <w:highlight w:val="none"/>
                <w:vertAlign w:val="superscript"/>
                <w:lang w:eastAsia="zh-CN"/>
              </w:rPr>
              <w:t>-13</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NTRK</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非小细胞肺癌）；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（FDA批准用于实体瘤）</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val="en-US"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Avapritinib</w:t>
            </w:r>
            <w:r>
              <w:rPr>
                <w:rFonts w:ascii="Times New Roman" w:hAnsi="Times New Roman" w:eastAsia="微软雅黑" w:cs="Times New Roman"/>
                <w:spacing w:val="-1"/>
                <w:sz w:val="18"/>
                <w:szCs w:val="18"/>
                <w:highlight w:val="none"/>
              </w:rPr>
              <w:t>（FDA批准用于胃肠道间质瘤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ascii="Times New Roman" w:hAnsi="Times New Roman" w:eastAsia="微软雅黑" w:cs="Times New Roman"/>
                <w:spacing w:val="-1"/>
                <w:sz w:val="18"/>
                <w:szCs w:val="18"/>
                <w:highlight w:val="none"/>
              </w:rPr>
              <w:t>）</w:t>
            </w:r>
          </w:p>
        </w:tc>
        <w:tc>
          <w:tcPr>
            <w:tcW w:w="3757" w:type="dxa"/>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41</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50</w:t>
            </w:r>
            <w:r>
              <w:rPr>
                <w:rFonts w:ascii="Times New Roman" w:hAnsi="Times New Roman" w:eastAsia="微软雅黑" w:cs="Times New Roman"/>
                <w:spacing w:val="-1"/>
                <w:sz w:val="18"/>
                <w:szCs w:val="18"/>
                <w:highlight w:val="none"/>
                <w:vertAlign w:val="superscript"/>
                <w:lang w:eastAsia="zh-CN"/>
              </w:rPr>
              <w:t>-15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（FDA批准用于甲状腺癌）；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肝细胞癌等）；</w:t>
            </w:r>
          </w:p>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r>
              <w:rPr>
                <w:rFonts w:hint="eastAsia" w:ascii="Times New Roman" w:hAnsi="Times New Roman" w:eastAsia="微软雅黑" w:cs="Times New Roman"/>
                <w:spacing w:val="-1"/>
                <w:sz w:val="18"/>
                <w:szCs w:val="18"/>
                <w:highlight w:val="none"/>
              </w:rPr>
              <w:t>；</w:t>
            </w:r>
          </w:p>
        </w:tc>
        <w:tc>
          <w:tcPr>
            <w:tcW w:w="3757"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7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SMO</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Vismodegib）</w:t>
            </w:r>
            <w:r>
              <w:rPr>
                <w:rFonts w:ascii="Times New Roman" w:hAnsi="Times New Roman" w:eastAsia="微软雅黑" w:cs="Times New Roman"/>
                <w:spacing w:val="-1"/>
                <w:sz w:val="18"/>
                <w:szCs w:val="18"/>
                <w:highlight w:val="none"/>
              </w:rPr>
              <w:t>（FDA批准用于基底细胞癌）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w:t>
            </w:r>
            <w:r>
              <w:rPr>
                <w:rFonts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vertAlign w:val="superscript"/>
                <w:lang w:eastAsia="zh-CN"/>
              </w:rPr>
              <w:t>[16</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5"/>
        <w:spacing w:after="240" w:afterLines="100"/>
        <w:rPr>
          <w:highlight w:val="none"/>
        </w:rPr>
      </w:pPr>
      <w:bookmarkStart w:id="99" w:name="_Toc14645_WPSOffice_Level1"/>
      <w:bookmarkStart w:id="100" w:name="_Toc15690"/>
      <w:bookmarkStart w:id="101" w:name="_Toc13557_WPSOffice_Level1"/>
      <w:bookmarkStart w:id="102" w:name="_Toc32205"/>
      <w:bookmarkStart w:id="103" w:name="_Toc25415_WPSOffice_Level1"/>
      <w:bookmarkStart w:id="104" w:name="_Toc32730"/>
      <w:r>
        <w:rPr>
          <w:highlight w:val="none"/>
        </w:rPr>
        <w:t>靶向</w:t>
      </w:r>
      <w:r>
        <w:rPr>
          <w:rFonts w:hint="eastAsia"/>
          <w:highlight w:val="none"/>
        </w:rPr>
        <w:t>突变</w:t>
      </w:r>
      <w:r>
        <w:rPr>
          <w:highlight w:val="none"/>
        </w:rPr>
        <w:t>基因信号通路解析</w:t>
      </w:r>
      <w:bookmarkEnd w:id="99"/>
      <w:bookmarkEnd w:id="100"/>
      <w:bookmarkEnd w:id="101"/>
      <w:bookmarkEnd w:id="102"/>
      <w:bookmarkEnd w:id="103"/>
      <w:bookmarkEnd w:id="104"/>
    </w:p>
    <w:p>
      <w:pPr>
        <w:spacing w:line="276" w:lineRule="auto"/>
        <w:ind w:right="448"/>
        <w:rPr>
          <w:rFonts w:ascii="Times New Roman" w:hAnsi="Times New Roman" w:eastAsia="微软雅黑" w:cs="Times New Roman"/>
          <w:b/>
          <w:bCs/>
          <w:color w:val="416AAB"/>
          <w:sz w:val="24"/>
          <w:szCs w:val="24"/>
          <w:highlight w:val="none"/>
          <w:lang w:eastAsia="zh-CN"/>
        </w:rPr>
      </w:pPr>
      <w:bookmarkStart w:id="105" w:name="_Toc18696_WPSOffice_Level1"/>
      <w:bookmarkStart w:id="106" w:name="_Toc23388_WPSOffice_Level1"/>
      <w:bookmarkStart w:id="107" w:name="_Toc17314_WPSOffice_Level1"/>
      <w:bookmarkStart w:id="108" w:name="_Toc23221_WPSOffice_Level1"/>
      <w:bookmarkStart w:id="109" w:name="_Toc3819_WPSOffice_Level1"/>
      <w:bookmarkStart w:id="110" w:name="_Toc17905_WPSOffice_Level1"/>
      <w:bookmarkStart w:id="111" w:name="_Toc11554_WPSOffice_Level1"/>
      <w:bookmarkStart w:id="112" w:name="_Toc5261_WPSOffice_Level1"/>
      <w:r>
        <w:rPr>
          <w:rFonts w:ascii="Times New Roman" w:hAnsi="Times New Roman" w:eastAsia="微软雅黑" w:cs="Times New Roman"/>
          <w:b/>
          <w:bCs/>
          <w:color w:val="416AAB"/>
          <w:sz w:val="24"/>
          <w:szCs w:val="24"/>
          <w:highlight w:val="none"/>
          <w:lang w:eastAsia="zh-CN"/>
        </w:rPr>
        <w:t>细胞增殖通路</w:t>
      </w:r>
      <w:bookmarkEnd w:id="105"/>
      <w:bookmarkEnd w:id="106"/>
      <w:bookmarkEnd w:id="107"/>
      <w:bookmarkEnd w:id="108"/>
      <w:bookmarkEnd w:id="109"/>
      <w:bookmarkEnd w:id="110"/>
      <w:bookmarkEnd w:id="111"/>
      <w:bookmarkEnd w:id="112"/>
    </w:p>
    <w:tbl>
      <w:tblPr>
        <w:tblStyle w:val="13"/>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 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维莫非尼（Vemurafenib）、达拉非尼（Dabrafenib）及MEK抑制剂曲美替尼（Trametinib）、考比替尼已被FDA批准用于相关疾病的治疗；此外，部分生长因子受体抑制剂也可用于该通路相关疾病的治疗</w:t>
            </w:r>
            <w:r>
              <w:rPr>
                <w:rFonts w:ascii="Times New Roman" w:hAnsi="Times New Roman" w:eastAsia="微软雅黑" w:cs="Times New Roman"/>
                <w:sz w:val="16"/>
                <w:szCs w:val="16"/>
                <w:highlight w:val="none"/>
                <w:vertAlign w:val="superscript"/>
                <w:lang w:eastAsia="zh-CN"/>
              </w:rPr>
              <w:t>[158-161]</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Style w:val="17"/>
                <w:rFonts w:ascii="微软雅黑" w:hAnsi="微软雅黑" w:eastAsia="微软雅黑" w:cs="微软雅黑"/>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及替西罗莫司(Temsirolimus)已被FDA批准用于晚期肾细胞癌的治疗</w:t>
            </w:r>
            <w:r>
              <w:rPr>
                <w:rFonts w:ascii="Times New Roman" w:hAnsi="Times New Roman" w:eastAsia="微软雅黑" w:cs="Times New Roman"/>
                <w:sz w:val="16"/>
                <w:szCs w:val="16"/>
                <w:highlight w:val="none"/>
                <w:vertAlign w:val="superscript"/>
                <w:lang w:eastAsia="zh-CN"/>
              </w:rPr>
              <w:t>[162-166]</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该通路的靶向药物主要有mTOR抑制剂，如FDA8批准的替西罗莫司（Temsirolimus）、依维莫司（Everolimus）等</w:t>
            </w:r>
            <w:r>
              <w:rPr>
                <w:rFonts w:ascii="Times New Roman" w:hAnsi="Times New Roman" w:eastAsia="微软雅黑" w:cs="Times New Roman"/>
                <w:sz w:val="16"/>
                <w:szCs w:val="16"/>
                <w:highlight w:val="none"/>
                <w:vertAlign w:val="superscript"/>
              </w:rPr>
              <w:t>[167</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170]</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[171-173]</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kinase,JNK），由于JNK信号通路在细胞反应中起重要作用，并被多种细胞外应激信号激活，因而JNK也被称为应激活化蛋白激酶（stressactivated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[174</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 批准用于相关肿瘤治疗</w:t>
            </w:r>
            <w:r>
              <w:rPr>
                <w:rFonts w:ascii="Times New Roman" w:hAnsi="Times New Roman" w:eastAsia="微软雅黑" w:cs="Times New Roman"/>
                <w:sz w:val="16"/>
                <w:szCs w:val="16"/>
                <w:highlight w:val="none"/>
                <w:vertAlign w:val="superscript"/>
                <w:lang w:eastAsia="zh-CN"/>
              </w:rPr>
              <w:t>[178-182]</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3" w:name="_Toc18182_WPSOffice_Level1"/>
      <w:bookmarkStart w:id="114" w:name="_Toc20683_WPSOffice_Level1"/>
      <w:bookmarkStart w:id="115" w:name="_Toc15300_WPSOffice_Level1"/>
      <w:r>
        <w:rPr>
          <w:rFonts w:ascii="Times New Roman" w:hAnsi="Times New Roman" w:eastAsia="微软雅黑" w:cs="Times New Roman"/>
          <w:b/>
          <w:bCs/>
          <w:color w:val="416AAB"/>
          <w:sz w:val="24"/>
          <w:szCs w:val="24"/>
          <w:highlight w:val="none"/>
          <w:lang w:eastAsia="zh-CN"/>
        </w:rPr>
        <w:t>细胞周期相关通路</w:t>
      </w:r>
      <w:bookmarkEnd w:id="92"/>
      <w:bookmarkEnd w:id="93"/>
      <w:bookmarkEnd w:id="94"/>
      <w:bookmarkEnd w:id="95"/>
      <w:bookmarkEnd w:id="96"/>
      <w:bookmarkEnd w:id="113"/>
      <w:bookmarkEnd w:id="114"/>
      <w:bookmarkEnd w:id="11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ascii="Times New Roman" w:hAnsi="Times New Roman" w:eastAsia="微软雅黑" w:cs="Times New Roman"/>
                <w:sz w:val="16"/>
                <w:szCs w:val="16"/>
                <w:highlight w:val="none"/>
                <w:vertAlign w:val="superscript"/>
                <w:lang w:eastAsia="zh-CN"/>
              </w:rPr>
              <w:t>[183]</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ascii="Times New Roman" w:hAnsi="Times New Roman" w:eastAsia="微软雅黑" w:cs="Times New Roman"/>
                <w:sz w:val="16"/>
                <w:szCs w:val="16"/>
                <w:highlight w:val="none"/>
                <w:vertAlign w:val="superscript"/>
                <w:lang w:eastAsia="zh-CN"/>
              </w:rPr>
              <w:t>[184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189]</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6" w:name="_Toc16027_WPSOffice_Level1"/>
      <w:bookmarkStart w:id="117" w:name="_Toc12493_WPSOffice_Level1"/>
      <w:bookmarkStart w:id="118" w:name="_Toc22590_WPSOffice_Level1"/>
      <w:bookmarkStart w:id="119" w:name="_Toc28534_WPSOffice_Level1"/>
      <w:bookmarkStart w:id="120" w:name="_Toc8398_WPSOffice_Level1"/>
      <w:bookmarkStart w:id="121" w:name="_Toc31650_WPSOffice_Level1"/>
      <w:r>
        <w:rPr>
          <w:rFonts w:ascii="Times New Roman" w:hAnsi="Times New Roman" w:eastAsia="微软雅黑" w:cs="Times New Roman"/>
          <w:b/>
          <w:bCs/>
          <w:color w:val="416AAB"/>
          <w:sz w:val="24"/>
          <w:szCs w:val="24"/>
          <w:highlight w:val="none"/>
          <w:lang w:eastAsia="zh-CN"/>
        </w:rPr>
        <w:t>免疫相关通路</w:t>
      </w:r>
      <w:bookmarkEnd w:id="97"/>
      <w:bookmarkEnd w:id="98"/>
      <w:bookmarkEnd w:id="116"/>
      <w:bookmarkEnd w:id="117"/>
      <w:bookmarkEnd w:id="118"/>
      <w:bookmarkEnd w:id="119"/>
      <w:bookmarkEnd w:id="120"/>
      <w:bookmarkEnd w:id="12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7"/>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 细胞活化是肿瘤逃避免疫杀伤的重要机制之一。对于免疫检查点抑制分子如CTLA4 及PD-1进行阻断也是肿瘤免疫治疗的有效策略之一，免疫检查点抑制剂伊匹单抗、纳武利尤单抗已被FDA批准用于相关疾病的治疗</w:t>
            </w:r>
            <w:r>
              <w:rPr>
                <w:rFonts w:ascii="Times New Roman" w:hAnsi="Times New Roman" w:eastAsia="微软雅黑" w:cs="Times New Roman"/>
                <w:sz w:val="16"/>
                <w:szCs w:val="16"/>
                <w:highlight w:val="none"/>
                <w:vertAlign w:val="superscript"/>
                <w:lang w:eastAsia="zh-CN"/>
              </w:rPr>
              <w:t>[190</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195]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2" w:name="_Toc11689_WPSOffice_Level1"/>
      <w:bookmarkStart w:id="123" w:name="_Toc6863_WPSOffice_Level1"/>
      <w:bookmarkStart w:id="124" w:name="_Toc20217_WPSOffice_Level1"/>
      <w:bookmarkStart w:id="125" w:name="_Toc20571_WPSOffice_Level1"/>
      <w:bookmarkStart w:id="126" w:name="_Toc28312_WPSOffice_Level1"/>
      <w:bookmarkStart w:id="127" w:name="_Toc19289_WPSOffice_Level1"/>
      <w:bookmarkStart w:id="128" w:name="_Toc31447_WPSOffice_Level1"/>
      <w:bookmarkStart w:id="129" w:name="_Toc2683_WPSOffice_Level1"/>
      <w:r>
        <w:rPr>
          <w:rFonts w:ascii="Times New Roman" w:hAnsi="Times New Roman" w:eastAsia="微软雅黑" w:cs="Times New Roman"/>
          <w:b/>
          <w:bCs/>
          <w:color w:val="416AAB"/>
          <w:sz w:val="24"/>
          <w:szCs w:val="24"/>
          <w:highlight w:val="none"/>
          <w:lang w:eastAsia="zh-CN"/>
        </w:rPr>
        <w:t>炎症相关通路</w:t>
      </w:r>
      <w:bookmarkEnd w:id="122"/>
      <w:bookmarkEnd w:id="123"/>
      <w:bookmarkEnd w:id="124"/>
      <w:bookmarkEnd w:id="125"/>
      <w:bookmarkEnd w:id="126"/>
      <w:bookmarkEnd w:id="127"/>
      <w:bookmarkEnd w:id="128"/>
      <w:bookmarkEnd w:id="12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 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 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 直接作用于底物Smads 蛋白，活化的Smads就将配体与受体作用的信号从细胞膜、胞浆传递到细胞核内，再与其他核内因子协同激活或者抑制靶基因的转录。Smads 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ascii="Times New Roman" w:hAnsi="Times New Roman" w:eastAsia="微软雅黑" w:cs="Times New Roman"/>
                <w:sz w:val="16"/>
                <w:szCs w:val="16"/>
                <w:highlight w:val="none"/>
                <w:vertAlign w:val="superscript"/>
                <w:lang w:eastAsia="zh-CN"/>
              </w:rPr>
              <w:t>[199-202]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 批准用于多发性骨髓瘤的治疗</w:t>
            </w:r>
            <w:r>
              <w:rPr>
                <w:rFonts w:ascii="Times New Roman" w:hAnsi="Times New Roman" w:eastAsia="微软雅黑" w:cs="Times New Roman"/>
                <w:sz w:val="16"/>
                <w:szCs w:val="16"/>
                <w:highlight w:val="none"/>
                <w:vertAlign w:val="superscript"/>
                <w:lang w:eastAsia="zh-CN"/>
              </w:rPr>
              <w:t>[203-205]</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 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和Stat5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[196-198]</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0" w:name="_Toc6170_WPSOffice_Level1"/>
      <w:bookmarkStart w:id="131" w:name="_Toc13817_WPSOffice_Level1"/>
      <w:bookmarkStart w:id="132" w:name="_Toc24628_WPSOffice_Level1"/>
      <w:bookmarkStart w:id="133" w:name="_Toc5164_WPSOffice_Level1"/>
      <w:bookmarkStart w:id="134" w:name="_Toc6645_WPSOffice_Level1"/>
      <w:bookmarkStart w:id="135" w:name="_Toc5423_WPSOffice_Level1"/>
      <w:bookmarkStart w:id="136" w:name="_Toc13225_WPSOffice_Level1"/>
      <w:bookmarkStart w:id="137" w:name="_Toc27568_WPSOffice_Level1"/>
      <w:r>
        <w:rPr>
          <w:rFonts w:ascii="Times New Roman" w:hAnsi="Times New Roman" w:eastAsia="微软雅黑" w:cs="Times New Roman"/>
          <w:b/>
          <w:bCs/>
          <w:color w:val="416AAB"/>
          <w:sz w:val="24"/>
          <w:szCs w:val="24"/>
          <w:highlight w:val="none"/>
          <w:lang w:eastAsia="zh-CN"/>
        </w:rPr>
        <w:t>侵袭和转移相关通路</w:t>
      </w:r>
      <w:bookmarkEnd w:id="130"/>
      <w:bookmarkEnd w:id="131"/>
      <w:bookmarkEnd w:id="132"/>
      <w:bookmarkEnd w:id="133"/>
      <w:bookmarkEnd w:id="134"/>
      <w:bookmarkEnd w:id="135"/>
      <w:bookmarkEnd w:id="136"/>
      <w:bookmarkEnd w:id="13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[206</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210]</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widowControl/>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 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ascii="Times New Roman" w:hAnsi="Times New Roman" w:eastAsia="微软雅黑" w:cs="Times New Roman"/>
                <w:sz w:val="16"/>
                <w:szCs w:val="16"/>
                <w:highlight w:val="none"/>
                <w:vertAlign w:val="superscript"/>
                <w:lang w:eastAsia="zh-CN"/>
              </w:rPr>
              <w:t>[265]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8" w:name="_Toc12046_WPSOffice_Level1"/>
      <w:bookmarkStart w:id="139" w:name="_Toc3387_WPSOffice_Level1"/>
      <w:bookmarkStart w:id="140" w:name="_Toc2788_WPSOffice_Level1"/>
      <w:bookmarkStart w:id="141" w:name="_Toc13244_WPSOffice_Level1"/>
      <w:bookmarkStart w:id="142" w:name="_Toc29762_WPSOffice_Level1"/>
      <w:bookmarkStart w:id="143" w:name="_Toc11082_WPSOffice_Level1"/>
      <w:bookmarkStart w:id="144" w:name="_Toc6323_WPSOffice_Level1"/>
      <w:bookmarkStart w:id="145" w:name="_Toc5860_WPSOffice_Level1"/>
      <w:r>
        <w:rPr>
          <w:rFonts w:ascii="Times New Roman" w:hAnsi="Times New Roman" w:eastAsia="微软雅黑" w:cs="Times New Roman"/>
          <w:b/>
          <w:bCs/>
          <w:color w:val="416AAB"/>
          <w:sz w:val="24"/>
          <w:szCs w:val="24"/>
          <w:highlight w:val="none"/>
          <w:lang w:eastAsia="zh-CN"/>
        </w:rPr>
        <w:t>血管生成相关通路</w:t>
      </w:r>
      <w:bookmarkEnd w:id="138"/>
      <w:bookmarkEnd w:id="139"/>
      <w:bookmarkEnd w:id="140"/>
      <w:bookmarkEnd w:id="141"/>
      <w:bookmarkEnd w:id="142"/>
      <w:bookmarkEnd w:id="143"/>
      <w:bookmarkEnd w:id="144"/>
      <w:bookmarkEnd w:id="14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ascii="Times New Roman" w:hAnsi="Times New Roman" w:eastAsia="微软雅黑" w:cs="Times New Roman"/>
                <w:sz w:val="16"/>
                <w:szCs w:val="16"/>
                <w:highlight w:val="none"/>
                <w:vertAlign w:val="superscript"/>
                <w:lang w:eastAsia="zh-CN"/>
              </w:rPr>
              <w:t>[211</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6" w:name="_Toc6004_WPSOffice_Level1"/>
      <w:bookmarkStart w:id="147" w:name="_Toc21560_WPSOffice_Level1"/>
      <w:bookmarkStart w:id="148" w:name="_Toc708_WPSOffice_Level1"/>
      <w:bookmarkStart w:id="149" w:name="_Toc22500_WPSOffice_Level1"/>
      <w:bookmarkStart w:id="150" w:name="_Toc23443_WPSOffice_Level1"/>
      <w:bookmarkStart w:id="151" w:name="_Toc21615_WPSOffice_Level1"/>
      <w:bookmarkStart w:id="152" w:name="_Toc15619_WPSOffice_Level1"/>
      <w:bookmarkStart w:id="153" w:name="_Toc31905_WPSOffice_Level1"/>
      <w:r>
        <w:rPr>
          <w:rFonts w:ascii="Times New Roman" w:hAnsi="Times New Roman" w:eastAsia="微软雅黑" w:cs="Times New Roman"/>
          <w:b/>
          <w:bCs/>
          <w:color w:val="416AAB"/>
          <w:sz w:val="24"/>
          <w:szCs w:val="24"/>
          <w:highlight w:val="none"/>
          <w:lang w:eastAsia="zh-CN"/>
        </w:rPr>
        <w:t>基因组不稳定相关通路</w:t>
      </w:r>
      <w:bookmarkEnd w:id="146"/>
      <w:bookmarkEnd w:id="147"/>
      <w:bookmarkEnd w:id="148"/>
      <w:bookmarkEnd w:id="149"/>
      <w:bookmarkEnd w:id="150"/>
      <w:bookmarkEnd w:id="151"/>
      <w:bookmarkEnd w:id="152"/>
      <w:bookmarkEnd w:id="15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 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ascii="Times New Roman" w:hAnsi="Times New Roman" w:eastAsia="微软雅黑" w:cs="Times New Roman"/>
                <w:sz w:val="16"/>
                <w:szCs w:val="16"/>
                <w:highlight w:val="none"/>
                <w:vertAlign w:val="superscript"/>
                <w:lang w:eastAsia="zh-CN"/>
              </w:rPr>
              <w:t>[215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218]</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ascii="Times New Roman" w:hAnsi="Times New Roman" w:eastAsia="微软雅黑" w:cs="Times New Roman"/>
                <w:sz w:val="16"/>
                <w:szCs w:val="16"/>
                <w:highlight w:val="none"/>
                <w:vertAlign w:val="superscript"/>
                <w:lang w:eastAsia="zh-CN"/>
              </w:rPr>
              <w:t>[219</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223]</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4" w:name="_Toc13664_WPSOffice_Level1"/>
      <w:bookmarkStart w:id="155" w:name="_Toc5629_WPSOffice_Level1"/>
      <w:bookmarkStart w:id="156" w:name="_Toc11464_WPSOffice_Level1"/>
      <w:bookmarkStart w:id="157" w:name="_Toc15479_WPSOffice_Level1"/>
      <w:bookmarkStart w:id="158" w:name="_Toc11254_WPSOffice_Level1"/>
      <w:bookmarkStart w:id="159" w:name="_Toc7586_WPSOffice_Level1"/>
      <w:bookmarkStart w:id="160" w:name="_Toc4042_WPSOffice_Level1"/>
      <w:bookmarkStart w:id="161" w:name="_Toc23537_WPSOffice_Level1"/>
      <w:r>
        <w:rPr>
          <w:rFonts w:ascii="Times New Roman" w:hAnsi="Times New Roman" w:eastAsia="微软雅黑" w:cs="Times New Roman"/>
          <w:b/>
          <w:bCs/>
          <w:color w:val="416AAB"/>
          <w:sz w:val="24"/>
          <w:szCs w:val="24"/>
          <w:highlight w:val="none"/>
          <w:lang w:eastAsia="zh-CN"/>
        </w:rPr>
        <w:t>凋亡抑制相关通路</w:t>
      </w:r>
      <w:bookmarkEnd w:id="154"/>
      <w:bookmarkEnd w:id="155"/>
      <w:bookmarkEnd w:id="156"/>
      <w:bookmarkEnd w:id="157"/>
      <w:bookmarkEnd w:id="158"/>
      <w:bookmarkEnd w:id="159"/>
      <w:bookmarkEnd w:id="160"/>
      <w:bookmarkEnd w:id="16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[224-227]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诱导的，各途径主要是通过跨膜受体将信号由胞外传递到胞内，衔接蛋白与受体结合后，再与执行蛋白结合，进而诱导细胞凋亡</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[228</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[233-234]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2" w:name="_Toc29193_WPSOffice_Level1"/>
      <w:bookmarkStart w:id="163" w:name="_Toc2337_WPSOffice_Level1"/>
      <w:bookmarkStart w:id="164" w:name="_Toc10575_WPSOffice_Level1"/>
      <w:bookmarkStart w:id="165" w:name="_Toc17793_WPSOffice_Level1"/>
      <w:bookmarkStart w:id="166" w:name="_Toc8519_WPSOffice_Level1"/>
      <w:bookmarkStart w:id="167" w:name="_Toc18866_WPSOffice_Level1"/>
      <w:bookmarkStart w:id="168" w:name="_Toc28498_WPSOffice_Level1"/>
      <w:bookmarkStart w:id="169" w:name="_Toc22039_WPSOffice_Level1"/>
      <w:r>
        <w:rPr>
          <w:rFonts w:ascii="Times New Roman" w:hAnsi="Times New Roman" w:eastAsia="微软雅黑" w:cs="Times New Roman"/>
          <w:b/>
          <w:bCs/>
          <w:color w:val="416AAB"/>
          <w:sz w:val="24"/>
          <w:szCs w:val="24"/>
          <w:highlight w:val="none"/>
          <w:lang w:eastAsia="zh-CN"/>
        </w:rPr>
        <w:t>能量代谢相关通路</w:t>
      </w:r>
      <w:bookmarkEnd w:id="162"/>
      <w:bookmarkEnd w:id="163"/>
      <w:bookmarkEnd w:id="164"/>
      <w:bookmarkEnd w:id="165"/>
      <w:bookmarkEnd w:id="166"/>
      <w:bookmarkEnd w:id="167"/>
      <w:bookmarkEnd w:id="168"/>
      <w:bookmarkEnd w:id="16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 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ascii="Times New Roman" w:hAnsi="Times New Roman" w:eastAsia="微软雅黑" w:cs="Times New Roman"/>
                <w:sz w:val="16"/>
                <w:szCs w:val="16"/>
                <w:highlight w:val="none"/>
                <w:vertAlign w:val="superscript"/>
                <w:lang w:eastAsia="zh-CN"/>
              </w:rPr>
              <w:t>[235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240]</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0" w:name="_Toc13246_WPSOffice_Level1"/>
      <w:bookmarkStart w:id="171" w:name="_Toc5106_WPSOffice_Level1"/>
      <w:bookmarkStart w:id="172" w:name="_Toc8985_WPSOffice_Level1"/>
      <w:bookmarkStart w:id="173" w:name="_Toc23413_WPSOffice_Level1"/>
      <w:bookmarkStart w:id="174" w:name="_Toc2613_WPSOffice_Level1"/>
      <w:bookmarkStart w:id="175" w:name="_Toc17668_WPSOffice_Level1"/>
      <w:bookmarkStart w:id="176" w:name="_Toc12118_WPSOffice_Level1"/>
      <w:bookmarkStart w:id="177" w:name="_Toc17621_WPSOffice_Level1"/>
      <w:r>
        <w:rPr>
          <w:rFonts w:ascii="Times New Roman" w:hAnsi="Times New Roman" w:eastAsia="微软雅黑" w:cs="Times New Roman"/>
          <w:b/>
          <w:bCs/>
          <w:color w:val="416AAB"/>
          <w:sz w:val="24"/>
          <w:szCs w:val="24"/>
          <w:highlight w:val="none"/>
          <w:lang w:eastAsia="zh-CN"/>
        </w:rPr>
        <w:t>肿瘤干细胞相关通路</w:t>
      </w:r>
      <w:bookmarkEnd w:id="170"/>
      <w:bookmarkEnd w:id="171"/>
      <w:bookmarkEnd w:id="172"/>
      <w:bookmarkEnd w:id="173"/>
      <w:bookmarkEnd w:id="174"/>
      <w:bookmarkEnd w:id="175"/>
      <w:bookmarkEnd w:id="176"/>
      <w:bookmarkEnd w:id="17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[241</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 和Hedgehog等信号途径的异常活化</w:t>
            </w:r>
            <w:r>
              <w:rPr>
                <w:rFonts w:ascii="Times New Roman" w:hAnsi="Times New Roman" w:eastAsia="微软雅黑" w:cs="Times New Roman"/>
                <w:sz w:val="16"/>
                <w:szCs w:val="16"/>
                <w:highlight w:val="none"/>
                <w:vertAlign w:val="superscript"/>
              </w:rPr>
              <w:t>[245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248]</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[249</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253]</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 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ascii="Times New Roman" w:hAnsi="Times New Roman" w:eastAsia="微软雅黑" w:cs="Times New Roman"/>
                <w:sz w:val="16"/>
                <w:szCs w:val="16"/>
                <w:highlight w:val="none"/>
                <w:vertAlign w:val="superscript"/>
                <w:lang w:eastAsia="zh-CN"/>
              </w:rPr>
              <w:t>[254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257]</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信号通路与肿瘤发生、发展过密切相关。靶向Hh信号通路的药物包括Shh抑制剂、Smo抑制剂、乙醇脱氢酶7(Adh7)及Gli转录抑制剂等。靶向SMO的抑制剂是研究的热点，其中Vismodegib已被FDA批准用于转移皮肤基底细胞癌的治疗</w:t>
            </w:r>
            <w:r>
              <w:rPr>
                <w:rFonts w:ascii="Times New Roman" w:hAnsi="Times New Roman" w:eastAsia="微软雅黑" w:cs="Times New Roman"/>
                <w:sz w:val="16"/>
                <w:szCs w:val="16"/>
                <w:highlight w:val="none"/>
                <w:vertAlign w:val="superscript"/>
                <w:lang w:eastAsia="zh-CN"/>
              </w:rPr>
              <w:t>[258</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261]</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8" w:name="_Toc6074_WPSOffice_Level1"/>
      <w:bookmarkStart w:id="179" w:name="_Toc9468_WPSOffice_Level1"/>
      <w:bookmarkStart w:id="180" w:name="_Toc5840_WPSOffice_Level1"/>
      <w:bookmarkStart w:id="181" w:name="_Toc25338_WPSOffice_Level1"/>
      <w:bookmarkStart w:id="182" w:name="_Toc2334_WPSOffice_Level1"/>
      <w:bookmarkStart w:id="183" w:name="_Toc12027_WPSOffice_Level1"/>
      <w:bookmarkStart w:id="184" w:name="_Toc24337_WPSOffice_Level1"/>
      <w:bookmarkStart w:id="185" w:name="_Toc6654_WPSOffice_Level1"/>
      <w:r>
        <w:rPr>
          <w:rFonts w:ascii="Times New Roman" w:hAnsi="Times New Roman" w:eastAsia="微软雅黑" w:cs="Times New Roman"/>
          <w:b/>
          <w:bCs/>
          <w:color w:val="416AAB"/>
          <w:sz w:val="24"/>
          <w:szCs w:val="24"/>
          <w:highlight w:val="none"/>
          <w:lang w:eastAsia="zh-CN"/>
        </w:rPr>
        <w:t>表观遗传相关通路</w:t>
      </w:r>
      <w:bookmarkEnd w:id="178"/>
      <w:bookmarkEnd w:id="179"/>
      <w:bookmarkEnd w:id="180"/>
      <w:bookmarkEnd w:id="181"/>
      <w:bookmarkEnd w:id="182"/>
      <w:bookmarkEnd w:id="183"/>
      <w:bookmarkEnd w:id="184"/>
      <w:bookmarkEnd w:id="18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ascii="Times New Roman" w:hAnsi="Times New Roman" w:eastAsia="微软雅黑" w:cs="Times New Roman"/>
                <w:sz w:val="16"/>
                <w:szCs w:val="16"/>
                <w:highlight w:val="none"/>
                <w:vertAlign w:val="superscript"/>
                <w:lang w:eastAsia="zh-CN"/>
              </w:rPr>
              <w:t>[262</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sz w:val="24"/>
          <w:highlight w:val="none"/>
          <w:lang w:eastAsia="zh-CN"/>
        </w:rPr>
        <w:br w:type="page"/>
      </w:r>
    </w:p>
    <w:bookmarkEnd w:id="15"/>
    <w:p>
      <w:pPr>
        <w:pStyle w:val="25"/>
        <w:rPr>
          <w:highlight w:val="none"/>
        </w:rPr>
      </w:pPr>
      <w:bookmarkStart w:id="186" w:name="_Toc16368_WPSOffice_Level1"/>
      <w:bookmarkStart w:id="187" w:name="_Toc19099"/>
      <w:bookmarkStart w:id="188" w:name="_Toc7549"/>
      <w:bookmarkStart w:id="189" w:name="_Toc11722"/>
      <w:bookmarkStart w:id="190" w:name="_Toc28910_WPSOffice_Level1"/>
      <w:bookmarkStart w:id="191" w:name="_Toc22484_WPSOffice_Level1"/>
      <w:bookmarkStart w:id="192" w:name="_Toc10635"/>
      <w:r>
        <w:rPr>
          <w:highlight w:val="none"/>
        </w:rPr>
        <w:t>检测基因列表</w:t>
      </w:r>
      <w:bookmarkEnd w:id="186"/>
      <w:bookmarkEnd w:id="187"/>
      <w:bookmarkEnd w:id="188"/>
      <w:bookmarkEnd w:id="189"/>
      <w:bookmarkEnd w:id="190"/>
      <w:bookmarkEnd w:id="191"/>
      <w:bookmarkEnd w:id="192"/>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93" w:name="_Toc19280_WPSOffice_Level2"/>
      <w:bookmarkStart w:id="194" w:name="_Toc31515_WPSOffice_Level2"/>
      <w:bookmarkStart w:id="195" w:name="_Toc6304_WPSOffice_Level2"/>
      <w:bookmarkStart w:id="196" w:name="_Toc17111_WPSOffice_Level2"/>
      <w:bookmarkStart w:id="197" w:name="_Toc6931_WPSOffice_Level2"/>
      <w:bookmarkStart w:id="198" w:name="_Toc3488_WPSOffice_Level2"/>
      <w:bookmarkStart w:id="199" w:name="_Toc11193_WPSOffice_Level2"/>
      <w:bookmarkStart w:id="200" w:name="_Toc28454_WPSOffice_Level1"/>
      <w:r>
        <w:rPr>
          <w:rFonts w:hint="eastAsia" w:ascii="Times New Roman" w:hAnsi="Times New Roman" w:eastAsia="微软雅黑" w:cs="Times New Roman"/>
          <w:b/>
          <w:color w:val="416AAB"/>
          <w:sz w:val="24"/>
          <w:highlight w:val="none"/>
          <w:lang w:eastAsia="zh-CN"/>
        </w:rPr>
        <w:t>A</w:t>
      </w:r>
      <w:bookmarkEnd w:id="193"/>
      <w:bookmarkEnd w:id="194"/>
      <w:bookmarkEnd w:id="195"/>
      <w:bookmarkEnd w:id="196"/>
      <w:bookmarkEnd w:id="197"/>
      <w:bookmarkEnd w:id="198"/>
      <w:bookmarkEnd w:id="19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1CF,ABCB1,ABCC1,ABCC2,ABCC3,ABCC4,ABCC6,ABCG2,ABI1,ABL1,ABRAXAS1,ACKR3,ACSL3,ACSL6,ACTB,ACTG1,ACVR1,ACVR1B,ACVR2A,ADGRA2,AFDN,AFF1,AFF3,AFF4,AHR,AIP,AJUBA,AKAP9,AKT1,AKT2,AKT3,ALB,ALDH2,ALK,ALOX12B,AMER1,ANK1,APC,APCDD1,APEX1,APEX2,APOBEC3B,AR,ARAF,AREG,ARFRP1,ARHGAP26,ARHGAP35,ARHGAP5,ARHGEF10,ARHGEF10L,ARHGEF12,ARID1A,ARID1B,ARID2,ARID3C,ARID4A,ARID4B,ARID5B,ARNT,ASNS,ASPM,ASPSCR1,ASS1,ASXL1,ASXL2,ATF1,ATIC,ATM,ATP1A1,ATP2B3,ATR,ATRIP,ATRX,AURKA,AURKB,AXIN1,AXIN2,AXL</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201" w:name="_Toc12087_WPSOffice_Level2"/>
      <w:bookmarkStart w:id="202" w:name="_Toc29205_WPSOffice_Level2"/>
      <w:bookmarkStart w:id="203" w:name="_Toc14645_WPSOffice_Level2"/>
      <w:bookmarkStart w:id="204" w:name="_Toc26578_WPSOffice_Level2"/>
      <w:bookmarkStart w:id="205" w:name="_Toc31138_WPSOffice_Level2"/>
      <w:bookmarkStart w:id="206" w:name="_Toc2822_WPSOffice_Level2"/>
      <w:bookmarkStart w:id="207" w:name="_Toc25864_WPSOffice_Level2"/>
      <w:r>
        <w:rPr>
          <w:rFonts w:ascii="Times New Roman" w:hAnsi="Times New Roman" w:eastAsia="微软雅黑" w:cs="Times New Roman"/>
          <w:b/>
          <w:color w:val="416AAB"/>
          <w:sz w:val="24"/>
          <w:highlight w:val="none"/>
        </w:rPr>
        <w:t>B</w:t>
      </w:r>
      <w:bookmarkEnd w:id="201"/>
      <w:bookmarkEnd w:id="202"/>
      <w:bookmarkEnd w:id="203"/>
      <w:bookmarkEnd w:id="204"/>
      <w:bookmarkEnd w:id="205"/>
      <w:bookmarkEnd w:id="206"/>
      <w:bookmarkEnd w:id="20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4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08" w:name="_Toc3819_WPSOffice_Level2"/>
            <w:bookmarkStart w:id="209" w:name="_Toc23221_WPSOffice_Level2"/>
            <w:bookmarkStart w:id="210" w:name="_Toc17905_WPSOffice_Level2"/>
            <w:bookmarkStart w:id="211" w:name="_Toc31020_WPSOffice_Level2"/>
            <w:bookmarkStart w:id="212" w:name="_Toc5660_WPSOffice_Level2"/>
            <w:bookmarkStart w:id="213" w:name="_Toc5261_WPSOffice_Level2"/>
            <w:bookmarkStart w:id="214" w:name="_Toc1869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2M,BABAM1,BABAM2,BACH1,BAP1,BARD1,BAX,BAZ1A,BCL10,BCL11A,BCL11B,BCL2,BCL2A1,BCL2L1,BCL2L11,BCL2L12,BCL2L2,BCL3,BCL6,BCL7A,BCL9,BCL9L,BCLAF1,BCOR,BCORL1,BCR,BIRC3,BIRC5,BIRC6,BIRC7,BLCAP,BLK,BLM,BMP5,BMPR1A,BMPR2,BRAF,BRCA1,BRCA2,BRCC3,BRD3,BRD4,BRIP1,BTG1,BTG2,BTK,BUB1,BUB1B,BUB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bookmarkEnd w:id="208"/>
      <w:bookmarkEnd w:id="209"/>
      <w:bookmarkEnd w:id="210"/>
      <w:bookmarkEnd w:id="211"/>
      <w:bookmarkEnd w:id="212"/>
      <w:bookmarkEnd w:id="213"/>
      <w:bookmarkEnd w:id="21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6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15" w:name="_Toc2588_WPSOffice_Level2"/>
            <w:bookmarkStart w:id="216" w:name="_Toc24626_WPSOffice_Level2"/>
            <w:bookmarkStart w:id="217" w:name="_Toc28235_WPSOffice_Level2"/>
            <w:bookmarkStart w:id="218" w:name="_Toc15300_WPSOffice_Level2"/>
            <w:bookmarkStart w:id="219" w:name="_Toc20683_WPSOffice_Level2"/>
            <w:bookmarkStart w:id="220" w:name="_Toc23388_WPSOffice_Level2"/>
            <w:bookmarkStart w:id="221" w:name="_Toc115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11orf30,C15orf65,C8orf34,CACNA1D,CAD,CALR,CAMK2G,CAMKK2,CAMTA1,CANT1,CARD11,CARM1,CARS,CASP3,CASP7,CASP8,CASP9,CBFA2T3,CBFB,CBL,CBLB,CBLC,CBR1,CCDC6,CCNB1IP1,CCNC,CCND1,CCND2,CCND3,CCNE1,CCNH,CCR4,CCR7,CD19,CD209,CD22,CD274,CD28,CD33,CD36,CD52,CD58,CD70,CD74,CD79A,CD79B,CDC25C,CDC27,CDC42,CDC73,CDH1,CDH10,CDH11,CDH17,CDH2,CDH20,CDH5,CDK1,CDK12,CDK2,CDK4,CDK5,CDK6,CDK7,CDK8,CDK9,CDKN1A,CDKN1B,CDKN1C,CDKN2A,CDKN2B,CDKN2C,CDX2,CEBPA,CENPS,CENPX,CEP57,CEP89,CETN2,CFTR,CHCHD7,CHD2,CHD3,CHD4,CHEK1,CHEK2,CHIC2,CHST11,CHUK,CIC,CIITA,CLIP1,CLP1,CLTC,CLTCL1,CMTR2,CNBD1,CNBP,CNOT3,CNTNAP1,CNTNAP2,CNTRL,COL1A1,COL22A1,COL2A1,COL3A1,COMT,COPS3,COX6C,CPEB3,CR1,CRBN,CREB1,CREB3L1,CREB3L2,CREBBP,CRKL,CRLF2,CRNKL1,CRTC1,CRTC3,CSDE1,CSF1R,CSF3R,CSMD1,CSMD3,CTCF,CTIF,CTNNA1,CTNNA2,CTNNB1,CTNND1,CTNND2,CUL1,CUL3,CUL4A,CUL4B,CUX1,CXCL10,CXCL8,CXCR4,CYLD,CYP17A1,CYP19A1,CYP1A1,CYP1A2,CYP1B1,CYP2A6,CYP2B6,CYP2C8,CYP2E1,CYP3A4,CYP3A5,CYP4B1,CYSLT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215"/>
      <w:bookmarkEnd w:id="216"/>
      <w:bookmarkEnd w:id="217"/>
      <w:bookmarkEnd w:id="218"/>
      <w:bookmarkEnd w:id="219"/>
      <w:bookmarkEnd w:id="220"/>
      <w:bookmarkEnd w:id="22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9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2" w:name="_Toc12493_WPSOffice_Level2"/>
            <w:bookmarkStart w:id="223" w:name="_Toc22590_WPSOffice_Level2"/>
            <w:bookmarkStart w:id="224" w:name="_Toc16027_WPSOffice_Level2"/>
            <w:bookmarkStart w:id="225" w:name="_Toc18182_WPSOffice_Level2"/>
            <w:bookmarkStart w:id="226" w:name="_Toc31650_WPSOffice_Level2"/>
            <w:bookmarkStart w:id="227" w:name="_Toc19892_WPSOffice_Level2"/>
            <w:bookmarkStart w:id="228" w:name="_Toc3007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DAXX,DAZAP1,DCAF12L2,DCC,DCLRE1C,DCTN1,DDB1,DDB2,DDIT3,DDR1,DDR2,DDX10,DDX3X,DDX5,DDX6,DEK,DGCR8,DHFR,DHX9,DICER1,DIRAS3,DIS3,DIS3L2,DNAJB1,DNM2,DNMT3A,DOT1L,DPYD,DROSHA,DTX1,DUSP2,DYNC2H1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222"/>
      <w:bookmarkEnd w:id="223"/>
      <w:bookmarkEnd w:id="224"/>
      <w:bookmarkEnd w:id="225"/>
      <w:bookmarkEnd w:id="226"/>
      <w:bookmarkEnd w:id="227"/>
      <w:bookmarkEnd w:id="22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9" w:name="_Toc8398_WPSOffice_Level2"/>
            <w:bookmarkStart w:id="230" w:name="_Toc11689_WPSOffice_Level2"/>
            <w:bookmarkStart w:id="231" w:name="_Toc28312_WPSOffice_Level2"/>
            <w:bookmarkStart w:id="232" w:name="_Toc19289_WPSOffice_Level2"/>
            <w:bookmarkStart w:id="233" w:name="_Toc31447_WPSOffice_Level2"/>
            <w:bookmarkStart w:id="234" w:name="_Toc20571_WPSOffice_Level2"/>
            <w:bookmarkStart w:id="235" w:name="_Toc2853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2F1,EBF1,ECT2L,EED,EEF1A1,EFTUD2,EGF,EGFR,EIF1AX,EIF3E,EIF4A2,ELF3,ELF4,ELK4,ELL,ELN,EME1,EME2,EML4,ENOSF1,EP300,EPAS1,EPCAM,EPHA2,EPHA3,EPHA5,EPHA6,EPHA7,EPHB1,EPHB4,EPHB6,EPHX1,EPS15,ERBB2,ERBB3,ERBB4,ERC1,ERCC1,ERCC2,ERCC3,ERCC4,ERCC5,ERCC6,ERCC8,EREG,ERF,ERG,ERRFI1,ESR1,ESR2,ETNK1,ETV1,ETV4,ETV5,ETV6,EWSR1,EXO1,EXT1,EXT2,EZH2,EZ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229"/>
      <w:bookmarkEnd w:id="230"/>
      <w:bookmarkEnd w:id="231"/>
      <w:bookmarkEnd w:id="232"/>
      <w:bookmarkEnd w:id="233"/>
      <w:bookmarkEnd w:id="234"/>
      <w:bookmarkEnd w:id="23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31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36" w:name="_Toc2683_WPSOffice_Level2"/>
            <w:bookmarkStart w:id="237" w:name="_Toc13225_WPSOffice_Level2"/>
            <w:bookmarkStart w:id="238" w:name="_Toc6645_WPSOffice_Level2"/>
            <w:bookmarkStart w:id="239" w:name="_Toc6863_WPSOffice_Level2"/>
            <w:bookmarkStart w:id="240" w:name="_Toc5164_WPSOffice_Level2"/>
            <w:bookmarkStart w:id="241" w:name="_Toc5423_WPSOffice_Level2"/>
            <w:bookmarkStart w:id="242" w:name="_Toc617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AP100,FAAP24,FAF1,FAM131B,FAM135B,FAM175A,FAM46C,FAM47C,FAN1,FANCA,FANCB,FANCC,FANCD2,FANCE,FANCF,FANCG,FANCI,FANCL,FANCM,FAS,FAT1,FAT2,FAT3,FAT4,FBLN2,FBXO11,FBXW7,FCGR2B,FCGR3A,FCRL4,FEN1,FES,FEV,FEZF1,FGF10,FGF12,FGF14,FGF19,FGF23,FGF3,FGF4,FGF6,FGF7,FGFR1,FGFR1OP,FGFR2,FGFR3,FGFR4,FH,FHIT,FIP1L1,FKBP9,FLCN,FLI1,FLNA,FLT1,FLT3,FLT4,FMR1,FN1,FNBP1,FNTB,FOLR3,FOXA1,FOXA2,FOXL2,FOXO1,FOXO3,FOXO4,FOXP1,FOXR1,FRG1,FRS2,FSTL3,FUBP1,FUS,FY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236"/>
      <w:bookmarkEnd w:id="237"/>
      <w:bookmarkEnd w:id="238"/>
      <w:bookmarkEnd w:id="239"/>
      <w:bookmarkEnd w:id="240"/>
      <w:bookmarkEnd w:id="241"/>
      <w:bookmarkEnd w:id="24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8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3" w:name="_Toc12046_WPSOffice_Level2"/>
            <w:bookmarkStart w:id="244" w:name="_Toc24628_WPSOffice_Level2"/>
            <w:bookmarkStart w:id="245" w:name="_Toc5860_WPSOffice_Level2"/>
            <w:bookmarkStart w:id="246" w:name="_Toc6323_WPSOffice_Level2"/>
            <w:bookmarkStart w:id="247" w:name="_Toc3387_WPSOffice_Level2"/>
            <w:bookmarkStart w:id="248" w:name="_Toc29762_WPSOffice_Level2"/>
            <w:bookmarkStart w:id="249" w:name="_Toc1381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G6PD,GABRA6,GALNT12,GAS7,GATA1,GATA2,GATA3,GATA4,GATA6,GEN1,GGH,GID4,GLI1,GLI2,GMPS,GNA11,GNA13,GNAI2,GNAQ,GNAS,GOLGA5,GOPC,GPC3,GPC5,GPHN,GPS2,GRB2,GREM1,GRIN2A,GRM3,GSK3B,GSTA1,GSTM3,GSTP1,GTF2H1,GTF2H2,GTF2H2C,GTF2H3,GTF2H4,GTF2H5,GTF2I</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243"/>
      <w:bookmarkEnd w:id="244"/>
      <w:bookmarkEnd w:id="245"/>
      <w:bookmarkEnd w:id="246"/>
      <w:bookmarkEnd w:id="247"/>
      <w:bookmarkEnd w:id="248"/>
      <w:bookmarkEnd w:id="24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9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0" w:name="_Toc31905_WPSOffice_Level2"/>
            <w:bookmarkStart w:id="251" w:name="_Toc6004_WPSOffice_Level2"/>
            <w:bookmarkStart w:id="252" w:name="_Toc15619_WPSOffice_Level2"/>
            <w:bookmarkStart w:id="253" w:name="_Toc13244_WPSOffice_Level2"/>
            <w:bookmarkStart w:id="254" w:name="_Toc22500_WPSOffice_Level2"/>
            <w:bookmarkStart w:id="255" w:name="_Toc11082_WPSOffice_Level2"/>
            <w:bookmarkStart w:id="256" w:name="_Toc70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3F3A,H3F3B,HDAC1,HDAC2,HDAC3,HDAC4,HDAC6,HDAC8,HERC2,HERPUD1,HES1,HEY1,HFE,HGF,HIF1A,HIP1,HIST1H1B,HIST1H1C,HIST1H1E,HIST1H2AC,HIST1H3A,HIST1H3B,HIST1H3C,HIST1H3D,HIST1H3E,HIST1H3F,HIST1H3G,HIST1H3H,HIST1H3I,HIST1H3J,HIST1H4I,HIST2H3D,HLF,HMGA1,HMGA2,HMGB1,HNF1A,HNRNPA2B1,HOOK3,HOXA11,HOXA13,HOXA9,HOXB13,HOXC11,HOXC13,HOXD11,HOXD13,HRAS,HSD3B1,HSP90AA1,HSP90AB1,HSP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250"/>
      <w:bookmarkEnd w:id="251"/>
      <w:bookmarkEnd w:id="252"/>
      <w:bookmarkEnd w:id="253"/>
      <w:bookmarkEnd w:id="254"/>
      <w:bookmarkEnd w:id="255"/>
      <w:bookmarkEnd w:id="25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7" w:name="_Toc23443_WPSOffice_Level2"/>
            <w:bookmarkStart w:id="258" w:name="_Toc7586_WPSOffice_Level2"/>
            <w:bookmarkStart w:id="259" w:name="_Toc13664_WPSOffice_Level2"/>
            <w:bookmarkStart w:id="260" w:name="_Toc4042_WPSOffice_Level2"/>
            <w:bookmarkStart w:id="261" w:name="_Toc21560_WPSOffice_Level2"/>
            <w:bookmarkStart w:id="262" w:name="_Toc15479_WPSOffice_Level2"/>
            <w:bookmarkStart w:id="263" w:name="_Toc2353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ID3,IDH1,IDH2,IDO1,IDO2,IFNGR1,IGF1,IGF1R,IGF2,IGF2BP2,IGF2R,IKBKB,IKBKE,IKZF1,IKZF3,IL2,IL21R,IL6ST,IL7R,ING1,INHBA,INPP4A,INPP4B,INPPL1,INSR,IRF1,IRF2,IRF4,IRF8,IRS2,IRS4,ISX,ITGAV,ITK,ITPA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257"/>
      <w:bookmarkEnd w:id="258"/>
      <w:bookmarkEnd w:id="259"/>
      <w:bookmarkEnd w:id="260"/>
      <w:bookmarkEnd w:id="261"/>
      <w:bookmarkEnd w:id="262"/>
      <w:bookmarkEnd w:id="26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4" w:name="_Toc22039_WPSOffice_Level2"/>
            <w:bookmarkStart w:id="265" w:name="_Toc11254_WPSOffice_Level2"/>
            <w:bookmarkStart w:id="266" w:name="_Toc28498_WPSOffice_Level2"/>
            <w:bookmarkStart w:id="267" w:name="_Toc5629_WPSOffice_Level2"/>
            <w:bookmarkStart w:id="268" w:name="_Toc2337_WPSOffice_Level2"/>
            <w:bookmarkStart w:id="269" w:name="_Toc10575_WPSOffice_Level2"/>
            <w:bookmarkStart w:id="270" w:name="_Toc2919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JAK1,JAK2,JAK3,JAZF1,JUN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264"/>
      <w:bookmarkEnd w:id="265"/>
      <w:bookmarkEnd w:id="266"/>
      <w:bookmarkEnd w:id="267"/>
      <w:bookmarkEnd w:id="268"/>
      <w:bookmarkEnd w:id="269"/>
      <w:bookmarkEnd w:id="27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7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1" w:name="_Toc17621_WPSOffice_Level2"/>
            <w:bookmarkStart w:id="272" w:name="_Toc8519_WPSOffice_Level2"/>
            <w:bookmarkStart w:id="273" w:name="_Toc17668_WPSOffice_Level2"/>
            <w:bookmarkStart w:id="274" w:name="_Toc13246_WPSOffice_Level2"/>
            <w:bookmarkStart w:id="275" w:name="_Toc2613_WPSOffice_Level2"/>
            <w:bookmarkStart w:id="276" w:name="_Toc8985_WPSOffice_Level2"/>
            <w:bookmarkStart w:id="277" w:name="_Toc1886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KANSL1,KAT6A,KAT6B,KAT7,KCNJ5,KDM5A,KDM5C,KDM6A,KDR,KDSR,KEAP1,KEL,KIAA1549,KIF5B,KIT,KLF4,KLF5,KLF6,KLHL6,KLK2,KMT2A,KMT2B,KMT2C,KMT2D,KNL1,KNSTRN,KRAS,KTN1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271"/>
      <w:bookmarkEnd w:id="272"/>
      <w:bookmarkEnd w:id="273"/>
      <w:bookmarkEnd w:id="274"/>
      <w:bookmarkEnd w:id="275"/>
      <w:bookmarkEnd w:id="276"/>
      <w:bookmarkEnd w:id="27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8" w:name="_Toc2334_WPSOffice_Level2"/>
            <w:bookmarkStart w:id="279" w:name="_Toc12118_WPSOffice_Level2"/>
            <w:bookmarkStart w:id="280" w:name="_Toc25338_WPSOffice_Level2"/>
            <w:bookmarkStart w:id="281" w:name="_Toc23413_WPSOffice_Level2"/>
            <w:bookmarkStart w:id="282" w:name="_Toc6654_WPSOffice_Level2"/>
            <w:bookmarkStart w:id="283" w:name="_Toc24337_WPSOffice_Level2"/>
            <w:bookmarkStart w:id="284" w:name="_Toc12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LARP4B,LASP1,LATS1,LATS2,LCK,LCP1,LEF1,LEPROTL1,LHFPL6,LIFR,LIG1,LIG3,LMNA,LMO1,LMO2,LPP,LRIG3,LRP1B,LRP2,LRP6,LRRK2,LSM14A,LTB,LTK,LYL1,LYN,LZTR1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278"/>
      <w:bookmarkEnd w:id="279"/>
      <w:bookmarkEnd w:id="280"/>
      <w:bookmarkEnd w:id="281"/>
      <w:bookmarkEnd w:id="282"/>
      <w:bookmarkEnd w:id="283"/>
      <w:bookmarkEnd w:id="28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7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85" w:name="_Toc28807_WPSOffice_Level2"/>
            <w:bookmarkStart w:id="286" w:name="_Toc20736_WPSOffice_Level2"/>
            <w:bookmarkStart w:id="287" w:name="_Toc20271_WPSOffice_Level2"/>
            <w:bookmarkStart w:id="288" w:name="_Toc17711_WPSOffice_Level2"/>
            <w:bookmarkStart w:id="289" w:name="_Toc17254_WPSOffice_Level2"/>
            <w:bookmarkStart w:id="290" w:name="_Toc5840_WPSOffice_Level2"/>
            <w:bookmarkStart w:id="291" w:name="_Toc607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CC1,MAF,MAFB,MAGI2,MALT1,MAML2,MAN1B1,MAP2K1,MAP2K2,MAP2K4,MAP3K1,MAP3K13,MAP4K1,MAP4K4,MAPK1,MAPK14,MAPK8,MAPK9,MARK2,MAX,MB21D2,MBD4,MC1R,MCL1,MDM2,MDM4,MDS2,MECOM,MED12,MEF2B,MEF2C,MEN1,MERTK,MET,MGA,MGMT,MITF,MKI67,MKNK1,MKNK2,MLF1,MLH1,MLH3,MLLT1,MLLT10,MLLT11,MLLT3,MLLT6,MMP12,MMP14,MMP2,MMP9,MN1,MNAT1,MNX1,MPG,MPL,MRE11,MRE11A,MRTFA,MSH2,MSH3,MSH6,MSI2,MSN,MST1R,MTAP,MTCP1,MTHFR,MTOR,MTR,MUC1,MUC16,MUC4,MUS81,MUTYH,MYB,MYC,MYCL,MYCN,MYD88,MYH11,MYH9,MYO1B,MYO5A,MYOD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bookmarkEnd w:id="285"/>
      <w:bookmarkEnd w:id="286"/>
      <w:bookmarkEnd w:id="287"/>
      <w:bookmarkEnd w:id="288"/>
      <w:bookmarkEnd w:id="289"/>
      <w:bookmarkEnd w:id="290"/>
      <w:bookmarkEnd w:id="29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2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2" w:name="_Toc24586_WPSOffice_Level2"/>
            <w:bookmarkStart w:id="293" w:name="_Toc18813_WPSOffice_Level2"/>
            <w:bookmarkStart w:id="294" w:name="_Toc31683_WPSOffice_Level2"/>
            <w:bookmarkStart w:id="295" w:name="_Toc18295_WPSOffice_Level2"/>
            <w:bookmarkStart w:id="296" w:name="_Toc22623_WPSOffice_Level2"/>
            <w:bookmarkStart w:id="297" w:name="_Toc26031_WPSOffice_Level2"/>
            <w:bookmarkStart w:id="298" w:name="_Toc1878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4BP2,NAB2,NACA,NAT1,NAT2,NBEA,NBN,NCKIPSD,NCOA1,NCOA2,NCOA4,NCOR1,NCOR2,NDRG1,NEIL1,NEIL2,NEIL3,NF1,NF2,NFATC2,NFE2L2,NFIB,NFKB2,NFKBIA,NFKBIE,NHEJ1,NIN,NKX2-1,NONO,NOTCH1,NOTCH2,NOTCH3,NOTCH4,NPM1,NQO1,NR4A3,NRAS,NRG1,NRP2,NSD1,NSD2,NSD3,NT5C2,NTHL1,NTRK1,NTRK2,NTRK3,NUDT1,NUMA1,NUP214,NUP93,NUP98,NUTM1,NUTM2B,NUTM2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hint="eastAsia" w:ascii="Times New Roman" w:hAnsi="Times New Roman" w:eastAsia="微软雅黑" w:cs="Times New Roman"/>
          <w:b/>
          <w:color w:val="416AAB"/>
          <w:sz w:val="24"/>
          <w:highlight w:val="none"/>
          <w:lang w:eastAsia="zh-CN"/>
        </w:rPr>
        <w:t>O</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8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OGG1,OLIG2,OMD,OPRM1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292"/>
      <w:bookmarkEnd w:id="293"/>
      <w:bookmarkEnd w:id="294"/>
      <w:bookmarkEnd w:id="295"/>
      <w:bookmarkEnd w:id="296"/>
      <w:bookmarkEnd w:id="297"/>
      <w:bookmarkEnd w:id="29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98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9" w:name="_Toc31152_WPSOffice_Level2"/>
            <w:bookmarkStart w:id="300" w:name="_Toc2455_WPSOffice_Level2"/>
            <w:bookmarkStart w:id="301" w:name="_Toc30144_WPSOffice_Level2"/>
            <w:bookmarkStart w:id="302" w:name="_Toc15930_WPSOffice_Level2"/>
            <w:bookmarkStart w:id="303" w:name="_Toc11576_WPSOffice_Level2"/>
            <w:bookmarkStart w:id="304" w:name="_Toc25837_WPSOffice_Level2"/>
            <w:bookmarkStart w:id="305" w:name="_Toc2216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2RY8,PABPC1,PAFAH1B2,PAK1,PAK3,PAK5,PALB2,PARK2,PARP1,PARP2,PARP3,PARP4,PATZ1,PAX3,PAX5,PAX7,PAX8,PBRM1,PBX1,PCBP1,PCLO,PCM1,PCNA,PDCD1,PDCD1LG2,PDE4DIP,PDGFB,PDGFRA,PDGFRB,PDK1,PDPK1,PDS5B,PEG3,PER1,PGR,PHF6,PHLPP2,PHOX2B,PICALM,PIK3C2B,PIK3C2G,PIK3C3,PIK3CA,PIK3CB,PIK3CD,PIK3CG,PIK3R1,PIK3R2,PIK3R3,PIM1,PLAG1,PLCG1,PLCG2,PLK1,PLXNB2,PML,PMS1,PMS2,PNRC1,POLB,POLD1,POLD2,POLD3,POLD4,POLE,POLE2,POLE3,POLE4,POLG,POLH,POLI,POLK,POLL,POLM,POLN,POLQ,POT1,POU2AF1,POU5F1,PPARG,PPFIBP1,PPM1D,PPP1R15A,PPP2R1A,PPP2R2A,PPP2R5B,PPP6C,PRCC,PRDM1,PRDM16,PRDM2,PREX2,PRF1,PRKACA,PRKAR1A,PRKCB,PRKCE,PRKCG,PRKCH,PRKCI,PRKDC,PRKN,PRPF40B,PRPF8,PRPS1,PRRT2,PRRX1,PRSS1,PRSS8,PSIP1,PTCH1,PTCH2,PTEN,PTK2,PTK6,PTPN11,PTPN13,PTPN6,PTPRB,PTPRC,PTPRD,PTPRK,PTPRO,PTPRT,PWWP2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299"/>
      <w:bookmarkEnd w:id="300"/>
      <w:bookmarkEnd w:id="301"/>
      <w:bookmarkEnd w:id="302"/>
      <w:bookmarkEnd w:id="303"/>
      <w:bookmarkEnd w:id="304"/>
      <w:bookmarkEnd w:id="30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06" w:name="_Toc18298_WPSOffice_Level2"/>
            <w:bookmarkStart w:id="307" w:name="_Toc10927_WPSOffice_Level2"/>
            <w:bookmarkStart w:id="308" w:name="_Toc21218_WPSOffice_Level2"/>
            <w:bookmarkStart w:id="309" w:name="_Toc24581_WPSOffice_Level2"/>
            <w:bookmarkStart w:id="310" w:name="_Toc17817_WPSOffice_Level2"/>
            <w:bookmarkStart w:id="311" w:name="_Toc6105_WPSOffice_Level2"/>
            <w:bookmarkStart w:id="312" w:name="_Toc2184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306"/>
      <w:bookmarkEnd w:id="307"/>
      <w:bookmarkEnd w:id="308"/>
      <w:bookmarkEnd w:id="309"/>
      <w:bookmarkEnd w:id="310"/>
      <w:bookmarkEnd w:id="311"/>
      <w:bookmarkEnd w:id="31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3" w:name="_Toc7518_WPSOffice_Level2"/>
            <w:bookmarkStart w:id="314" w:name="_Toc20673_WPSOffice_Level2"/>
            <w:bookmarkStart w:id="315" w:name="_Toc26632_WPSOffice_Level2"/>
            <w:bookmarkStart w:id="316" w:name="_Toc32618_WPSOffice_Level2"/>
            <w:bookmarkStart w:id="317" w:name="_Toc3881_WPSOffice_Level2"/>
            <w:bookmarkStart w:id="318" w:name="_Toc22953_WPSOffice_Level2"/>
            <w:bookmarkStart w:id="319" w:name="_Toc580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BEP1,RAC1,RAC2,RAD17,RAD21,RAD23A,RAD23B,RAD50,RAD51,RAD51B,RAD51C,RAD51D,RAD52,RAD54B,RAD54L,RAF1,RALGDS,RANBP2,RAP1GDS1,RARA,RARB,RASA1,RASA2,RASSF1,RASSF8,RB1,RBBP8,RBM10,RBM15,RBX1,RECQL4,REL,RET,REV1,REV3L,RFC1,RFC2,RFC3,RFC4,RFC5,RFWD3,RGPD3,RGS7,RHBDF2,RHEB,RHOA,RHOH,RICTOR,RIT1,RMI1,RMI2,RNF213,RNF43,RNF6,ROBO2,ROCK1,ROS1,RPA1,RPA2,RPA3,RPA4,RPL10,RPL22,RPL5,RPN1,RPS6KA1,RPS6KB1,RPTOR,RRAGC,RRAS2,RRM1,RSF1,RSPO2,RSPO3,RUNX1,RUNX1T1,RUNX2,RXR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313"/>
      <w:bookmarkEnd w:id="314"/>
      <w:bookmarkEnd w:id="315"/>
      <w:bookmarkEnd w:id="316"/>
      <w:bookmarkEnd w:id="317"/>
      <w:bookmarkEnd w:id="318"/>
      <w:bookmarkEnd w:id="31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64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0" w:name="_Toc14661_WPSOffice_Level2"/>
            <w:bookmarkStart w:id="321" w:name="_Toc22431_WPSOffice_Level2"/>
            <w:bookmarkStart w:id="322" w:name="_Toc25299_WPSOffice_Level2"/>
            <w:bookmarkStart w:id="323" w:name="_Toc15940_WPSOffice_Level2"/>
            <w:bookmarkStart w:id="324" w:name="_Toc22629_WPSOffice_Level2"/>
            <w:bookmarkStart w:id="325" w:name="_Toc31722_WPSOffice_Level2"/>
            <w:bookmarkStart w:id="326" w:name="_Toc950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100A7,SALL4,SATB2,SBDS,SDC4,SDHA,SDHAF2,SDHB,SDHC,SDHD,SEC31A,SEM1,SEMA3C,SEPT5,SEPT6,SEPT9,SERPINB3,SET,SETBP1,SETD1B,SETD2,SETDB1,SF3B1,SFPQ,SFRP4,SGK1,SH2B3,SH3GL1,SHH,SHTN1,SIN3A,SIRPA,SIX1,SIX2,SKI,SLC10A2,SLC16A7,SLC19A1,SLC22A2,SLC28A1,SLC28A3,SLC29A1,SLC34A2,SLC45A3,SLCO1B1,SLCO1B3,SLIT2,SLX1A,SLX1B,SLX4,SLX4,SMAD2,SMAD3,SMAD4,SMARCA1,SMARCA4,SMARCB1,SMARCD1,SMARCE1,SMC1A,SMO,SMUG1,SNAI1,SNAI2,SNCAIP,SND1,SNX29,SOCS1,SOD2,SOS1,SOX10,SOX17,SOX2,SOX21,SOX9,SP140,SPECC1,SPEN,SPINK1,SPOP,SPTA1,SRC,SRGAP3,SRSF2,SRSF3,SS18,SS18L1,SSBP1,SSX1,SSX2,SSX4,STAG1,STAG2,STAT3,STAT4,STAT5B,STAT6,STIL,STK11,STK4,STRN,SUFU,SULT1A1,SUZ12,SYCP3,SYK</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320"/>
      <w:bookmarkEnd w:id="321"/>
      <w:bookmarkEnd w:id="322"/>
      <w:bookmarkEnd w:id="323"/>
      <w:bookmarkEnd w:id="324"/>
      <w:bookmarkEnd w:id="325"/>
      <w:bookmarkEnd w:id="32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7" w:name="_Toc20849_WPSOffice_Level2"/>
            <w:bookmarkStart w:id="328" w:name="_Toc27188_WPSOffice_Level2"/>
            <w:bookmarkStart w:id="329" w:name="_Toc7607_WPSOffice_Level2"/>
            <w:bookmarkStart w:id="330" w:name="_Toc5581_WPSOffice_Level2"/>
            <w:bookmarkStart w:id="331" w:name="_Toc4328_WPSOffice_Level2"/>
            <w:bookmarkStart w:id="332" w:name="_Toc27147_WPSOffice_Level2"/>
            <w:bookmarkStart w:id="333" w:name="_Toc2437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AF1,TAF15,TAL1,TAL2,TBL1XR1,TBX3,TCEA1,TCF12,TCF3,TCF4,TCF7L2,TCL1A,TDG,TDO2,TEC,TEK,TELO2,TENT5C,TERT,TET1,TET2,TFE3,TFEB,TFG,TFPT,TFRC,TGFBR1,TGFBR2,THRAP3,TIPARP,TLK2,TLR4,TLX1,TLX3,TMEM127,TMEM30A,TMPRSS2,TNC,TNF,TNFAIP3,TNFRSF11A,TNFRSF14,TNFRSF17,TNFSF11,TNKS,TNKS2,TOP1,TOP2A,TOP3A,TOP3B,TOPBP1,TP53,TP53BP1,TP63,TPM3,TPM4,TPMT,TPR,TRAF2,TRAF3,TRAF5,TRAF7,TRIM24,TRIM27,TRIM33,TRIO,TRIP11,TRRAP,TSC1,TSC2,TSHR,TUBA1A,TUBB,TUBD1,TUBE1,TWIST1,TYRO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327"/>
      <w:bookmarkEnd w:id="328"/>
      <w:bookmarkEnd w:id="329"/>
      <w:bookmarkEnd w:id="330"/>
      <w:bookmarkEnd w:id="331"/>
      <w:bookmarkEnd w:id="332"/>
      <w:bookmarkEnd w:id="33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4" w:name="_Toc11511_WPSOffice_Level2"/>
            <w:bookmarkStart w:id="335" w:name="_Toc26466_WPSOffice_Level2"/>
            <w:bookmarkStart w:id="336" w:name="_Toc8746_WPSOffice_Level2"/>
            <w:bookmarkStart w:id="337" w:name="_Toc23457_WPSOffice_Level2"/>
            <w:bookmarkStart w:id="338" w:name="_Toc9066_WPSOffice_Level2"/>
            <w:bookmarkStart w:id="339" w:name="_Toc6343_WPSOffice_Level2"/>
            <w:bookmarkStart w:id="340" w:name="_Toc238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U2AF1,U2AF2,UBE2T,UBR5,UGT1A9,UIMC1,UMPS,UNG,USP1,USP44,USP6,USP8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334"/>
      <w:bookmarkEnd w:id="335"/>
      <w:bookmarkEnd w:id="336"/>
      <w:bookmarkEnd w:id="337"/>
      <w:bookmarkEnd w:id="338"/>
      <w:bookmarkEnd w:id="339"/>
      <w:bookmarkEnd w:id="34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1" w:name="_Toc20319_WPSOffice_Level2"/>
            <w:bookmarkStart w:id="342" w:name="_Toc1557_WPSOffice_Level2"/>
            <w:bookmarkStart w:id="343" w:name="_Toc12685_WPSOffice_Level2"/>
            <w:bookmarkStart w:id="344" w:name="_Toc17938_WPSOffice_Level2"/>
            <w:bookmarkStart w:id="345" w:name="_Toc17440_WPSOffice_Level2"/>
            <w:bookmarkStart w:id="346" w:name="_Toc3049_WPSOffice_Level2"/>
            <w:bookmarkStart w:id="347" w:name="_Toc606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VAV1,VEGFA,VEGFB,VEGFC,VHL,VTI1A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341"/>
      <w:bookmarkEnd w:id="342"/>
      <w:bookmarkEnd w:id="343"/>
      <w:bookmarkEnd w:id="344"/>
      <w:bookmarkEnd w:id="345"/>
      <w:bookmarkEnd w:id="346"/>
      <w:bookmarkEnd w:id="34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8" w:name="_Toc28180_WPSOffice_Level2"/>
            <w:bookmarkStart w:id="349" w:name="_Toc19766_WPSOffice_Level2"/>
            <w:bookmarkStart w:id="350" w:name="_Toc25956_WPSOffice_Level2"/>
            <w:bookmarkStart w:id="351" w:name="_Toc21686_WPSOffice_Level2"/>
            <w:bookmarkStart w:id="352" w:name="_Toc18427_WPSOffice_Level2"/>
            <w:bookmarkStart w:id="353" w:name="_Toc27824_WPSOffice_Level2"/>
            <w:bookmarkStart w:id="354" w:name="_Toc2981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WAS,WDCP,WDR48,WEE1,WHSC1,WHSC1L1,WIF1,WISP3,WNK2,WNT1,WNT5A,WNT6,WRN,WT1,WWTR1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348"/>
      <w:bookmarkEnd w:id="349"/>
      <w:bookmarkEnd w:id="350"/>
      <w:bookmarkEnd w:id="351"/>
      <w:bookmarkEnd w:id="352"/>
      <w:bookmarkEnd w:id="353"/>
      <w:bookmarkEnd w:id="35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55" w:name="_Toc20570_WPSOffice_Level2"/>
            <w:bookmarkStart w:id="356" w:name="_Toc27941_WPSOffice_Level2"/>
            <w:bookmarkStart w:id="357" w:name="_Toc7268_WPSOffice_Level2"/>
            <w:bookmarkStart w:id="358" w:name="_Toc24661_WPSOffice_Level2"/>
            <w:bookmarkStart w:id="359" w:name="_Toc19658_WPSOffice_Level2"/>
            <w:bookmarkStart w:id="360" w:name="_Toc8959_WPSOffice_Level2"/>
            <w:bookmarkStart w:id="361" w:name="_Toc987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XIAP,XPA,XPC,XPO1,XRCC1,XRCC2,XRCC3,XRCC4,XRCC5,XRCC6</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hint="eastAsia" w:ascii="Times New Roman" w:hAnsi="Times New Roman" w:eastAsia="微软雅黑" w:cs="Times New Roman"/>
          <w:b/>
          <w:color w:val="416AAB"/>
          <w:sz w:val="24"/>
          <w:highlight w:val="none"/>
          <w:lang w:eastAsia="zh-CN"/>
        </w:rPr>
        <w:t>Y</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YES1,YWHAE</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355"/>
      <w:bookmarkEnd w:id="356"/>
      <w:bookmarkEnd w:id="357"/>
      <w:bookmarkEnd w:id="358"/>
      <w:bookmarkEnd w:id="359"/>
      <w:bookmarkEnd w:id="360"/>
      <w:bookmarkEnd w:id="36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0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ZBTB16,ZBTB2,ZBTB20,ZCCHC8,ZEB1,ZFHX3,ZFP36L1,ZMYM2,ZMYM3,ZNF217,ZNF331,ZNF384,ZNF429,ZNF479,ZNF521,ZNF703,ZNF750,ZNF814,ZNRF3,ZRSR2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bookmarkStart w:id="362" w:name="_Toc5476"/>
      <w:bookmarkStart w:id="363" w:name="_Toc20170_WPSOffice_Level1"/>
      <w:bookmarkStart w:id="364" w:name="_Toc26985_WPSOffice_Level1"/>
      <w:r>
        <w:rPr>
          <w:highlight w:val="none"/>
          <w:lang w:eastAsia="zh-CN"/>
        </w:rPr>
        <w:br w:type="page"/>
      </w:r>
    </w:p>
    <w:p>
      <w:pPr>
        <w:pStyle w:val="25"/>
        <w:rPr>
          <w:highlight w:val="none"/>
        </w:rPr>
      </w:pPr>
      <w:bookmarkStart w:id="365" w:name="_Toc22382"/>
      <w:r>
        <w:rPr>
          <w:highlight w:val="none"/>
        </w:rPr>
        <w:t>检测流程</w:t>
      </w:r>
      <w:bookmarkEnd w:id="200"/>
      <w:bookmarkEnd w:id="362"/>
      <w:bookmarkEnd w:id="363"/>
      <w:bookmarkEnd w:id="364"/>
      <w:bookmarkEnd w:id="365"/>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6" w:name="_Toc19277_WPSOffice_Level2"/>
      <w:bookmarkStart w:id="367" w:name="_Toc3149_WPSOffice_Level2"/>
      <w:r>
        <w:rPr>
          <w:rFonts w:ascii="Times New Roman" w:hAnsi="Times New Roman" w:eastAsia="微软雅黑" w:cs="Times New Roman"/>
          <w:color w:val="416AAB"/>
          <w:sz w:val="72"/>
          <w:szCs w:val="72"/>
          <w:highlight w:val="none"/>
          <w:lang w:eastAsia="zh-CN"/>
        </w:rPr>
        <w:t>2</w:t>
      </w:r>
      <w:bookmarkEnd w:id="366"/>
      <w:bookmarkEnd w:id="367"/>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68" w:name="_Toc17014_WPSOffice_Level2"/>
      <w:bookmarkStart w:id="369" w:name="_Toc206_WPSOffice_Level2"/>
      <w:r>
        <w:rPr>
          <w:rFonts w:ascii="Times New Roman" w:hAnsi="Times New Roman" w:eastAsia="微软雅黑" w:cs="Times New Roman"/>
          <w:color w:val="416AAB"/>
          <w:sz w:val="72"/>
          <w:szCs w:val="72"/>
          <w:highlight w:val="none"/>
          <w:lang w:eastAsia="zh-CN"/>
        </w:rPr>
        <w:t>3</w:t>
      </w:r>
      <w:bookmarkEnd w:id="368"/>
      <w:bookmarkEnd w:id="369"/>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370" w:name="_Toc50_WPSOffice_Level2"/>
      <w:bookmarkStart w:id="371" w:name="_Toc17792_WPSOffice_Level2"/>
      <w:r>
        <w:rPr>
          <w:rFonts w:ascii="Times New Roman" w:hAnsi="Times New Roman" w:eastAsia="微软雅黑" w:cs="Times New Roman"/>
          <w:color w:val="416AAB"/>
          <w:sz w:val="72"/>
          <w:szCs w:val="72"/>
          <w:highlight w:val="none"/>
          <w:lang w:eastAsia="zh-CN"/>
        </w:rPr>
        <w:t>4</w:t>
      </w:r>
      <w:bookmarkEnd w:id="370"/>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372" w:name="_Toc11550"/>
      <w:bookmarkStart w:id="373" w:name="_Toc21361"/>
      <w:bookmarkStart w:id="374" w:name="_Toc13275"/>
      <w:bookmarkStart w:id="375" w:name="_Toc22162_WPSOffice_Level1"/>
      <w:bookmarkStart w:id="376" w:name="_Toc19584_WPSOffice_Level1"/>
      <w:bookmarkStart w:id="377" w:name="_Toc14611_WPSOffice_Level1"/>
      <w:bookmarkStart w:id="378" w:name="_Toc22623"/>
      <w:r>
        <w:rPr>
          <w:highlight w:val="none"/>
        </w:rPr>
        <w:t>参考文献</w:t>
      </w:r>
      <w:bookmarkEnd w:id="372"/>
      <w:bookmarkEnd w:id="373"/>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7"/>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17"/>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371"/>
    <w:bookmarkEnd w:id="374"/>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7"/>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7"/>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7"/>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7"/>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17"/>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375"/>
    <w:bookmarkEnd w:id="376"/>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377"/>
      <w:r>
        <w:rPr>
          <w:rFonts w:ascii="Times New Roman" w:hAnsi="Times New Roman" w:cs="Times New Roman"/>
          <w:sz w:val="15"/>
          <w:szCs w:val="15"/>
          <w:highlight w:val="none"/>
        </w:rPr>
        <w:t>[J]. Cell, 2014, 157(1), 255-266.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379" w:name="OLE_LINK19"/>
      <w:r>
        <w:rPr>
          <w:rFonts w:ascii="Times New Roman" w:hAnsi="Times New Roman" w:cs="Times New Roman"/>
          <w:sz w:val="15"/>
          <w:szCs w:val="15"/>
          <w:highlight w:val="none"/>
        </w:rPr>
        <w:t>Regulation of CD95/Fas signaling at the DISC</w:t>
      </w:r>
      <w:bookmarkEnd w:id="378"/>
      <w:bookmarkEnd w:id="379"/>
      <w:r>
        <w:rPr>
          <w:rFonts w:ascii="Times New Roman" w:hAnsi="Times New Roman" w:cs="Times New Roman"/>
          <w:sz w:val="15"/>
          <w:szCs w:val="15"/>
          <w:highlight w:val="none"/>
        </w:rPr>
        <w:t>[J]. Cell Death Differ, 2012, 19(1), 36-41.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380" w:name="OLE_LINK16"/>
      <w:bookmarkStart w:id="381" w:name="OLE_LINK17"/>
      <w:r>
        <w:rPr>
          <w:rFonts w:ascii="Times New Roman" w:hAnsi="Times New Roman" w:cs="Times New Roman"/>
          <w:sz w:val="15"/>
          <w:szCs w:val="15"/>
          <w:highlight w:val="none"/>
        </w:rPr>
        <w:t>The Hippo pathway: regulators and regulations</w:t>
      </w:r>
      <w:bookmarkEnd w:id="380"/>
      <w:bookmarkEnd w:id="381"/>
      <w:r>
        <w:rPr>
          <w:rFonts w:ascii="Times New Roman" w:hAnsi="Times New Roman" w:cs="Times New Roman"/>
          <w:sz w:val="15"/>
          <w:szCs w:val="15"/>
          <w:highlight w:val="none"/>
        </w:rPr>
        <w:t>[J]. Genes Dev, 2013, 27(4), 355-371.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382" w:name="OLE_LINK25"/>
      <w:bookmarkStart w:id="383" w:name="OLE_LINK14"/>
      <w:bookmarkStart w:id="384" w:name="OLE_LINK15"/>
      <w:bookmarkStart w:id="385" w:name="OLE_LINK24"/>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382"/>
      <w:bookmarkEnd w:id="383"/>
      <w:bookmarkEnd w:id="384"/>
      <w:bookmarkEnd w:id="385"/>
      <w:r>
        <w:rPr>
          <w:rFonts w:ascii="Times New Roman" w:hAnsi="Times New Roman" w:cs="Times New Roman"/>
          <w:sz w:val="15"/>
          <w:szCs w:val="15"/>
          <w:highlight w:val="none"/>
        </w:rPr>
        <w:t>[J]. Genes Dev, 2014, 28(4), 305-316.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386" w:name="OLE_LINK20"/>
      <w:bookmarkStart w:id="387" w:name="OLE_LINK21"/>
      <w:r>
        <w:rPr>
          <w:rFonts w:ascii="Times New Roman" w:hAnsi="Times New Roman" w:cs="Times New Roman"/>
          <w:sz w:val="15"/>
          <w:szCs w:val="15"/>
          <w:highlight w:val="none"/>
        </w:rPr>
        <w:t>Cancer as a dysregulated epigenome allowing cellular growth advantage at the expense of the host</w:t>
      </w:r>
      <w:bookmarkEnd w:id="386"/>
      <w:bookmarkEnd w:id="387"/>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388" w:name="OLE_LINK23"/>
      <w:bookmarkStart w:id="389" w:name="OLE_LINK22"/>
      <w:r>
        <w:rPr>
          <w:rFonts w:ascii="Times New Roman" w:hAnsi="Times New Roman" w:cs="Times New Roman"/>
          <w:sz w:val="15"/>
          <w:szCs w:val="15"/>
          <w:highlight w:val="none"/>
        </w:rPr>
        <w:t>Tumor microenvironment and cellular stress: signaling, metabolism, imaging, and therapeutic targets</w:t>
      </w:r>
      <w:bookmarkEnd w:id="388"/>
      <w:bookmarkEnd w:id="389"/>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17"/>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widowControl/>
        <w:numPr>
          <w:ilvl w:val="0"/>
          <w:numId w:val="0"/>
        </w:numPr>
        <w:spacing w:after="84" w:line="259" w:lineRule="auto"/>
        <w:ind w:leftChars="0"/>
        <w:rPr>
          <w:rFonts w:ascii="Times New Roman" w:hAnsi="Times New Roman" w:cs="Times New Roman"/>
          <w:sz w:val="15"/>
          <w:szCs w:val="15"/>
          <w:highlight w:val="none"/>
        </w:rPr>
      </w:pPr>
    </w:p>
    <w:p>
      <w:pPr>
        <w:rPr>
          <w:highlight w:val="none"/>
        </w:rPr>
      </w:pPr>
    </w:p>
    <w:sectPr>
      <w:headerReference r:id="rId7" w:type="default"/>
      <w:footerReference r:id="rId8" w:type="default"/>
      <w:pgSz w:w="11910" w:h="16840"/>
      <w:pgMar w:top="1037" w:right="1020" w:bottom="981" w:left="1020" w:header="624"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eastAsia="zh-CN"/>
      </w:rPr>
      <w:t>12</w:t>
    </w:r>
    <w:r>
      <w:rPr>
        <w:rFonts w:hint="eastAsia" w:ascii="Times New Roman" w:hAnsi="Times New Roman" w:eastAsia="微软雅黑" w:cs="Times New Roman"/>
        <w:color w:val="7F7F7F"/>
        <w:sz w:val="20"/>
        <w:szCs w:val="20"/>
        <w:lang w:val="en-US" w:eastAsia="zh-CN"/>
      </w:rPr>
      <w:t>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FE6F61"/>
    <w:multiLevelType w:val="singleLevel"/>
    <w:tmpl w:val="87FE6F61"/>
    <w:lvl w:ilvl="0" w:tentative="0">
      <w:start w:val="1"/>
      <w:numFmt w:val="decimal"/>
      <w:suff w:val="space"/>
      <w:lvlText w:val="%1."/>
      <w:lvlJc w:val="left"/>
    </w:lvl>
  </w:abstractNum>
  <w:abstractNum w:abstractNumId="1">
    <w:nsid w:val="A894AF16"/>
    <w:multiLevelType w:val="singleLevel"/>
    <w:tmpl w:val="A894AF16"/>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7EE91CB"/>
    <w:multiLevelType w:val="singleLevel"/>
    <w:tmpl w:val="17EE91CB"/>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FD2A38E"/>
    <w:multiLevelType w:val="singleLevel"/>
    <w:tmpl w:val="3FD2A38E"/>
    <w:lvl w:ilvl="0" w:tentative="0">
      <w:start w:val="1"/>
      <w:numFmt w:val="decimal"/>
      <w:lvlText w:val="%1."/>
      <w:lvlJc w:val="left"/>
      <w:pPr>
        <w:ind w:left="425" w:hanging="42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3">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4">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10"/>
  </w:num>
  <w:num w:numId="2">
    <w:abstractNumId w:val="15"/>
  </w:num>
  <w:num w:numId="3">
    <w:abstractNumId w:val="11"/>
  </w:num>
  <w:num w:numId="4">
    <w:abstractNumId w:val="5"/>
  </w:num>
  <w:num w:numId="5">
    <w:abstractNumId w:val="6"/>
  </w:num>
  <w:num w:numId="6">
    <w:abstractNumId w:val="2"/>
  </w:num>
  <w:num w:numId="7">
    <w:abstractNumId w:val="3"/>
  </w:num>
  <w:num w:numId="8">
    <w:abstractNumId w:val="4"/>
  </w:num>
  <w:num w:numId="9">
    <w:abstractNumId w:val="7"/>
  </w:num>
  <w:num w:numId="10">
    <w:abstractNumId w:val="13"/>
  </w:num>
  <w:num w:numId="11">
    <w:abstractNumId w:val="0"/>
  </w:num>
  <w:num w:numId="12">
    <w:abstractNumId w:val="1"/>
  </w:num>
  <w:num w:numId="13">
    <w:abstractNumId w:val="8"/>
  </w:num>
  <w:num w:numId="14">
    <w:abstractNumId w:val="12"/>
  </w:num>
  <w:num w:numId="15">
    <w:abstractNumId w:val="14"/>
  </w:num>
  <w:num w:numId="16">
    <w:abstractNumId w:val="16"/>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B5B79"/>
    <w:rsid w:val="00154460"/>
    <w:rsid w:val="00172A27"/>
    <w:rsid w:val="00276CD5"/>
    <w:rsid w:val="002E3CD6"/>
    <w:rsid w:val="002E7BF1"/>
    <w:rsid w:val="00391615"/>
    <w:rsid w:val="003D2994"/>
    <w:rsid w:val="0052321F"/>
    <w:rsid w:val="006A31A2"/>
    <w:rsid w:val="007E782E"/>
    <w:rsid w:val="00875C74"/>
    <w:rsid w:val="008B2982"/>
    <w:rsid w:val="00907638"/>
    <w:rsid w:val="00A0169B"/>
    <w:rsid w:val="00AE5DB4"/>
    <w:rsid w:val="00B01B75"/>
    <w:rsid w:val="00D2107B"/>
    <w:rsid w:val="00D22BB0"/>
    <w:rsid w:val="00D40855"/>
    <w:rsid w:val="00D730DF"/>
    <w:rsid w:val="00DA2F2F"/>
    <w:rsid w:val="00E31BA8"/>
    <w:rsid w:val="00F25C1E"/>
    <w:rsid w:val="00FF7BB1"/>
    <w:rsid w:val="011A030A"/>
    <w:rsid w:val="011A0D8B"/>
    <w:rsid w:val="0171268E"/>
    <w:rsid w:val="01A0337A"/>
    <w:rsid w:val="02CA5230"/>
    <w:rsid w:val="031B6FF1"/>
    <w:rsid w:val="038726D8"/>
    <w:rsid w:val="03E921F1"/>
    <w:rsid w:val="04791D69"/>
    <w:rsid w:val="04871837"/>
    <w:rsid w:val="04A167FA"/>
    <w:rsid w:val="04C17114"/>
    <w:rsid w:val="05815BFE"/>
    <w:rsid w:val="05887898"/>
    <w:rsid w:val="05D63B33"/>
    <w:rsid w:val="06A61E8D"/>
    <w:rsid w:val="06E36A2C"/>
    <w:rsid w:val="06EB7F4D"/>
    <w:rsid w:val="074043CC"/>
    <w:rsid w:val="07AB34E7"/>
    <w:rsid w:val="07D36A00"/>
    <w:rsid w:val="07DB59EB"/>
    <w:rsid w:val="083F50A2"/>
    <w:rsid w:val="088D7FF0"/>
    <w:rsid w:val="09705B33"/>
    <w:rsid w:val="0A043ABA"/>
    <w:rsid w:val="0A4F2135"/>
    <w:rsid w:val="0A757891"/>
    <w:rsid w:val="0ADA7F11"/>
    <w:rsid w:val="0AEC09F3"/>
    <w:rsid w:val="0C1768CC"/>
    <w:rsid w:val="0C3A0C95"/>
    <w:rsid w:val="0C3E5385"/>
    <w:rsid w:val="0C96240B"/>
    <w:rsid w:val="0CC26BD0"/>
    <w:rsid w:val="0D055CE8"/>
    <w:rsid w:val="0D9819F1"/>
    <w:rsid w:val="0E11445D"/>
    <w:rsid w:val="0E542351"/>
    <w:rsid w:val="0E632099"/>
    <w:rsid w:val="0EBF2A43"/>
    <w:rsid w:val="0EC91129"/>
    <w:rsid w:val="0ED843CC"/>
    <w:rsid w:val="0F890797"/>
    <w:rsid w:val="0FB9297A"/>
    <w:rsid w:val="0FD33020"/>
    <w:rsid w:val="0FEF6595"/>
    <w:rsid w:val="10393EFC"/>
    <w:rsid w:val="10A519AE"/>
    <w:rsid w:val="110D3F98"/>
    <w:rsid w:val="126971EB"/>
    <w:rsid w:val="12850E64"/>
    <w:rsid w:val="12963DA1"/>
    <w:rsid w:val="12F372F0"/>
    <w:rsid w:val="132612E4"/>
    <w:rsid w:val="13897526"/>
    <w:rsid w:val="13AB527B"/>
    <w:rsid w:val="14872247"/>
    <w:rsid w:val="148972D9"/>
    <w:rsid w:val="149B7751"/>
    <w:rsid w:val="14C82A00"/>
    <w:rsid w:val="14E50274"/>
    <w:rsid w:val="150E31A1"/>
    <w:rsid w:val="15196B67"/>
    <w:rsid w:val="1524470F"/>
    <w:rsid w:val="152E3223"/>
    <w:rsid w:val="153F7D0D"/>
    <w:rsid w:val="15D73C77"/>
    <w:rsid w:val="165063E4"/>
    <w:rsid w:val="16BD5BE8"/>
    <w:rsid w:val="16E67B0D"/>
    <w:rsid w:val="179E5A16"/>
    <w:rsid w:val="17EF172D"/>
    <w:rsid w:val="184F5A03"/>
    <w:rsid w:val="188B1EE6"/>
    <w:rsid w:val="188E10A8"/>
    <w:rsid w:val="19437087"/>
    <w:rsid w:val="199369D8"/>
    <w:rsid w:val="1B28649B"/>
    <w:rsid w:val="1BA36B7F"/>
    <w:rsid w:val="1BAD3E87"/>
    <w:rsid w:val="1C7A05D0"/>
    <w:rsid w:val="1C98707F"/>
    <w:rsid w:val="1CCD19AC"/>
    <w:rsid w:val="1CFB3D7D"/>
    <w:rsid w:val="1D0B7646"/>
    <w:rsid w:val="1D103BE7"/>
    <w:rsid w:val="1EAB0C6A"/>
    <w:rsid w:val="1EAF2912"/>
    <w:rsid w:val="1EEB2832"/>
    <w:rsid w:val="1F2B7CAE"/>
    <w:rsid w:val="20205A20"/>
    <w:rsid w:val="20855B55"/>
    <w:rsid w:val="209432E5"/>
    <w:rsid w:val="20C205EB"/>
    <w:rsid w:val="216F18A9"/>
    <w:rsid w:val="21D55A39"/>
    <w:rsid w:val="22180203"/>
    <w:rsid w:val="2322058C"/>
    <w:rsid w:val="235C2C2A"/>
    <w:rsid w:val="23DC4798"/>
    <w:rsid w:val="23FF1819"/>
    <w:rsid w:val="253036C5"/>
    <w:rsid w:val="256C4478"/>
    <w:rsid w:val="268C673B"/>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DAD2E9F"/>
    <w:rsid w:val="2E0C0EE9"/>
    <w:rsid w:val="2E3D6CA4"/>
    <w:rsid w:val="2E7C3545"/>
    <w:rsid w:val="2EB35A8A"/>
    <w:rsid w:val="2F28730D"/>
    <w:rsid w:val="304862D7"/>
    <w:rsid w:val="30C5113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66A08A1"/>
    <w:rsid w:val="371E73E3"/>
    <w:rsid w:val="37E81DE8"/>
    <w:rsid w:val="3848012E"/>
    <w:rsid w:val="38F86950"/>
    <w:rsid w:val="39525C52"/>
    <w:rsid w:val="3956425B"/>
    <w:rsid w:val="39A64D30"/>
    <w:rsid w:val="3A202424"/>
    <w:rsid w:val="3A804354"/>
    <w:rsid w:val="3AF460F5"/>
    <w:rsid w:val="3B721C7C"/>
    <w:rsid w:val="3BEA5380"/>
    <w:rsid w:val="3C3F24CA"/>
    <w:rsid w:val="3C5D7D9D"/>
    <w:rsid w:val="3CA93488"/>
    <w:rsid w:val="3D1C54C3"/>
    <w:rsid w:val="3D6C60E9"/>
    <w:rsid w:val="3D855C98"/>
    <w:rsid w:val="3EC949BD"/>
    <w:rsid w:val="3F1D1FAD"/>
    <w:rsid w:val="3F453F96"/>
    <w:rsid w:val="3FCB42E0"/>
    <w:rsid w:val="3FF2193A"/>
    <w:rsid w:val="405979F4"/>
    <w:rsid w:val="40895D14"/>
    <w:rsid w:val="40BA2B58"/>
    <w:rsid w:val="40F91152"/>
    <w:rsid w:val="41C73588"/>
    <w:rsid w:val="41EC43CC"/>
    <w:rsid w:val="41FF695D"/>
    <w:rsid w:val="42967F6B"/>
    <w:rsid w:val="42D665BD"/>
    <w:rsid w:val="43821027"/>
    <w:rsid w:val="452112A4"/>
    <w:rsid w:val="454A2BAB"/>
    <w:rsid w:val="459308E1"/>
    <w:rsid w:val="45A93012"/>
    <w:rsid w:val="45D4644E"/>
    <w:rsid w:val="46B72EB2"/>
    <w:rsid w:val="47523EC7"/>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414BB2"/>
    <w:rsid w:val="4E7E4296"/>
    <w:rsid w:val="4ED24E8A"/>
    <w:rsid w:val="4ED75229"/>
    <w:rsid w:val="4F2C4F1E"/>
    <w:rsid w:val="4F5624CB"/>
    <w:rsid w:val="4FB467F9"/>
    <w:rsid w:val="4FD02F65"/>
    <w:rsid w:val="510D07DF"/>
    <w:rsid w:val="519B28E7"/>
    <w:rsid w:val="52832C8D"/>
    <w:rsid w:val="52DB3A4A"/>
    <w:rsid w:val="52E57CC3"/>
    <w:rsid w:val="5312550A"/>
    <w:rsid w:val="53DE69BF"/>
    <w:rsid w:val="541E45C6"/>
    <w:rsid w:val="54D723E8"/>
    <w:rsid w:val="550721D5"/>
    <w:rsid w:val="55A47060"/>
    <w:rsid w:val="55AC636A"/>
    <w:rsid w:val="55C15CC7"/>
    <w:rsid w:val="563648E8"/>
    <w:rsid w:val="56A650A5"/>
    <w:rsid w:val="56B967C0"/>
    <w:rsid w:val="56BE67A9"/>
    <w:rsid w:val="56EE7782"/>
    <w:rsid w:val="57550496"/>
    <w:rsid w:val="576B0D91"/>
    <w:rsid w:val="57830686"/>
    <w:rsid w:val="57C96345"/>
    <w:rsid w:val="57D17697"/>
    <w:rsid w:val="57D92384"/>
    <w:rsid w:val="58020827"/>
    <w:rsid w:val="581808D2"/>
    <w:rsid w:val="588E3A11"/>
    <w:rsid w:val="58941028"/>
    <w:rsid w:val="58A44110"/>
    <w:rsid w:val="58DE21CC"/>
    <w:rsid w:val="5927169E"/>
    <w:rsid w:val="5B2616E5"/>
    <w:rsid w:val="5B3A4C3E"/>
    <w:rsid w:val="5B884B96"/>
    <w:rsid w:val="5BF93517"/>
    <w:rsid w:val="5D090FC9"/>
    <w:rsid w:val="5D7217AC"/>
    <w:rsid w:val="5FA2526B"/>
    <w:rsid w:val="5FAA3C47"/>
    <w:rsid w:val="5FF61953"/>
    <w:rsid w:val="600E54F4"/>
    <w:rsid w:val="604157B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3034CF"/>
    <w:rsid w:val="6B6721F6"/>
    <w:rsid w:val="6B713444"/>
    <w:rsid w:val="6B7A60D6"/>
    <w:rsid w:val="6B9F6D44"/>
    <w:rsid w:val="6C203A9A"/>
    <w:rsid w:val="6C385BB0"/>
    <w:rsid w:val="6CA6506C"/>
    <w:rsid w:val="6CB75CCD"/>
    <w:rsid w:val="6D2D26D4"/>
    <w:rsid w:val="6D6F7597"/>
    <w:rsid w:val="6E9303C1"/>
    <w:rsid w:val="6ECF03D4"/>
    <w:rsid w:val="6EEA4B30"/>
    <w:rsid w:val="6EEB1850"/>
    <w:rsid w:val="6F1D62F1"/>
    <w:rsid w:val="6F617B7A"/>
    <w:rsid w:val="6F7A3C37"/>
    <w:rsid w:val="6FC02C16"/>
    <w:rsid w:val="6FF6475E"/>
    <w:rsid w:val="70184EA3"/>
    <w:rsid w:val="70CB53E1"/>
    <w:rsid w:val="70E45041"/>
    <w:rsid w:val="714E12CF"/>
    <w:rsid w:val="7209016D"/>
    <w:rsid w:val="7259341C"/>
    <w:rsid w:val="728B00C1"/>
    <w:rsid w:val="734521A8"/>
    <w:rsid w:val="73707E67"/>
    <w:rsid w:val="73BA58EC"/>
    <w:rsid w:val="73CA7D44"/>
    <w:rsid w:val="741F0C23"/>
    <w:rsid w:val="743439CA"/>
    <w:rsid w:val="748F3308"/>
    <w:rsid w:val="74BC7F66"/>
    <w:rsid w:val="74DD127A"/>
    <w:rsid w:val="75686B98"/>
    <w:rsid w:val="7677072C"/>
    <w:rsid w:val="76A00464"/>
    <w:rsid w:val="76A021B3"/>
    <w:rsid w:val="76B664D7"/>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C3403C9"/>
    <w:rsid w:val="7D4E0C16"/>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emf"/><Relationship Id="rId13" Type="http://schemas.openxmlformats.org/officeDocument/2006/relationships/image" Target="media/image4.emf"/><Relationship Id="rId12" Type="http://schemas.openxmlformats.org/officeDocument/2006/relationships/image" Target="media/image3.emf"/><Relationship Id="rId11" Type="http://schemas.openxmlformats.org/officeDocument/2006/relationships/image" Target="media/image2.emf"/><Relationship Id="rId10" Type="http://schemas.openxmlformats.org/officeDocument/2006/relationships/image" Target="media/image1.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20509</Words>
  <Characters>116906</Characters>
  <Lines>974</Lines>
  <Paragraphs>274</Paragraphs>
  <TotalTime>0</TotalTime>
  <ScaleCrop>false</ScaleCrop>
  <LinksUpToDate>false</LinksUpToDate>
  <CharactersWithSpaces>137141</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將離</cp:lastModifiedBy>
  <dcterms:modified xsi:type="dcterms:W3CDTF">2021-07-01T08:18:22Z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15D9B49A2D564E3595A8E337F508FA7E</vt:lpwstr>
  </property>
</Properties>
</file>