
<file path=[Content_Types].xml><?xml version="1.0" encoding="utf-8"?>
<Types xmlns="http://schemas.openxmlformats.org/package/2006/content-types">
  <Default Extension="xml" ContentType="application/xml"/>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highlight w:val="none"/>
          <w:lang w:eastAsia="zh-CN"/>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sdt>
      <w:sdtPr>
        <w:rPr>
          <w:sz w:val="21"/>
          <w:highlight w:val="none"/>
        </w:rPr>
        <w:id w:val="147475785"/>
        <w15:color w:val="DBDBDB"/>
        <w:docPartObj>
          <w:docPartGallery w:val="Table of Contents"/>
          <w:docPartUnique/>
        </w:docPartObj>
      </w:sdtPr>
      <w:sdtEndPr>
        <w:rPr>
          <w:sz w:val="21"/>
          <w:highlight w:val="none"/>
        </w:rPr>
      </w:sdtEndPr>
      <w:sdtContent>
        <w:p>
          <w:pPr>
            <w:rPr>
              <w:highlight w:val="none"/>
            </w:rPr>
          </w:pPr>
        </w:p>
      </w:sdtContent>
    </w:sdt>
    <w:p>
      <w:pPr>
        <w:pStyle w:val="4"/>
        <w:jc w:val="center"/>
        <w:rPr>
          <w:sz w:val="48"/>
          <w:szCs w:val="48"/>
          <w:highlight w:val="none"/>
          <w:lang w:eastAsia="zh-CN"/>
        </w:rPr>
      </w:pPr>
      <w:bookmarkStart w:id="0" w:name="_Toc26189"/>
      <w:bookmarkStart w:id="1" w:name="_Toc12869"/>
      <w:r>
        <w:rPr>
          <w:rFonts w:hint="eastAsia"/>
          <w:sz w:val="48"/>
          <w:szCs w:val="48"/>
          <w:highlight w:val="none"/>
          <w:lang w:eastAsia="zh-CN"/>
        </w:rPr>
        <w:t>检测报告</w:t>
      </w:r>
      <w:bookmarkEnd w:id="0"/>
      <w:bookmarkEnd w:id="1"/>
    </w:p>
    <w:p>
      <w:pPr>
        <w:pStyle w:val="6"/>
        <w:rPr>
          <w:rFonts w:ascii="黑体"/>
          <w:sz w:val="48"/>
          <w:highlight w:val="none"/>
          <w:lang w:eastAsia="zh-CN"/>
        </w:rPr>
      </w:pPr>
    </w:p>
    <w:p>
      <w:pPr>
        <w:pStyle w:val="6"/>
        <w:rPr>
          <w:rFonts w:ascii="黑体"/>
          <w:sz w:val="48"/>
          <w:highlight w:val="none"/>
          <w:lang w:eastAsia="zh-CN"/>
        </w:rPr>
      </w:pPr>
    </w:p>
    <w:p>
      <w:pPr>
        <w:pStyle w:val="6"/>
        <w:rPr>
          <w:rFonts w:ascii="黑体"/>
          <w:sz w:val="48"/>
          <w:highlight w:val="none"/>
          <w:lang w:eastAsia="zh-CN"/>
        </w:rPr>
      </w:pPr>
    </w:p>
    <w:p>
      <w:pPr>
        <w:pStyle w:val="6"/>
        <w:rPr>
          <w:rFonts w:ascii="黑体"/>
          <w:sz w:val="48"/>
          <w:highlight w:val="none"/>
          <w:lang w:eastAsia="zh-CN"/>
        </w:rPr>
      </w:pPr>
    </w:p>
    <w:p>
      <w:pPr>
        <w:pStyle w:val="6"/>
        <w:rPr>
          <w:rFonts w:ascii="Times New Roman" w:hAnsi="Times New Roman" w:eastAsia="微软雅黑" w:cs="Times New Roman"/>
          <w:sz w:val="30"/>
          <w:szCs w:val="30"/>
          <w:highlight w:val="none"/>
          <w:lang w:eastAsia="zh-CN"/>
        </w:rPr>
      </w:pPr>
    </w:p>
    <w:tbl>
      <w:tblPr>
        <w:tblStyle w:val="13"/>
        <w:tblpPr w:leftFromText="180" w:rightFromText="180" w:vertAnchor="text" w:horzAnchor="page" w:tblpX="2542" w:tblpY="537"/>
        <w:tblOverlap w:val="never"/>
        <w:tblW w:w="65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reportdate }}</w:t>
            </w:r>
          </w:p>
        </w:tc>
      </w:tr>
    </w:tbl>
    <w:p>
      <w:pPr>
        <w:tabs>
          <w:tab w:val="left" w:pos="6082"/>
          <w:tab w:val="left" w:pos="6324"/>
          <w:tab w:val="left" w:pos="9183"/>
        </w:tabs>
        <w:spacing w:before="411" w:line="308" w:lineRule="auto"/>
        <w:ind w:right="2699"/>
        <w:jc w:val="both"/>
        <w:rPr>
          <w:sz w:val="30"/>
          <w:highlight w:val="none"/>
          <w:u w:val="single"/>
          <w:lang w:eastAsia="zh-CN"/>
        </w:rPr>
        <w:sectPr>
          <w:pgSz w:w="11910" w:h="16840"/>
          <w:pgMar w:top="1580" w:right="0" w:bottom="280" w:left="20" w:header="720" w:footer="720" w:gutter="0"/>
          <w:pgBorders>
            <w:top w:val="none" w:sz="0" w:space="0"/>
            <w:left w:val="none" w:sz="0" w:space="0"/>
            <w:bottom w:val="none" w:sz="0" w:space="0"/>
            <w:right w:val="none" w:sz="0" w:space="0"/>
          </w:pgBorders>
          <w:pgNumType w:start="1"/>
          <w:cols w:space="720" w:num="1"/>
        </w:sectPr>
      </w:pPr>
    </w:p>
    <w:p>
      <w:pPr>
        <w:rPr>
          <w:rFonts w:ascii="Times New Roman" w:hAnsi="Times New Roman" w:eastAsia="微软雅黑" w:cs="Times New Roman"/>
          <w:b/>
          <w:color w:val="00B050"/>
          <w:sz w:val="32"/>
          <w:szCs w:val="32"/>
          <w:highlight w:val="none"/>
          <w:lang w:eastAsia="zh-CN"/>
        </w:rPr>
      </w:pPr>
    </w:p>
    <w:p>
      <w:pPr>
        <w:rPr>
          <w:rFonts w:ascii="Times New Roman" w:hAnsi="Times New Roman" w:eastAsia="微软雅黑" w:cs="Times New Roman"/>
          <w:b/>
          <w:color w:val="00B050"/>
          <w:sz w:val="32"/>
          <w:szCs w:val="32"/>
          <w:highlight w:val="none"/>
          <w:lang w:eastAsia="zh-CN"/>
        </w:rPr>
      </w:pPr>
      <w:r>
        <w:rPr>
          <w:rFonts w:ascii="Times New Roman" w:hAnsi="Times New Roman" w:eastAsia="微软雅黑" w:cs="Times New Roman"/>
          <w:highlight w:val="none"/>
          <w:lang w:eastAsia="zh-CN"/>
        </w:rPr>
        <mc:AlternateContent>
          <mc:Choice Requires="wps">
            <w:drawing>
              <wp:anchor distT="0" distB="0" distL="114300" distR="114300" simplePos="0" relativeHeight="251670528" behindDoc="0" locked="0" layoutInCell="1" allowOverlap="1">
                <wp:simplePos x="0" y="0"/>
                <wp:positionH relativeFrom="column">
                  <wp:posOffset>-790575</wp:posOffset>
                </wp:positionH>
                <wp:positionV relativeFrom="paragraph">
                  <wp:posOffset>301625</wp:posOffset>
                </wp:positionV>
                <wp:extent cx="2209800" cy="485775"/>
                <wp:effectExtent l="0" t="0" r="0" b="1905"/>
                <wp:wrapNone/>
                <wp:docPr id="24"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62.25pt;margin-top:23.75pt;height:38.25pt;width:174pt;z-index:251670528;mso-width-relative:page;mso-height-relative:page;" fillcolor="#E7E6E6" filled="t" stroked="f" coordsize="21600,21600" o:gfxdata="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JN/KPtkAAAAL&#10;AQAADwAAAAAAAAABACAAAAAiAAAAZHJzL2Rvd25yZXYueG1sUEsBAhQAFAAAAAgAh07iQACRnQob&#10;AgAANQQAAA4AAAAAAAAAAQAgAAAAKAEAAGRycy9lMm9Eb2MueG1sUEsFBgAAAAAGAAYAWQEAALUF&#10;AAAAAA==&#10;">
                <v:fill on="t" focussize="0,0"/>
                <v:stroke on="f"/>
                <v:imagedata o:title=""/>
                <o:lock v:ext="edit" aspectratio="f"/>
                <v:textbox>
                  <w:txbxContent>
                    <w:p>
                      <w:pPr>
                        <w:jc w:val="center"/>
                      </w:pPr>
                    </w:p>
                  </w:txbxContent>
                </v:textbox>
              </v:rect>
            </w:pict>
          </mc:Fallback>
        </mc:AlternateContent>
      </w:r>
    </w:p>
    <w:p>
      <w:pPr>
        <w:rPr>
          <w:rFonts w:ascii="Times New Roman" w:hAnsi="Times New Roman" w:eastAsia="微软雅黑" w:cs="Times New Roman"/>
          <w:b/>
          <w:color w:val="00B050"/>
          <w:sz w:val="32"/>
          <w:szCs w:val="32"/>
          <w:highlight w:val="none"/>
          <w:lang w:eastAsia="zh-CN"/>
        </w:rPr>
      </w:pPr>
      <w:r>
        <w:rPr>
          <w:rFonts w:ascii="Times New Roman" w:hAnsi="Times New Roman" w:eastAsia="微软雅黑" w:cs="Times New Roman"/>
          <w:highlight w:val="none"/>
          <w:lang w:eastAsia="zh-CN"/>
        </w:rPr>
        <mc:AlternateContent>
          <mc:Choice Requires="wps">
            <w:drawing>
              <wp:anchor distT="0" distB="0" distL="114300" distR="114300" simplePos="0" relativeHeight="251672576" behindDoc="0" locked="0" layoutInCell="1" allowOverlap="1">
                <wp:simplePos x="0" y="0"/>
                <wp:positionH relativeFrom="column">
                  <wp:posOffset>-170815</wp:posOffset>
                </wp:positionH>
                <wp:positionV relativeFrom="paragraph">
                  <wp:posOffset>83185</wp:posOffset>
                </wp:positionV>
                <wp:extent cx="1543685" cy="649605"/>
                <wp:effectExtent l="0" t="0" r="0" b="0"/>
                <wp:wrapNone/>
                <wp:docPr id="21"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13.45pt;margin-top:6.55pt;height:51.15pt;width:121.55pt;z-index:251672576;mso-width-relative:page;mso-height-relative:page;" filled="f" stroked="f" coordsize="21600,21600" o:gfxdata="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&#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yQtZo1wAAAAoBAAAPAAAAAAAAAAEAIAAAACIAAABk&#10;cnMvZG93bnJldi54bWxQSwECFAAUAAAACACHTuJAvy20AQcCAAAVBAAADgAAAAAAAAABACAAAAAm&#10;AQAAZHJzL2Uyb0RvYy54bWxQSwUGAAAAAAYABgBZAQAAnwUAAAAA&#10;">
                <v:fill on="f" focussize="0,0"/>
                <v:stroke on="f"/>
                <v:imagedata o:title=""/>
                <o:lock v:ext="edit" aspectratio="f"/>
                <v:textbox style="mso-fit-shape-to-text:t;">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1552" behindDoc="0" locked="0" layoutInCell="1" allowOverlap="1">
                <wp:simplePos x="0" y="0"/>
                <wp:positionH relativeFrom="column">
                  <wp:posOffset>1419225</wp:posOffset>
                </wp:positionH>
                <wp:positionV relativeFrom="paragraph">
                  <wp:posOffset>67945</wp:posOffset>
                </wp:positionV>
                <wp:extent cx="1104900" cy="485775"/>
                <wp:effectExtent l="0" t="0" r="7620" b="1905"/>
                <wp:wrapNone/>
                <wp:docPr id="20"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00B050"/>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11.75pt;margin-top:5.35pt;height:38.25pt;width:87pt;z-index:251671552;mso-width-relative:page;mso-height-relative:page;" fillcolor="#00B050" filled="t" stroked="f" coordsize="21600,21600" o:gfxdata="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xKeldgAAAAJAQAA&#10;DwAAAAAAAAABACAAAAAiAAAAZHJzL2Rvd25yZXYueG1sUEsBAhQAFAAAAAgAh07iQPyefp8ZAgAA&#10;NQQAAA4AAAAAAAAAAQAgAAAAJwEAAGRycy9lMm9Eb2MueG1sUEsFBgAAAAAGAAYAWQEAALIFAAAA&#10;AA==&#10;">
                <v:fill on="t" focussize="0,0"/>
                <v:stroke on="f"/>
                <v:imagedata o:title=""/>
                <o:lock v:ext="edit" aspectratio="f"/>
                <v:textbox>
                  <w:txbxContent>
                    <w:p>
                      <w:pPr>
                        <w:jc w:val="center"/>
                      </w:pPr>
                    </w:p>
                  </w:txbxContent>
                </v:textbox>
              </v:rect>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6672" behindDoc="0" locked="0" layoutInCell="1" allowOverlap="1">
                <wp:simplePos x="0" y="0"/>
                <wp:positionH relativeFrom="column">
                  <wp:posOffset>1407795</wp:posOffset>
                </wp:positionH>
                <wp:positionV relativeFrom="paragraph">
                  <wp:posOffset>91440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0.85pt;margin-top:7.2pt;height:44.95pt;width:93.8pt;z-index:251676672;mso-width-relative:page;mso-height-relative:page;" filled="f" stroked="f" coordsize="21600,21600" o:gfxdata="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EMi+0vXAAAACgEAAA8AAAAAAAAAAQAgAAAAIgAAAGRy&#10;cy9kb3ducmV2LnhtbFBLAQIUABQAAAAIAIdO4kAi2Lb2BgIAABUEAAAOAAAAAAAAAAEAIAAAACYB&#10;AABkcnMvZTJvRG9jLnhtbFBLBQYAAAAABgAGAFkBAACeBQAAAAA=&#10;">
                <v:fill on="f" focussize="0,0"/>
                <v:stroke on="f"/>
                <v:imagedata o:title=""/>
                <o:lock v:ext="edit" aspectratio="f"/>
                <v:textbox style="mso-fit-shape-to-text:t;">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p>
    <w:p>
      <w:pPr>
        <w:rPr>
          <w:highlight w:val="none"/>
          <w:lang w:eastAsia="zh-CN"/>
        </w:rPr>
      </w:pPr>
    </w:p>
    <w:p>
      <w:pPr>
        <w:rPr>
          <w:highlight w:val="none"/>
          <w:lang w:eastAsia="zh-CN"/>
        </w:rPr>
      </w:pPr>
    </w:p>
    <w:p>
      <w:pPr>
        <w:pStyle w:val="10"/>
        <w:tabs>
          <w:tab w:val="right" w:leader="dot" w:pos="9870"/>
        </w:tabs>
        <w:spacing w:line="360" w:lineRule="auto"/>
        <w:rPr>
          <w:rStyle w:val="15"/>
          <w:rFonts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pPr>
      <w:r>
        <w:rPr>
          <w:highlight w:val="none"/>
          <w:lang w:eastAsia="zh-CN"/>
        </w:rPr>
        <w:fldChar w:fldCharType="begin"/>
      </w:r>
      <w:r>
        <w:rPr>
          <w:highlight w:val="none"/>
          <w:lang w:eastAsia="zh-CN"/>
        </w:rPr>
        <w:instrText xml:space="preserve"> TOC \o "1-2" \h \z \u </w:instrText>
      </w:r>
      <w:r>
        <w:rPr>
          <w:highlight w:val="none"/>
          <w:lang w:eastAsia="zh-CN"/>
        </w:rPr>
        <w:fldChar w:fldCharType="separate"/>
      </w:r>
      <w:r>
        <w:rPr>
          <w:highlight w:val="none"/>
        </w:rPr>
        <w:fldChar w:fldCharType="begin"/>
      </w:r>
      <w:r>
        <w:rPr>
          <w:highlight w:val="none"/>
        </w:rPr>
        <w:instrText xml:space="preserve"> HYPERLINK \l "_Toc2198" </w:instrText>
      </w:r>
      <w:r>
        <w:rPr>
          <w:highlight w:val="none"/>
        </w:rPr>
        <w:fldChar w:fldCharType="separate"/>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t>样本信息</w:t>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tab/>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begin"/>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instrText xml:space="preserve"> PAGEREF _Toc2198 </w:instrText>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separate"/>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t>2</w:t>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end"/>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end"/>
      </w:r>
    </w:p>
    <w:p>
      <w:pPr>
        <w:pStyle w:val="10"/>
        <w:tabs>
          <w:tab w:val="right" w:leader="dot" w:pos="9870"/>
        </w:tabs>
        <w:spacing w:line="360" w:lineRule="auto"/>
        <w:rPr>
          <w:rStyle w:val="15"/>
          <w:rFonts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pPr>
      <w:r>
        <w:rPr>
          <w:highlight w:val="none"/>
        </w:rPr>
        <w:fldChar w:fldCharType="begin"/>
      </w:r>
      <w:r>
        <w:rPr>
          <w:highlight w:val="none"/>
        </w:rPr>
        <w:instrText xml:space="preserve"> HYPERLINK \l "_Toc10810" </w:instrText>
      </w:r>
      <w:r>
        <w:rPr>
          <w:highlight w:val="none"/>
        </w:rPr>
        <w:fldChar w:fldCharType="separate"/>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t>检测项目</w:t>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tab/>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begin"/>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instrText xml:space="preserve"> PAGEREF _Toc10810 </w:instrText>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separate"/>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t>2</w:t>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end"/>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end"/>
      </w:r>
    </w:p>
    <w:p>
      <w:pPr>
        <w:pStyle w:val="10"/>
        <w:tabs>
          <w:tab w:val="right" w:leader="dot" w:pos="9870"/>
        </w:tabs>
        <w:spacing w:line="360" w:lineRule="auto"/>
        <w:rPr>
          <w:highlight w:val="none"/>
        </w:rPr>
      </w:pPr>
      <w:r>
        <w:rPr>
          <w:highlight w:val="none"/>
        </w:rPr>
        <w:fldChar w:fldCharType="begin"/>
      </w:r>
      <w:r>
        <w:rPr>
          <w:highlight w:val="none"/>
        </w:rPr>
        <w:instrText xml:space="preserve"> HYPERLINK \l "_Toc2022" </w:instrText>
      </w:r>
      <w:r>
        <w:rPr>
          <w:highlight w:val="none"/>
        </w:rPr>
        <w:fldChar w:fldCharType="separate"/>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t>检测结果小结</w:t>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tab/>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begin"/>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instrText xml:space="preserve"> PAGEREF _Toc2022 </w:instrText>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separate"/>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t>2</w:t>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end"/>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end"/>
      </w:r>
    </w:p>
    <w:p>
      <w:pPr>
        <w:pStyle w:val="10"/>
        <w:tabs>
          <w:tab w:val="right" w:leader="dot" w:pos="9870"/>
        </w:tabs>
        <w:spacing w:line="360" w:lineRule="auto"/>
        <w:rPr>
          <w:rStyle w:val="15"/>
          <w:rFonts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pPr>
      <w:r>
        <w:rPr>
          <w:highlight w:val="none"/>
        </w:rPr>
        <w:fldChar w:fldCharType="begin"/>
      </w:r>
      <w:r>
        <w:rPr>
          <w:highlight w:val="none"/>
        </w:rPr>
        <w:instrText xml:space="preserve"> HYPERLINK \l "_Toc17222" </w:instrText>
      </w:r>
      <w:r>
        <w:rPr>
          <w:highlight w:val="none"/>
        </w:rPr>
        <w:fldChar w:fldCharType="separate"/>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t>检测结果及用药提示</w:t>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tab/>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begin"/>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instrText xml:space="preserve"> PAGEREF _Toc17222 </w:instrText>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separate"/>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t>3</w:t>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end"/>
      </w:r>
      <w:r>
        <w:rPr>
          <w:rStyle w:val="15"/>
          <w:rFonts w:hint="eastAsia" w:ascii="Times New Roman" w:hAnsi="Times New Roman" w:eastAsia="微软雅黑" w:cs="Times New Roman"/>
          <w:color w:val="FFFFFF" w:themeColor="background1"/>
          <w:sz w:val="28"/>
          <w:szCs w:val="28"/>
          <w:highlight w:val="none"/>
          <w:shd w:val="clear" w:color="auto" w:fill="00B050"/>
          <w:lang w:eastAsia="zh-CN"/>
          <w14:textFill>
            <w14:solidFill>
              <w14:schemeClr w14:val="bg1"/>
            </w14:solidFill>
          </w14:textFill>
        </w:rPr>
        <w:fldChar w:fldCharType="end"/>
      </w:r>
    </w:p>
    <w:p>
      <w:pPr>
        <w:pStyle w:val="11"/>
        <w:tabs>
          <w:tab w:val="right" w:leader="dot" w:pos="9870"/>
        </w:tabs>
        <w:spacing w:line="360" w:lineRule="auto"/>
        <w:ind w:left="440"/>
        <w:rPr>
          <w:rFonts w:ascii="Times New Roman" w:hAnsi="Times New Roman" w:eastAsia="微软雅黑" w:cs="Times New Roman"/>
          <w:sz w:val="24"/>
          <w:szCs w:val="24"/>
          <w:highlight w:val="none"/>
          <w:lang w:eastAsia="zh-CN"/>
        </w:rPr>
      </w:pPr>
      <w:r>
        <w:rPr>
          <w:highlight w:val="none"/>
        </w:rPr>
        <w:fldChar w:fldCharType="begin"/>
      </w:r>
      <w:r>
        <w:rPr>
          <w:highlight w:val="none"/>
        </w:rPr>
        <w:instrText xml:space="preserve"> HYPERLINK \l "_Toc32619" </w:instrText>
      </w:r>
      <w:r>
        <w:rPr>
          <w:highlight w:val="none"/>
        </w:rPr>
        <w:fldChar w:fldCharType="separate"/>
      </w:r>
      <w:r>
        <w:rPr>
          <w:rFonts w:hint="eastAsia" w:ascii="Times New Roman" w:hAnsi="Times New Roman" w:eastAsia="微软雅黑" w:cs="Times New Roman"/>
          <w:sz w:val="24"/>
          <w:szCs w:val="24"/>
          <w:highlight w:val="none"/>
          <w:lang w:eastAsia="zh-CN"/>
        </w:rPr>
        <w:t>靶向药物用药提示</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_Toc32619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3</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p>
    <w:p>
      <w:pPr>
        <w:pStyle w:val="11"/>
        <w:tabs>
          <w:tab w:val="right" w:leader="dot" w:pos="9870"/>
        </w:tabs>
        <w:spacing w:line="360" w:lineRule="auto"/>
        <w:ind w:left="440"/>
        <w:rPr>
          <w:rFonts w:ascii="Times New Roman" w:hAnsi="Times New Roman" w:eastAsia="微软雅黑" w:cs="Times New Roman"/>
          <w:sz w:val="24"/>
          <w:szCs w:val="24"/>
          <w:highlight w:val="none"/>
          <w:lang w:eastAsia="zh-CN"/>
        </w:rPr>
      </w:pPr>
      <w:r>
        <w:rPr>
          <w:highlight w:val="none"/>
        </w:rPr>
        <w:fldChar w:fldCharType="begin"/>
      </w:r>
      <w:r>
        <w:rPr>
          <w:highlight w:val="none"/>
        </w:rPr>
        <w:instrText xml:space="preserve"> HYPERLINK \l "_Toc32225" </w:instrText>
      </w:r>
      <w:r>
        <w:rPr>
          <w:highlight w:val="none"/>
        </w:rPr>
        <w:fldChar w:fldCharType="separate"/>
      </w:r>
      <w:r>
        <w:rPr>
          <w:rFonts w:hint="eastAsia" w:ascii="Times New Roman" w:hAnsi="Times New Roman" w:eastAsia="微软雅黑" w:cs="Times New Roman"/>
          <w:sz w:val="24"/>
          <w:szCs w:val="24"/>
          <w:highlight w:val="none"/>
          <w:lang w:eastAsia="zh-CN"/>
        </w:rPr>
        <w:t>免疫药物用药提示</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_Toc32225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5</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t>{% if isSingleSample == False %}</w:t>
      </w:r>
    </w:p>
    <w:p>
      <w:pPr>
        <w:pStyle w:val="11"/>
        <w:tabs>
          <w:tab w:val="right" w:leader="dot" w:pos="9870"/>
        </w:tabs>
        <w:spacing w:line="360" w:lineRule="auto"/>
        <w:ind w:left="440"/>
        <w:rPr>
          <w:highlight w:val="none"/>
        </w:rPr>
      </w:pPr>
      <w:r>
        <w:rPr>
          <w:highlight w:val="none"/>
        </w:rPr>
        <w:fldChar w:fldCharType="begin"/>
      </w:r>
      <w:r>
        <w:rPr>
          <w:highlight w:val="none"/>
        </w:rPr>
        <w:instrText xml:space="preserve"> HYPERLINK \l "_Toc12481" </w:instrText>
      </w:r>
      <w:r>
        <w:rPr>
          <w:highlight w:val="none"/>
        </w:rPr>
        <w:fldChar w:fldCharType="separate"/>
      </w:r>
      <w:r>
        <w:rPr>
          <w:rFonts w:hint="eastAsia" w:ascii="Times New Roman" w:hAnsi="Times New Roman" w:eastAsia="微软雅黑" w:cs="Times New Roman"/>
          <w:sz w:val="24"/>
          <w:szCs w:val="24"/>
          <w:highlight w:val="none"/>
          <w:lang w:eastAsia="zh-CN"/>
        </w:rPr>
        <w:t>肿瘤遗传风险提示</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_Toc12481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9</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t>{% endif %}</w:t>
      </w:r>
    </w:p>
    <w:p>
      <w:pPr>
        <w:pStyle w:val="10"/>
        <w:keepNext w:val="0"/>
        <w:keepLines w:val="0"/>
        <w:pageBreakBefore w:val="0"/>
        <w:widowControl w:val="0"/>
        <w:tabs>
          <w:tab w:val="right" w:leader="dot" w:pos="9870"/>
        </w:tabs>
        <w:kinsoku/>
        <w:wordWrap/>
        <w:overflowPunct/>
        <w:topLinePunct w:val="0"/>
        <w:autoSpaceDE/>
        <w:autoSpaceDN/>
        <w:bidi w:val="0"/>
        <w:adjustRightInd/>
        <w:snapToGrid/>
        <w:spacing w:line="360" w:lineRule="auto"/>
        <w:textAlignment w:val="auto"/>
        <w:rPr>
          <w:highlight w:val="none"/>
        </w:rPr>
      </w:pPr>
      <w:r>
        <w:rPr>
          <w:highlight w:val="none"/>
        </w:rPr>
        <w:fldChar w:fldCharType="begin"/>
      </w:r>
      <w:r>
        <w:rPr>
          <w:highlight w:val="none"/>
        </w:rPr>
        <w:instrText xml:space="preserve"> HYPERLINK \l "_Toc30861" </w:instrText>
      </w:r>
      <w:r>
        <w:rPr>
          <w:highlight w:val="none"/>
        </w:rPr>
        <w:fldChar w:fldCharType="separate"/>
      </w:r>
      <w:r>
        <w:rPr>
          <w:rStyle w:val="15"/>
          <w:rFonts w:hint="eastAsia" w:ascii="Times New Roman" w:hAnsi="Times New Roman" w:eastAsia="微软雅黑" w:cs="Times New Roman"/>
          <w:color w:val="FFFFFF" w:themeColor="background1"/>
          <w:sz w:val="28"/>
          <w:szCs w:val="28"/>
          <w:highlight w:val="none"/>
          <w:u w:val="none"/>
          <w:shd w:val="clear" w:color="auto" w:fill="45A3A7"/>
          <w:lang w:eastAsia="zh-CN"/>
          <w14:textFill>
            <w14:solidFill>
              <w14:schemeClr w14:val="bg1"/>
            </w14:solidFill>
          </w14:textFill>
        </w:rPr>
        <w:t>基因检测结果解析</w:t>
      </w:r>
      <w:r>
        <w:rPr>
          <w:rStyle w:val="15"/>
          <w:rFonts w:hint="eastAsia" w:ascii="Times New Roman" w:hAnsi="Times New Roman" w:eastAsia="微软雅黑" w:cs="Times New Roman"/>
          <w:color w:val="FFFFFF" w:themeColor="background1"/>
          <w:sz w:val="28"/>
          <w:szCs w:val="28"/>
          <w:highlight w:val="none"/>
          <w:u w:val="none"/>
          <w:shd w:val="clear" w:color="auto" w:fill="45A3A7"/>
          <w:lang w:eastAsia="zh-CN"/>
          <w14:textFill>
            <w14:solidFill>
              <w14:schemeClr w14:val="bg1"/>
            </w14:solidFill>
          </w14:textFill>
        </w:rPr>
        <w:tab/>
      </w:r>
      <w:r>
        <w:rPr>
          <w:rStyle w:val="15"/>
          <w:rFonts w:hint="eastAsia" w:ascii="Times New Roman" w:hAnsi="Times New Roman" w:eastAsia="微软雅黑" w:cs="Times New Roman"/>
          <w:color w:val="FFFFFF" w:themeColor="background1"/>
          <w:sz w:val="28"/>
          <w:szCs w:val="28"/>
          <w:highlight w:val="none"/>
          <w:u w:val="none"/>
          <w:shd w:val="clear" w:color="auto" w:fill="45A3A7"/>
          <w:lang w:eastAsia="zh-CN"/>
          <w14:textFill>
            <w14:solidFill>
              <w14:schemeClr w14:val="bg1"/>
            </w14:solidFill>
          </w14:textFill>
        </w:rPr>
        <w:fldChar w:fldCharType="begin"/>
      </w:r>
      <w:r>
        <w:rPr>
          <w:rStyle w:val="15"/>
          <w:rFonts w:hint="eastAsia" w:ascii="Times New Roman" w:hAnsi="Times New Roman" w:eastAsia="微软雅黑" w:cs="Times New Roman"/>
          <w:color w:val="FFFFFF" w:themeColor="background1"/>
          <w:sz w:val="28"/>
          <w:szCs w:val="28"/>
          <w:highlight w:val="none"/>
          <w:u w:val="none"/>
          <w:shd w:val="clear" w:color="auto" w:fill="45A3A7"/>
          <w:lang w:eastAsia="zh-CN"/>
          <w14:textFill>
            <w14:solidFill>
              <w14:schemeClr w14:val="bg1"/>
            </w14:solidFill>
          </w14:textFill>
        </w:rPr>
        <w:instrText xml:space="preserve"> PAGEREF _Toc30861 </w:instrText>
      </w:r>
      <w:r>
        <w:rPr>
          <w:rStyle w:val="15"/>
          <w:rFonts w:hint="eastAsia" w:ascii="Times New Roman" w:hAnsi="Times New Roman" w:eastAsia="微软雅黑" w:cs="Times New Roman"/>
          <w:color w:val="FFFFFF" w:themeColor="background1"/>
          <w:sz w:val="28"/>
          <w:szCs w:val="28"/>
          <w:highlight w:val="none"/>
          <w:u w:val="none"/>
          <w:shd w:val="clear" w:color="auto" w:fill="45A3A7"/>
          <w:lang w:eastAsia="zh-CN"/>
          <w14:textFill>
            <w14:solidFill>
              <w14:schemeClr w14:val="bg1"/>
            </w14:solidFill>
          </w14:textFill>
        </w:rPr>
        <w:fldChar w:fldCharType="separate"/>
      </w:r>
      <w:r>
        <w:rPr>
          <w:rStyle w:val="15"/>
          <w:rFonts w:hint="eastAsia" w:ascii="Times New Roman" w:hAnsi="Times New Roman" w:eastAsia="微软雅黑" w:cs="Times New Roman"/>
          <w:color w:val="FFFFFF" w:themeColor="background1"/>
          <w:sz w:val="28"/>
          <w:szCs w:val="28"/>
          <w:highlight w:val="none"/>
          <w:u w:val="none"/>
          <w:shd w:val="clear" w:color="auto" w:fill="45A3A7"/>
          <w:lang w:eastAsia="zh-CN"/>
          <w14:textFill>
            <w14:solidFill>
              <w14:schemeClr w14:val="bg1"/>
            </w14:solidFill>
          </w14:textFill>
        </w:rPr>
        <w:t>10</w:t>
      </w:r>
      <w:r>
        <w:rPr>
          <w:rStyle w:val="15"/>
          <w:rFonts w:hint="eastAsia" w:ascii="Times New Roman" w:hAnsi="Times New Roman" w:eastAsia="微软雅黑" w:cs="Times New Roman"/>
          <w:color w:val="FFFFFF" w:themeColor="background1"/>
          <w:sz w:val="28"/>
          <w:szCs w:val="28"/>
          <w:highlight w:val="none"/>
          <w:u w:val="none"/>
          <w:shd w:val="clear" w:color="auto" w:fill="45A3A7"/>
          <w:lang w:eastAsia="zh-CN"/>
          <w14:textFill>
            <w14:solidFill>
              <w14:schemeClr w14:val="bg1"/>
            </w14:solidFill>
          </w14:textFill>
        </w:rPr>
        <w:fldChar w:fldCharType="end"/>
      </w:r>
      <w:r>
        <w:rPr>
          <w:rStyle w:val="15"/>
          <w:rFonts w:hint="eastAsia" w:ascii="Times New Roman" w:hAnsi="Times New Roman" w:eastAsia="微软雅黑" w:cs="Times New Roman"/>
          <w:color w:val="FFFFFF" w:themeColor="background1"/>
          <w:sz w:val="28"/>
          <w:szCs w:val="28"/>
          <w:highlight w:val="none"/>
          <w:u w:val="none"/>
          <w:shd w:val="clear" w:color="auto" w:fill="45A3A7"/>
          <w:lang w:eastAsia="zh-CN"/>
          <w14:textFill>
            <w14:solidFill>
              <w14:schemeClr w14:val="bg1"/>
            </w14:solidFill>
          </w14:textFill>
        </w:rPr>
        <w:fldChar w:fldCharType="end"/>
      </w:r>
      <w:r>
        <w:rPr>
          <w:rFonts w:hint="eastAsia" w:ascii="Times New Roman" w:hAnsi="Times New Roman" w:eastAsia="微软雅黑" w:cs="Times New Roman"/>
          <w:sz w:val="24"/>
          <w:szCs w:val="24"/>
          <w:highlight w:val="none"/>
          <w:lang w:eastAsia="zh-CN"/>
        </w:rPr>
        <w:t>{% if drugAnalysisIndex == 'true' %}</w:t>
      </w:r>
    </w:p>
    <w:p>
      <w:pPr>
        <w:pStyle w:val="11"/>
        <w:keepNext w:val="0"/>
        <w:keepLines w:val="0"/>
        <w:pageBreakBefore w:val="0"/>
        <w:widowControl w:val="0"/>
        <w:tabs>
          <w:tab w:val="right" w:leader="dot" w:pos="9870"/>
        </w:tabs>
        <w:kinsoku/>
        <w:wordWrap/>
        <w:overflowPunct/>
        <w:topLinePunct w:val="0"/>
        <w:autoSpaceDE/>
        <w:autoSpaceDN/>
        <w:bidi w:val="0"/>
        <w:adjustRightInd/>
        <w:snapToGrid/>
        <w:spacing w:line="360" w:lineRule="auto"/>
        <w:ind w:left="440"/>
        <w:textAlignment w:val="auto"/>
        <w:rPr>
          <w:rFonts w:ascii="Times New Roman" w:hAnsi="Times New Roman" w:eastAsia="微软雅黑" w:cs="Times New Roman"/>
          <w:sz w:val="24"/>
          <w:szCs w:val="24"/>
          <w:highlight w:val="none"/>
          <w:lang w:eastAsia="zh-CN"/>
        </w:rPr>
      </w:pPr>
      <w:r>
        <w:rPr>
          <w:highlight w:val="none"/>
        </w:rPr>
        <w:fldChar w:fldCharType="begin"/>
      </w:r>
      <w:r>
        <w:rPr>
          <w:highlight w:val="none"/>
        </w:rPr>
        <w:instrText xml:space="preserve"> HYPERLINK \l "_Toc32337" </w:instrText>
      </w:r>
      <w:r>
        <w:rPr>
          <w:highlight w:val="none"/>
        </w:rPr>
        <w:fldChar w:fldCharType="separate"/>
      </w:r>
      <w:r>
        <w:rPr>
          <w:rFonts w:hint="eastAsia" w:ascii="Times New Roman" w:hAnsi="Times New Roman" w:eastAsia="微软雅黑" w:cs="Times New Roman"/>
          <w:sz w:val="24"/>
          <w:szCs w:val="24"/>
          <w:highlight w:val="none"/>
          <w:lang w:eastAsia="zh-CN"/>
        </w:rPr>
        <w:t>靶向药物检测解析</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_Toc32337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10</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t>{% endif %}</w:t>
      </w:r>
    </w:p>
    <w:p>
      <w:pPr>
        <w:pStyle w:val="11"/>
        <w:tabs>
          <w:tab w:val="right" w:leader="dot" w:pos="9870"/>
        </w:tabs>
        <w:spacing w:line="360" w:lineRule="auto"/>
        <w:ind w:left="440"/>
        <w:rPr>
          <w:rFonts w:hint="eastAsia" w:ascii="Times New Roman" w:hAnsi="Times New Roman" w:eastAsia="微软雅黑" w:cs="Times New Roman"/>
          <w:sz w:val="24"/>
          <w:szCs w:val="24"/>
          <w:highlight w:val="none"/>
          <w:lang w:eastAsia="zh-CN"/>
        </w:rPr>
      </w:pPr>
      <w:r>
        <w:rPr>
          <w:highlight w:val="none"/>
        </w:rPr>
        <w:fldChar w:fldCharType="begin"/>
      </w:r>
      <w:r>
        <w:rPr>
          <w:highlight w:val="none"/>
        </w:rPr>
        <w:instrText xml:space="preserve"> HYPERLINK \l "_Toc6713" </w:instrText>
      </w:r>
      <w:r>
        <w:rPr>
          <w:highlight w:val="none"/>
        </w:rPr>
        <w:fldChar w:fldCharType="separate"/>
      </w:r>
      <w:r>
        <w:rPr>
          <w:rFonts w:ascii="Times New Roman" w:hAnsi="Times New Roman" w:eastAsia="微软雅黑" w:cs="Times New Roman"/>
          <w:sz w:val="24"/>
          <w:szCs w:val="24"/>
          <w:highlight w:val="none"/>
          <w:lang w:eastAsia="zh-CN"/>
        </w:rPr>
        <w:t>免疫检测结果解析</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_Toc6713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24</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t>{% if isSingleSample == False %}{% if crAnalysisIndex == 'true' %}</w:t>
      </w:r>
    </w:p>
    <w:p>
      <w:pPr>
        <w:pStyle w:val="11"/>
        <w:tabs>
          <w:tab w:val="right" w:leader="dot" w:pos="9870"/>
        </w:tabs>
        <w:spacing w:line="360" w:lineRule="auto"/>
        <w:ind w:left="440"/>
        <w:rPr>
          <w:highlight w:val="none"/>
        </w:rPr>
      </w:pPr>
      <w:r>
        <w:rPr>
          <w:highlight w:val="none"/>
        </w:rPr>
        <w:fldChar w:fldCharType="begin"/>
      </w:r>
      <w:r>
        <w:rPr>
          <w:highlight w:val="none"/>
        </w:rPr>
        <w:instrText xml:space="preserve"> HYPERLINK \l "_Toc6194" </w:instrText>
      </w:r>
      <w:r>
        <w:rPr>
          <w:highlight w:val="none"/>
        </w:rPr>
        <w:fldChar w:fldCharType="separate"/>
      </w:r>
      <w:r>
        <w:rPr>
          <w:rFonts w:hint="eastAsia" w:ascii="Times New Roman" w:hAnsi="Times New Roman" w:eastAsia="微软雅黑" w:cs="Times New Roman"/>
          <w:sz w:val="24"/>
          <w:szCs w:val="24"/>
          <w:highlight w:val="none"/>
          <w:lang w:eastAsia="zh-CN"/>
        </w:rPr>
        <w:t>遗传变异检测解析</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_Toc6194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38</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t>{% endif %}{% endif %}</w:t>
      </w:r>
    </w:p>
    <w:p>
      <w:pPr>
        <w:pStyle w:val="11"/>
        <w:tabs>
          <w:tab w:val="right" w:leader="dot" w:pos="9870"/>
        </w:tabs>
        <w:spacing w:line="360" w:lineRule="auto"/>
        <w:ind w:left="440"/>
        <w:rPr>
          <w:rFonts w:ascii="Times New Roman" w:hAnsi="Times New Roman" w:eastAsia="微软雅黑" w:cs="Times New Roman"/>
          <w:sz w:val="24"/>
          <w:szCs w:val="24"/>
          <w:highlight w:val="none"/>
          <w:lang w:eastAsia="zh-CN"/>
        </w:rPr>
      </w:pPr>
      <w:r>
        <w:rPr>
          <w:highlight w:val="none"/>
        </w:rPr>
        <w:fldChar w:fldCharType="begin"/>
      </w:r>
      <w:r>
        <w:rPr>
          <w:highlight w:val="none"/>
        </w:rPr>
        <w:instrText xml:space="preserve"> HYPERLINK \l "_Toc12502" </w:instrText>
      </w:r>
      <w:r>
        <w:rPr>
          <w:highlight w:val="none"/>
        </w:rPr>
        <w:fldChar w:fldCharType="separate"/>
      </w:r>
      <w:r>
        <w:rPr>
          <w:rFonts w:hint="eastAsia" w:ascii="Times New Roman" w:hAnsi="Times New Roman" w:eastAsia="微软雅黑" w:cs="Times New Roman"/>
          <w:sz w:val="24"/>
          <w:szCs w:val="24"/>
          <w:highlight w:val="none"/>
          <w:lang w:eastAsia="zh-CN"/>
        </w:rPr>
        <w:t>化疗药物检测解析</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_Toc12502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26</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p>
    <w:p>
      <w:pPr>
        <w:pStyle w:val="10"/>
        <w:tabs>
          <w:tab w:val="right" w:leader="dot" w:pos="9870"/>
        </w:tabs>
        <w:spacing w:line="360" w:lineRule="auto"/>
        <w:rPr>
          <w:rStyle w:val="15"/>
          <w:rFonts w:ascii="Times New Roman" w:hAnsi="Times New Roman" w:eastAsia="微软雅黑" w:cs="Times New Roman"/>
          <w:color w:val="FFFFFF" w:themeColor="background1"/>
          <w:sz w:val="28"/>
          <w:szCs w:val="28"/>
          <w:highlight w:val="none"/>
          <w:u w:val="none"/>
          <w:shd w:val="clear" w:color="auto" w:fill="416AAB"/>
          <w:lang w:eastAsia="zh-CN"/>
          <w14:textFill>
            <w14:solidFill>
              <w14:schemeClr w14:val="bg1"/>
            </w14:solidFill>
          </w14:textFill>
        </w:rPr>
      </w:pPr>
      <w:r>
        <w:rPr>
          <w:highlight w:val="none"/>
        </w:rPr>
        <w:fldChar w:fldCharType="begin"/>
      </w:r>
      <w:r>
        <w:rPr>
          <w:highlight w:val="none"/>
        </w:rPr>
        <w:instrText xml:space="preserve"> HYPERLINK \l "_Toc25081" </w:instrText>
      </w:r>
      <w:r>
        <w:rPr>
          <w:highlight w:val="none"/>
        </w:rPr>
        <w:fldChar w:fldCharType="separate"/>
      </w:r>
      <w:r>
        <w:rPr>
          <w:rStyle w:val="15"/>
          <w:rFonts w:hint="eastAsia" w:ascii="Times New Roman" w:hAnsi="Times New Roman" w:eastAsia="微软雅黑" w:cs="Times New Roman"/>
          <w:color w:val="FFFFFF" w:themeColor="background1"/>
          <w:sz w:val="28"/>
          <w:szCs w:val="28"/>
          <w:highlight w:val="none"/>
          <w:u w:val="none"/>
          <w:shd w:val="clear" w:color="auto" w:fill="416AAB"/>
          <w:lang w:eastAsia="zh-CN"/>
          <w14:textFill>
            <w14:solidFill>
              <w14:schemeClr w14:val="bg1"/>
            </w14:solidFill>
          </w14:textFill>
        </w:rPr>
        <w:t>附录</w:t>
      </w:r>
      <w:r>
        <w:rPr>
          <w:rStyle w:val="15"/>
          <w:rFonts w:hint="eastAsia" w:ascii="Times New Roman" w:hAnsi="Times New Roman" w:eastAsia="微软雅黑" w:cs="Times New Roman"/>
          <w:color w:val="FFFFFF" w:themeColor="background1"/>
          <w:sz w:val="28"/>
          <w:szCs w:val="28"/>
          <w:highlight w:val="none"/>
          <w:u w:val="none"/>
          <w:shd w:val="clear" w:color="auto" w:fill="416AAB"/>
          <w:lang w:eastAsia="zh-CN"/>
          <w14:textFill>
            <w14:solidFill>
              <w14:schemeClr w14:val="bg1"/>
            </w14:solidFill>
          </w14:textFill>
        </w:rPr>
        <w:tab/>
      </w:r>
      <w:r>
        <w:rPr>
          <w:rStyle w:val="15"/>
          <w:rFonts w:hint="eastAsia" w:ascii="Times New Roman" w:hAnsi="Times New Roman" w:eastAsia="微软雅黑" w:cs="Times New Roman"/>
          <w:color w:val="FFFFFF" w:themeColor="background1"/>
          <w:sz w:val="28"/>
          <w:szCs w:val="28"/>
          <w:highlight w:val="none"/>
          <w:u w:val="none"/>
          <w:shd w:val="clear" w:color="auto" w:fill="416AAB"/>
          <w:lang w:eastAsia="zh-CN"/>
          <w14:textFill>
            <w14:solidFill>
              <w14:schemeClr w14:val="bg1"/>
            </w14:solidFill>
          </w14:textFill>
        </w:rPr>
        <w:fldChar w:fldCharType="begin"/>
      </w:r>
      <w:r>
        <w:rPr>
          <w:rStyle w:val="15"/>
          <w:rFonts w:hint="eastAsia" w:ascii="Times New Roman" w:hAnsi="Times New Roman" w:eastAsia="微软雅黑" w:cs="Times New Roman"/>
          <w:color w:val="FFFFFF" w:themeColor="background1"/>
          <w:sz w:val="28"/>
          <w:szCs w:val="28"/>
          <w:highlight w:val="none"/>
          <w:u w:val="none"/>
          <w:shd w:val="clear" w:color="auto" w:fill="416AAB"/>
          <w:lang w:eastAsia="zh-CN"/>
          <w14:textFill>
            <w14:solidFill>
              <w14:schemeClr w14:val="bg1"/>
            </w14:solidFill>
          </w14:textFill>
        </w:rPr>
        <w:instrText xml:space="preserve"> PAGEREF _Toc25081 </w:instrText>
      </w:r>
      <w:r>
        <w:rPr>
          <w:rStyle w:val="15"/>
          <w:rFonts w:hint="eastAsia" w:ascii="Times New Roman" w:hAnsi="Times New Roman" w:eastAsia="微软雅黑" w:cs="Times New Roman"/>
          <w:color w:val="FFFFFF" w:themeColor="background1"/>
          <w:sz w:val="28"/>
          <w:szCs w:val="28"/>
          <w:highlight w:val="none"/>
          <w:u w:val="none"/>
          <w:shd w:val="clear" w:color="auto" w:fill="416AAB"/>
          <w:lang w:eastAsia="zh-CN"/>
          <w14:textFill>
            <w14:solidFill>
              <w14:schemeClr w14:val="bg1"/>
            </w14:solidFill>
          </w14:textFill>
        </w:rPr>
        <w:fldChar w:fldCharType="separate"/>
      </w:r>
      <w:r>
        <w:rPr>
          <w:rStyle w:val="15"/>
          <w:rFonts w:hint="eastAsia" w:ascii="Times New Roman" w:hAnsi="Times New Roman" w:eastAsia="微软雅黑" w:cs="Times New Roman"/>
          <w:color w:val="FFFFFF" w:themeColor="background1"/>
          <w:sz w:val="28"/>
          <w:szCs w:val="28"/>
          <w:highlight w:val="none"/>
          <w:u w:val="none"/>
          <w:shd w:val="clear" w:color="auto" w:fill="416AAB"/>
          <w:lang w:eastAsia="zh-CN"/>
          <w14:textFill>
            <w14:solidFill>
              <w14:schemeClr w14:val="bg1"/>
            </w14:solidFill>
          </w14:textFill>
        </w:rPr>
        <w:t>39</w:t>
      </w:r>
      <w:r>
        <w:rPr>
          <w:rStyle w:val="15"/>
          <w:rFonts w:hint="eastAsia" w:ascii="Times New Roman" w:hAnsi="Times New Roman" w:eastAsia="微软雅黑" w:cs="Times New Roman"/>
          <w:color w:val="FFFFFF" w:themeColor="background1"/>
          <w:sz w:val="28"/>
          <w:szCs w:val="28"/>
          <w:highlight w:val="none"/>
          <w:u w:val="none"/>
          <w:shd w:val="clear" w:color="auto" w:fill="416AAB"/>
          <w:lang w:eastAsia="zh-CN"/>
          <w14:textFill>
            <w14:solidFill>
              <w14:schemeClr w14:val="bg1"/>
            </w14:solidFill>
          </w14:textFill>
        </w:rPr>
        <w:fldChar w:fldCharType="end"/>
      </w:r>
      <w:r>
        <w:rPr>
          <w:rStyle w:val="15"/>
          <w:rFonts w:hint="eastAsia" w:ascii="Times New Roman" w:hAnsi="Times New Roman" w:eastAsia="微软雅黑" w:cs="Times New Roman"/>
          <w:color w:val="FFFFFF" w:themeColor="background1"/>
          <w:sz w:val="28"/>
          <w:szCs w:val="28"/>
          <w:highlight w:val="none"/>
          <w:u w:val="none"/>
          <w:shd w:val="clear" w:color="auto" w:fill="416AAB"/>
          <w:lang w:eastAsia="zh-CN"/>
          <w14:textFill>
            <w14:solidFill>
              <w14:schemeClr w14:val="bg1"/>
            </w14:solidFill>
          </w14:textFill>
        </w:rPr>
        <w:fldChar w:fldCharType="end"/>
      </w:r>
    </w:p>
    <w:p>
      <w:pPr>
        <w:pStyle w:val="11"/>
        <w:tabs>
          <w:tab w:val="right" w:leader="dot" w:pos="9870"/>
        </w:tabs>
        <w:spacing w:line="360" w:lineRule="auto"/>
        <w:ind w:left="440"/>
        <w:rPr>
          <w:rFonts w:ascii="Times New Roman" w:hAnsi="Times New Roman" w:eastAsia="微软雅黑" w:cs="Times New Roman"/>
          <w:sz w:val="24"/>
          <w:szCs w:val="24"/>
          <w:highlight w:val="none"/>
          <w:lang w:eastAsia="zh-CN"/>
        </w:rPr>
      </w:pPr>
      <w:r>
        <w:rPr>
          <w:highlight w:val="none"/>
        </w:rPr>
        <w:fldChar w:fldCharType="begin"/>
      </w:r>
      <w:r>
        <w:rPr>
          <w:highlight w:val="none"/>
        </w:rPr>
        <w:instrText xml:space="preserve"> HYPERLINK \l "_Toc16578" </w:instrText>
      </w:r>
      <w:r>
        <w:rPr>
          <w:highlight w:val="none"/>
        </w:rPr>
        <w:fldChar w:fldCharType="separate"/>
      </w:r>
      <w:r>
        <w:rPr>
          <w:rFonts w:hint="eastAsia" w:ascii="Times New Roman" w:hAnsi="Times New Roman" w:eastAsia="微软雅黑" w:cs="Times New Roman"/>
          <w:sz w:val="24"/>
          <w:szCs w:val="24"/>
          <w:highlight w:val="none"/>
          <w:lang w:eastAsia="zh-CN"/>
        </w:rPr>
        <w:t>样本控制情况</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_Toc16578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39</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p>
    <w:p>
      <w:pPr>
        <w:pStyle w:val="11"/>
        <w:tabs>
          <w:tab w:val="right" w:leader="dot" w:pos="9870"/>
        </w:tabs>
        <w:spacing w:line="360" w:lineRule="auto"/>
        <w:ind w:left="440"/>
        <w:rPr>
          <w:rFonts w:ascii="Times New Roman" w:hAnsi="Times New Roman" w:eastAsia="微软雅黑" w:cs="Times New Roman"/>
          <w:sz w:val="24"/>
          <w:szCs w:val="24"/>
          <w:highlight w:val="none"/>
          <w:lang w:eastAsia="zh-CN"/>
        </w:rPr>
      </w:pPr>
      <w:r>
        <w:rPr>
          <w:highlight w:val="none"/>
        </w:rPr>
        <w:fldChar w:fldCharType="begin"/>
      </w:r>
      <w:r>
        <w:rPr>
          <w:highlight w:val="none"/>
        </w:rPr>
        <w:instrText xml:space="preserve"> HYPERLINK \l "_Toc31995" </w:instrText>
      </w:r>
      <w:r>
        <w:rPr>
          <w:highlight w:val="none"/>
        </w:rPr>
        <w:fldChar w:fldCharType="separate"/>
      </w:r>
      <w:r>
        <w:rPr>
          <w:rFonts w:hint="eastAsia" w:ascii="Times New Roman" w:hAnsi="Times New Roman" w:eastAsia="微软雅黑" w:cs="Times New Roman"/>
          <w:sz w:val="24"/>
          <w:szCs w:val="24"/>
          <w:highlight w:val="none"/>
          <w:lang w:eastAsia="zh-CN"/>
        </w:rPr>
        <w:t>常见靶向药物相关基因检测列表</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_Toc31995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40</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p>
    <w:p>
      <w:pPr>
        <w:pStyle w:val="11"/>
        <w:tabs>
          <w:tab w:val="right" w:leader="dot" w:pos="9870"/>
        </w:tabs>
        <w:spacing w:line="360" w:lineRule="auto"/>
        <w:ind w:left="440"/>
        <w:rPr>
          <w:rFonts w:ascii="Times New Roman" w:hAnsi="Times New Roman" w:eastAsia="微软雅黑" w:cs="Times New Roman"/>
          <w:sz w:val="24"/>
          <w:szCs w:val="24"/>
          <w:highlight w:val="none"/>
          <w:lang w:eastAsia="zh-CN"/>
        </w:rPr>
      </w:pPr>
      <w:r>
        <w:rPr>
          <w:highlight w:val="none"/>
        </w:rPr>
        <w:fldChar w:fldCharType="begin"/>
      </w:r>
      <w:r>
        <w:rPr>
          <w:highlight w:val="none"/>
        </w:rPr>
        <w:instrText xml:space="preserve"> HYPERLINK \l "_Toc22466" </w:instrText>
      </w:r>
      <w:r>
        <w:rPr>
          <w:highlight w:val="none"/>
        </w:rPr>
        <w:fldChar w:fldCharType="separate"/>
      </w:r>
      <w:r>
        <w:rPr>
          <w:rFonts w:hint="eastAsia" w:ascii="Times New Roman" w:hAnsi="Times New Roman" w:eastAsia="微软雅黑" w:cs="Times New Roman"/>
          <w:sz w:val="24"/>
          <w:szCs w:val="24"/>
          <w:highlight w:val="none"/>
          <w:lang w:eastAsia="zh-CN"/>
        </w:rPr>
        <w:t>靶向突变基因信号通路解析</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_Toc22466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48</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p>
    <w:p>
      <w:pPr>
        <w:pStyle w:val="11"/>
        <w:tabs>
          <w:tab w:val="right" w:leader="dot" w:pos="9870"/>
        </w:tabs>
        <w:spacing w:line="360" w:lineRule="auto"/>
        <w:ind w:left="440"/>
        <w:rPr>
          <w:rFonts w:ascii="Times New Roman" w:hAnsi="Times New Roman" w:eastAsia="微软雅黑" w:cs="Times New Roman"/>
          <w:sz w:val="24"/>
          <w:szCs w:val="24"/>
          <w:highlight w:val="none"/>
          <w:lang w:eastAsia="zh-CN"/>
        </w:rPr>
      </w:pPr>
      <w:r>
        <w:rPr>
          <w:highlight w:val="none"/>
        </w:rPr>
        <w:fldChar w:fldCharType="begin"/>
      </w:r>
      <w:r>
        <w:rPr>
          <w:highlight w:val="none"/>
        </w:rPr>
        <w:instrText xml:space="preserve"> HYPERLINK \l "_Toc3462" </w:instrText>
      </w:r>
      <w:r>
        <w:rPr>
          <w:highlight w:val="none"/>
        </w:rPr>
        <w:fldChar w:fldCharType="separate"/>
      </w:r>
      <w:r>
        <w:rPr>
          <w:rFonts w:hint="eastAsia" w:ascii="Times New Roman" w:hAnsi="Times New Roman" w:eastAsia="微软雅黑" w:cs="Times New Roman"/>
          <w:sz w:val="24"/>
          <w:szCs w:val="24"/>
          <w:highlight w:val="none"/>
          <w:lang w:eastAsia="zh-CN"/>
        </w:rPr>
        <w:t>癌症相关的基因背景介绍</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_Toc3462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58</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p>
    <w:p>
      <w:pPr>
        <w:pStyle w:val="11"/>
        <w:tabs>
          <w:tab w:val="right" w:leader="dot" w:pos="9870"/>
        </w:tabs>
        <w:spacing w:line="360" w:lineRule="auto"/>
        <w:ind w:left="440"/>
        <w:rPr>
          <w:rFonts w:ascii="Times New Roman" w:hAnsi="Times New Roman" w:eastAsia="微软雅黑" w:cs="Times New Roman"/>
          <w:sz w:val="24"/>
          <w:szCs w:val="24"/>
          <w:highlight w:val="none"/>
          <w:lang w:eastAsia="zh-CN"/>
        </w:rPr>
      </w:pPr>
      <w:r>
        <w:rPr>
          <w:highlight w:val="none"/>
        </w:rPr>
        <w:fldChar w:fldCharType="begin"/>
      </w:r>
      <w:r>
        <w:rPr>
          <w:highlight w:val="none"/>
        </w:rPr>
        <w:instrText xml:space="preserve"> HYPERLINK \l "_Toc31903" </w:instrText>
      </w:r>
      <w:r>
        <w:rPr>
          <w:highlight w:val="none"/>
        </w:rPr>
        <w:fldChar w:fldCharType="separate"/>
      </w:r>
      <w:r>
        <w:rPr>
          <w:rFonts w:hint="eastAsia" w:ascii="Times New Roman" w:hAnsi="Times New Roman" w:eastAsia="微软雅黑" w:cs="Times New Roman"/>
          <w:sz w:val="24"/>
          <w:szCs w:val="24"/>
          <w:highlight w:val="none"/>
          <w:lang w:eastAsia="zh-CN"/>
        </w:rPr>
        <w:t>检测基因列表</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_Toc31903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76</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p>
    <w:p>
      <w:pPr>
        <w:pStyle w:val="11"/>
        <w:tabs>
          <w:tab w:val="right" w:leader="dot" w:pos="9870"/>
        </w:tabs>
        <w:spacing w:line="360" w:lineRule="auto"/>
        <w:ind w:left="440"/>
        <w:rPr>
          <w:rFonts w:ascii="Times New Roman" w:hAnsi="Times New Roman" w:eastAsia="微软雅黑" w:cs="Times New Roman"/>
          <w:sz w:val="24"/>
          <w:szCs w:val="24"/>
          <w:highlight w:val="none"/>
          <w:lang w:eastAsia="zh-CN"/>
        </w:rPr>
      </w:pPr>
      <w:r>
        <w:rPr>
          <w:highlight w:val="none"/>
        </w:rPr>
        <w:fldChar w:fldCharType="begin"/>
      </w:r>
      <w:r>
        <w:rPr>
          <w:highlight w:val="none"/>
        </w:rPr>
        <w:instrText xml:space="preserve"> HYPERLINK \l "_Toc5652" </w:instrText>
      </w:r>
      <w:r>
        <w:rPr>
          <w:highlight w:val="none"/>
        </w:rPr>
        <w:fldChar w:fldCharType="separate"/>
      </w:r>
      <w:r>
        <w:rPr>
          <w:rFonts w:hint="eastAsia" w:ascii="Times New Roman" w:hAnsi="Times New Roman" w:eastAsia="微软雅黑" w:cs="Times New Roman"/>
          <w:sz w:val="24"/>
          <w:szCs w:val="24"/>
          <w:highlight w:val="none"/>
          <w:lang w:eastAsia="zh-CN"/>
        </w:rPr>
        <w:t>检测流程</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_Toc5652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79</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p>
    <w:p>
      <w:pPr>
        <w:pStyle w:val="11"/>
        <w:tabs>
          <w:tab w:val="right" w:leader="dot" w:pos="9870"/>
        </w:tabs>
        <w:spacing w:line="360" w:lineRule="auto"/>
        <w:ind w:left="440"/>
        <w:rPr>
          <w:rFonts w:ascii="Times New Roman" w:hAnsi="Times New Roman" w:eastAsia="微软雅黑" w:cs="Times New Roman"/>
          <w:sz w:val="24"/>
          <w:szCs w:val="24"/>
          <w:highlight w:val="none"/>
          <w:lang w:eastAsia="zh-CN"/>
        </w:rPr>
      </w:pPr>
      <w:r>
        <w:rPr>
          <w:highlight w:val="none"/>
        </w:rPr>
        <w:fldChar w:fldCharType="begin"/>
      </w:r>
      <w:r>
        <w:rPr>
          <w:highlight w:val="none"/>
        </w:rPr>
        <w:instrText xml:space="preserve"> HYPERLINK \l "_Toc3493" </w:instrText>
      </w:r>
      <w:r>
        <w:rPr>
          <w:highlight w:val="none"/>
        </w:rPr>
        <w:fldChar w:fldCharType="separate"/>
      </w:r>
      <w:r>
        <w:rPr>
          <w:rFonts w:hint="eastAsia" w:ascii="Times New Roman" w:hAnsi="Times New Roman" w:eastAsia="微软雅黑" w:cs="Times New Roman"/>
          <w:sz w:val="24"/>
          <w:szCs w:val="24"/>
          <w:highlight w:val="none"/>
          <w:lang w:eastAsia="zh-CN"/>
        </w:rPr>
        <w:t>参考文献</w:t>
      </w:r>
      <w:r>
        <w:rPr>
          <w:rFonts w:hint="eastAsia" w:ascii="Times New Roman" w:hAnsi="Times New Roman" w:eastAsia="微软雅黑" w:cs="Times New Roman"/>
          <w:sz w:val="24"/>
          <w:szCs w:val="24"/>
          <w:highlight w:val="none"/>
          <w:lang w:eastAsia="zh-CN"/>
        </w:rPr>
        <w:tab/>
      </w: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 PAGEREF _Toc3493 </w:instrText>
      </w:r>
      <w:r>
        <w:rPr>
          <w:rFonts w:hint="eastAsia" w:ascii="Times New Roman" w:hAnsi="Times New Roman" w:eastAsia="微软雅黑" w:cs="Times New Roman"/>
          <w:sz w:val="24"/>
          <w:szCs w:val="24"/>
          <w:highlight w:val="none"/>
          <w:lang w:eastAsia="zh-CN"/>
        </w:rPr>
        <w:fldChar w:fldCharType="separate"/>
      </w:r>
      <w:r>
        <w:rPr>
          <w:rFonts w:hint="eastAsia" w:ascii="Times New Roman" w:hAnsi="Times New Roman" w:eastAsia="微软雅黑" w:cs="Times New Roman"/>
          <w:sz w:val="24"/>
          <w:szCs w:val="24"/>
          <w:highlight w:val="none"/>
          <w:lang w:eastAsia="zh-CN"/>
        </w:rPr>
        <w:t>80</w:t>
      </w:r>
      <w:r>
        <w:rPr>
          <w:rFonts w:hint="eastAsia" w:ascii="Times New Roman" w:hAnsi="Times New Roman" w:eastAsia="微软雅黑" w:cs="Times New Roman"/>
          <w:sz w:val="24"/>
          <w:szCs w:val="24"/>
          <w:highlight w:val="none"/>
          <w:lang w:eastAsia="zh-CN"/>
        </w:rPr>
        <w:fldChar w:fldCharType="end"/>
      </w:r>
      <w:r>
        <w:rPr>
          <w:rFonts w:hint="eastAsia" w:ascii="Times New Roman" w:hAnsi="Times New Roman" w:eastAsia="微软雅黑" w:cs="Times New Roman"/>
          <w:sz w:val="24"/>
          <w:szCs w:val="24"/>
          <w:highlight w:val="none"/>
          <w:lang w:eastAsia="zh-CN"/>
        </w:rPr>
        <w:fldChar w:fldCharType="end"/>
      </w:r>
    </w:p>
    <w:p>
      <w:pPr>
        <w:rPr>
          <w:rFonts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br w:type="page"/>
      </w:r>
    </w:p>
    <w:p>
      <w:pPr>
        <w:rPr>
          <w:highlight w:val="none"/>
          <w:lang w:eastAsia="zh-CN"/>
        </w:rPr>
      </w:pPr>
      <w:r>
        <w:rPr>
          <w:highlight w:val="none"/>
          <w:lang w:eastAsia="zh-CN"/>
        </w:rPr>
        <w:fldChar w:fldCharType="end"/>
      </w:r>
    </w:p>
    <w:p>
      <w:pPr>
        <w:pStyle w:val="2"/>
        <w:rPr>
          <w:highlight w:val="none"/>
        </w:rPr>
      </w:pPr>
      <w:bookmarkStart w:id="2" w:name="_Toc30143_WPSOffice_Level1"/>
      <w:bookmarkStart w:id="3" w:name="_Toc24178_WPSOffice_Level1"/>
      <w:bookmarkStart w:id="4" w:name="_Toc13806"/>
      <w:bookmarkStart w:id="5" w:name="_Toc21009_WPSOffice_Level1"/>
      <w:bookmarkStart w:id="6" w:name="_Toc21669"/>
      <w:bookmarkStart w:id="7" w:name="_Toc2198"/>
      <w:r>
        <w:rPr>
          <w:highlight w:val="none"/>
        </w:rPr>
        <w:t>样本信息</w:t>
      </w:r>
      <w:bookmarkEnd w:id="2"/>
      <w:bookmarkEnd w:id="3"/>
      <w:bookmarkEnd w:id="4"/>
      <w:bookmarkEnd w:id="5"/>
      <w:bookmarkEnd w:id="6"/>
      <w:bookmarkEnd w:id="7"/>
    </w:p>
    <w:p>
      <w:pPr>
        <w:pStyle w:val="6"/>
        <w:rPr>
          <w:rFonts w:ascii="Times New Roman" w:hAnsi="Times New Roman" w:eastAsia="微软雅黑" w:cs="Times New Roman"/>
          <w:b/>
          <w:sz w:val="20"/>
          <w:highlight w:val="none"/>
          <w:lang w:eastAsia="zh-CN"/>
        </w:rPr>
      </w:pPr>
    </w:p>
    <w:tbl>
      <w:tblPr>
        <w:tblStyle w:val="12"/>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姓名：</w:t>
            </w:r>
            <w:r>
              <w:rPr>
                <w:rFonts w:hint="eastAsia" w:ascii="Times New Roman" w:hAnsi="Times New Roman" w:eastAsia="微软雅黑" w:cs="Times New Roman"/>
                <w:bCs/>
                <w:color w:val="000000"/>
                <w:sz w:val="21"/>
                <w:szCs w:val="21"/>
                <w:highlight w:val="none"/>
                <w:lang w:eastAsia="zh-CN"/>
              </w:rPr>
              <w:t>{{ client }}</w:t>
            </w:r>
          </w:p>
        </w:tc>
        <w:tc>
          <w:tcPr>
            <w:tcW w:w="3323"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送检医院：</w:t>
            </w:r>
            <w:r>
              <w:rPr>
                <w:rFonts w:hint="eastAsia" w:ascii="Times New Roman" w:hAnsi="Times New Roman" w:eastAsia="微软雅黑" w:cs="Times New Roman"/>
                <w:bCs/>
                <w:color w:val="000000"/>
                <w:sz w:val="21"/>
                <w:szCs w:val="21"/>
                <w:highlight w:val="none"/>
                <w:lang w:eastAsia="zh-CN"/>
              </w:rPr>
              <w:t>{{ hospital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样本条码：</w:t>
            </w:r>
            <w:r>
              <w:rPr>
                <w:rFonts w:hint="eastAsia" w:ascii="Times New Roman" w:hAnsi="Times New Roman" w:eastAsia="微软雅黑" w:cs="Times New Roman"/>
                <w:bCs/>
                <w:color w:val="000000"/>
                <w:sz w:val="21"/>
                <w:szCs w:val="21"/>
                <w:highlight w:val="none"/>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性别：</w:t>
            </w:r>
            <w:r>
              <w:rPr>
                <w:rFonts w:hint="eastAsia" w:ascii="Times New Roman" w:hAnsi="Times New Roman" w:eastAsia="微软雅黑" w:cs="Times New Roman"/>
                <w:bCs/>
                <w:color w:val="000000"/>
                <w:sz w:val="21"/>
                <w:szCs w:val="21"/>
                <w:highlight w:val="none"/>
                <w:lang w:eastAsia="zh-CN"/>
              </w:rPr>
              <w:t>{{ sex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送检科室：</w:t>
            </w:r>
            <w:r>
              <w:rPr>
                <w:rFonts w:hint="eastAsia" w:ascii="Times New Roman" w:hAnsi="Times New Roman" w:eastAsia="微软雅黑" w:cs="Times New Roman"/>
                <w:color w:val="000000"/>
                <w:sz w:val="21"/>
                <w:szCs w:val="21"/>
                <w:highlight w:val="none"/>
                <w:lang w:eastAsia="zh-CN"/>
              </w:rPr>
              <w:t>{{ locationname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样本编号：</w:t>
            </w:r>
            <w:r>
              <w:rPr>
                <w:rFonts w:hint="eastAsia" w:ascii="Times New Roman" w:hAnsi="Times New Roman" w:eastAsia="微软雅黑" w:cs="Times New Roman"/>
                <w:bCs/>
                <w:color w:val="000000"/>
                <w:sz w:val="21"/>
                <w:szCs w:val="21"/>
                <w:highlight w:val="none"/>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年龄：</w:t>
            </w:r>
            <w:r>
              <w:rPr>
                <w:rFonts w:hint="eastAsia" w:ascii="Times New Roman" w:hAnsi="Times New Roman" w:eastAsia="微软雅黑" w:cs="Times New Roman"/>
                <w:bCs/>
                <w:color w:val="000000"/>
                <w:sz w:val="21"/>
                <w:szCs w:val="21"/>
                <w:highlight w:val="none"/>
                <w:lang w:eastAsia="zh-CN"/>
              </w:rPr>
              <w:t>{{ age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送检医生：</w:t>
            </w:r>
            <w:r>
              <w:rPr>
                <w:rFonts w:hint="eastAsia" w:ascii="Times New Roman" w:hAnsi="Times New Roman" w:eastAsia="微软雅黑" w:cs="Times New Roman"/>
                <w:color w:val="000000"/>
                <w:sz w:val="21"/>
                <w:szCs w:val="21"/>
                <w:highlight w:val="none"/>
                <w:lang w:eastAsia="zh-CN"/>
              </w:rPr>
              <w:t>{{ doctorname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门诊/住院号：</w:t>
            </w:r>
            <w:r>
              <w:rPr>
                <w:rFonts w:hint="eastAsia" w:ascii="Times New Roman" w:hAnsi="Times New Roman" w:eastAsia="微软雅黑" w:cs="Times New Roman"/>
                <w:bCs/>
                <w:color w:val="000000"/>
                <w:sz w:val="21"/>
                <w:szCs w:val="21"/>
                <w:highlight w:val="none"/>
                <w:lang w:eastAsia="zh-CN"/>
              </w:rPr>
              <w:t>{{ room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联系电话：</w:t>
            </w:r>
            <w:r>
              <w:rPr>
                <w:rFonts w:hint="eastAsia" w:ascii="Times New Roman" w:hAnsi="Times New Roman" w:eastAsia="微软雅黑" w:cs="Times New Roman"/>
                <w:bCs/>
                <w:color w:val="000000"/>
                <w:sz w:val="21"/>
                <w:szCs w:val="21"/>
                <w:highlight w:val="none"/>
                <w:lang w:eastAsia="zh-CN"/>
              </w:rPr>
              <w:t>{{ patient_phone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标本类型：</w:t>
            </w:r>
            <w:r>
              <w:rPr>
                <w:rFonts w:hint="eastAsia" w:ascii="Times New Roman" w:hAnsi="Times New Roman" w:eastAsia="微软雅黑" w:cs="Times New Roman"/>
                <w:color w:val="000000"/>
                <w:sz w:val="21"/>
                <w:szCs w:val="21"/>
                <w:highlight w:val="none"/>
                <w:lang w:eastAsia="zh-CN"/>
              </w:rPr>
              <w:t>{{ sample_type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送检时间：</w:t>
            </w:r>
            <w:r>
              <w:rPr>
                <w:rFonts w:hint="eastAsia" w:ascii="Times New Roman" w:hAnsi="Times New Roman" w:eastAsia="微软雅黑" w:cs="Times New Roman"/>
                <w:bCs/>
                <w:color w:val="000000"/>
                <w:sz w:val="21"/>
                <w:szCs w:val="21"/>
                <w:highlight w:val="none"/>
                <w:lang w:eastAsia="zh-CN"/>
              </w:rPr>
              <w:t>{{ commission_date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临床诊断：</w:t>
            </w:r>
            <w:r>
              <w:rPr>
                <w:rFonts w:hint="eastAsia" w:ascii="Times New Roman" w:hAnsi="Times New Roman" w:eastAsia="微软雅黑" w:cs="Times New Roman"/>
                <w:bCs/>
                <w:color w:val="000000"/>
                <w:sz w:val="21"/>
                <w:szCs w:val="21"/>
                <w:highlight w:val="none"/>
                <w:lang w:eastAsia="zh-CN"/>
              </w:rPr>
              <w:t>{{ diseaseName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订单编号：</w:t>
            </w:r>
            <w:r>
              <w:rPr>
                <w:rFonts w:ascii="Times New Roman" w:hAnsi="Times New Roman" w:eastAsia="微软雅黑" w:cs="Times New Roman"/>
                <w:bCs/>
                <w:color w:val="000000"/>
                <w:sz w:val="21"/>
                <w:szCs w:val="21"/>
                <w:highlight w:val="none"/>
                <w:lang w:eastAsia="zh-CN"/>
              </w:rPr>
              <w:t>-</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接收时间：</w:t>
            </w:r>
            <w:r>
              <w:rPr>
                <w:rFonts w:hint="eastAsia" w:ascii="Times New Roman" w:hAnsi="Times New Roman" w:eastAsia="微软雅黑" w:cs="Times New Roman"/>
                <w:bCs/>
                <w:color w:val="000000"/>
                <w:sz w:val="21"/>
                <w:szCs w:val="21"/>
                <w:highlight w:val="none"/>
                <w:lang w:eastAsia="zh-CN"/>
              </w:rPr>
              <w:t>{{ receiveddate }}</w:t>
            </w:r>
          </w:p>
        </w:tc>
      </w:tr>
    </w:tbl>
    <w:p>
      <w:pPr>
        <w:rPr>
          <w:rFonts w:ascii="Times New Roman" w:hAnsi="Times New Roman" w:eastAsia="微软雅黑" w:cs="Times New Roman"/>
          <w:b/>
          <w:color w:val="00B050"/>
          <w:sz w:val="28"/>
          <w:szCs w:val="28"/>
          <w:highlight w:val="none"/>
          <w:lang w:eastAsia="zh-CN"/>
        </w:rPr>
      </w:pPr>
    </w:p>
    <w:p>
      <w:pPr>
        <w:pStyle w:val="2"/>
        <w:rPr>
          <w:highlight w:val="none"/>
        </w:rPr>
      </w:pPr>
      <w:bookmarkStart w:id="8" w:name="_Toc18062_WPSOffice_Level1"/>
      <w:bookmarkStart w:id="9" w:name="_Toc17451"/>
      <w:bookmarkStart w:id="10" w:name="_Toc7021_WPSOffice_Level1"/>
      <w:bookmarkStart w:id="11" w:name="_Toc10810"/>
      <w:bookmarkStart w:id="12" w:name="_Toc11015_WPSOffice_Level1"/>
      <w:bookmarkStart w:id="13" w:name="_Toc3823"/>
      <w:r>
        <w:rPr>
          <w:highlight w:val="none"/>
        </w:rPr>
        <w:t>检测项目</w:t>
      </w:r>
      <w:bookmarkEnd w:id="8"/>
      <w:bookmarkEnd w:id="9"/>
      <w:bookmarkEnd w:id="10"/>
      <w:bookmarkEnd w:id="11"/>
      <w:bookmarkEnd w:id="12"/>
    </w:p>
    <w:p>
      <w:pPr>
        <w:ind w:firstLine="280" w:firstLineChars="100"/>
        <w:rPr>
          <w:rFonts w:ascii="Times New Roman" w:hAnsi="Times New Roman" w:eastAsia="微软雅黑" w:cs="Times New Roman"/>
          <w:b/>
          <w:color w:val="00B050"/>
          <w:sz w:val="28"/>
          <w:szCs w:val="28"/>
          <w:highlight w:val="none"/>
          <w:lang w:eastAsia="zh-CN"/>
        </w:rPr>
      </w:pPr>
    </w:p>
    <w:p>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ascii="Times New Roman" w:hAnsi="Times New Roman" w:eastAsia="微软雅黑" w:cs="Times New Roman"/>
          <w:bCs/>
          <w:sz w:val="21"/>
          <w:szCs w:val="21"/>
          <w:highlight w:val="none"/>
          <w:lang w:eastAsia="zh-CN"/>
        </w:rPr>
        <w:t>本产品对与肿瘤密切相关的</w:t>
      </w:r>
      <w:r>
        <w:rPr>
          <w:rFonts w:hint="eastAsia" w:ascii="Times New Roman" w:hAnsi="Times New Roman" w:eastAsia="微软雅黑" w:cs="Times New Roman"/>
          <w:bCs/>
          <w:sz w:val="21"/>
          <w:szCs w:val="21"/>
          <w:highlight w:val="none"/>
          <w:lang w:eastAsia="zh-CN"/>
        </w:rPr>
        <w:t>550</w:t>
      </w:r>
      <w:r>
        <w:rPr>
          <w:rFonts w:ascii="Times New Roman" w:hAnsi="Times New Roman" w:eastAsia="微软雅黑" w:cs="Times New Roman"/>
          <w:bCs/>
          <w:sz w:val="21"/>
          <w:szCs w:val="21"/>
          <w:highlight w:val="none"/>
          <w:lang w:eastAsia="zh-CN"/>
        </w:rPr>
        <w:t>个基因进行高通量测序。覆盖范围为</w:t>
      </w:r>
      <w:r>
        <w:rPr>
          <w:rFonts w:hint="eastAsia" w:ascii="Times New Roman" w:hAnsi="Times New Roman" w:eastAsia="微软雅黑" w:cs="Times New Roman"/>
          <w:bCs/>
          <w:sz w:val="21"/>
          <w:szCs w:val="21"/>
          <w:highlight w:val="none"/>
          <w:lang w:eastAsia="zh-CN"/>
        </w:rPr>
        <w:t>550</w:t>
      </w:r>
      <w:r>
        <w:rPr>
          <w:rFonts w:ascii="Times New Roman" w:hAnsi="Times New Roman" w:eastAsia="微软雅黑" w:cs="Times New Roman"/>
          <w:bCs/>
          <w:sz w:val="21"/>
          <w:szCs w:val="21"/>
          <w:highlight w:val="none"/>
          <w:lang w:eastAsia="zh-CN"/>
        </w:rPr>
        <w:t>个基因的全部外显子区域，以及</w:t>
      </w:r>
      <w:r>
        <w:rPr>
          <w:rFonts w:hint="eastAsia" w:ascii="Times New Roman" w:hAnsi="Times New Roman" w:eastAsia="微软雅黑" w:cs="Times New Roman"/>
          <w:bCs/>
          <w:sz w:val="21"/>
          <w:szCs w:val="21"/>
          <w:highlight w:val="none"/>
          <w:lang w:eastAsia="zh-CN"/>
        </w:rPr>
        <w:t>21</w:t>
      </w:r>
      <w:r>
        <w:rPr>
          <w:rFonts w:ascii="Times New Roman" w:hAnsi="Times New Roman" w:eastAsia="微软雅黑" w:cs="Times New Roman"/>
          <w:bCs/>
          <w:sz w:val="21"/>
          <w:szCs w:val="21"/>
          <w:highlight w:val="none"/>
          <w:lang w:eastAsia="zh-CN"/>
        </w:rPr>
        <w:t>个基因的部分内含子区域（常发生融合的区域），检测突变形式为点突变</w:t>
      </w:r>
      <w:r>
        <w:rPr>
          <w:rFonts w:hint="eastAsia" w:ascii="Times New Roman" w:hAnsi="Times New Roman" w:eastAsia="微软雅黑" w:cs="Times New Roman"/>
          <w:bCs/>
          <w:sz w:val="21"/>
          <w:szCs w:val="21"/>
          <w:highlight w:val="none"/>
          <w:lang w:eastAsia="zh-CN"/>
        </w:rPr>
        <w:t>（SNV）</w:t>
      </w:r>
      <w:r>
        <w:rPr>
          <w:rFonts w:ascii="Times New Roman" w:hAnsi="Times New Roman" w:eastAsia="微软雅黑" w:cs="Times New Roman"/>
          <w:bCs/>
          <w:sz w:val="21"/>
          <w:szCs w:val="21"/>
          <w:highlight w:val="none"/>
          <w:lang w:eastAsia="zh-CN"/>
        </w:rPr>
        <w:t>、小片段插入缺失</w:t>
      </w:r>
      <w:r>
        <w:rPr>
          <w:rFonts w:hint="eastAsia" w:ascii="Times New Roman" w:hAnsi="Times New Roman" w:eastAsia="微软雅黑" w:cs="Times New Roman"/>
          <w:bCs/>
          <w:sz w:val="21"/>
          <w:szCs w:val="21"/>
          <w:highlight w:val="none"/>
          <w:lang w:eastAsia="zh-CN"/>
        </w:rPr>
        <w:t>（INDEL）</w:t>
      </w:r>
      <w:r>
        <w:rPr>
          <w:rFonts w:ascii="Times New Roman" w:hAnsi="Times New Roman" w:eastAsia="微软雅黑" w:cs="Times New Roman"/>
          <w:bCs/>
          <w:sz w:val="21"/>
          <w:szCs w:val="21"/>
          <w:highlight w:val="none"/>
          <w:lang w:eastAsia="zh-CN"/>
        </w:rPr>
        <w:t>、拷贝数变异</w:t>
      </w:r>
      <w:r>
        <w:rPr>
          <w:rFonts w:hint="eastAsia" w:ascii="Times New Roman" w:hAnsi="Times New Roman" w:eastAsia="微软雅黑" w:cs="Times New Roman"/>
          <w:bCs/>
          <w:sz w:val="21"/>
          <w:szCs w:val="21"/>
          <w:highlight w:val="none"/>
          <w:lang w:eastAsia="zh-CN"/>
        </w:rPr>
        <w:t>（CNV）</w:t>
      </w:r>
      <w:r>
        <w:rPr>
          <w:rFonts w:ascii="Times New Roman" w:hAnsi="Times New Roman" w:eastAsia="微软雅黑" w:cs="Times New Roman"/>
          <w:bCs/>
          <w:sz w:val="21"/>
          <w:szCs w:val="21"/>
          <w:highlight w:val="none"/>
          <w:lang w:eastAsia="zh-CN"/>
        </w:rPr>
        <w:t>以及融合</w:t>
      </w:r>
      <w:r>
        <w:rPr>
          <w:rFonts w:hint="eastAsia" w:ascii="Times New Roman" w:hAnsi="Times New Roman" w:eastAsia="微软雅黑" w:cs="Times New Roman"/>
          <w:bCs/>
          <w:sz w:val="21"/>
          <w:szCs w:val="21"/>
          <w:highlight w:val="none"/>
          <w:lang w:eastAsia="zh-CN"/>
        </w:rPr>
        <w:t>（FUSION）</w:t>
      </w:r>
      <w:r>
        <w:rPr>
          <w:rFonts w:ascii="Times New Roman" w:hAnsi="Times New Roman" w:eastAsia="微软雅黑" w:cs="Times New Roman"/>
          <w:bCs/>
          <w:sz w:val="21"/>
          <w:szCs w:val="21"/>
          <w:highlight w:val="none"/>
          <w:lang w:eastAsia="zh-CN"/>
        </w:rPr>
        <w:t>。</w:t>
      </w:r>
    </w:p>
    <w:p>
      <w:pPr>
        <w:spacing w:line="276" w:lineRule="auto"/>
        <w:ind w:firstLine="420" w:firstLineChars="200"/>
        <w:jc w:val="both"/>
        <w:rPr>
          <w:rFonts w:ascii="Times New Roman" w:hAnsi="Times New Roman" w:eastAsia="微软雅黑" w:cs="Times New Roman"/>
          <w:b/>
          <w:color w:val="00B050"/>
          <w:sz w:val="28"/>
          <w:szCs w:val="28"/>
          <w:highlight w:val="none"/>
          <w:lang w:eastAsia="zh-CN"/>
        </w:rPr>
      </w:pPr>
      <w:r>
        <w:rPr>
          <w:rFonts w:hint="eastAsia" w:ascii="Times New Roman" w:hAnsi="Times New Roman" w:eastAsia="微软雅黑" w:cs="Times New Roman"/>
          <w:bCs/>
          <w:sz w:val="21"/>
          <w:szCs w:val="21"/>
          <w:highlight w:val="none"/>
          <w:lang w:eastAsia="zh-CN"/>
        </w:rPr>
        <w:t>{% if isSingleSample == False %}</w:t>
      </w:r>
      <w:r>
        <w:rPr>
          <w:rFonts w:ascii="Times New Roman" w:hAnsi="Times New Roman" w:eastAsia="微软雅黑" w:cs="Times New Roman"/>
          <w:bCs/>
          <w:sz w:val="21"/>
          <w:szCs w:val="21"/>
          <w:highlight w:val="none"/>
          <w:lang w:eastAsia="zh-CN"/>
        </w:rPr>
        <w:t>本报告分析基因变异与靶向药物、免疫药物（TMB等）、化疗药物和遗传风险的相关性，给出靶向药物（FDA/NMPA批准药物、临床试验药物等）、化疗药物的用药提示信息，从而为临床制定治疗方案提供参考信息。</w:t>
      </w:r>
      <w:r>
        <w:rPr>
          <w:rFonts w:hint="eastAsia" w:ascii="Times New Roman" w:hAnsi="Times New Roman" w:eastAsia="微软雅黑" w:cs="Times New Roman"/>
          <w:bCs/>
          <w:sz w:val="21"/>
          <w:szCs w:val="21"/>
          <w:highlight w:val="none"/>
          <w:lang w:eastAsia="zh-CN"/>
        </w:rPr>
        <w:t>{% else %}本报告分析基因变异与靶向药物、化疗药物的相关性，给出靶向药物（FDA/NMPA批准药物、临床试验药物等）、化疗药物的用药提示信息，从而为临床制定治疗方案提供参考信息。{% endif %}</w:t>
      </w:r>
    </w:p>
    <w:p>
      <w:pPr>
        <w:rPr>
          <w:rFonts w:ascii="Times New Roman" w:hAnsi="Times New Roman" w:eastAsia="微软雅黑" w:cs="Times New Roman"/>
          <w:b/>
          <w:color w:val="00B050"/>
          <w:sz w:val="28"/>
          <w:szCs w:val="28"/>
          <w:highlight w:val="none"/>
          <w:lang w:eastAsia="zh-CN"/>
        </w:rPr>
      </w:pPr>
    </w:p>
    <w:p>
      <w:pPr>
        <w:pStyle w:val="2"/>
        <w:rPr>
          <w:highlight w:val="none"/>
        </w:rPr>
      </w:pPr>
      <w:bookmarkStart w:id="14" w:name="_Toc25920"/>
      <w:bookmarkStart w:id="15" w:name="_Toc2022"/>
      <w:bookmarkStart w:id="16" w:name="_Toc23369_WPSOffice_Level1"/>
      <w:bookmarkStart w:id="17" w:name="_Toc18058"/>
      <w:bookmarkStart w:id="18" w:name="_Toc6221_WPSOffice_Level1"/>
      <w:bookmarkStart w:id="19" w:name="_Toc534807930"/>
      <w:r>
        <w:rPr>
          <w:rFonts w:hint="eastAsia"/>
          <w:highlight w:val="none"/>
        </w:rPr>
        <w:t>检测结果小结</w:t>
      </w:r>
      <w:bookmarkEnd w:id="14"/>
      <w:bookmarkEnd w:id="15"/>
      <w:bookmarkEnd w:id="16"/>
      <w:bookmarkEnd w:id="17"/>
      <w:bookmarkEnd w:id="18"/>
    </w:p>
    <w:tbl>
      <w:tblPr>
        <w:tblStyle w:val="12"/>
        <w:tblpPr w:leftFromText="180" w:rightFromText="180" w:vertAnchor="text" w:horzAnchor="page" w:tblpX="1246" w:tblpY="213"/>
        <w:tblOverlap w:val="never"/>
        <w:tblW w:w="9558" w:type="dxa"/>
        <w:tblInd w:w="0" w:type="dxa"/>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1452"/>
        <w:gridCol w:w="2424"/>
        <w:gridCol w:w="5682"/>
      </w:tblGrid>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trPr>
        <w:tc>
          <w:tcPr>
            <w:tcW w:w="3876" w:type="dxa"/>
            <w:gridSpan w:val="2"/>
            <w:tcBorders>
              <w:left w:val="nil"/>
              <w:bottom w:val="single" w:color="00AF50" w:sz="4" w:space="0"/>
              <w:right w:val="single" w:color="00AF50" w:sz="4" w:space="0"/>
            </w:tcBorders>
            <w:vAlign w:val="center"/>
          </w:tcPr>
          <w:p>
            <w:pPr>
              <w:jc w:val="center"/>
              <w:rPr>
                <w:rFonts w:ascii="微软雅黑" w:eastAsia="微软雅黑"/>
                <w:b/>
                <w:sz w:val="21"/>
                <w:highlight w:val="none"/>
              </w:rPr>
            </w:pPr>
            <w:r>
              <w:rPr>
                <w:rFonts w:hint="eastAsia" w:cs="黑体"/>
                <w:b/>
                <w:bCs/>
                <w:color w:val="00B050"/>
                <w:sz w:val="28"/>
                <w:szCs w:val="36"/>
                <w:highlight w:val="none"/>
                <w:lang w:eastAsia="zh-CN"/>
              </w:rPr>
              <w:br w:type="page"/>
            </w:r>
            <w:r>
              <w:rPr>
                <w:rFonts w:hint="eastAsia" w:ascii="微软雅黑" w:eastAsia="微软雅黑"/>
                <w:b/>
                <w:sz w:val="21"/>
                <w:highlight w:val="none"/>
              </w:rPr>
              <w:t>检测类型</w:t>
            </w:r>
          </w:p>
        </w:tc>
        <w:tc>
          <w:tcPr>
            <w:tcW w:w="5682" w:type="dxa"/>
            <w:tcBorders>
              <w:left w:val="single" w:color="00AF50" w:sz="4" w:space="0"/>
              <w:bottom w:val="single" w:color="00AF50" w:sz="4" w:space="0"/>
              <w:right w:val="nil"/>
            </w:tcBorders>
            <w:vAlign w:val="center"/>
          </w:tcPr>
          <w:p>
            <w:pPr>
              <w:jc w:val="center"/>
              <w:rPr>
                <w:rFonts w:ascii="微软雅黑" w:eastAsia="微软雅黑"/>
                <w:b/>
                <w:highlight w:val="none"/>
              </w:rPr>
            </w:pPr>
            <w:r>
              <w:rPr>
                <w:rFonts w:ascii="Times New Roman" w:hAnsi="Times New Roman" w:eastAsia="微软雅黑" w:cs="黑体"/>
                <w:b/>
                <w:sz w:val="21"/>
                <w:highlight w:val="none"/>
              </w:rPr>
              <w:t>检测结果</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754" w:hRule="atLeast"/>
        </w:trPr>
        <w:tc>
          <w:tcPr>
            <w:tcW w:w="3876" w:type="dxa"/>
            <w:gridSpan w:val="2"/>
            <w:tcBorders>
              <w:top w:val="single" w:color="00AF50" w:sz="4" w:space="0"/>
              <w:left w:val="nil"/>
              <w:bottom w:val="single" w:color="00AF50" w:sz="4" w:space="0"/>
              <w:right w:val="single" w:color="00AF50" w:sz="4" w:space="0"/>
            </w:tcBorders>
            <w:shd w:val="clear" w:color="auto" w:fill="F1F1F1"/>
          </w:tcPr>
          <w:p>
            <w:pPr>
              <w:pStyle w:val="17"/>
              <w:spacing w:before="190"/>
              <w:ind w:left="119"/>
              <w:jc w:val="both"/>
              <w:rPr>
                <w:rFonts w:ascii="Times New Roman" w:hAnsi="Times New Roman" w:eastAsia="微软雅黑" w:cs="黑体"/>
                <w:sz w:val="21"/>
                <w:highlight w:val="none"/>
              </w:rPr>
            </w:pPr>
            <w:r>
              <w:rPr>
                <w:rFonts w:ascii="Times New Roman" w:hAnsi="Times New Roman" w:eastAsia="微软雅黑" w:cs="黑体"/>
                <w:sz w:val="21"/>
                <w:highlight w:val="none"/>
              </w:rPr>
              <w:t>靶向用药指导</w:t>
            </w:r>
          </w:p>
        </w:tc>
        <w:tc>
          <w:tcPr>
            <w:tcW w:w="5682" w:type="dxa"/>
            <w:tcBorders>
              <w:top w:val="single" w:color="00AF50" w:sz="4" w:space="0"/>
              <w:left w:val="single" w:color="00AF50" w:sz="4" w:space="0"/>
              <w:bottom w:val="single" w:color="00AF50" w:sz="4" w:space="0"/>
              <w:right w:val="nil"/>
            </w:tcBorders>
            <w:shd w:val="clear" w:color="auto" w:fill="F1F1F1"/>
          </w:tcPr>
          <w:p>
            <w:pPr>
              <w:pStyle w:val="17"/>
              <w:spacing w:before="100" w:line="187" w:lineRule="auto"/>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summaryOfRresults.thisGeneticmarkerVwListSize }}</w:t>
            </w:r>
            <w:r>
              <w:rPr>
                <w:rFonts w:ascii="Times New Roman" w:hAnsi="Times New Roman" w:eastAsia="微软雅黑" w:cs="Times New Roman"/>
                <w:sz w:val="21"/>
                <w:szCs w:val="21"/>
                <w:highlight w:val="none"/>
                <w:lang w:eastAsia="zh-CN"/>
              </w:rPr>
              <w:t>个体细胞突变，其中</w:t>
            </w:r>
            <w:r>
              <w:rPr>
                <w:rFonts w:hint="eastAsia" w:ascii="Times New Roman" w:hAnsi="Times New Roman" w:eastAsia="微软雅黑" w:cs="黑体"/>
                <w:sz w:val="21"/>
                <w:highlight w:val="none"/>
                <w:lang w:eastAsia="zh-CN"/>
              </w:rPr>
              <w:t>{{ summaryOfRresults.somaticCellMedicationNum}}</w:t>
            </w:r>
            <w:r>
              <w:rPr>
                <w:rFonts w:ascii="Times New Roman" w:hAnsi="Times New Roman" w:eastAsia="微软雅黑" w:cs="Times New Roman"/>
                <w:sz w:val="21"/>
                <w:szCs w:val="21"/>
                <w:highlight w:val="none"/>
                <w:lang w:eastAsia="zh-CN"/>
              </w:rPr>
              <w:t>个与靶向药物相关；</w:t>
            </w:r>
          </w:p>
          <w:p>
            <w:pPr>
              <w:pStyle w:val="17"/>
              <w:spacing w:before="100" w:line="187" w:lineRule="auto"/>
              <w:ind w:left="119" w:right="119"/>
              <w:jc w:val="both"/>
              <w:rPr>
                <w:rFonts w:ascii="Times New Roman" w:hAnsi="Times New Roman" w:eastAsia="微软雅黑" w:cs="黑体"/>
                <w:sz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summaryOfRresults.crAllListSize }}</w:t>
            </w:r>
            <w:r>
              <w:rPr>
                <w:rFonts w:ascii="Times New Roman" w:hAnsi="Times New Roman" w:eastAsia="微软雅黑" w:cs="Times New Roman"/>
                <w:sz w:val="21"/>
                <w:szCs w:val="21"/>
                <w:highlight w:val="none"/>
                <w:lang w:eastAsia="zh-CN"/>
              </w:rPr>
              <w:t>个胚系突变，其中</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754" w:hRule="atLeast"/>
        </w:trPr>
        <w:tc>
          <w:tcPr>
            <w:tcW w:w="9558" w:type="dxa"/>
            <w:gridSpan w:val="3"/>
            <w:tcBorders>
              <w:top w:val="single" w:color="00AF50" w:sz="4" w:space="0"/>
              <w:left w:val="nil"/>
              <w:bottom w:val="single" w:color="00AF50" w:sz="4" w:space="0"/>
              <w:right w:val="nil"/>
            </w:tcBorders>
            <w:shd w:val="clear" w:color="auto" w:fill="F1F1F1"/>
          </w:tcPr>
          <w:p>
            <w:pPr>
              <w:pStyle w:val="17"/>
              <w:spacing w:before="100" w:line="187" w:lineRule="auto"/>
              <w:ind w:left="119" w:right="119"/>
              <w:jc w:val="both"/>
              <w:rPr>
                <w:rFonts w:ascii="Times New Roman" w:hAnsi="Times New Roman" w:eastAsia="微软雅黑" w:cs="黑体"/>
                <w:sz w:val="21"/>
                <w:highlight w:val="none"/>
                <w:lang w:eastAsia="zh-CN"/>
              </w:rPr>
            </w:pPr>
            <w:r>
              <w:rPr>
                <w:rFonts w:hint="eastAsia" w:ascii="Times New Roman" w:hAnsi="Times New Roman" w:eastAsia="微软雅黑" w:cs="黑体"/>
                <w:sz w:val="21"/>
                <w:highlight w:val="none"/>
                <w:lang w:eastAsia="zh-CN"/>
              </w:rPr>
              <w:t>{%tr if isSingleSample == False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513" w:hRule="atLeast"/>
        </w:trPr>
        <w:tc>
          <w:tcPr>
            <w:tcW w:w="1452" w:type="dxa"/>
            <w:vMerge w:val="restart"/>
            <w:tcBorders>
              <w:top w:val="single" w:color="00AF50" w:sz="4" w:space="0"/>
              <w:left w:val="nil"/>
              <w:right w:val="single" w:color="00AF50" w:sz="4" w:space="0"/>
            </w:tcBorders>
            <w:shd w:val="clear" w:color="auto" w:fill="F1F1F1"/>
            <w:vAlign w:val="center"/>
          </w:tcPr>
          <w:p>
            <w:pPr>
              <w:pStyle w:val="17"/>
              <w:jc w:val="both"/>
              <w:rPr>
                <w:rFonts w:ascii="Times New Roman" w:hAnsi="Times New Roman" w:eastAsia="微软雅黑" w:cs="黑体"/>
                <w:sz w:val="21"/>
                <w:highlight w:val="none"/>
                <w:lang w:eastAsia="zh-CN"/>
              </w:rPr>
            </w:pPr>
            <w:r>
              <w:rPr>
                <w:rFonts w:ascii="Times New Roman" w:hAnsi="Times New Roman" w:eastAsia="微软雅黑" w:cs="Times New Roman"/>
                <w:sz w:val="21"/>
                <w:szCs w:val="21"/>
                <w:highlight w:val="none"/>
                <w:lang w:eastAsia="zh-CN"/>
              </w:rPr>
              <w:t>免疫治疗相关标志物检测</w:t>
            </w:r>
          </w:p>
        </w:tc>
        <w:tc>
          <w:tcPr>
            <w:tcW w:w="2424" w:type="dxa"/>
            <w:tcBorders>
              <w:top w:val="single" w:color="00AF50" w:sz="4" w:space="0"/>
              <w:left w:val="single" w:color="00AF50" w:sz="4" w:space="0"/>
              <w:bottom w:val="single" w:color="00AF50" w:sz="4" w:space="0"/>
              <w:right w:val="single" w:color="00AF50" w:sz="4" w:space="0"/>
            </w:tcBorders>
            <w:shd w:val="clear" w:color="auto" w:fill="F1F1F1"/>
            <w:vAlign w:val="center"/>
          </w:tcPr>
          <w:p>
            <w:pPr>
              <w:spacing w:before="77"/>
              <w:ind w:left="119" w:leftChars="0"/>
              <w:jc w:val="center"/>
              <w:rPr>
                <w:rFonts w:ascii="Times New Roman" w:hAnsi="Times New Roman" w:eastAsia="微软雅黑" w:cs="黑体"/>
                <w:sz w:val="21"/>
                <w:highlight w:val="none"/>
                <w:lang w:eastAsia="zh-CN"/>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r>
              <w:rPr>
                <w:rFonts w:ascii="Times New Roman" w:hAnsi="Times New Roman" w:eastAsia="微软雅黑" w:cs="黑体"/>
                <w:sz w:val="21"/>
                <w:highlight w:val="none"/>
              </w:rPr>
              <w:t>肿瘤突变负荷（TMB）</w:t>
            </w:r>
            <w:r>
              <w:rPr>
                <w:rFonts w:hint="eastAsia" w:ascii="Times New Roman" w:hAnsi="Times New Roman" w:eastAsia="微软雅黑" w:cs="黑体"/>
                <w:sz w:val="21"/>
                <w:highlight w:val="none"/>
                <w:lang w:eastAsia="zh-CN"/>
              </w:rPr>
              <w:t>{% else %}血液</w:t>
            </w:r>
            <w:r>
              <w:rPr>
                <w:rFonts w:ascii="Times New Roman" w:hAnsi="Times New Roman" w:eastAsia="微软雅黑" w:cs="黑体"/>
                <w:sz w:val="21"/>
                <w:highlight w:val="none"/>
              </w:rPr>
              <w:t>肿瘤突变负荷（</w:t>
            </w:r>
            <w:r>
              <w:rPr>
                <w:rFonts w:hint="eastAsia" w:ascii="Times New Roman" w:hAnsi="Times New Roman" w:eastAsia="微软雅黑" w:cs="黑体"/>
                <w:sz w:val="21"/>
                <w:highlight w:val="none"/>
                <w:lang w:eastAsia="zh-CN"/>
              </w:rPr>
              <w:t>b</w:t>
            </w:r>
            <w:r>
              <w:rPr>
                <w:rFonts w:ascii="Times New Roman" w:hAnsi="Times New Roman" w:eastAsia="微软雅黑" w:cs="黑体"/>
                <w:sz w:val="21"/>
                <w:highlight w:val="none"/>
              </w:rPr>
              <w:t>TMB）</w:t>
            </w:r>
            <w:r>
              <w:rPr>
                <w:rFonts w:hint="eastAsia" w:ascii="Times New Roman" w:hAnsi="Times New Roman" w:eastAsia="微软雅黑" w:cs="黑体"/>
                <w:sz w:val="21"/>
                <w:highlight w:val="none"/>
                <w:lang w:eastAsia="zh-CN"/>
              </w:rPr>
              <w:t>{% endif %}</w:t>
            </w:r>
          </w:p>
        </w:tc>
        <w:tc>
          <w:tcPr>
            <w:tcW w:w="5682" w:type="dxa"/>
            <w:tcBorders>
              <w:top w:val="single" w:color="00AF50" w:sz="4" w:space="0"/>
              <w:left w:val="single" w:color="00AF50" w:sz="4" w:space="0"/>
              <w:bottom w:val="single" w:color="00AF50" w:sz="4" w:space="0"/>
              <w:right w:val="single" w:color="00AF50" w:sz="4" w:space="0"/>
            </w:tcBorders>
            <w:shd w:val="clear" w:color="auto" w:fill="F1F1F1"/>
            <w:vAlign w:val="center"/>
          </w:tcPr>
          <w:p>
            <w:pPr>
              <w:pStyle w:val="17"/>
              <w:spacing w:before="100" w:line="187" w:lineRule="auto"/>
              <w:ind w:left="119" w:leftChars="0" w:right="119" w:rightChars="0"/>
              <w:rPr>
                <w:rFonts w:hint="eastAsia" w:ascii="Times New Roman" w:hAnsi="Times New Roman" w:eastAsia="微软雅黑" w:cs="黑体"/>
                <w:sz w:val="21"/>
                <w:highlight w:val="none"/>
                <w:lang w:eastAsia="zh-CN"/>
              </w:rPr>
            </w:pPr>
            <w:r>
              <w:rPr>
                <w:rFonts w:hint="eastAsia" w:ascii="Times New Roman" w:hAnsi="Times New Roman" w:eastAsia="微软雅黑" w:cs="黑体"/>
                <w:sz w:val="21"/>
                <w:highlight w:val="none"/>
                <w:lang w:eastAsia="zh-CN"/>
              </w:rPr>
              <w:t>{{ summaryOfRresults.tmb }}</w:t>
            </w:r>
            <w:r>
              <w:rPr>
                <w:rFonts w:ascii="Times New Roman" w:hAnsi="Times New Roman" w:eastAsia="微软雅黑" w:cs="黑体"/>
                <w:sz w:val="21"/>
                <w:highlight w:val="none"/>
              </w:rPr>
              <w:t>Muts/Mb（</w:t>
            </w:r>
            <w:r>
              <w:rPr>
                <w:rFonts w:hint="eastAsia" w:ascii="Times New Roman" w:hAnsi="Times New Roman" w:eastAsia="微软雅黑" w:cs="黑体"/>
                <w:sz w:val="21"/>
                <w:highlight w:val="none"/>
                <w:lang w:eastAsia="zh-CN"/>
              </w:rPr>
              <w:t>{{summaryOfRresults.tmb_status}}</w:t>
            </w:r>
            <w:r>
              <w:rPr>
                <w:rFonts w:ascii="Times New Roman" w:hAnsi="Times New Roman" w:eastAsia="微软雅黑" w:cs="黑体"/>
                <w:sz w:val="21"/>
                <w:highlight w:val="none"/>
              </w:rPr>
              <w:t>）</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513" w:hRule="atLeast"/>
        </w:trPr>
        <w:tc>
          <w:tcPr>
            <w:tcW w:w="1452" w:type="dxa"/>
            <w:vMerge w:val="continue"/>
            <w:tcBorders>
              <w:left w:val="nil"/>
              <w:right w:val="single" w:color="00AF50" w:sz="4" w:space="0"/>
            </w:tcBorders>
            <w:shd w:val="clear" w:color="auto" w:fill="F1F1F1"/>
            <w:vAlign w:val="center"/>
          </w:tcPr>
          <w:p>
            <w:pPr>
              <w:pStyle w:val="17"/>
              <w:ind w:left="220" w:leftChars="100"/>
              <w:jc w:val="center"/>
            </w:pPr>
          </w:p>
        </w:tc>
        <w:tc>
          <w:tcPr>
            <w:tcW w:w="2424" w:type="dxa"/>
            <w:tcBorders>
              <w:top w:val="single" w:color="00AF50" w:sz="4" w:space="0"/>
              <w:left w:val="single" w:color="00AF50" w:sz="4" w:space="0"/>
              <w:bottom w:val="single" w:color="00AF50" w:sz="4" w:space="0"/>
              <w:right w:val="single" w:color="00AF50" w:sz="4" w:space="0"/>
            </w:tcBorders>
            <w:shd w:val="clear" w:color="auto" w:fill="F1F1F1"/>
            <w:vAlign w:val="center"/>
          </w:tcPr>
          <w:p>
            <w:pPr>
              <w:spacing w:before="77"/>
              <w:ind w:left="119" w:leftChars="0"/>
              <w:jc w:val="center"/>
              <w:rPr>
                <w:rFonts w:hint="eastAsia" w:ascii="Times New Roman" w:hAnsi="Times New Roman" w:eastAsia="微软雅黑" w:cs="黑体"/>
                <w:sz w:val="21"/>
                <w:highlight w:val="none"/>
                <w:lang w:eastAsia="zh-CN"/>
              </w:rPr>
            </w:pPr>
            <w:r>
              <w:rPr>
                <w:rFonts w:ascii="Times New Roman" w:hAnsi="Times New Roman" w:eastAsia="微软雅黑" w:cs="黑体"/>
                <w:sz w:val="21"/>
                <w:highlight w:val="none"/>
                <w:lang w:eastAsia="zh-CN"/>
              </w:rPr>
              <w:t>微卫星不稳定性（MSI）</w:t>
            </w:r>
          </w:p>
        </w:tc>
        <w:tc>
          <w:tcPr>
            <w:tcW w:w="5682" w:type="dxa"/>
            <w:tcBorders>
              <w:top w:val="single" w:color="00AF50" w:sz="4" w:space="0"/>
              <w:left w:val="single" w:color="00AF50" w:sz="4" w:space="0"/>
              <w:bottom w:val="single" w:color="00AF50" w:sz="4" w:space="0"/>
              <w:right w:val="single" w:color="00AF50" w:sz="4" w:space="0"/>
            </w:tcBorders>
            <w:shd w:val="clear" w:color="auto" w:fill="F1F1F1"/>
            <w:vAlign w:val="center"/>
          </w:tcPr>
          <w:p>
            <w:pPr>
              <w:pStyle w:val="17"/>
              <w:spacing w:before="100" w:line="187" w:lineRule="auto"/>
              <w:ind w:left="119" w:leftChars="0" w:right="119" w:rightChars="0"/>
              <w:rPr>
                <w:rFonts w:hint="eastAsia" w:ascii="Times New Roman" w:hAnsi="Times New Roman" w:eastAsia="微软雅黑" w:cs="黑体"/>
                <w:sz w:val="21"/>
                <w:highlight w:val="none"/>
                <w:lang w:eastAsia="zh-CN"/>
              </w:rPr>
            </w:pPr>
            <w:r>
              <w:rPr>
                <w:rFonts w:hint="eastAsia" w:ascii="Times New Roman" w:hAnsi="Times New Roman" w:eastAsia="微软雅黑" w:cs="黑体"/>
                <w:sz w:val="21"/>
                <w:highlight w:val="none"/>
                <w:lang w:eastAsia="zh-CN"/>
              </w:rPr>
              <w:t>{{ summaryOfRresults.msi }}</w:t>
            </w:r>
            <w:r>
              <w:rPr>
                <w:rFonts w:ascii="Times New Roman" w:hAnsi="Times New Roman" w:eastAsia="微软雅黑" w:cs="黑体"/>
                <w:sz w:val="21"/>
                <w:highlight w:val="none"/>
              </w:rPr>
              <w:t>（</w:t>
            </w:r>
            <w:r>
              <w:rPr>
                <w:rFonts w:hint="eastAsia" w:ascii="Times New Roman" w:hAnsi="Times New Roman" w:eastAsia="微软雅黑" w:cs="黑体"/>
                <w:sz w:val="21"/>
                <w:highlight w:val="none"/>
                <w:lang w:eastAsia="zh-CN"/>
              </w:rPr>
              <w:t>{{summaryOfRresults.msi_status}}</w:t>
            </w:r>
            <w:r>
              <w:rPr>
                <w:rFonts w:ascii="Times New Roman" w:hAnsi="Times New Roman" w:eastAsia="微软雅黑" w:cs="黑体"/>
                <w:sz w:val="21"/>
                <w:highlight w:val="none"/>
              </w:rPr>
              <w:t>）</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44" w:hRule="atLeast"/>
        </w:trPr>
        <w:tc>
          <w:tcPr>
            <w:tcW w:w="1452" w:type="dxa"/>
            <w:vMerge w:val="continue"/>
            <w:tcBorders>
              <w:left w:val="nil"/>
              <w:bottom w:val="single" w:color="00AF50" w:sz="4" w:space="0"/>
              <w:right w:val="single" w:color="00AF50" w:sz="4" w:space="0"/>
            </w:tcBorders>
            <w:shd w:val="clear" w:color="auto" w:fill="F1F1F1"/>
            <w:vAlign w:val="center"/>
          </w:tcPr>
          <w:p>
            <w:pPr>
              <w:ind w:left="220" w:leftChars="100"/>
              <w:jc w:val="center"/>
              <w:rPr>
                <w:rFonts w:ascii="Times New Roman" w:hAnsi="Times New Roman" w:eastAsia="微软雅黑" w:cs="黑体"/>
                <w:sz w:val="21"/>
                <w:highlight w:val="none"/>
                <w:lang w:eastAsia="zh-CN"/>
              </w:rPr>
            </w:pPr>
          </w:p>
        </w:tc>
        <w:tc>
          <w:tcPr>
            <w:tcW w:w="2424" w:type="dxa"/>
            <w:tcBorders>
              <w:top w:val="single" w:color="00AF50" w:sz="4" w:space="0"/>
              <w:left w:val="single" w:color="00AF50" w:sz="4" w:space="0"/>
              <w:bottom w:val="single" w:color="00AF50" w:sz="4" w:space="0"/>
              <w:right w:val="single" w:color="00AF50" w:sz="4" w:space="0"/>
            </w:tcBorders>
            <w:shd w:val="clear" w:color="auto" w:fill="F1F1F1"/>
            <w:vAlign w:val="center"/>
          </w:tcPr>
          <w:p>
            <w:pPr>
              <w:ind w:left="220" w:leftChars="100"/>
              <w:jc w:val="center"/>
              <w:rPr>
                <w:rFonts w:ascii="Times New Roman" w:hAnsi="Times New Roman" w:eastAsia="微软雅黑" w:cs="黑体"/>
                <w:sz w:val="21"/>
                <w:highlight w:val="none"/>
                <w:lang w:eastAsia="zh-CN"/>
              </w:rPr>
            </w:pPr>
            <w:r>
              <w:rPr>
                <w:rFonts w:hint="default" w:ascii="Times New Roman" w:hAnsi="Times New Roman" w:eastAsia="微软雅黑" w:cs="Times New Roman"/>
                <w:sz w:val="21"/>
                <w:szCs w:val="21"/>
                <w:highlight w:val="none"/>
                <w:lang w:val="en-US" w:eastAsia="zh-CN" w:bidi="ar-SA"/>
              </w:rPr>
              <w:t>MMR基因检测</w:t>
            </w:r>
          </w:p>
        </w:tc>
        <w:tc>
          <w:tcPr>
            <w:tcW w:w="5682" w:type="dxa"/>
            <w:tcBorders>
              <w:top w:val="single" w:color="00AF50" w:sz="4" w:space="0"/>
              <w:left w:val="single" w:color="00AF50" w:sz="4" w:space="0"/>
              <w:bottom w:val="single" w:color="00AF50" w:sz="4" w:space="0"/>
              <w:right w:val="single" w:color="00AF50" w:sz="4" w:space="0"/>
            </w:tcBorders>
            <w:shd w:val="clear" w:color="auto" w:fill="F1F1F1"/>
            <w:vAlign w:val="center"/>
          </w:tcPr>
          <w:p>
            <w:pPr>
              <w:pStyle w:val="17"/>
              <w:spacing w:before="100" w:line="187" w:lineRule="auto"/>
              <w:ind w:left="119" w:leftChars="0" w:right="119" w:rightChars="0"/>
              <w:jc w:val="left"/>
              <w:rPr>
                <w:rFonts w:hint="eastAsia" w:ascii="Times New Roman" w:hAnsi="Times New Roman" w:eastAsia="微软雅黑" w:cs="黑体"/>
                <w:sz w:val="21"/>
                <w:highlight w:val="none"/>
                <w:lang w:eastAsia="zh-CN"/>
              </w:rPr>
            </w:pPr>
            <w:r>
              <w:rPr>
                <w:rFonts w:hint="default" w:ascii="Times New Roman" w:hAnsi="Times New Roman" w:eastAsia="微软雅黑" w:cs="Times New Roman"/>
                <w:sz w:val="21"/>
                <w:szCs w:val="21"/>
                <w:highlight w:val="none"/>
                <w:lang w:val="en-US" w:eastAsia="zh-CN" w:bidi="ar-SA"/>
              </w:rPr>
              <w:t>共检出</w:t>
            </w:r>
            <w:r>
              <w:rPr>
                <w:rFonts w:hint="eastAsia" w:ascii="Times New Roman" w:hAnsi="Times New Roman" w:eastAsia="微软雅黑" w:cs="Times New Roman"/>
                <w:sz w:val="21"/>
                <w:szCs w:val="21"/>
                <w:highlight w:val="none"/>
                <w:lang w:val="en-US" w:eastAsia="zh-CN" w:bidi="ar-SA"/>
              </w:rPr>
              <w:t>{{</w:t>
            </w:r>
            <w:r>
              <w:rPr>
                <w:rFonts w:hint="eastAsia" w:ascii="Times New Roman" w:hAnsi="Times New Roman" w:eastAsia="微软雅黑" w:cs="黑体"/>
                <w:sz w:val="21"/>
                <w:highlight w:val="none"/>
                <w:lang w:eastAsia="zh-CN"/>
              </w:rPr>
              <w:t>summaryOfRresults</w:t>
            </w:r>
            <w:r>
              <w:rPr>
                <w:rFonts w:hint="eastAsia" w:ascii="Times New Roman" w:hAnsi="Times New Roman" w:eastAsia="微软雅黑" w:cs="黑体"/>
                <w:sz w:val="21"/>
                <w:highlight w:val="none"/>
                <w:lang w:val="en-US" w:eastAsia="zh-CN"/>
              </w:rPr>
              <w:t>.</w:t>
            </w:r>
            <w:r>
              <w:rPr>
                <w:rFonts w:hint="eastAsia" w:ascii="Times New Roman" w:hAnsi="Times New Roman" w:eastAsia="微软雅黑" w:cs="Times New Roman"/>
                <w:sz w:val="21"/>
                <w:szCs w:val="21"/>
                <w:highlight w:val="none"/>
                <w:lang w:val="en-US" w:eastAsia="zh-CN" w:bidi="ar-SA"/>
              </w:rPr>
              <w:t>mmrNum}}</w:t>
            </w:r>
            <w:r>
              <w:rPr>
                <w:rFonts w:hint="default" w:ascii="Times New Roman" w:hAnsi="Times New Roman" w:eastAsia="微软雅黑" w:cs="Times New Roman"/>
                <w:sz w:val="21"/>
                <w:szCs w:val="21"/>
                <w:highlight w:val="none"/>
                <w:lang w:val="en-US" w:eastAsia="zh-CN" w:bidi="ar-SA"/>
              </w:rPr>
              <w:t>个MMR</w:t>
            </w:r>
            <w:r>
              <w:rPr>
                <w:rFonts w:hint="eastAsia" w:ascii="Times New Roman" w:hAnsi="Times New Roman" w:eastAsia="微软雅黑" w:cs="Times New Roman"/>
                <w:sz w:val="21"/>
                <w:szCs w:val="21"/>
                <w:highlight w:val="none"/>
                <w:lang w:val="en-US" w:eastAsia="zh-CN" w:bidi="ar-SA"/>
              </w:rPr>
              <w:t>基因</w:t>
            </w:r>
            <w:r>
              <w:rPr>
                <w:rFonts w:hint="default" w:ascii="Times New Roman" w:hAnsi="Times New Roman" w:eastAsia="微软雅黑" w:cs="Times New Roman"/>
                <w:sz w:val="21"/>
                <w:szCs w:val="21"/>
                <w:highlight w:val="none"/>
                <w:lang w:val="en-US" w:eastAsia="zh-CN" w:bidi="ar-SA"/>
              </w:rPr>
              <w:t>致病/</w:t>
            </w:r>
            <w:r>
              <w:rPr>
                <w:rFonts w:hint="eastAsia" w:ascii="Times New Roman" w:hAnsi="Times New Roman" w:eastAsia="微软雅黑" w:cs="Times New Roman"/>
                <w:sz w:val="21"/>
                <w:szCs w:val="21"/>
                <w:highlight w:val="none"/>
                <w:lang w:val="en-US" w:eastAsia="zh-CN" w:bidi="ar-SA"/>
              </w:rPr>
              <w:t>可能</w:t>
            </w:r>
            <w:r>
              <w:rPr>
                <w:rFonts w:hint="default" w:ascii="Times New Roman" w:hAnsi="Times New Roman" w:eastAsia="微软雅黑" w:cs="Times New Roman"/>
                <w:sz w:val="21"/>
                <w:szCs w:val="21"/>
                <w:highlight w:val="none"/>
                <w:lang w:val="en-US" w:eastAsia="zh-CN" w:bidi="ar-SA"/>
              </w:rPr>
              <w:t>致病</w:t>
            </w:r>
            <w:r>
              <w:rPr>
                <w:rFonts w:hint="eastAsia" w:ascii="Times New Roman" w:hAnsi="Times New Roman" w:eastAsia="微软雅黑" w:cs="Times New Roman"/>
                <w:sz w:val="21"/>
                <w:szCs w:val="21"/>
                <w:highlight w:val="none"/>
                <w:lang w:val="en-US" w:eastAsia="zh-CN" w:bidi="ar-SA"/>
              </w:rPr>
              <w:t>性</w:t>
            </w:r>
            <w:r>
              <w:rPr>
                <w:rFonts w:hint="default" w:ascii="Times New Roman" w:hAnsi="Times New Roman" w:eastAsia="微软雅黑" w:cs="Times New Roman"/>
                <w:sz w:val="21"/>
                <w:szCs w:val="21"/>
                <w:highlight w:val="none"/>
                <w:lang w:val="en-US" w:eastAsia="zh-CN" w:bidi="ar-SA"/>
              </w:rPr>
              <w:t>胚系突变</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44" w:hRule="atLeast"/>
        </w:trPr>
        <w:tc>
          <w:tcPr>
            <w:tcW w:w="1452" w:type="dxa"/>
            <w:vMerge w:val="continue"/>
            <w:tcBorders>
              <w:left w:val="nil"/>
              <w:bottom w:val="single" w:color="00AF50" w:sz="4" w:space="0"/>
              <w:right w:val="single" w:color="00AF50" w:sz="4" w:space="0"/>
            </w:tcBorders>
            <w:shd w:val="clear" w:color="auto" w:fill="F1F1F1"/>
            <w:vAlign w:val="center"/>
          </w:tcPr>
          <w:p>
            <w:pPr>
              <w:ind w:left="220" w:leftChars="100"/>
              <w:jc w:val="center"/>
            </w:pPr>
          </w:p>
        </w:tc>
        <w:tc>
          <w:tcPr>
            <w:tcW w:w="2424" w:type="dxa"/>
            <w:tcBorders>
              <w:top w:val="single" w:color="00AF50" w:sz="4" w:space="0"/>
              <w:left w:val="single" w:color="00AF50" w:sz="4" w:space="0"/>
              <w:bottom w:val="single" w:color="00AF50" w:sz="4" w:space="0"/>
              <w:right w:val="single" w:color="00AF50" w:sz="4" w:space="0"/>
            </w:tcBorders>
            <w:shd w:val="clear" w:color="auto" w:fill="F1F1F1"/>
            <w:vAlign w:val="center"/>
          </w:tcPr>
          <w:p>
            <w:pPr>
              <w:pStyle w:val="17"/>
              <w:ind w:left="220" w:leftChars="100"/>
              <w:jc w:val="center"/>
              <w:rPr>
                <w:rFonts w:hint="eastAsia" w:ascii="Times New Roman" w:hAnsi="Times New Roman" w:eastAsia="微软雅黑" w:cs="黑体"/>
                <w:sz w:val="21"/>
                <w:highlight w:val="none"/>
                <w:lang w:eastAsia="zh-CN"/>
              </w:rPr>
            </w:pPr>
            <w:r>
              <w:rPr>
                <w:rFonts w:ascii="Times New Roman" w:hAnsi="Times New Roman" w:eastAsia="微软雅黑" w:cs="Times New Roman"/>
                <w:sz w:val="21"/>
                <w:szCs w:val="21"/>
                <w:highlight w:val="none"/>
                <w:lang w:eastAsia="zh-CN"/>
              </w:rPr>
              <w:t>免疫正/负相关基因检测</w:t>
            </w:r>
          </w:p>
        </w:tc>
        <w:tc>
          <w:tcPr>
            <w:tcW w:w="5682" w:type="dxa"/>
            <w:tcBorders>
              <w:top w:val="single" w:color="00AF50" w:sz="4" w:space="0"/>
              <w:left w:val="single" w:color="00AF50" w:sz="4" w:space="0"/>
              <w:bottom w:val="single" w:color="00AF50" w:sz="4" w:space="0"/>
              <w:right w:val="single" w:color="00AF50" w:sz="4" w:space="0"/>
            </w:tcBorders>
            <w:shd w:val="clear" w:color="auto" w:fill="F1F1F1"/>
            <w:vAlign w:val="top"/>
          </w:tcPr>
          <w:p>
            <w:pPr>
              <w:pStyle w:val="17"/>
              <w:spacing w:before="77"/>
              <w:ind w:left="119" w:leftChars="0" w:right="119" w:rightChars="0"/>
              <w:jc w:val="left"/>
              <w:rPr>
                <w:rFonts w:hint="eastAsia" w:ascii="Times New Roman" w:hAnsi="Times New Roman" w:eastAsia="微软雅黑" w:cs="黑体"/>
                <w:sz w:val="21"/>
                <w:highlight w:val="none"/>
                <w:lang w:eastAsia="zh-CN"/>
              </w:rPr>
            </w:pPr>
            <w:r>
              <w:rPr>
                <w:rFonts w:hint="default"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Times New Roman"/>
                <w:sz w:val="21"/>
                <w:szCs w:val="21"/>
                <w:highlight w:val="none"/>
                <w:lang w:val="en-US" w:eastAsia="zh-CN"/>
              </w:rPr>
              <w:t>{{</w:t>
            </w:r>
            <w:r>
              <w:rPr>
                <w:rFonts w:hint="eastAsia" w:ascii="Times New Roman" w:hAnsi="Times New Roman" w:eastAsia="微软雅黑" w:cs="黑体"/>
                <w:sz w:val="21"/>
                <w:highlight w:val="none"/>
                <w:lang w:eastAsia="zh-CN"/>
              </w:rPr>
              <w:t>summaryOfRresults.</w:t>
            </w:r>
            <w:r>
              <w:rPr>
                <w:rFonts w:hint="eastAsia" w:ascii="Times New Roman" w:hAnsi="Times New Roman" w:eastAsia="微软雅黑" w:cs="Times New Roman"/>
                <w:sz w:val="21"/>
                <w:szCs w:val="21"/>
                <w:highlight w:val="none"/>
                <w:lang w:eastAsia="zh-CN"/>
              </w:rPr>
              <w:t>positiveImmnue</w:t>
            </w:r>
            <w:r>
              <w:rPr>
                <w:rFonts w:hint="eastAsia" w:ascii="Times New Roman" w:hAnsi="Times New Roman" w:eastAsia="微软雅黑" w:cs="Times New Roman"/>
                <w:sz w:val="21"/>
                <w:szCs w:val="21"/>
                <w:highlight w:val="none"/>
                <w:lang w:val="en-US" w:eastAsia="zh-CN"/>
              </w:rPr>
              <w:t>Num}}</w:t>
            </w:r>
            <w:r>
              <w:rPr>
                <w:rFonts w:hint="default" w:ascii="Times New Roman" w:hAnsi="Times New Roman" w:eastAsia="微软雅黑" w:cs="Times New Roman"/>
                <w:sz w:val="21"/>
                <w:szCs w:val="21"/>
                <w:highlight w:val="none"/>
                <w:lang w:val="en-US" w:eastAsia="zh-CN"/>
              </w:rPr>
              <w:t>个免疫正相关突变；</w:t>
            </w:r>
            <w:r>
              <w:rPr>
                <w:rFonts w:hint="eastAsia" w:ascii="Times New Roman" w:hAnsi="Times New Roman" w:eastAsia="微软雅黑" w:cs="Times New Roman"/>
                <w:sz w:val="21"/>
                <w:szCs w:val="21"/>
                <w:highlight w:val="none"/>
                <w:lang w:val="en-US" w:eastAsia="zh-CN"/>
              </w:rPr>
              <w:t>{{</w:t>
            </w:r>
            <w:r>
              <w:rPr>
                <w:rFonts w:hint="eastAsia" w:ascii="Times New Roman" w:hAnsi="Times New Roman" w:eastAsia="微软雅黑" w:cs="黑体"/>
                <w:sz w:val="21"/>
                <w:highlight w:val="none"/>
                <w:lang w:eastAsia="zh-CN"/>
              </w:rPr>
              <w:t>summaryOfRresults</w:t>
            </w:r>
            <w:r>
              <w:rPr>
                <w:rFonts w:hint="eastAsia" w:ascii="Times New Roman" w:hAnsi="Times New Roman" w:eastAsia="微软雅黑" w:cs="黑体"/>
                <w:sz w:val="21"/>
                <w:highlight w:val="none"/>
                <w:lang w:val="en-US" w:eastAsia="zh-CN"/>
              </w:rPr>
              <w:t>.</w:t>
            </w:r>
            <w:r>
              <w:rPr>
                <w:rFonts w:hint="eastAsia" w:ascii="Times New Roman" w:hAnsi="Times New Roman" w:eastAsia="微软雅黑" w:cs="Times New Roman"/>
                <w:sz w:val="21"/>
                <w:szCs w:val="21"/>
                <w:highlight w:val="none"/>
                <w:lang w:eastAsia="zh-CN"/>
              </w:rPr>
              <w:t>negativeImmnue</w:t>
            </w:r>
            <w:r>
              <w:rPr>
                <w:rFonts w:hint="eastAsia" w:ascii="Times New Roman" w:hAnsi="Times New Roman" w:eastAsia="微软雅黑" w:cs="Times New Roman"/>
                <w:sz w:val="21"/>
                <w:szCs w:val="21"/>
                <w:highlight w:val="none"/>
                <w:lang w:val="en-US" w:eastAsia="zh-CN"/>
              </w:rPr>
              <w:t>Num}}</w:t>
            </w:r>
            <w:r>
              <w:rPr>
                <w:rFonts w:hint="default" w:ascii="Times New Roman" w:hAnsi="Times New Roman" w:eastAsia="微软雅黑" w:cs="Times New Roman"/>
                <w:sz w:val="21"/>
                <w:szCs w:val="21"/>
                <w:highlight w:val="none"/>
                <w:lang w:val="en-US" w:eastAsia="zh-CN"/>
              </w:rPr>
              <w:t>个免疫负相关突变</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trPr>
        <w:tc>
          <w:tcPr>
            <w:tcW w:w="3876" w:type="dxa"/>
            <w:gridSpan w:val="2"/>
            <w:tcBorders>
              <w:top w:val="single" w:color="00AF50" w:sz="4" w:space="0"/>
              <w:left w:val="nil"/>
              <w:bottom w:val="single" w:color="00AF50" w:sz="4" w:space="0"/>
              <w:right w:val="single" w:color="00AF50" w:sz="4" w:space="0"/>
            </w:tcBorders>
            <w:shd w:val="clear" w:color="auto" w:fill="F1F1F1"/>
            <w:vAlign w:val="center"/>
          </w:tcPr>
          <w:p>
            <w:pPr>
              <w:pStyle w:val="17"/>
              <w:spacing w:before="77"/>
              <w:ind w:left="119"/>
              <w:jc w:val="both"/>
              <w:rPr>
                <w:rFonts w:ascii="Times New Roman" w:hAnsi="Times New Roman" w:eastAsia="微软雅黑" w:cs="黑体"/>
                <w:sz w:val="21"/>
                <w:highlight w:val="none"/>
              </w:rPr>
            </w:pPr>
            <w:r>
              <w:rPr>
                <w:rFonts w:ascii="Times New Roman" w:hAnsi="Times New Roman" w:eastAsia="微软雅黑" w:cs="黑体"/>
                <w:sz w:val="21"/>
                <w:highlight w:val="none"/>
              </w:rPr>
              <w:t>肿瘤遗传风险检测</w:t>
            </w:r>
          </w:p>
        </w:tc>
        <w:tc>
          <w:tcPr>
            <w:tcW w:w="5682" w:type="dxa"/>
            <w:tcBorders>
              <w:top w:val="single" w:color="00AF50" w:sz="4" w:space="0"/>
              <w:left w:val="single" w:color="00AF50" w:sz="4" w:space="0"/>
              <w:bottom w:val="single" w:color="00AF50" w:sz="4" w:space="0"/>
              <w:right w:val="nil"/>
            </w:tcBorders>
            <w:shd w:val="clear" w:color="auto" w:fill="F1F1F1"/>
          </w:tcPr>
          <w:p>
            <w:pPr>
              <w:pStyle w:val="17"/>
              <w:spacing w:before="77"/>
              <w:ind w:left="119" w:right="119"/>
              <w:jc w:val="both"/>
              <w:rPr>
                <w:rFonts w:ascii="Times New Roman" w:hAnsi="Times New Roman" w:eastAsia="微软雅黑" w:cs="黑体"/>
                <w:sz w:val="21"/>
                <w:highlight w:val="none"/>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summaryOfRresults.crAllListSize }}</w:t>
            </w:r>
            <w:r>
              <w:rPr>
                <w:rFonts w:ascii="Times New Roman" w:hAnsi="Times New Roman" w:eastAsia="微软雅黑" w:cs="Times New Roman"/>
                <w:sz w:val="21"/>
                <w:szCs w:val="21"/>
                <w:highlight w:val="none"/>
                <w:lang w:eastAsia="zh-CN"/>
              </w:rPr>
              <w:t>个胚系突变，其中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trPr>
        <w:tc>
          <w:tcPr>
            <w:tcW w:w="9558" w:type="dxa"/>
            <w:gridSpan w:val="3"/>
            <w:tcBorders>
              <w:top w:val="single" w:color="00AF50" w:sz="4" w:space="0"/>
              <w:left w:val="nil"/>
              <w:bottom w:val="single" w:color="00AF50" w:sz="4" w:space="0"/>
              <w:right w:val="nil"/>
            </w:tcBorders>
            <w:shd w:val="clear" w:color="auto" w:fill="F1F1F1"/>
            <w:vAlign w:val="center"/>
          </w:tcPr>
          <w:p>
            <w:pPr>
              <w:pStyle w:val="17"/>
              <w:spacing w:before="77"/>
              <w:ind w:left="119" w:right="119"/>
              <w:jc w:val="both"/>
              <w:rPr>
                <w:rFonts w:ascii="Times New Roman" w:hAnsi="Times New Roman" w:eastAsia="微软雅黑" w:cs="黑体"/>
                <w:sz w:val="21"/>
                <w:highlight w:val="none"/>
                <w:lang w:eastAsia="zh-CN"/>
              </w:rPr>
            </w:pPr>
            <w:r>
              <w:rPr>
                <w:rFonts w:hint="eastAsia" w:ascii="Times New Roman" w:hAnsi="Times New Roman" w:eastAsia="微软雅黑" w:cs="黑体"/>
                <w:sz w:val="21"/>
                <w:highlight w:val="none"/>
                <w:lang w:eastAsia="zh-CN"/>
              </w:rPr>
              <w:t>{%tr endif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trPr>
        <w:tc>
          <w:tcPr>
            <w:tcW w:w="3876" w:type="dxa"/>
            <w:gridSpan w:val="2"/>
            <w:tcBorders>
              <w:top w:val="single" w:color="00AF50" w:sz="4" w:space="0"/>
              <w:left w:val="nil"/>
              <w:bottom w:val="single" w:color="00AF50" w:sz="4" w:space="0"/>
              <w:right w:val="single" w:color="00AF50" w:sz="4" w:space="0"/>
            </w:tcBorders>
            <w:shd w:val="clear" w:color="auto" w:fill="F1F1F1"/>
            <w:vAlign w:val="center"/>
          </w:tcPr>
          <w:p>
            <w:pPr>
              <w:pStyle w:val="17"/>
              <w:ind w:left="220" w:leftChars="100"/>
              <w:jc w:val="both"/>
              <w:rPr>
                <w:rFonts w:ascii="Times New Roman" w:hAnsi="Times New Roman" w:eastAsia="微软雅黑" w:cs="黑体"/>
                <w:sz w:val="21"/>
                <w:highlight w:val="none"/>
              </w:rPr>
            </w:pPr>
            <w:r>
              <w:rPr>
                <w:rFonts w:ascii="Times New Roman" w:hAnsi="Times New Roman" w:eastAsia="微软雅黑" w:cs="黑体"/>
                <w:sz w:val="21"/>
                <w:highlight w:val="none"/>
                <w:lang w:eastAsia="zh-CN"/>
              </w:rPr>
              <w:t>化疗药物检测</w:t>
            </w:r>
          </w:p>
        </w:tc>
        <w:tc>
          <w:tcPr>
            <w:tcW w:w="5682" w:type="dxa"/>
            <w:tcBorders>
              <w:top w:val="single" w:color="00AF50" w:sz="4" w:space="0"/>
              <w:left w:val="single" w:color="00AF50" w:sz="4" w:space="0"/>
              <w:bottom w:val="single" w:color="00AF50" w:sz="4" w:space="0"/>
              <w:right w:val="nil"/>
            </w:tcBorders>
            <w:shd w:val="clear" w:color="auto" w:fill="F1F1F1"/>
            <w:vAlign w:val="top"/>
          </w:tcPr>
          <w:p>
            <w:pPr>
              <w:pStyle w:val="17"/>
              <w:spacing w:before="77"/>
              <w:ind w:left="119" w:leftChars="0" w:right="119" w:rightChars="0"/>
              <w:rPr>
                <w:rFonts w:hint="eastAsia" w:ascii="Times New Roman" w:hAnsi="Times New Roman" w:eastAsia="微软雅黑" w:cs="黑体"/>
                <w:sz w:val="21"/>
                <w:highlight w:val="none"/>
                <w:lang w:eastAsia="zh-CN"/>
              </w:rPr>
            </w:pPr>
            <w:r>
              <w:rPr>
                <w:rFonts w:ascii="Times New Roman" w:hAnsi="Times New Roman" w:eastAsia="微软雅黑" w:cs="Times New Roman"/>
                <w:sz w:val="21"/>
                <w:szCs w:val="21"/>
                <w:highlight w:val="none"/>
                <w:lang w:eastAsia="zh-CN"/>
              </w:rPr>
              <w:t>详见“化疗药物检测解析”部分</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trPr>
        <w:tc>
          <w:tcPr>
            <w:tcW w:w="3876" w:type="dxa"/>
            <w:gridSpan w:val="2"/>
            <w:tcBorders>
              <w:top w:val="single" w:color="00AF50" w:sz="4" w:space="0"/>
              <w:left w:val="nil"/>
              <w:bottom w:val="single" w:color="00AF50" w:sz="4" w:space="0"/>
              <w:right w:val="single" w:color="00AF50" w:sz="4" w:space="0"/>
            </w:tcBorders>
            <w:shd w:val="clear" w:color="auto" w:fill="F1F1F1"/>
          </w:tcPr>
          <w:p>
            <w:pPr>
              <w:pStyle w:val="17"/>
              <w:spacing w:before="77"/>
              <w:ind w:left="119"/>
              <w:jc w:val="both"/>
              <w:rPr>
                <w:rFonts w:ascii="Times New Roman" w:hAnsi="Times New Roman" w:eastAsia="微软雅黑" w:cs="黑体"/>
                <w:sz w:val="21"/>
                <w:highlight w:val="none"/>
              </w:rPr>
            </w:pPr>
            <w:r>
              <w:rPr>
                <w:rFonts w:ascii="Times New Roman" w:hAnsi="Times New Roman" w:eastAsia="微软雅黑" w:cs="黑体"/>
                <w:sz w:val="21"/>
                <w:highlight w:val="none"/>
              </w:rPr>
              <w:t>样品总体质量评估</w:t>
            </w:r>
          </w:p>
        </w:tc>
        <w:tc>
          <w:tcPr>
            <w:tcW w:w="5682" w:type="dxa"/>
            <w:tcBorders>
              <w:top w:val="single" w:color="00AF50" w:sz="4" w:space="0"/>
              <w:left w:val="single" w:color="00AF50" w:sz="4" w:space="0"/>
              <w:bottom w:val="single" w:color="00AF50" w:sz="4" w:space="0"/>
              <w:right w:val="nil"/>
            </w:tcBorders>
            <w:shd w:val="clear" w:color="auto" w:fill="F1F1F1"/>
          </w:tcPr>
          <w:p>
            <w:pPr>
              <w:pStyle w:val="17"/>
              <w:spacing w:before="77"/>
              <w:ind w:left="119" w:right="119"/>
              <w:jc w:val="both"/>
              <w:rPr>
                <w:rFonts w:ascii="Times New Roman" w:hAnsi="Times New Roman" w:eastAsia="微软雅黑" w:cs="黑体"/>
                <w:sz w:val="21"/>
                <w:highlight w:val="none"/>
              </w:rPr>
            </w:pPr>
            <w:r>
              <w:rPr>
                <w:rFonts w:hint="eastAsia" w:ascii="Times New Roman" w:hAnsi="Times New Roman" w:eastAsia="微软雅黑" w:cs="黑体"/>
                <w:sz w:val="21"/>
                <w:highlight w:val="none"/>
                <w:lang w:eastAsia="zh-CN"/>
              </w:rPr>
              <w:t xml:space="preserve">{% if summaryOfRresults.qualityStat== </w:t>
            </w:r>
            <w:r>
              <w:rPr>
                <w:rFonts w:ascii="Times New Roman" w:hAnsi="Times New Roman" w:eastAsia="微软雅黑" w:cs="黑体"/>
                <w:sz w:val="21"/>
                <w:highlight w:val="none"/>
                <w:lang w:eastAsia="zh-CN"/>
              </w:rPr>
              <w:t>“</w:t>
            </w:r>
            <w:r>
              <w:rPr>
                <w:rFonts w:hint="eastAsia" w:ascii="Times New Roman" w:hAnsi="Times New Roman" w:eastAsia="微软雅黑" w:cs="黑体"/>
                <w:sz w:val="21"/>
                <w:highlight w:val="none"/>
                <w:lang w:eastAsia="zh-CN"/>
              </w:rPr>
              <w:t>D</w:t>
            </w:r>
            <w:r>
              <w:rPr>
                <w:rFonts w:ascii="Times New Roman" w:hAnsi="Times New Roman" w:eastAsia="微软雅黑" w:cs="黑体"/>
                <w:sz w:val="21"/>
                <w:highlight w:val="none"/>
                <w:lang w:eastAsia="zh-CN"/>
              </w:rPr>
              <w:t>”</w:t>
            </w:r>
            <w:r>
              <w:rPr>
                <w:rFonts w:hint="eastAsia" w:ascii="Times New Roman" w:hAnsi="Times New Roman" w:eastAsia="微软雅黑" w:cs="黑体"/>
                <w:sz w:val="21"/>
                <w:highlight w:val="none"/>
                <w:lang w:eastAsia="zh-CN"/>
              </w:rPr>
              <w:t xml:space="preserve"> %}风险{% else %}合格{% endif %}</w:t>
            </w:r>
          </w:p>
        </w:tc>
      </w:tr>
    </w:tbl>
    <w:p>
      <w:pPr>
        <w:ind w:firstLine="219" w:firstLineChars="122"/>
        <w:rPr>
          <w:rFonts w:ascii="Times New Roman" w:hAnsi="Times New Roman" w:eastAsia="微软雅黑" w:cs="Times New Roman"/>
          <w:sz w:val="18"/>
          <w:szCs w:val="18"/>
          <w:highlight w:val="none"/>
        </w:rPr>
      </w:pPr>
      <w:r>
        <w:rPr>
          <w:rFonts w:hint="eastAsia" w:ascii="微软雅黑" w:hAnsi="微软雅黑" w:eastAsia="微软雅黑" w:cs="微软雅黑"/>
          <w:sz w:val="18"/>
          <w:szCs w:val="18"/>
          <w:highlight w:val="none"/>
          <w:lang w:eastAsia="zh-CN" w:bidi="ar"/>
        </w:rPr>
        <w:t>说明</w:t>
      </w:r>
      <w:r>
        <w:rPr>
          <w:rFonts w:ascii="微软雅黑" w:hAnsi="微软雅黑" w:eastAsia="微软雅黑" w:cs="微软雅黑"/>
          <w:sz w:val="18"/>
          <w:szCs w:val="18"/>
          <w:highlight w:val="none"/>
          <w:lang w:eastAsia="zh-CN" w:bidi="ar"/>
        </w:rPr>
        <w:t>：</w:t>
      </w:r>
    </w:p>
    <w:p>
      <w:pPr>
        <w:numPr>
          <w:ilvl w:val="0"/>
          <w:numId w:val="6"/>
        </w:numPr>
        <w:ind w:left="330" w:leftChars="150"/>
        <w:rPr>
          <w:rFonts w:ascii="微软雅黑" w:hAnsi="微软雅黑" w:eastAsia="微软雅黑" w:cs="微软雅黑"/>
          <w:sz w:val="18"/>
          <w:szCs w:val="18"/>
          <w:highlight w:val="none"/>
          <w:lang w:eastAsia="zh-CN" w:bidi="ar"/>
        </w:rPr>
      </w:pPr>
      <w:r>
        <w:rPr>
          <w:rFonts w:ascii="微软雅黑" w:hAnsi="微软雅黑" w:eastAsia="微软雅黑" w:cs="微软雅黑"/>
          <w:sz w:val="18"/>
          <w:szCs w:val="18"/>
          <w:highlight w:val="none"/>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highlight w:val="none"/>
          <w:lang w:eastAsia="zh-CN" w:bidi="ar"/>
        </w:rPr>
      </w:pPr>
      <w:r>
        <w:rPr>
          <w:rFonts w:ascii="Times New Roman" w:hAnsi="Times New Roman" w:eastAsia="微软雅黑" w:cs="Times New Roman"/>
          <w:sz w:val="18"/>
          <w:szCs w:val="18"/>
          <w:highlight w:val="none"/>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highlight w:val="none"/>
          <w:lang w:eastAsia="zh-CN" w:bidi="ar"/>
        </w:rPr>
      </w:pPr>
      <w:r>
        <w:rPr>
          <w:rFonts w:ascii="微软雅黑" w:hAnsi="微软雅黑" w:eastAsia="微软雅黑" w:cs="微软雅黑"/>
          <w:sz w:val="18"/>
          <w:szCs w:val="18"/>
          <w:highlight w:val="none"/>
          <w:lang w:eastAsia="zh-CN" w:bidi="ar"/>
        </w:rPr>
        <w:t>本报告只对本次采集样本负责，如有疑问，请在7个工作日内与我们联系。</w:t>
      </w:r>
      <w:r>
        <w:rPr>
          <w:rFonts w:hint="eastAsia" w:ascii="微软雅黑" w:hAnsi="微软雅黑" w:eastAsia="微软雅黑" w:cs="微软雅黑"/>
          <w:sz w:val="18"/>
          <w:szCs w:val="18"/>
          <w:highlight w:val="none"/>
          <w:lang w:eastAsia="zh-CN" w:bidi="ar"/>
        </w:rPr>
        <w:t xml:space="preserve">{% if summaryOfRresults.qualityStat== </w:t>
      </w:r>
      <w:r>
        <w:rPr>
          <w:rFonts w:ascii="微软雅黑" w:hAnsi="微软雅黑" w:eastAsia="微软雅黑" w:cs="微软雅黑"/>
          <w:sz w:val="18"/>
          <w:szCs w:val="18"/>
          <w:highlight w:val="none"/>
          <w:lang w:eastAsia="zh-CN" w:bidi="ar"/>
        </w:rPr>
        <w:t>“</w:t>
      </w:r>
      <w:r>
        <w:rPr>
          <w:rFonts w:hint="eastAsia" w:ascii="微软雅黑" w:hAnsi="微软雅黑" w:eastAsia="微软雅黑" w:cs="微软雅黑"/>
          <w:sz w:val="18"/>
          <w:szCs w:val="18"/>
          <w:highlight w:val="none"/>
          <w:lang w:eastAsia="zh-CN" w:bidi="ar"/>
        </w:rPr>
        <w:t>D</w:t>
      </w:r>
      <w:r>
        <w:rPr>
          <w:rFonts w:ascii="微软雅黑" w:hAnsi="微软雅黑" w:eastAsia="微软雅黑" w:cs="微软雅黑"/>
          <w:sz w:val="18"/>
          <w:szCs w:val="18"/>
          <w:highlight w:val="none"/>
          <w:lang w:eastAsia="zh-CN" w:bidi="ar"/>
        </w:rPr>
        <w:t>”</w:t>
      </w:r>
      <w:r>
        <w:rPr>
          <w:rFonts w:hint="eastAsia" w:ascii="微软雅黑" w:hAnsi="微软雅黑" w:eastAsia="微软雅黑" w:cs="微软雅黑"/>
          <w:sz w:val="18"/>
          <w:szCs w:val="18"/>
          <w:highlight w:val="none"/>
          <w:lang w:eastAsia="zh-CN" w:bidi="ar"/>
        </w:rPr>
        <w:t xml:space="preserve"> %}</w:t>
      </w:r>
    </w:p>
    <w:p>
      <w:pPr>
        <w:numPr>
          <w:ilvl w:val="0"/>
          <w:numId w:val="6"/>
        </w:numPr>
        <w:ind w:left="330" w:leftChars="150"/>
        <w:rPr>
          <w:rFonts w:ascii="微软雅黑" w:hAnsi="微软雅黑" w:eastAsia="微软雅黑" w:cs="微软雅黑"/>
          <w:sz w:val="18"/>
          <w:szCs w:val="18"/>
          <w:highlight w:val="none"/>
          <w:lang w:eastAsia="zh-CN" w:bidi="ar"/>
        </w:rPr>
      </w:pPr>
      <w:r>
        <w:rPr>
          <w:rFonts w:ascii="微软雅黑" w:hAnsi="微软雅黑" w:eastAsia="微软雅黑" w:cs="微软雅黑"/>
          <w:sz w:val="18"/>
          <w:szCs w:val="18"/>
          <w:highlight w:val="none"/>
          <w:lang w:eastAsia="zh-CN" w:bidi="ar"/>
        </w:rPr>
        <w:t>该样本测序深度不足，</w:t>
      </w:r>
      <w:r>
        <w:rPr>
          <w:rFonts w:hint="eastAsia" w:ascii="微软雅黑" w:hAnsi="微软雅黑" w:eastAsia="微软雅黑" w:cs="微软雅黑"/>
          <w:sz w:val="18"/>
          <w:szCs w:val="18"/>
          <w:highlight w:val="none"/>
          <w:lang w:eastAsia="zh-CN" w:bidi="ar"/>
        </w:rPr>
        <w:t>风险出具，检测结果仅供参考。{% endif %}</w:t>
      </w:r>
    </w:p>
    <w:p>
      <w:pPr>
        <w:rPr>
          <w:rFonts w:ascii="Times New Roman" w:hAnsi="Times New Roman" w:eastAsia="微软雅黑" w:cs="黑体"/>
          <w:b/>
          <w:bCs/>
          <w:color w:val="00B050"/>
          <w:sz w:val="28"/>
          <w:szCs w:val="36"/>
          <w:highlight w:val="none"/>
          <w:lang w:eastAsia="zh-CN"/>
        </w:rPr>
      </w:pPr>
      <w:r>
        <w:rPr>
          <w:rFonts w:ascii="Times New Roman" w:hAnsi="Times New Roman" w:eastAsia="微软雅黑" w:cs="黑体"/>
          <w:b/>
          <w:bCs/>
          <w:color w:val="00B050"/>
          <w:sz w:val="28"/>
          <w:szCs w:val="36"/>
          <w:highlight w:val="none"/>
          <w:lang w:eastAsia="zh-CN"/>
        </w:rPr>
        <w:br w:type="page"/>
      </w:r>
    </w:p>
    <w:p>
      <w:pPr>
        <w:pStyle w:val="2"/>
        <w:rPr>
          <w:highlight w:val="none"/>
        </w:rPr>
      </w:pPr>
      <w:bookmarkStart w:id="20" w:name="_Toc19898_WPSOffice_Level1"/>
      <w:bookmarkStart w:id="21" w:name="_Toc17222"/>
      <w:bookmarkStart w:id="22" w:name="_Toc20136_WPSOffice_Level1"/>
      <w:bookmarkStart w:id="23" w:name="_Toc22132"/>
      <w:bookmarkStart w:id="24" w:name="_Toc2781"/>
      <w:r>
        <w:rPr>
          <w:highlight w:val="none"/>
        </w:rPr>
        <w:t>检测结果及用药提示</w:t>
      </w:r>
      <w:bookmarkEnd w:id="19"/>
      <w:bookmarkEnd w:id="20"/>
      <w:bookmarkEnd w:id="21"/>
      <w:bookmarkEnd w:id="22"/>
      <w:bookmarkEnd w:id="23"/>
      <w:bookmarkEnd w:id="24"/>
    </w:p>
    <w:p>
      <w:pPr>
        <w:pStyle w:val="3"/>
        <w:rPr>
          <w:highlight w:val="none"/>
        </w:rPr>
      </w:pPr>
      <w:bookmarkStart w:id="25" w:name="_Toc23375"/>
      <w:bookmarkStart w:id="26" w:name="_Toc9088"/>
      <w:bookmarkStart w:id="27" w:name="_Toc32619"/>
      <w:bookmarkStart w:id="28" w:name="_Toc18062_WPSOffice_Level2"/>
      <w:bookmarkStart w:id="29" w:name="_Toc11015_WPSOffice_Level2"/>
      <w:r>
        <w:rPr>
          <w:highlight w:val="none"/>
        </w:rPr>
        <w:t>靶向药物用药提示</w:t>
      </w:r>
      <w:bookmarkEnd w:id="25"/>
      <w:bookmarkEnd w:id="26"/>
      <w:bookmarkEnd w:id="27"/>
      <w:bookmarkEnd w:id="28"/>
      <w:bookmarkEnd w:id="29"/>
    </w:p>
    <w:p>
      <w:pPr>
        <w:spacing w:after="240"/>
        <w:ind w:firstLine="420" w:firstLineChars="200"/>
        <w:rPr>
          <w:rFonts w:ascii="Times New Roman" w:hAnsi="Times New Roman" w:eastAsia="微软雅黑" w:cs="Times New Roman"/>
          <w:b/>
          <w:color w:val="00B050"/>
          <w:sz w:val="24"/>
          <w:szCs w:val="24"/>
          <w:highlight w:val="none"/>
          <w:lang w:eastAsia="zh-CN"/>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 if isSingleSample == False %}本次样本共检出{{ summaryOfRresults.thisGeneticmarkerVwListSize }}个体细胞突变，其中{{summaryOfRresults.somaticDrugCount}}个与靶向药物相关；共检出{{ summaryOfRresults.crAllListSize }}个胚系突变，其中{{summaryOfRresults.crDrugList}}个与靶向药物相关</w:t>
      </w:r>
      <w:r>
        <w:rPr>
          <w:rFonts w:ascii="Times New Roman" w:hAnsi="Times New Roman" w:eastAsia="微软雅黑" w:cs="Times New Roman"/>
          <w:b/>
          <w:color w:val="000000" w:themeColor="text1"/>
          <w:sz w:val="21"/>
          <w:szCs w:val="21"/>
          <w:highlight w:val="none"/>
          <w:lang w:eastAsia="zh-CN"/>
          <w14:textFill>
            <w14:solidFill>
              <w14:schemeClr w14:val="tx1"/>
            </w14:solidFill>
          </w14:textFill>
        </w:rPr>
        <w:t>。具体信息详见“基因检测结果解析”</w:t>
      </w:r>
      <w:r>
        <w:rPr>
          <w:rFonts w:ascii="Times New Roman" w:hAnsi="Times New Roman" w:eastAsia="微软雅黑" w:cs="Times New Roman"/>
          <w:b/>
          <w:color w:val="000000" w:themeColor="text1"/>
          <w:sz w:val="24"/>
          <w:szCs w:val="24"/>
          <w:highlight w:val="none"/>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highlight w:val="none"/>
          <w:lang w:eastAsia="zh-CN"/>
          <w14:textFill>
            <w14:solidFill>
              <w14:schemeClr w14:val="tx1"/>
            </w14:solidFill>
          </w14:textFill>
        </w:rPr>
        <w:t>{% else %}</w:t>
      </w: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本次样本共检出{{ summaryOfRresults.thisGeneticmarkerVwListSize }}个体细胞突变，其中{{summaryOfRresults.somaticDrugCount}}个与靶向药物相关。具体信息详见“基因检测结果解析”。</w:t>
      </w:r>
      <w:r>
        <w:rPr>
          <w:rFonts w:hint="eastAsia" w:ascii="Times New Roman" w:hAnsi="Times New Roman" w:eastAsia="微软雅黑" w:cs="Times New Roman"/>
          <w:b/>
          <w:color w:val="000000" w:themeColor="text1"/>
          <w:sz w:val="24"/>
          <w:szCs w:val="24"/>
          <w:highlight w:val="none"/>
          <w:lang w:eastAsia="zh-CN"/>
          <w14:textFill>
            <w14:solidFill>
              <w14:schemeClr w14:val="tx1"/>
            </w14:solidFill>
          </w14:textFill>
        </w:rPr>
        <w:t>{% endif %}</w:t>
      </w:r>
    </w:p>
    <w:tbl>
      <w:tblPr>
        <w:tblStyle w:val="18"/>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601"/>
        <w:gridCol w:w="1946"/>
        <w:gridCol w:w="1804"/>
        <w:gridCol w:w="1662"/>
        <w:gridCol w:w="1441"/>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vMerge w:val="restart"/>
            <w:shd w:val="clear" w:color="auto" w:fill="auto"/>
            <w:vAlign w:val="center"/>
          </w:tcPr>
          <w:p>
            <w:pPr>
              <w:pStyle w:val="17"/>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突变基因</w:t>
            </w:r>
          </w:p>
        </w:tc>
        <w:tc>
          <w:tcPr>
            <w:tcW w:w="1378" w:type="dxa"/>
            <w:vMerge w:val="restart"/>
            <w:shd w:val="clear" w:color="auto" w:fill="auto"/>
            <w:vAlign w:val="center"/>
          </w:tcPr>
          <w:p>
            <w:pPr>
              <w:pStyle w:val="17"/>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检测结果</w:t>
            </w:r>
          </w:p>
        </w:tc>
        <w:tc>
          <w:tcPr>
            <w:tcW w:w="601" w:type="dxa"/>
            <w:vMerge w:val="restart"/>
            <w:shd w:val="clear" w:color="auto" w:fill="auto"/>
            <w:vAlign w:val="center"/>
          </w:tcPr>
          <w:p>
            <w:pPr>
              <w:pStyle w:val="17"/>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突变丰度</w:t>
            </w:r>
          </w:p>
        </w:tc>
        <w:tc>
          <w:tcPr>
            <w:tcW w:w="1661" w:type="dxa"/>
            <w:gridSpan w:val="3"/>
            <w:vAlign w:val="center"/>
          </w:tcPr>
          <w:p>
            <w:pPr>
              <w:pStyle w:val="17"/>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lang w:eastAsia="zh-CN"/>
              </w:rPr>
              <w:t>可能获益的药物</w:t>
            </w:r>
          </w:p>
        </w:tc>
        <w:tc>
          <w:tcPr>
            <w:tcW w:w="1440" w:type="dxa"/>
            <w:vMerge w:val="restart"/>
            <w:shd w:val="clear" w:color="auto" w:fill="auto"/>
            <w:vAlign w:val="center"/>
          </w:tcPr>
          <w:p>
            <w:pPr>
              <w:pStyle w:val="17"/>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lang w:eastAsia="zh-CN"/>
              </w:rPr>
              <w:t>可能耐药药物</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31" w:hRule="exact"/>
          <w:tblHeader/>
        </w:trPr>
        <w:tc>
          <w:tcPr>
            <w:tcW w:w="947"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1378"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601"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1945" w:type="dxa"/>
            <w:shd w:val="clear" w:color="auto" w:fill="auto"/>
            <w:vAlign w:val="center"/>
          </w:tcPr>
          <w:p>
            <w:pPr>
              <w:pStyle w:val="17"/>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rPr>
              <w:t>A级</w:t>
            </w:r>
          </w:p>
        </w:tc>
        <w:tc>
          <w:tcPr>
            <w:tcW w:w="1803" w:type="dxa"/>
            <w:shd w:val="clear" w:color="auto" w:fill="auto"/>
            <w:vAlign w:val="center"/>
          </w:tcPr>
          <w:p>
            <w:pPr>
              <w:pStyle w:val="17"/>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B级</w:t>
            </w:r>
          </w:p>
        </w:tc>
        <w:tc>
          <w:tcPr>
            <w:tcW w:w="1661" w:type="dxa"/>
            <w:shd w:val="clear" w:color="auto" w:fill="auto"/>
            <w:vAlign w:val="center"/>
          </w:tcPr>
          <w:p>
            <w:pPr>
              <w:pStyle w:val="17"/>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rPr>
              <w:t>C级</w:t>
            </w:r>
          </w:p>
        </w:tc>
        <w:tc>
          <w:tcPr>
            <w:tcW w:w="1440" w:type="dxa"/>
            <w:vMerge w:val="continue"/>
            <w:shd w:val="clear" w:color="auto" w:fill="auto"/>
          </w:tcPr>
          <w:p>
            <w:pPr>
              <w:rPr>
                <w:rFonts w:ascii="Times New Roman" w:hAnsi="Times New Roman" w:eastAsia="微软雅黑" w:cs="Times New Roman"/>
                <w:color w:val="00B050"/>
                <w:sz w:val="21"/>
                <w:szCs w:val="21"/>
                <w:highlight w:val="none"/>
              </w:rPr>
            </w:pP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{%tr if targetDrugTipLineStr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for tip in targetDrugTipLineStr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highlight w:val="none"/>
              </w:rPr>
            </w:pPr>
            <w:r>
              <w:rPr>
                <w:rFonts w:hint="eastAsia" w:ascii="Times New Roman" w:hAnsi="Times New Roman" w:eastAsia="微软雅黑" w:cs="Times New Roman"/>
                <w:b/>
                <w:sz w:val="18"/>
                <w:szCs w:val="18"/>
                <w:highlight w:val="none"/>
                <w:lang w:eastAsia="zh-CN"/>
              </w:rPr>
              <w:t>{{ tip.gene }}</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tip.ori_variant }}</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tip.mutFreq }}</w:t>
            </w:r>
          </w:p>
        </w:tc>
        <w:tc>
          <w:tcPr>
            <w:tcW w:w="1366"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tip.DrugAStr == [] %}无{% else%}{% for d in tip.DrugAStr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tip.DrugBStr == [] %}无{% else%}{% for d in tip.DrugBStr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tip.DrugCStr == [] %}无{% else%}{% for d in tip.DrugCStr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tip.ResistantDrug == [] %}无{% else%}{% for d in tip.ResistantDrug %}{%if loop.last%}{{r d.name | ms(d.isbold,d.isRed) }}{%else%}{{r d.name | ms(d.isbold,d.isRed)}}，</w:t>
            </w:r>
          </w:p>
          <w:p>
            <w:pPr>
              <w:spacing w:before="1" w:line="249" w:lineRule="auto"/>
              <w:ind w:left="262" w:right="131"/>
              <w:jc w:val="center"/>
              <w:rPr>
                <w:rFonts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sz w:val="18"/>
                <w:szCs w:val="18"/>
                <w:highlight w:val="none"/>
                <w:lang w:eastAsia="zh-CN"/>
              </w:rPr>
              <w:t>{%endif%}{% endfor %}{% endif%}</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highlight w:val="none"/>
                <w:lang w:eastAsia="zh-CN"/>
              </w:rPr>
            </w:pPr>
            <w:r>
              <w:rPr>
                <w:rFonts w:hint="eastAsia" w:ascii="Times New Roman" w:hAnsi="Times New Roman" w:eastAsia="微软雅黑" w:cs="Times New Roman"/>
                <w:b/>
                <w:sz w:val="18"/>
                <w:szCs w:val="18"/>
                <w:highlight w:val="none"/>
                <w:lang w:eastAsia="zh-CN"/>
              </w:rPr>
              <w:t>/</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366"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endif %}</w:t>
            </w:r>
          </w:p>
        </w:tc>
      </w:tr>
    </w:tbl>
    <w:p>
      <w:pPr>
        <w:pStyle w:val="6"/>
        <w:ind w:left="420"/>
        <w:rPr>
          <w:rFonts w:ascii="Times New Roman" w:hAnsi="Times New Roman" w:eastAsia="微软雅黑" w:cs="Times New Roman"/>
          <w:b/>
          <w:sz w:val="20"/>
          <w:highlight w:val="none"/>
          <w:lang w:eastAsia="zh-CN"/>
        </w:rPr>
      </w:pPr>
    </w:p>
    <w:p>
      <w:pPr>
        <w:rPr>
          <w:rFonts w:ascii="Times New Roman" w:hAnsi="Times New Roman" w:eastAsia="微软雅黑" w:cs="Times New Roman"/>
          <w:b/>
          <w:sz w:val="18"/>
          <w:szCs w:val="18"/>
          <w:highlight w:val="none"/>
          <w:lang w:eastAsia="zh-CN"/>
        </w:rPr>
      </w:pPr>
      <w:r>
        <w:rPr>
          <w:rFonts w:ascii="Times New Roman" w:hAnsi="Times New Roman" w:eastAsia="微软雅黑" w:cs="Times New Roman"/>
          <w:b/>
          <w:sz w:val="18"/>
          <w:szCs w:val="18"/>
          <w:highlight w:val="none"/>
          <w:lang w:eastAsia="zh-CN"/>
        </w:rPr>
        <w:t>注：</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突变丰度：在某位点产生突变的等位基因在该位点全部等位基因中所占比率。</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可能获益药物：</w:t>
      </w:r>
      <w:r>
        <w:rPr>
          <w:rFonts w:hint="eastAsia" w:ascii="Times New Roman" w:hAnsi="Times New Roman" w:eastAsia="微软雅黑" w:cs="Times New Roman"/>
          <w:sz w:val="18"/>
          <w:szCs w:val="18"/>
          <w:highlight w:val="none"/>
          <w:lang w:eastAsia="zh-CN"/>
        </w:rPr>
        <w:t>A级：FDA/NMPA已经批准或各指南推荐在本癌种该靶点上可用的药物；B级：大型已注册II、III、IV期临床试验证实在本癌种该靶点可用的药物；C级：其他癌种A级证据，或I期临床试验/临床个例/研究者独立开展的多病例小型临床研究证实在本癌种该靶点可用的药物，或本癌种该靶点用药符合正在招募的大型已注册临床试验入组标准。</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可能耐药药物：FDA/NMPA已经批准的、NCCN指南推荐的、临床试验或者临床研究有明确结果的、药物敏感性可能降低或产生耐药的靶向药物。</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黑色粗体药物</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FDA/NMPA已批准药物，未加粗药物为未上市药物。</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 标注的药物：NMPA批准的靶向药物。</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标注的药物</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符合正在招募的大型已注册临床试验入组标准的药物。</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多靶点循证</w:t>
      </w:r>
      <w:r>
        <w:rPr>
          <w:rFonts w:hint="eastAsia" w:ascii="Times New Roman" w:hAnsi="Times New Roman" w:eastAsia="微软雅黑" w:cs="Times New Roman"/>
          <w:sz w:val="18"/>
          <w:szCs w:val="18"/>
          <w:highlight w:val="none"/>
          <w:lang w:eastAsia="zh-CN"/>
        </w:rPr>
        <w:t>检测结果中的符号意义：“+”表示“并且”，“/”表示“或者”，“!”表示“不满足”。</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redFlag == True %}靶向药物提示中的药物建议综合考虑患者的经治情况，灰色底纹标注药物建议综合考虑对应生物标志物的检测结果，仅供临床参考。{% else %}靶向药物提示中的药物建议综合考虑患者的经治情况，灰色底纹标注药物建议综合考虑对应生物标志物的检测结果，仅供临床参考</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endif %}</w:t>
      </w:r>
      <w:r>
        <w:rPr>
          <w:rFonts w:ascii="Times New Roman" w:hAnsi="Times New Roman" w:eastAsia="微软雅黑" w:cs="Times New Roman"/>
          <w:b/>
          <w:color w:val="00B050"/>
          <w:sz w:val="24"/>
          <w:szCs w:val="24"/>
          <w:highlight w:val="none"/>
          <w:lang w:eastAsia="zh-CN"/>
        </w:rPr>
        <w:br w:type="page"/>
      </w:r>
    </w:p>
    <w:p>
      <w:pPr>
        <w:spacing w:line="276" w:lineRule="auto"/>
        <w:rPr>
          <w:rFonts w:ascii="Times New Roman" w:hAnsi="Times New Roman" w:eastAsia="微软雅黑" w:cs="Times New Roman"/>
          <w:sz w:val="18"/>
          <w:szCs w:val="18"/>
          <w:highlight w:val="none"/>
          <w:lang w:eastAsia="zh-CN"/>
        </w:rPr>
      </w:pPr>
      <w:r>
        <w:rPr>
          <w:rFonts w:ascii="Times New Roman" w:hAnsi="Times New Roman" w:eastAsia="微软雅黑" w:cs="Times New Roman"/>
          <w:b/>
          <w:color w:val="00B050"/>
          <w:sz w:val="24"/>
          <w:szCs w:val="24"/>
          <w:highlight w:val="none"/>
          <w:lang w:eastAsia="zh-CN"/>
        </w:rPr>
        <w:t>未知临床意义或无相关靶向用药的基因突变</w:t>
      </w:r>
    </w:p>
    <w:tbl>
      <w:tblPr>
        <w:tblStyle w:val="12"/>
        <w:tblW w:w="994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1823"/>
        <w:gridCol w:w="3583"/>
        <w:gridCol w:w="2235"/>
        <w:gridCol w:w="2299"/>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182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基因名称</w:t>
            </w:r>
          </w:p>
        </w:tc>
        <w:tc>
          <w:tcPr>
            <w:tcW w:w="358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检测结果</w:t>
            </w:r>
          </w:p>
        </w:tc>
        <w:tc>
          <w:tcPr>
            <w:tcW w:w="2235"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突变类型</w:t>
            </w:r>
          </w:p>
        </w:tc>
        <w:tc>
          <w:tcPr>
            <w:tcW w:w="2299"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突变丰度</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if unknownTipLineStr != []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for tip in unknownTipLineStr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tip.gene }}</w:t>
            </w:r>
          </w:p>
        </w:tc>
        <w:tc>
          <w:tcPr>
            <w:tcW w:w="3583" w:type="dxa"/>
            <w:shd w:val="clear" w:color="auto" w:fill="F2F2F2"/>
            <w:vAlign w:val="center"/>
          </w:tcPr>
          <w:p>
            <w:pPr>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tip.ori_variant }}</w:t>
            </w:r>
          </w:p>
        </w:tc>
        <w:tc>
          <w:tcPr>
            <w:tcW w:w="2235"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tip.ExonicFunc}}</w:t>
            </w:r>
          </w:p>
        </w:tc>
        <w:tc>
          <w:tcPr>
            <w:tcW w:w="2299"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tip.mutFreq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else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c>
          <w:tcPr>
            <w:tcW w:w="3583" w:type="dxa"/>
            <w:shd w:val="clear" w:color="auto" w:fill="F2F2F2"/>
            <w:vAlign w:val="center"/>
          </w:tcPr>
          <w:p>
            <w:pPr>
              <w:jc w:val="center"/>
              <w:rPr>
                <w:rFonts w:ascii="Times New Roman" w:hAnsi="Times New Roman" w:eastAsia="微软雅黑" w:cs="Times New Roman"/>
                <w:bCs/>
                <w:sz w:val="18"/>
                <w:szCs w:val="18"/>
                <w:highlight w:val="none"/>
              </w:rPr>
            </w:pPr>
            <w:r>
              <w:rPr>
                <w:rFonts w:ascii="Times New Roman" w:hAnsi="Times New Roman" w:eastAsia="微软雅黑" w:cs="Times New Roman"/>
                <w:sz w:val="18"/>
                <w:szCs w:val="18"/>
                <w:highlight w:val="none"/>
              </w:rPr>
              <w:t>/</w:t>
            </w:r>
          </w:p>
        </w:tc>
        <w:tc>
          <w:tcPr>
            <w:tcW w:w="2235"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c>
          <w:tcPr>
            <w:tcW w:w="2299"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endif %}</w:t>
            </w:r>
          </w:p>
        </w:tc>
      </w:tr>
    </w:tbl>
    <w:p>
      <w:pPr>
        <w:pStyle w:val="19"/>
        <w:ind w:left="420"/>
        <w:rPr>
          <w:rFonts w:ascii="Times New Roman" w:hAnsi="Times New Roman" w:eastAsia="微软雅黑" w:cs="Times New Roman"/>
          <w:b/>
          <w:highlight w:val="none"/>
          <w:lang w:eastAsia="zh-CN"/>
        </w:rPr>
      </w:pPr>
    </w:p>
    <w:p>
      <w:pPr>
        <w:pStyle w:val="19"/>
        <w:rPr>
          <w:rFonts w:ascii="Times New Roman" w:hAnsi="Times New Roman" w:eastAsia="微软雅黑" w:cs="Times New Roman"/>
          <w:b/>
          <w:highlight w:val="none"/>
          <w:lang w:eastAsia="zh-CN"/>
        </w:rPr>
      </w:pPr>
    </w:p>
    <w:p>
      <w:pPr>
        <w:rPr>
          <w:rFonts w:ascii="Times New Roman" w:hAnsi="Times New Roman" w:eastAsia="微软雅黑" w:cs="Times New Roman"/>
          <w:b/>
          <w:sz w:val="18"/>
          <w:szCs w:val="18"/>
          <w:highlight w:val="none"/>
          <w:lang w:eastAsia="zh-CN"/>
        </w:rPr>
      </w:pPr>
      <w:r>
        <w:rPr>
          <w:rFonts w:ascii="Times New Roman" w:hAnsi="Times New Roman" w:eastAsia="微软雅黑" w:cs="Times New Roman"/>
          <w:b/>
          <w:sz w:val="18"/>
          <w:szCs w:val="18"/>
          <w:highlight w:val="none"/>
          <w:lang w:eastAsia="zh-CN"/>
        </w:rPr>
        <w:t>注：</w:t>
      </w:r>
    </w:p>
    <w:p>
      <w:pPr>
        <w:numPr>
          <w:ilvl w:val="0"/>
          <w:numId w:val="8"/>
        </w:numPr>
        <w:ind w:left="425" w:leftChars="0" w:hanging="425" w:firstLineChars="0"/>
        <w:rPr>
          <w:rFonts w:hint="eastAsia" w:ascii="Times New Roman" w:hAnsi="Times New Roman" w:eastAsia="微软雅黑" w:cs="Times New Roman"/>
          <w:sz w:val="18"/>
          <w:szCs w:val="18"/>
          <w:highlight w:val="none"/>
          <w:lang w:val="en-US" w:eastAsia="zh-CN"/>
        </w:rPr>
      </w:pPr>
      <w:r>
        <w:rPr>
          <w:rFonts w:ascii="Times New Roman" w:hAnsi="Times New Roman" w:eastAsia="微软雅黑" w:cs="Times New Roman"/>
          <w:sz w:val="18"/>
          <w:szCs w:val="18"/>
          <w:highlight w:val="none"/>
          <w:lang w:eastAsia="zh-CN"/>
        </w:rPr>
        <w:t>未知临床意义的基因突变是指在出具报告时文献尚未报道，或者是突变意义已经明确但是无相关的靶向用药信息，或者是该突变意义不明确，可能存在潜在的临床意义。</w:t>
      </w: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pStyle w:val="3"/>
        <w:rPr>
          <w:highlight w:val="none"/>
          <w:lang w:eastAsia="zh-CN"/>
        </w:rPr>
      </w:pPr>
      <w:bookmarkStart w:id="30" w:name="_Toc4339"/>
      <w:bookmarkStart w:id="31" w:name="_Toc7551_WPSOffice_Level2"/>
      <w:bookmarkStart w:id="32" w:name="_Toc32225"/>
      <w:bookmarkStart w:id="33" w:name="_Toc6221_WPSOffice_Level2"/>
      <w:bookmarkStart w:id="34" w:name="_Toc25737"/>
      <w:r>
        <w:rPr>
          <w:highlight w:val="none"/>
          <w:lang w:eastAsia="zh-CN"/>
        </w:rPr>
        <w:t>免疫药物用药提示</w:t>
      </w:r>
      <w:bookmarkEnd w:id="30"/>
      <w:bookmarkEnd w:id="31"/>
      <w:bookmarkEnd w:id="32"/>
      <w:bookmarkEnd w:id="33"/>
      <w:bookmarkEnd w:id="34"/>
    </w:p>
    <w:bookmarkEnd w:id="13"/>
    <w:p>
      <w:pPr>
        <w:rPr>
          <w:rFonts w:ascii="Times New Roman" w:hAnsi="Times New Roman" w:eastAsia="微软雅黑" w:cs="Times New Roman"/>
          <w:b/>
          <w:color w:val="00B050"/>
          <w:sz w:val="24"/>
          <w:szCs w:val="24"/>
          <w:highlight w:val="none"/>
          <w:lang w:eastAsia="zh-CN"/>
        </w:rPr>
      </w:pPr>
      <w:bookmarkStart w:id="35" w:name="_Toc5824_WPSOffice_Level3"/>
      <w:r>
        <w:rPr>
          <w:rFonts w:hint="eastAsia"/>
          <w:highlight w:val="none"/>
          <w:lang w:eastAsia="zh-CN"/>
        </w:rPr>
        <w:t>{% if isSingleSample == False %}</w:t>
      </w:r>
      <w:r>
        <w:rPr>
          <w:rFonts w:hint="eastAsia" w:ascii="Times New Roman" w:hAnsi="Times New Roman" w:eastAsia="微软雅黑" w:cs="Times New Roman"/>
          <w:b/>
          <w:color w:val="00B050"/>
          <w:sz w:val="24"/>
          <w:szCs w:val="24"/>
          <w:highlight w:val="none"/>
          <w:lang w:eastAsia="zh-CN"/>
        </w:rPr>
        <w:t xml:space="preserve">{% if summaryOfRresults.type == </w:t>
      </w:r>
      <w:r>
        <w:rPr>
          <w:rFonts w:ascii="Times New Roman" w:hAnsi="Times New Roman" w:eastAsia="微软雅黑" w:cs="Times New Roman"/>
          <w:b/>
          <w:color w:val="00B050"/>
          <w:sz w:val="24"/>
          <w:szCs w:val="24"/>
          <w:highlight w:val="none"/>
          <w:lang w:eastAsia="zh-CN"/>
        </w:rPr>
        <w:t>‘tissue’</w:t>
      </w:r>
      <w:r>
        <w:rPr>
          <w:rFonts w:hint="eastAsia" w:ascii="Times New Roman" w:hAnsi="Times New Roman" w:eastAsia="微软雅黑" w:cs="Times New Roman"/>
          <w:b/>
          <w:color w:val="00B050"/>
          <w:sz w:val="24"/>
          <w:szCs w:val="24"/>
          <w:highlight w:val="none"/>
          <w:lang w:eastAsia="zh-CN"/>
        </w:rPr>
        <w:t xml:space="preserve"> %}</w:t>
      </w:r>
      <w:r>
        <w:rPr>
          <w:rFonts w:ascii="Times New Roman" w:hAnsi="Times New Roman" w:eastAsia="微软雅黑" w:cs="Times New Roman"/>
          <w:b/>
          <w:color w:val="00B050"/>
          <w:sz w:val="24"/>
          <w:szCs w:val="24"/>
          <w:highlight w:val="none"/>
          <w:lang w:eastAsia="zh-CN"/>
        </w:rPr>
        <w:t>肿瘤突变负荷（TMB）检测结果</w:t>
      </w:r>
      <w:r>
        <w:rPr>
          <w:rFonts w:hint="eastAsia" w:ascii="Times New Roman" w:hAnsi="Times New Roman" w:eastAsia="微软雅黑" w:cs="Times New Roman"/>
          <w:b/>
          <w:color w:val="00B050"/>
          <w:sz w:val="24"/>
          <w:szCs w:val="24"/>
          <w:highlight w:val="none"/>
          <w:lang w:eastAsia="zh-CN"/>
        </w:rPr>
        <w:t>{% else %}</w:t>
      </w:r>
      <w:r>
        <w:rPr>
          <w:rFonts w:ascii="Times New Roman" w:hAnsi="Times New Roman" w:eastAsia="微软雅黑" w:cs="Times New Roman"/>
          <w:b/>
          <w:color w:val="00B050"/>
          <w:sz w:val="24"/>
          <w:szCs w:val="24"/>
          <w:highlight w:val="none"/>
          <w:lang w:eastAsia="zh-CN"/>
        </w:rPr>
        <w:t>血液肿瘤突变负荷（bTMB）检测结果</w:t>
      </w:r>
      <w:bookmarkEnd w:id="35"/>
      <w:r>
        <w:rPr>
          <w:rFonts w:hint="eastAsia" w:ascii="Times New Roman" w:hAnsi="Times New Roman" w:eastAsia="微软雅黑" w:cs="Times New Roman"/>
          <w:b/>
          <w:color w:val="00B050"/>
          <w:sz w:val="24"/>
          <w:szCs w:val="24"/>
          <w:highlight w:val="none"/>
          <w:lang w:eastAsia="zh-CN"/>
        </w:rPr>
        <w:t>{% endif %}</w:t>
      </w:r>
    </w:p>
    <w:tbl>
      <w:tblPr>
        <w:tblStyle w:val="12"/>
        <w:tblW w:w="9870"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6792"/>
        <w:gridCol w:w="3078"/>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79" w:hRule="atLeast"/>
          <w:jc w:val="center"/>
        </w:trPr>
        <w:tc>
          <w:tcPr>
            <w:tcW w:w="6792"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检测项目</w:t>
            </w:r>
          </w:p>
        </w:tc>
        <w:tc>
          <w:tcPr>
            <w:tcW w:w="3078"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647" w:hRule="atLeast"/>
          <w:jc w:val="center"/>
        </w:trPr>
        <w:tc>
          <w:tcPr>
            <w:tcW w:w="6792"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r>
              <w:rPr>
                <w:rFonts w:ascii="Times New Roman" w:hAnsi="Times New Roman" w:eastAsia="微软雅黑" w:cs="Times New Roman"/>
                <w:sz w:val="21"/>
                <w:szCs w:val="21"/>
                <w:highlight w:val="none"/>
                <w:lang w:eastAsia="zh-CN"/>
              </w:rPr>
              <w:t>肿瘤突变负荷（Tumor mutation burden,</w:t>
            </w:r>
            <w:r>
              <w:rPr>
                <w:rFonts w:ascii="Times New Roman" w:hAnsi="Times New Roman" w:eastAsia="微软雅黑" w:cs="Times New Roman"/>
                <w:b/>
                <w:bCs/>
                <w:sz w:val="21"/>
                <w:szCs w:val="21"/>
                <w:highlight w:val="none"/>
                <w:lang w:eastAsia="zh-CN"/>
              </w:rPr>
              <w:t>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else %}</w:t>
            </w:r>
            <w:r>
              <w:rPr>
                <w:rFonts w:ascii="Times New Roman" w:hAnsi="Times New Roman" w:eastAsia="微软雅黑" w:cs="Times New Roman"/>
                <w:sz w:val="21"/>
                <w:szCs w:val="21"/>
                <w:highlight w:val="none"/>
                <w:lang w:eastAsia="zh-CN"/>
              </w:rPr>
              <w:t>血液肿瘤突变负荷（blood tumor mutation burden,</w:t>
            </w:r>
            <w:r>
              <w:rPr>
                <w:rFonts w:ascii="Times New Roman" w:hAnsi="Times New Roman" w:eastAsia="微软雅黑" w:cs="Times New Roman"/>
                <w:b/>
                <w:bCs/>
                <w:sz w:val="21"/>
                <w:szCs w:val="21"/>
                <w:highlight w:val="none"/>
                <w:lang w:eastAsia="zh-CN"/>
              </w:rPr>
              <w:t>bTMB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endif %}</w:t>
            </w:r>
          </w:p>
        </w:tc>
        <w:tc>
          <w:tcPr>
            <w:tcW w:w="3078"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 summaryOfRresults.tmb }}</w:t>
            </w:r>
            <w:r>
              <w:rPr>
                <w:rFonts w:ascii="Times New Roman" w:hAnsi="Times New Roman" w:eastAsia="微软雅黑" w:cs="Times New Roman"/>
                <w:sz w:val="21"/>
                <w:szCs w:val="21"/>
                <w:highlight w:val="none"/>
                <w:lang w:eastAsia="zh-CN"/>
              </w:rPr>
              <w:t>Muts/Mb（</w:t>
            </w:r>
            <w:r>
              <w:rPr>
                <w:rFonts w:hint="eastAsia" w:ascii="Times New Roman" w:hAnsi="Times New Roman" w:eastAsia="微软雅黑" w:cs="Times New Roman"/>
                <w:sz w:val="21"/>
                <w:szCs w:val="21"/>
                <w:highlight w:val="none"/>
                <w:lang w:eastAsia="zh-CN"/>
              </w:rPr>
              <w:t>{{ summaryOfRresults.tmb_status}}</w:t>
            </w:r>
            <w:r>
              <w:rPr>
                <w:rFonts w:ascii="Times New Roman" w:hAnsi="Times New Roman" w:eastAsia="微软雅黑" w:cs="Times New Roman"/>
                <w:sz w:val="21"/>
                <w:szCs w:val="21"/>
                <w:highlight w:val="none"/>
                <w:lang w:eastAsia="zh-CN"/>
              </w:rPr>
              <w:t>）</w:t>
            </w:r>
          </w:p>
        </w:tc>
      </w:tr>
    </w:tbl>
    <w:p>
      <w:pPr>
        <w:spacing w:before="29" w:line="360" w:lineRule="auto"/>
        <w:rPr>
          <w:rFonts w:ascii="Times New Roman" w:hAnsi="Times New Roman" w:eastAsia="微软雅黑" w:cs="Times New Roman"/>
          <w:b/>
          <w:sz w:val="21"/>
          <w:szCs w:val="21"/>
          <w:highlight w:val="none"/>
          <w:lang w:eastAsia="zh-CN"/>
        </w:rPr>
      </w:pPr>
      <w:r>
        <w:rPr>
          <w:rFonts w:hint="eastAsia" w:ascii="Times New Roman" w:hAnsi="Times New Roman" w:eastAsia="微软雅黑" w:cs="Times New Roman"/>
          <w:b/>
          <w:sz w:val="21"/>
          <w:szCs w:val="21"/>
          <w:highlight w:val="none"/>
          <w:lang w:eastAsia="zh-CN"/>
        </w:rPr>
        <w:t>{% if summaryOfRresults.tmb_PIC_status %}</w:t>
      </w:r>
    </w:p>
    <w:tbl>
      <w:tblPr>
        <w:tblStyle w:val="12"/>
        <w:tblW w:w="9860" w:type="dxa"/>
        <w:tblInd w:w="98" w:type="dxa"/>
        <w:tblLayout w:type="fixed"/>
        <w:tblCellMar>
          <w:top w:w="0" w:type="dxa"/>
          <w:left w:w="108" w:type="dxa"/>
          <w:bottom w:w="0" w:type="dxa"/>
          <w:right w:w="108" w:type="dxa"/>
        </w:tblCellMar>
      </w:tblPr>
      <w:tblGrid>
        <w:gridCol w:w="5915"/>
        <w:gridCol w:w="3945"/>
      </w:tblGrid>
      <w:tr>
        <w:tblPrEx>
          <w:tblCellMar>
            <w:top w:w="0" w:type="dxa"/>
            <w:left w:w="108" w:type="dxa"/>
            <w:bottom w:w="0" w:type="dxa"/>
            <w:right w:w="108" w:type="dxa"/>
          </w:tblCellMar>
        </w:tblPrEx>
        <w:trPr>
          <w:trHeight w:val="4836" w:hRule="atLeast"/>
        </w:trPr>
        <w:tc>
          <w:tcPr>
            <w:tcW w:w="5915" w:type="dxa"/>
            <w:shd w:val="clear" w:color="auto" w:fill="auto"/>
          </w:tcPr>
          <w:p>
            <w:pPr>
              <w:rPr>
                <w:highlight w:val="none"/>
              </w:rPr>
            </w:pPr>
            <w:r>
              <w:rPr>
                <w:rFonts w:hint="eastAsia"/>
                <w:highlight w:val="none"/>
                <w:lang w:eastAsia="zh-CN"/>
              </w:rPr>
              <w:t xml:space="preserve">{{ </w:t>
            </w:r>
            <w:r>
              <w:rPr>
                <w:rFonts w:hint="eastAsia" w:ascii="Times New Roman" w:hAnsi="Times New Roman" w:eastAsia="微软雅黑" w:cs="Times New Roman"/>
                <w:b/>
                <w:sz w:val="21"/>
                <w:szCs w:val="21"/>
                <w:highlight w:val="none"/>
                <w:lang w:eastAsia="zh-CN"/>
              </w:rPr>
              <w:t xml:space="preserve">summaryOfRresults.tmb_PIC | mi </w:t>
            </w:r>
            <w:r>
              <w:rPr>
                <w:rFonts w:hint="eastAsia"/>
                <w:highlight w:val="none"/>
                <w:lang w:eastAsia="zh-CN"/>
              </w:rPr>
              <w:t>}}</w:t>
            </w:r>
          </w:p>
        </w:tc>
        <w:tc>
          <w:tcPr>
            <w:tcW w:w="3945" w:type="dxa"/>
            <w:shd w:val="clear" w:color="auto" w:fill="auto"/>
            <w:vAlign w:val="center"/>
          </w:tcPr>
          <w:p>
            <w:pPr>
              <w:spacing w:line="276" w:lineRule="auto"/>
              <w:jc w:val="both"/>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图1.TMB 在本类癌种人群中的频率分布图</w:t>
            </w:r>
          </w:p>
          <w:p>
            <w:pPr>
              <w:spacing w:line="276" w:lineRule="auto"/>
              <w:jc w:val="both"/>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根据大数据统计结果，肿瘤突变负荷数据分布如左图红色部分所示，横坐标为每Mb测序数据中突变数目，即突变负荷；纵坐标为概率密度函数值: 密度图峰值为大多数人TMB值的集中位置。蓝色虚线表示本次检测中该样本的TMB值及其在大数据TMB分布中所处的位置。</w:t>
            </w:r>
          </w:p>
          <w:p>
            <w:pPr>
              <w:spacing w:line="276" w:lineRule="auto"/>
              <w:jc w:val="both"/>
              <w:rPr>
                <w:rFonts w:ascii="Times New Roman" w:hAnsi="Times New Roman" w:eastAsia="微软雅黑" w:cs="Times New Roman"/>
                <w:sz w:val="18"/>
                <w:highlight w:val="none"/>
                <w:shd w:val="clear" w:color="auto" w:fill="FFFFFF"/>
                <w:lang w:eastAsia="zh-CN"/>
              </w:rPr>
            </w:pPr>
          </w:p>
          <w:p>
            <w:pPr>
              <w:spacing w:line="276" w:lineRule="auto"/>
              <w:jc w:val="both"/>
              <w:rPr>
                <w:sz w:val="16"/>
                <w:highlight w:val="none"/>
                <w:lang w:eastAsia="zh-CN"/>
              </w:rPr>
            </w:pPr>
            <w:r>
              <w:rPr>
                <w:rFonts w:ascii="Times New Roman" w:hAnsi="Times New Roman" w:eastAsia="微软雅黑" w:cs="Times New Roman"/>
                <w:sz w:val="18"/>
                <w:highlight w:val="none"/>
                <w:shd w:val="clear" w:color="auto" w:fill="FFFFFF"/>
                <w:lang w:eastAsia="zh-CN"/>
              </w:rPr>
              <w:t>注：该分布图仅提供该样本在本癌种类型人群中TMB的分布位置。</w:t>
            </w:r>
          </w:p>
        </w:tc>
      </w:tr>
    </w:tbl>
    <w:p>
      <w:pPr>
        <w:spacing w:before="29" w:line="360" w:lineRule="auto"/>
        <w:rPr>
          <w:rFonts w:ascii="Times New Roman" w:hAnsi="Times New Roman" w:eastAsia="微软雅黑" w:cs="Times New Roman"/>
          <w:b/>
          <w:sz w:val="21"/>
          <w:szCs w:val="21"/>
          <w:highlight w:val="none"/>
          <w:lang w:eastAsia="zh-CN"/>
        </w:rPr>
      </w:pPr>
      <w:r>
        <w:rPr>
          <w:rFonts w:hint="eastAsia" w:ascii="Times New Roman" w:hAnsi="Times New Roman" w:eastAsia="微软雅黑" w:cs="Times New Roman"/>
          <w:b/>
          <w:sz w:val="21"/>
          <w:szCs w:val="21"/>
          <w:highlight w:val="none"/>
          <w:lang w:eastAsia="zh-CN"/>
        </w:rPr>
        <w:t>{% endif %}</w:t>
      </w:r>
    </w:p>
    <w:p>
      <w:pPr>
        <w:spacing w:before="29" w:line="360" w:lineRule="auto"/>
        <w:rPr>
          <w:rFonts w:ascii="Times New Roman" w:hAnsi="Times New Roman" w:eastAsia="微软雅黑" w:cs="Times New Roman"/>
          <w:b/>
          <w:sz w:val="21"/>
          <w:szCs w:val="21"/>
          <w:highlight w:val="none"/>
          <w:lang w:eastAsia="zh-CN"/>
        </w:rPr>
      </w:pPr>
      <w:r>
        <w:rPr>
          <w:rFonts w:hint="eastAsia" w:ascii="Times New Roman" w:hAnsi="Times New Roman" w:eastAsia="微软雅黑" w:cs="Times New Roman"/>
          <w:b/>
          <w:sz w:val="21"/>
          <w:szCs w:val="21"/>
          <w:highlight w:val="none"/>
          <w:lang w:eastAsia="zh-CN"/>
        </w:rPr>
        <w:t xml:space="preserve">{% if summaryOfRresults.type == </w:t>
      </w:r>
      <w:r>
        <w:rPr>
          <w:rFonts w:ascii="Times New Roman" w:hAnsi="Times New Roman" w:eastAsia="微软雅黑" w:cs="Times New Roman"/>
          <w:b/>
          <w:sz w:val="21"/>
          <w:szCs w:val="21"/>
          <w:highlight w:val="none"/>
          <w:lang w:eastAsia="zh-CN"/>
        </w:rPr>
        <w:t>‘tissue’</w:t>
      </w:r>
      <w:r>
        <w:rPr>
          <w:rFonts w:hint="eastAsia" w:ascii="Times New Roman" w:hAnsi="Times New Roman" w:eastAsia="微软雅黑" w:cs="Times New Roman"/>
          <w:b/>
          <w:sz w:val="21"/>
          <w:szCs w:val="21"/>
          <w:highlight w:val="none"/>
          <w:lang w:eastAsia="zh-CN"/>
        </w:rPr>
        <w:t xml:space="preserve"> %}</w:t>
      </w:r>
      <w:r>
        <w:rPr>
          <w:rFonts w:ascii="Times New Roman" w:hAnsi="Times New Roman" w:eastAsia="微软雅黑" w:cs="Times New Roman"/>
          <w:b/>
          <w:sz w:val="21"/>
          <w:szCs w:val="21"/>
          <w:highlight w:val="none"/>
          <w:lang w:eastAsia="zh-CN"/>
        </w:rPr>
        <w:t>TMB结果说明：</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肿瘤突变负荷（TMB）指肿瘤基因组中平均1Mb范围内所包含的基因变异数量（非同义突变、插入/缺失）。TMB可以由多种因素影响，包括但不限于紫外照射[PMID:15748635;23875803]，吸烟[PMID:12379884;25765070]、POLE/POLD1基因突变[PMID:23636398;23447401;24583393;22810696;25568919]和微卫星不稳定（MSI）[PMID:23636398;22810696;25568919]等因素。</w:t>
      </w:r>
    </w:p>
    <w:p>
      <w:pPr>
        <w:widowControl/>
        <w:autoSpaceDE w:val="0"/>
        <w:autoSpaceDN w:val="0"/>
        <w:adjustRightInd w:val="0"/>
        <w:spacing w:line="276" w:lineRule="auto"/>
        <w:ind w:firstLine="360" w:firstLineChars="200"/>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2015年有研究结果表明，非小细胞肺癌中突变负荷与抗PD-1药物（Pembrolizumab）疗效有关，突变负荷越高，获益越明显[PMID:25765070]。2016、2017年在抗PD-L1药物（Atezolizumab）治疗晚期尿路上皮癌的研究也显示，TMB可以作为一个非常好的预后标志物，突变负荷越高，预后越好[PMID:26952546,PMID:27939400]。此外，2016年的另一项对于黑色素瘤使用抗PD-1/PD-L1药物治疗的研究也显示，基于靶向捕获型NGS与全外显子NGS检测TMB具有高度一致性，且TMB对于抗PD-1/PD-L1的预后具有很好的预测效果[PMID:27671167]。2016年有研究表明基于靶向捕获型NGS检测的研究结果也显示TMB可以作为抗PD-1/PD-L1抗体治疗的潜在预后指标[JClinOncol34,2016（suppl;abstr9017）]。对中国人群肺腺癌患者的研究结果显示，TMB较高的患者具有更短的生存期[PMID:27009843]。目前已上市的免疫抑制剂相关的药物包括anti-CTLA4，anti-PD-1和anti-PD-L1三大类药物，其中抗PD-1/PD-L1类药物已经有6个药物获得美国食品药品监督管理局（FDA）批准上市，</w:t>
      </w:r>
      <w:r>
        <w:rPr>
          <w:rFonts w:hint="eastAsia" w:ascii="Times New Roman" w:hAnsi="Times New Roman" w:eastAsia="微软雅黑" w:cs="Times New Roman"/>
          <w:bCs/>
          <w:sz w:val="18"/>
          <w:szCs w:val="18"/>
          <w:highlight w:val="none"/>
          <w:shd w:val="clear" w:color="auto" w:fill="FFFFFF"/>
          <w:lang w:val="en-US" w:eastAsia="zh-CN"/>
        </w:rPr>
        <w:t>8</w:t>
      </w:r>
      <w:r>
        <w:rPr>
          <w:rFonts w:hint="eastAsia" w:ascii="Times New Roman" w:hAnsi="Times New Roman" w:eastAsia="微软雅黑" w:cs="Times New Roman"/>
          <w:bCs/>
          <w:sz w:val="18"/>
          <w:szCs w:val="18"/>
          <w:highlight w:val="none"/>
          <w:shd w:val="clear" w:color="auto" w:fill="FFFFFF"/>
          <w:lang w:eastAsia="zh-CN"/>
        </w:rPr>
        <w:t>个药物获得国家药品监督管理局（NMPA）批准上市，</w:t>
      </w:r>
      <w:r>
        <w:rPr>
          <w:rFonts w:ascii="Times New Roman" w:hAnsi="Times New Roman" w:eastAsia="微软雅黑" w:cs="Times New Roman"/>
          <w:bCs/>
          <w:sz w:val="18"/>
          <w:szCs w:val="18"/>
          <w:highlight w:val="none"/>
          <w:shd w:val="clear" w:color="auto" w:fill="FFFFFF"/>
          <w:lang w:eastAsia="zh-CN"/>
        </w:rPr>
        <w:t>详细获批适应症情况请参考本单元最后的药物列表。</w:t>
      </w:r>
    </w:p>
    <w:p>
      <w:pPr>
        <w:spacing w:before="29" w:line="360" w:lineRule="auto"/>
        <w:rPr>
          <w:rFonts w:ascii="Times New Roman" w:hAnsi="Times New Roman" w:eastAsia="微软雅黑" w:cs="Times New Roman"/>
          <w:b/>
          <w:sz w:val="21"/>
          <w:szCs w:val="21"/>
          <w:highlight w:val="none"/>
          <w:lang w:eastAsia="zh-CN"/>
        </w:rPr>
      </w:pPr>
      <w:r>
        <w:rPr>
          <w:rFonts w:hint="eastAsia" w:ascii="Times New Roman" w:hAnsi="Times New Roman" w:eastAsia="微软雅黑" w:cs="Times New Roman"/>
          <w:b/>
          <w:sz w:val="21"/>
          <w:szCs w:val="21"/>
          <w:highlight w:val="none"/>
          <w:lang w:eastAsia="zh-CN"/>
        </w:rPr>
        <w:t>{% else %}</w:t>
      </w:r>
      <w:r>
        <w:rPr>
          <w:rFonts w:ascii="Times New Roman" w:hAnsi="Times New Roman" w:eastAsia="微软雅黑" w:cs="Times New Roman"/>
          <w:b/>
          <w:sz w:val="21"/>
          <w:szCs w:val="21"/>
          <w:highlight w:val="none"/>
          <w:lang w:eastAsia="zh-CN"/>
        </w:rPr>
        <w:t>bTMB结果说明：</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血液肿瘤突变负荷（bTMB）指血液基因组中平均1Mb范围内所包含的基因变异数量（非同义突变、插入/缺失）。2017年ESMO会议发表血液肿瘤突变负荷（bTMB）与阿替利珠单抗（Atezolizumab）疗效相关性研究结果。研究结果表明，对POPLAR研究进行回顾性分析发现，bTMB≥10、bTMB≥16和bTMB≥20对于患者PFS和OS获益均有提示，而bTMB≥16的预测水平最佳（PFS HR＝0.57，OS HR＝0.56）；在OAK研究中，bTMB≥16组的患者中，相比用多西他赛的患者，使用阿替利珠单抗治疗的患者PFS时间延长（HR 0.65，95% 0.47-0.92）；bTMB与PD-L1状态没有明确的相关性[NCT02008227; NCT01903993]。目前已上市的免疫抑制剂相关的药物包括anti-CTLA4，anti-PD-1和anti-PD-L1 三大类药物，其中抗PD-1/PD-L1类药物已经有6个药物获得美国食品药品监督管理局（FDA）批准上市，</w:t>
      </w:r>
      <w:r>
        <w:rPr>
          <w:rFonts w:hint="eastAsia" w:ascii="Times New Roman" w:hAnsi="Times New Roman" w:eastAsia="微软雅黑" w:cs="Times New Roman"/>
          <w:bCs/>
          <w:sz w:val="18"/>
          <w:szCs w:val="18"/>
          <w:highlight w:val="none"/>
          <w:shd w:val="clear" w:color="auto" w:fill="FFFFFF"/>
          <w:lang w:val="en-US" w:eastAsia="zh-CN"/>
        </w:rPr>
        <w:t>8</w:t>
      </w:r>
      <w:r>
        <w:rPr>
          <w:rFonts w:ascii="Times New Roman" w:hAnsi="Times New Roman" w:eastAsia="微软雅黑" w:cs="Times New Roman"/>
          <w:bCs/>
          <w:sz w:val="18"/>
          <w:szCs w:val="18"/>
          <w:highlight w:val="none"/>
          <w:shd w:val="clear" w:color="auto" w:fill="FFFFFF"/>
          <w:lang w:eastAsia="zh-CN"/>
        </w:rPr>
        <w:t>个药物获得国家药品监督管理局（NMPA）批准上市，详细获批适应症情况请参考本单元最后的药物列表。</w:t>
      </w:r>
    </w:p>
    <w:p>
      <w:pPr>
        <w:widowControl/>
        <w:autoSpaceDE w:val="0"/>
        <w:autoSpaceDN w:val="0"/>
        <w:adjustRightInd w:val="0"/>
        <w:rPr>
          <w:rFonts w:ascii="Times New Roman" w:hAnsi="Times New Roman" w:eastAsia="微软雅黑" w:cs="Times New Roman"/>
          <w:bCs/>
          <w:sz w:val="18"/>
          <w:szCs w:val="18"/>
          <w:highlight w:val="none"/>
          <w:shd w:val="clear" w:color="auto" w:fill="FFFFFF"/>
          <w:lang w:eastAsia="zh-CN"/>
        </w:rPr>
      </w:pPr>
      <w:r>
        <w:rPr>
          <w:rFonts w:hint="eastAsia" w:ascii="Times New Roman" w:hAnsi="Times New Roman" w:eastAsia="微软雅黑" w:cs="Times New Roman"/>
          <w:bCs/>
          <w:sz w:val="18"/>
          <w:szCs w:val="18"/>
          <w:highlight w:val="none"/>
          <w:shd w:val="clear" w:color="auto" w:fill="FFFFFF"/>
          <w:lang w:eastAsia="zh-CN"/>
        </w:rPr>
        <w:t>{% endif %}</w:t>
      </w:r>
    </w:p>
    <w:p>
      <w:pPr>
        <w:ind w:firstLine="420" w:firstLineChars="200"/>
        <w:jc w:val="both"/>
        <w:rPr>
          <w:rFonts w:ascii="Times New Roman" w:hAnsi="Times New Roman" w:eastAsia="微软雅黑" w:cs="Times New Roman"/>
          <w:bCs/>
          <w:sz w:val="21"/>
          <w:szCs w:val="21"/>
          <w:highlight w:val="none"/>
          <w:shd w:val="clear" w:color="auto" w:fill="FFFFFF"/>
          <w:lang w:eastAsia="zh-CN"/>
        </w:rPr>
      </w:pPr>
    </w:p>
    <w:p>
      <w:pPr>
        <w:rPr>
          <w:rFonts w:ascii="Times New Roman" w:hAnsi="Times New Roman" w:eastAsia="微软雅黑" w:cs="Times New Roman"/>
          <w:b/>
          <w:sz w:val="18"/>
          <w:szCs w:val="18"/>
          <w:highlight w:val="none"/>
          <w:shd w:val="clear" w:color="auto" w:fill="FFFFFF"/>
          <w:lang w:eastAsia="zh-CN"/>
        </w:rPr>
      </w:pPr>
      <w:r>
        <w:rPr>
          <w:rFonts w:ascii="Times New Roman" w:hAnsi="Times New Roman" w:eastAsia="微软雅黑" w:cs="Times New Roman"/>
          <w:b/>
          <w:sz w:val="18"/>
          <w:szCs w:val="18"/>
          <w:highlight w:val="none"/>
          <w:shd w:val="clear" w:color="auto" w:fill="FFFFFF"/>
          <w:lang w:eastAsia="zh-CN"/>
        </w:rPr>
        <w:t>注：</w:t>
      </w:r>
    </w:p>
    <w:p>
      <w:pPr>
        <w:numPr>
          <w:ilvl w:val="0"/>
          <w:numId w:val="9"/>
        </w:numPr>
        <w:jc w:val="both"/>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szCs w:val="18"/>
          <w:highlight w:val="none"/>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9"/>
        </w:num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szCs w:val="18"/>
          <w:highlight w:val="none"/>
          <w:shd w:val="clear" w:color="auto" w:fill="FFFFFF"/>
          <w:lang w:eastAsia="zh-CN"/>
        </w:rPr>
        <w:t>本检测仅限于基因水平的突变检测，未进行PD-L1表达量检测。</w:t>
      </w: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spacing w:before="29" w:line="360" w:lineRule="auto"/>
        <w:rPr>
          <w:rFonts w:ascii="Times New Roman" w:hAnsi="Times New Roman" w:eastAsia="微软雅黑" w:cs="Times New Roman"/>
          <w:b/>
          <w:color w:val="00B050"/>
          <w:sz w:val="24"/>
          <w:szCs w:val="24"/>
          <w:highlight w:val="none"/>
          <w:lang w:eastAsia="zh-CN"/>
        </w:rPr>
      </w:pPr>
      <w:r>
        <w:rPr>
          <w:rFonts w:hint="eastAsia" w:ascii="Times New Roman" w:hAnsi="Times New Roman" w:eastAsia="微软雅黑" w:cs="Times New Roman"/>
          <w:sz w:val="24"/>
          <w:szCs w:val="24"/>
          <w:highlight w:val="none"/>
          <w:lang w:eastAsia="zh-CN"/>
        </w:rPr>
        <w:t>{% endif %}</w:t>
      </w:r>
    </w:p>
    <w:p>
      <w:pPr>
        <w:spacing w:before="29" w:line="360" w:lineRule="auto"/>
        <w:rPr>
          <w:rFonts w:ascii="Times New Roman" w:hAnsi="Times New Roman" w:eastAsia="微软雅黑" w:cs="Times New Roman"/>
          <w:b/>
          <w:color w:val="00B050"/>
          <w:sz w:val="24"/>
          <w:szCs w:val="24"/>
          <w:highlight w:val="none"/>
          <w:lang w:eastAsia="zh-CN"/>
        </w:rPr>
      </w:pPr>
      <w:bookmarkStart w:id="36" w:name="_Toc11562_WPSOffice_Level3"/>
      <w:r>
        <w:rPr>
          <w:rFonts w:ascii="Times New Roman" w:hAnsi="Times New Roman" w:eastAsia="微软雅黑" w:cs="Times New Roman"/>
          <w:b/>
          <w:color w:val="00B050"/>
          <w:sz w:val="24"/>
          <w:szCs w:val="24"/>
          <w:highlight w:val="none"/>
          <w:lang w:eastAsia="zh-CN"/>
        </w:rPr>
        <w:t>微卫星不稳定（MSI）检测结果</w:t>
      </w:r>
      <w:bookmarkEnd w:id="36"/>
    </w:p>
    <w:tbl>
      <w:tblPr>
        <w:tblStyle w:val="12"/>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6473"/>
        <w:gridCol w:w="3390"/>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6473"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检测项目</w:t>
            </w:r>
          </w:p>
        </w:tc>
        <w:tc>
          <w:tcPr>
            <w:tcW w:w="3390"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MSI score</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6473"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微卫星不稳定（microsatellite instability,</w:t>
            </w:r>
            <w:r>
              <w:rPr>
                <w:rFonts w:ascii="Times New Roman" w:hAnsi="Times New Roman" w:eastAsia="微软雅黑" w:cs="Times New Roman"/>
                <w:b/>
                <w:bCs/>
                <w:sz w:val="21"/>
                <w:szCs w:val="21"/>
                <w:highlight w:val="none"/>
                <w:lang w:eastAsia="zh-CN"/>
              </w:rPr>
              <w:t>MSI</w:t>
            </w:r>
            <w:r>
              <w:rPr>
                <w:rFonts w:ascii="Times New Roman" w:hAnsi="Times New Roman" w:eastAsia="微软雅黑" w:cs="Times New Roman"/>
                <w:sz w:val="21"/>
                <w:szCs w:val="21"/>
                <w:highlight w:val="none"/>
                <w:lang w:eastAsia="zh-CN"/>
              </w:rPr>
              <w:t>）</w:t>
            </w:r>
          </w:p>
        </w:tc>
        <w:tc>
          <w:tcPr>
            <w:tcW w:w="3390"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 summaryOfRresults.msi }}</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summaryOfRresults.msi_status }}</w:t>
            </w:r>
            <w:r>
              <w:rPr>
                <w:rFonts w:ascii="Times New Roman" w:hAnsi="Times New Roman" w:eastAsia="微软雅黑" w:cs="Times New Roman"/>
                <w:sz w:val="21"/>
                <w:szCs w:val="21"/>
                <w:highlight w:val="none"/>
                <w:lang w:eastAsia="zh-CN"/>
              </w:rPr>
              <w:t>）</w:t>
            </w:r>
          </w:p>
        </w:tc>
      </w:tr>
    </w:tbl>
    <w:p>
      <w:pPr>
        <w:rPr>
          <w:rFonts w:ascii="Times New Roman" w:hAnsi="Times New Roman" w:eastAsia="微软雅黑" w:cs="Times New Roman"/>
          <w:b/>
          <w:sz w:val="18"/>
          <w:highlight w:val="none"/>
          <w:shd w:val="clear" w:color="auto" w:fill="FFFFFF"/>
        </w:rPr>
      </w:pPr>
    </w:p>
    <w:p>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pPr>
        <w:numPr>
          <w:ilvl w:val="0"/>
          <w:numId w:val="10"/>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微卫星不稳定（MSI）是由于在DNA复制时插入或缺失突变引起的微卫星序列长度改变的现象。在结直肠癌中可以分为微卫星稳定（MSS）型、微卫星不稳定（MSI-H）型。MSI-H型结直肠癌、胃癌、子宫内膜癌、胆管癌及胰腺癌等患者可能从免疫治疗PD-1抑制剂类药物中获益。</w:t>
      </w:r>
    </w:p>
    <w:p>
      <w:pPr>
        <w:numPr>
          <w:ilvl w:val="0"/>
          <w:numId w:val="10"/>
        </w:numPr>
        <w:rPr>
          <w:rFonts w:ascii="Times New Roman" w:hAnsi="Times New Roman" w:eastAsia="微软雅黑" w:cs="Times New Roman"/>
          <w:sz w:val="18"/>
          <w:highlight w:val="none"/>
          <w:shd w:val="clear" w:color="auto" w:fill="FFFFFF"/>
          <w:lang w:eastAsia="zh-CN"/>
        </w:rPr>
      </w:pPr>
      <w:r>
        <w:rPr>
          <w:rFonts w:hint="eastAsia" w:ascii="Times New Roman" w:hAnsi="Times New Roman" w:eastAsia="微软雅黑" w:cs="Times New Roman"/>
          <w:sz w:val="18"/>
          <w:highlight w:val="none"/>
          <w:shd w:val="clear" w:color="auto" w:fill="FFFFFF"/>
          <w:lang w:eastAsia="zh-CN"/>
        </w:rPr>
        <w:t>{% if isSingleSample == False %}</w:t>
      </w:r>
      <w:r>
        <w:rPr>
          <w:rFonts w:ascii="Times New Roman" w:hAnsi="Times New Roman" w:eastAsia="微软雅黑" w:cs="Times New Roman"/>
          <w:sz w:val="18"/>
          <w:highlight w:val="none"/>
          <w:shd w:val="clear" w:color="auto" w:fill="FFFFFF"/>
          <w:lang w:eastAsia="zh-CN"/>
        </w:rPr>
        <w:t>MSI阈值的划分参考结直肠癌组织样本与传统检测方法MSI毛细电泳PCR法进行验证，其中MSI score</w:t>
      </w:r>
      <w:r>
        <w:rPr>
          <w:rFonts w:hint="eastAsia" w:ascii="Times New Roman" w:hAnsi="Times New Roman" w:eastAsia="微软雅黑" w:cs="Times New Roman"/>
          <w:sz w:val="18"/>
          <w:highlight w:val="none"/>
          <w:shd w:val="clear" w:color="auto" w:fill="FFFFFF"/>
          <w:lang w:eastAsia="zh-CN"/>
        </w:rPr>
        <w:t>&lt;</w:t>
      </w:r>
      <w:r>
        <w:rPr>
          <w:rFonts w:ascii="Times New Roman" w:hAnsi="Times New Roman" w:eastAsia="微软雅黑" w:cs="Times New Roman"/>
          <w:sz w:val="18"/>
          <w:highlight w:val="none"/>
          <w:shd w:val="clear" w:color="auto" w:fill="FFFFFF"/>
          <w:lang w:eastAsia="zh-CN"/>
        </w:rPr>
        <w:t>0.17为微卫星稳定型，MSI score</w:t>
      </w:r>
      <w:r>
        <w:rPr>
          <w:rFonts w:hint="eastAsia" w:ascii="Times New Roman" w:hAnsi="Times New Roman" w:eastAsia="微软雅黑" w:cs="Times New Roman"/>
          <w:sz w:val="18"/>
          <w:highlight w:val="none"/>
          <w:shd w:val="clear" w:color="auto" w:fill="FFFFFF"/>
          <w:lang w:eastAsia="zh-CN"/>
        </w:rPr>
        <w:t>&gt;</w:t>
      </w:r>
      <w:r>
        <w:rPr>
          <w:rFonts w:ascii="Times New Roman" w:hAnsi="Times New Roman" w:eastAsia="微软雅黑" w:cs="Times New Roman"/>
          <w:sz w:val="18"/>
          <w:highlight w:val="none"/>
          <w:shd w:val="clear" w:color="auto" w:fill="FFFFFF"/>
          <w:lang w:eastAsia="zh-CN"/>
        </w:rPr>
        <w:t>0.23为微卫星不稳定型，0.17</w:t>
      </w:r>
      <w:r>
        <w:rPr>
          <w:rFonts w:hint="eastAsia" w:ascii="Times New Roman" w:hAnsi="Times New Roman" w:eastAsia="微软雅黑" w:cs="Times New Roman"/>
          <w:sz w:val="18"/>
          <w:highlight w:val="none"/>
          <w:shd w:val="clear" w:color="auto" w:fill="FFFFFF"/>
          <w:lang w:eastAsia="zh-CN"/>
        </w:rPr>
        <w:t>≤</w:t>
      </w:r>
      <w:r>
        <w:rPr>
          <w:rFonts w:ascii="Times New Roman" w:hAnsi="Times New Roman" w:eastAsia="微软雅黑" w:cs="Times New Roman"/>
          <w:sz w:val="18"/>
          <w:highlight w:val="none"/>
          <w:shd w:val="clear" w:color="auto" w:fill="FFFFFF"/>
          <w:lang w:eastAsia="zh-CN"/>
        </w:rPr>
        <w:t>MSI score</w:t>
      </w:r>
      <w:r>
        <w:rPr>
          <w:rFonts w:hint="eastAsia" w:ascii="Times New Roman" w:hAnsi="Times New Roman" w:eastAsia="微软雅黑" w:cs="Times New Roman"/>
          <w:sz w:val="18"/>
          <w:highlight w:val="none"/>
          <w:shd w:val="clear" w:color="auto" w:fill="FFFFFF"/>
          <w:lang w:eastAsia="zh-CN"/>
        </w:rPr>
        <w:t>≤</w:t>
      </w:r>
      <w:r>
        <w:rPr>
          <w:rFonts w:ascii="Times New Roman" w:hAnsi="Times New Roman" w:eastAsia="微软雅黑" w:cs="Times New Roman"/>
          <w:sz w:val="18"/>
          <w:highlight w:val="none"/>
          <w:shd w:val="clear" w:color="auto" w:fill="FFFFFF"/>
          <w:lang w:eastAsia="zh-CN"/>
        </w:rPr>
        <w:t>0.23为阈值划分的灰度区间。</w:t>
      </w:r>
      <w:r>
        <w:rPr>
          <w:rFonts w:hint="eastAsia" w:ascii="Times New Roman" w:hAnsi="Times New Roman" w:eastAsia="微软雅黑" w:cs="Times New Roman"/>
          <w:sz w:val="18"/>
          <w:highlight w:val="none"/>
          <w:shd w:val="clear" w:color="auto" w:fill="FFFFFF"/>
          <w:lang w:val="en-US" w:eastAsia="zh-CN"/>
        </w:rPr>
        <w:t>{%else%}</w:t>
      </w:r>
      <w:r>
        <w:rPr>
          <w:rFonts w:ascii="Times New Roman" w:hAnsi="Times New Roman" w:eastAsia="微软雅黑" w:cs="Times New Roman"/>
          <w:sz w:val="18"/>
          <w:highlight w:val="none"/>
          <w:shd w:val="clear" w:color="auto" w:fill="FFFFFF"/>
          <w:lang w:eastAsia="zh-CN"/>
        </w:rPr>
        <w:t>MSI阈值的划分参考结直肠癌组织样本与传统检测方法MSI毛细电泳PCR法进行验证，其中MSI</w:t>
      </w:r>
      <w:r>
        <w:rPr>
          <w:rFonts w:hint="eastAsia" w:ascii="Times New Roman" w:hAnsi="Times New Roman" w:eastAsia="微软雅黑" w:cs="Times New Roman"/>
          <w:sz w:val="18"/>
          <w:highlight w:val="none"/>
          <w:shd w:val="clear" w:color="auto" w:fill="FFFFFF"/>
          <w:lang w:val="en-US" w:eastAsia="zh-CN"/>
        </w:rPr>
        <w:t xml:space="preserve"> </w:t>
      </w:r>
      <w:r>
        <w:rPr>
          <w:rFonts w:ascii="Times New Roman" w:hAnsi="Times New Roman" w:eastAsia="微软雅黑" w:cs="Times New Roman"/>
          <w:sz w:val="18"/>
          <w:highlight w:val="none"/>
          <w:shd w:val="clear" w:color="auto" w:fill="FFFFFF"/>
          <w:lang w:eastAsia="zh-CN"/>
        </w:rPr>
        <w:t>score&lt;0.2为微卫星稳定型，MSI</w:t>
      </w:r>
      <w:r>
        <w:rPr>
          <w:rFonts w:hint="eastAsia" w:ascii="Times New Roman" w:hAnsi="Times New Roman" w:eastAsia="微软雅黑" w:cs="Times New Roman"/>
          <w:sz w:val="18"/>
          <w:highlight w:val="none"/>
          <w:shd w:val="clear" w:color="auto" w:fill="FFFFFF"/>
          <w:lang w:val="en-US" w:eastAsia="zh-CN"/>
        </w:rPr>
        <w:t xml:space="preserve"> </w:t>
      </w:r>
      <w:r>
        <w:rPr>
          <w:rFonts w:ascii="Times New Roman" w:hAnsi="Times New Roman" w:eastAsia="微软雅黑" w:cs="Times New Roman"/>
          <w:sz w:val="18"/>
          <w:highlight w:val="none"/>
          <w:shd w:val="clear" w:color="auto" w:fill="FFFFFF"/>
          <w:lang w:eastAsia="zh-CN"/>
        </w:rPr>
        <w:t>score&gt;0.2为微卫星不稳定型。</w:t>
      </w:r>
      <w:r>
        <w:rPr>
          <w:rFonts w:hint="eastAsia" w:ascii="Times New Roman" w:hAnsi="Times New Roman" w:eastAsia="微软雅黑" w:cs="Times New Roman"/>
          <w:sz w:val="18"/>
          <w:highlight w:val="none"/>
          <w:shd w:val="clear" w:color="auto" w:fill="FFFFFF"/>
          <w:lang w:eastAsia="zh-CN"/>
        </w:rPr>
        <w:t>{% endif %}</w:t>
      </w:r>
    </w:p>
    <w:p>
      <w:pPr>
        <w:numPr>
          <w:ilvl w:val="0"/>
          <w:numId w:val="10"/>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本次检测使用NGS技术结合生物信息学算法，计算该样本在患者样本中的MSI score。非结直肠癌组织样本（如其他癌种组织样本、血液样本等）中，MSI score未进行验证，仅供参考。</w:t>
      </w: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spacing w:before="29" w:line="360" w:lineRule="auto"/>
        <w:rPr>
          <w:rFonts w:ascii="Times New Roman" w:hAnsi="Times New Roman" w:eastAsia="微软雅黑" w:cs="Times New Roman"/>
          <w:b/>
          <w:color w:val="00B050"/>
          <w:sz w:val="24"/>
          <w:szCs w:val="24"/>
          <w:highlight w:val="none"/>
          <w:lang w:eastAsia="zh-CN"/>
        </w:rPr>
      </w:pPr>
      <w:bookmarkStart w:id="37" w:name="_Toc7307_WPSOffice_Level3"/>
      <w:r>
        <w:rPr>
          <w:rFonts w:hint="eastAsia" w:ascii="Times New Roman" w:hAnsi="Times New Roman" w:eastAsia="微软雅黑" w:cs="Times New Roman"/>
          <w:sz w:val="24"/>
          <w:szCs w:val="24"/>
          <w:highlight w:val="none"/>
          <w:lang w:eastAsia="zh-CN"/>
        </w:rPr>
        <w:t>{% if isSingleSample == False %}</w:t>
      </w:r>
      <w:r>
        <w:rPr>
          <w:rFonts w:ascii="Times New Roman" w:hAnsi="Times New Roman" w:eastAsia="微软雅黑" w:cs="Times New Roman"/>
          <w:b/>
          <w:color w:val="00B050"/>
          <w:sz w:val="24"/>
          <w:szCs w:val="24"/>
          <w:highlight w:val="none"/>
          <w:lang w:eastAsia="zh-CN"/>
        </w:rPr>
        <w:t>错配修复（MMR）相关基因检测结果</w:t>
      </w:r>
      <w:bookmarkEnd w:id="37"/>
    </w:p>
    <w:tbl>
      <w:tblPr>
        <w:tblStyle w:val="12"/>
        <w:tblpPr w:leftFromText="180" w:rightFromText="180" w:vertAnchor="text" w:horzAnchor="page" w:tblpX="1264" w:tblpY="132"/>
        <w:tblOverlap w:val="never"/>
        <w:tblW w:w="9425" w:type="dxa"/>
        <w:tblInd w:w="0" w:type="dxa"/>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2240"/>
        <w:gridCol w:w="3050"/>
        <w:gridCol w:w="2044"/>
        <w:gridCol w:w="2091"/>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58" w:hRule="atLeast"/>
        </w:trPr>
        <w:tc>
          <w:tcPr>
            <w:tcW w:w="2240" w:type="dxa"/>
            <w:tcBorders>
              <w:top w:val="single" w:color="15A73A" w:sz="18"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基因名称</w:t>
            </w:r>
          </w:p>
        </w:tc>
        <w:tc>
          <w:tcPr>
            <w:tcW w:w="3050"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c>
          <w:tcPr>
            <w:tcW w:w="2044"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 xml:space="preserve"> 突变丰度</w:t>
            </w:r>
          </w:p>
        </w:tc>
        <w:tc>
          <w:tcPr>
            <w:tcW w:w="2091" w:type="dxa"/>
            <w:tcBorders>
              <w:top w:val="single" w:color="15A73A" w:sz="18" w:space="0"/>
              <w:left w:val="dotted" w:color="15A73A" w:sz="4" w:space="0"/>
              <w:bottom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突变类型</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425" w:type="dxa"/>
            <w:gridSpan w:val="4"/>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{%tr for dmmr in dMMRinfo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2240" w:type="dxa"/>
            <w:tcBorders>
              <w:top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rPr>
            </w:pPr>
            <w:r>
              <w:rPr>
                <w:rFonts w:hint="eastAsia" w:ascii="Times New Roman" w:hAnsi="Times New Roman" w:eastAsia="微软雅黑" w:cs="Times New Roman"/>
                <w:sz w:val="21"/>
                <w:szCs w:val="21"/>
                <w:highlight w:val="none"/>
                <w:lang w:eastAsia="zh-CN"/>
              </w:rPr>
              <w:t>{{ dmmr.gene }}</w:t>
            </w:r>
          </w:p>
        </w:tc>
        <w:tc>
          <w:tcPr>
            <w:tcW w:w="3050"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dmmr.ori_variant}}</w:t>
            </w:r>
          </w:p>
        </w:tc>
        <w:tc>
          <w:tcPr>
            <w:tcW w:w="2044"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dmmr.mutFreq}}</w:t>
            </w:r>
          </w:p>
        </w:tc>
        <w:tc>
          <w:tcPr>
            <w:tcW w:w="2091" w:type="dxa"/>
            <w:tcBorders>
              <w:top w:val="dotted" w:color="15A73A" w:sz="4" w:space="0"/>
              <w:left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dmmr.mut_type}}</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425" w:type="dxa"/>
            <w:gridSpan w:val="4"/>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{%tr endfor %}</w:t>
            </w:r>
          </w:p>
        </w:tc>
      </w:tr>
    </w:tbl>
    <w:p>
      <w:pPr>
        <w:pStyle w:val="27"/>
        <w:tabs>
          <w:tab w:val="left" w:pos="1317"/>
        </w:tabs>
        <w:kinsoku w:val="0"/>
        <w:overflowPunct w:val="0"/>
        <w:spacing w:before="1" w:line="187" w:lineRule="auto"/>
        <w:ind w:left="0" w:right="1131" w:firstLine="0"/>
        <w:rPr>
          <w:rFonts w:ascii="微软雅黑" w:hAnsi="微软雅黑" w:eastAsia="微软雅黑"/>
          <w:sz w:val="18"/>
          <w:highlight w:val="none"/>
        </w:rPr>
      </w:pPr>
    </w:p>
    <w:p>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pPr>
        <w:numPr>
          <w:ilvl w:val="0"/>
          <w:numId w:val="11"/>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25194673]。</w:t>
      </w:r>
    </w:p>
    <w:p>
      <w:pPr>
        <w:numPr>
          <w:ilvl w:val="0"/>
          <w:numId w:val="11"/>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一项临床研究表明，帕博利珠单抗用于dMMR/MSI-H的结直肠癌患者的客观缓解率（ORR）为36%，非结直肠癌患者的ORR为46%[FDA Reference ID:4389012]。基于该研究，FDA已批准帕博利珠单抗用于dMMR/MSI-H的治疗进展后没有合适的替代治疗方案的儿童或者成年实体瘤患者的治疗；或者氟尿嘧啶、奥沙利铂和伊立替康治疗后进展的结直肠癌患者的治疗。</w:t>
      </w:r>
    </w:p>
    <w:p>
      <w:pPr>
        <w:numPr>
          <w:ilvl w:val="0"/>
          <w:numId w:val="11"/>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CheckMate 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w:t>
      </w:r>
    </w:p>
    <w:p>
      <w:pPr>
        <w:numPr>
          <w:ilvl w:val="0"/>
          <w:numId w:val="11"/>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错配修复基因的变异结果，如有功能影响突变，则判定为dMMR，若无则判定为pMMR。</w:t>
      </w:r>
    </w:p>
    <w:p>
      <w:pPr>
        <w:numPr>
          <w:ilvl w:val="0"/>
          <w:numId w:val="11"/>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本次检测仅限于基因水平突变检测，未进行IHC表达检测，仅供参考。</w:t>
      </w:r>
    </w:p>
    <w:p>
      <w:pPr>
        <w:spacing w:before="29" w:line="360" w:lineRule="auto"/>
        <w:outlineLvl w:val="2"/>
        <w:rPr>
          <w:rFonts w:ascii="微软雅黑" w:hAnsi="微软雅黑" w:eastAsia="微软雅黑" w:cs="微软雅黑"/>
          <w:b/>
          <w:sz w:val="18"/>
          <w:szCs w:val="18"/>
          <w:highlight w:val="none"/>
          <w:shd w:val="clear" w:color="auto" w:fill="FFFFFF"/>
          <w:lang w:eastAsia="zh-CN" w:bidi="ar"/>
        </w:rPr>
      </w:pPr>
      <w:r>
        <w:rPr>
          <w:rFonts w:ascii="Times New Roman" w:hAnsi="Times New Roman" w:eastAsia="微软雅黑" w:cs="Times New Roman"/>
          <w:b/>
          <w:color w:val="00B050"/>
          <w:sz w:val="24"/>
          <w:szCs w:val="24"/>
          <w:highlight w:val="none"/>
          <w:lang w:eastAsia="zh-CN"/>
        </w:rPr>
        <w:br w:type="page"/>
      </w:r>
      <w:bookmarkStart w:id="38" w:name="OLE_LINK4"/>
      <w:r>
        <w:rPr>
          <w:rFonts w:ascii="Times New Roman" w:hAnsi="Times New Roman" w:eastAsia="微软雅黑" w:cs="Times New Roman"/>
          <w:b/>
          <w:color w:val="00B050"/>
          <w:sz w:val="24"/>
          <w:szCs w:val="24"/>
          <w:highlight w:val="none"/>
          <w:lang w:eastAsia="zh-CN" w:bidi="ar"/>
        </w:rPr>
        <w:t>免疫正相关基因检测结果</w:t>
      </w:r>
      <w:bookmarkEnd w:id="38"/>
    </w:p>
    <w:tbl>
      <w:tblPr>
        <w:tblStyle w:val="12"/>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338"/>
        <w:gridCol w:w="1182"/>
        <w:gridCol w:w="3432"/>
        <w:gridCol w:w="1860"/>
        <w:gridCol w:w="1914"/>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58" w:hRule="atLeast"/>
        </w:trPr>
        <w:tc>
          <w:tcPr>
            <w:tcW w:w="1338" w:type="dxa"/>
            <w:tcBorders>
              <w:top w:val="single" w:color="15A73A" w:sz="18"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基因名称</w:t>
            </w:r>
          </w:p>
        </w:tc>
        <w:tc>
          <w:tcPr>
            <w:tcW w:w="118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hint="eastAsia" w:ascii="Times New Roman" w:hAnsi="Times New Roman" w:eastAsia="微软雅黑" w:cs="Times New Roman"/>
                <w:b/>
                <w:color w:val="00B050"/>
                <w:sz w:val="21"/>
                <w:szCs w:val="21"/>
                <w:highlight w:val="none"/>
                <w:lang w:eastAsia="zh-CN"/>
              </w:rPr>
              <w:t>相关性</w:t>
            </w:r>
          </w:p>
        </w:tc>
        <w:tc>
          <w:tcPr>
            <w:tcW w:w="343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c>
          <w:tcPr>
            <w:tcW w:w="1860"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突变丰度</w:t>
            </w:r>
          </w:p>
        </w:tc>
        <w:tc>
          <w:tcPr>
            <w:tcW w:w="1914" w:type="dxa"/>
            <w:tcBorders>
              <w:top w:val="single" w:color="15A73A" w:sz="18" w:space="0"/>
              <w:left w:val="dotted" w:color="15A73A" w:sz="4" w:space="0"/>
              <w:bottom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突变类型</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for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 xml:space="preserve"> in positiveImmnue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1338" w:type="dxa"/>
            <w:tcBorders>
              <w:top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.gene }}</w:t>
            </w:r>
          </w:p>
        </w:tc>
        <w:tc>
          <w:tcPr>
            <w:tcW w:w="118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rFonts w:hint="default" w:ascii="Times New Roman" w:hAnsi="Times New Roman" w:eastAsia="微软雅黑" w:cs="Times New Roman"/>
                <w:sz w:val="21"/>
                <w:szCs w:val="21"/>
                <w:highlight w:val="none"/>
                <w:lang w:val="en-US" w:eastAsia="zh-CN"/>
              </w:rPr>
            </w:pPr>
            <w:r>
              <w:rPr>
                <w:rFonts w:hint="eastAsia" w:ascii="Times New Roman" w:hAnsi="Times New Roman" w:eastAsia="微软雅黑" w:cs="Times New Roman"/>
                <w:sz w:val="21"/>
                <w:szCs w:val="21"/>
                <w:highlight w:val="none"/>
                <w:lang w:val="en-US" w:eastAsia="zh-CN"/>
              </w:rPr>
              <w:t>正相关</w:t>
            </w:r>
          </w:p>
        </w:tc>
        <w:tc>
          <w:tcPr>
            <w:tcW w:w="343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.variant}}</w:t>
            </w:r>
          </w:p>
        </w:tc>
        <w:tc>
          <w:tcPr>
            <w:tcW w:w="1860"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.mutFreq}}</w:t>
            </w:r>
          </w:p>
        </w:tc>
        <w:tc>
          <w:tcPr>
            <w:tcW w:w="1914" w:type="dxa"/>
            <w:tcBorders>
              <w:top w:val="dotted" w:color="15A73A" w:sz="4" w:space="0"/>
              <w:left w:val="dotted" w:color="15A73A" w:sz="4" w:space="0"/>
              <w:bottom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.ExonicFunc}}</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endfor %}</w:t>
            </w:r>
          </w:p>
        </w:tc>
      </w:tr>
    </w:tbl>
    <w:p>
      <w:pPr>
        <w:rPr>
          <w:rFonts w:ascii="微软雅黑" w:hAnsi="微软雅黑" w:eastAsia="微软雅黑" w:cs="微软雅黑"/>
          <w:b/>
          <w:sz w:val="18"/>
          <w:szCs w:val="18"/>
          <w:highlight w:val="none"/>
          <w:shd w:val="clear" w:color="auto" w:fill="FFFFFF"/>
          <w:lang w:eastAsia="zh-CN" w:bidi="ar"/>
        </w:rPr>
      </w:pPr>
    </w:p>
    <w:p>
      <w:pPr>
        <w:rPr>
          <w:rFonts w:ascii="微软雅黑" w:hAnsi="微软雅黑" w:eastAsia="微软雅黑" w:cs="微软雅黑"/>
          <w:b/>
          <w:sz w:val="18"/>
          <w:szCs w:val="18"/>
          <w:highlight w:val="none"/>
          <w:shd w:val="clear" w:color="auto" w:fill="FFFFFF"/>
          <w:lang w:eastAsia="zh-CN" w:bidi="ar"/>
        </w:rPr>
      </w:pPr>
      <w:r>
        <w:rPr>
          <w:rFonts w:ascii="微软雅黑" w:hAnsi="微软雅黑" w:eastAsia="微软雅黑" w:cs="微软雅黑"/>
          <w:b/>
          <w:sz w:val="18"/>
          <w:szCs w:val="18"/>
          <w:highlight w:val="none"/>
          <w:shd w:val="clear" w:color="auto" w:fill="FFFFFF"/>
          <w:lang w:eastAsia="zh-CN" w:bidi="ar"/>
        </w:rPr>
        <w:t xml:space="preserve">注: </w:t>
      </w:r>
    </w:p>
    <w:p>
      <w:pPr>
        <w:numPr>
          <w:ilvl w:val="0"/>
          <w:numId w:val="12"/>
        </w:numPr>
        <w:rPr>
          <w:rFonts w:ascii="Times New Roman" w:hAnsi="Times New Roman" w:eastAsia="微软雅黑" w:cs="Times New Roman"/>
          <w:sz w:val="18"/>
          <w:highlight w:val="none"/>
          <w:shd w:val="clear" w:color="auto" w:fill="FFFFFF"/>
          <w:lang w:eastAsia="zh-CN"/>
        </w:rPr>
      </w:pPr>
      <w:r>
        <w:rPr>
          <w:rFonts w:hint="eastAsia" w:ascii="Times New Roman" w:hAnsi="Times New Roman" w:eastAsia="微软雅黑" w:cs="Times New Roman"/>
          <w:sz w:val="18"/>
          <w:highlight w:val="none"/>
          <w:shd w:val="clear" w:color="auto" w:fill="FFFFFF"/>
          <w:lang w:val="en-US" w:eastAsia="zh-CN"/>
        </w:rPr>
        <w:t>DDR基因包括：ATM，ATR，BAP1，BLM，BRCA1，BRCA2，BRIP1，CHEK1，CHEK2，ERCC2，ERCC3，ERCC4，ERCC5，FANCA，FANCC，MRE11A，NBN，RAD50，RAD51，RAD51B，RAD51D，RAD54L。</w:t>
      </w:r>
    </w:p>
    <w:p>
      <w:pPr>
        <w:numPr>
          <w:ilvl w:val="0"/>
          <w:numId w:val="12"/>
        </w:num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表格中仅列出可能影响免疫疗效的突变。</w:t>
      </w:r>
    </w:p>
    <w:p>
      <w:pPr>
        <w:rPr>
          <w:rFonts w:ascii="微软雅黑" w:hAnsi="微软雅黑" w:eastAsia="微软雅黑" w:cs="微软雅黑"/>
          <w:sz w:val="18"/>
          <w:szCs w:val="18"/>
          <w:highlight w:val="none"/>
          <w:shd w:val="clear" w:color="auto" w:fill="FFFFFF"/>
          <w:lang w:eastAsia="zh-CN" w:bidi="ar"/>
        </w:rPr>
      </w:pPr>
      <w:r>
        <w:rPr>
          <w:rFonts w:ascii="微软雅黑" w:hAnsi="微软雅黑" w:eastAsia="微软雅黑" w:cs="微软雅黑"/>
          <w:sz w:val="18"/>
          <w:szCs w:val="18"/>
          <w:highlight w:val="none"/>
          <w:shd w:val="clear" w:color="auto" w:fill="FFFFFF"/>
          <w:lang w:eastAsia="zh-CN" w:bidi="ar"/>
        </w:rPr>
        <w:br w:type="page"/>
      </w:r>
    </w:p>
    <w:p>
      <w:pPr>
        <w:spacing w:before="29" w:line="360" w:lineRule="auto"/>
        <w:outlineLvl w:val="2"/>
        <w:rPr>
          <w:rFonts w:ascii="微软雅黑" w:hAnsi="微软雅黑" w:eastAsia="微软雅黑" w:cs="微软雅黑"/>
          <w:b/>
          <w:sz w:val="18"/>
          <w:szCs w:val="18"/>
          <w:highlight w:val="none"/>
          <w:shd w:val="clear" w:color="auto" w:fill="FFFFFF"/>
          <w:lang w:eastAsia="zh-CN" w:bidi="ar"/>
        </w:rPr>
      </w:pPr>
      <w:r>
        <w:rPr>
          <w:rFonts w:ascii="Times New Roman" w:hAnsi="Times New Roman" w:eastAsia="微软雅黑" w:cs="Times New Roman"/>
          <w:b/>
          <w:color w:val="00B050"/>
          <w:sz w:val="24"/>
          <w:szCs w:val="24"/>
          <w:highlight w:val="none"/>
          <w:lang w:eastAsia="zh-CN" w:bidi="ar"/>
        </w:rPr>
        <w:t>免疫</w:t>
      </w:r>
      <w:r>
        <w:rPr>
          <w:rFonts w:hint="eastAsia" w:ascii="Times New Roman" w:hAnsi="Times New Roman" w:eastAsia="微软雅黑" w:cs="Times New Roman"/>
          <w:b/>
          <w:color w:val="00B050"/>
          <w:sz w:val="24"/>
          <w:szCs w:val="24"/>
          <w:highlight w:val="none"/>
          <w:lang w:eastAsia="zh-CN" w:bidi="ar"/>
        </w:rPr>
        <w:t>负</w:t>
      </w:r>
      <w:r>
        <w:rPr>
          <w:rFonts w:ascii="Times New Roman" w:hAnsi="Times New Roman" w:eastAsia="微软雅黑" w:cs="Times New Roman"/>
          <w:b/>
          <w:color w:val="00B050"/>
          <w:sz w:val="24"/>
          <w:szCs w:val="24"/>
          <w:highlight w:val="none"/>
          <w:lang w:eastAsia="zh-CN" w:bidi="ar"/>
        </w:rPr>
        <w:t>相关基因检测结果</w:t>
      </w:r>
    </w:p>
    <w:tbl>
      <w:tblPr>
        <w:tblStyle w:val="12"/>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338"/>
        <w:gridCol w:w="1182"/>
        <w:gridCol w:w="3432"/>
        <w:gridCol w:w="1860"/>
        <w:gridCol w:w="1914"/>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58" w:hRule="atLeast"/>
        </w:trPr>
        <w:tc>
          <w:tcPr>
            <w:tcW w:w="1338" w:type="dxa"/>
            <w:tcBorders>
              <w:top w:val="single" w:color="15A73A" w:sz="18"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基因名称</w:t>
            </w:r>
          </w:p>
        </w:tc>
        <w:tc>
          <w:tcPr>
            <w:tcW w:w="118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hint="eastAsia" w:ascii="Times New Roman" w:hAnsi="Times New Roman" w:eastAsia="微软雅黑" w:cs="Times New Roman"/>
                <w:b/>
                <w:color w:val="00B050"/>
                <w:sz w:val="21"/>
                <w:szCs w:val="21"/>
                <w:highlight w:val="none"/>
                <w:lang w:eastAsia="zh-CN"/>
              </w:rPr>
              <w:t>相关性</w:t>
            </w:r>
          </w:p>
        </w:tc>
        <w:tc>
          <w:tcPr>
            <w:tcW w:w="343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c>
          <w:tcPr>
            <w:tcW w:w="1860"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突变丰度</w:t>
            </w:r>
          </w:p>
        </w:tc>
        <w:tc>
          <w:tcPr>
            <w:tcW w:w="1914" w:type="dxa"/>
            <w:tcBorders>
              <w:top w:val="single" w:color="15A73A" w:sz="18" w:space="0"/>
              <w:left w:val="dotted" w:color="15A73A" w:sz="4" w:space="0"/>
              <w:bottom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突变类型</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for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 xml:space="preserve"> in negativeImmnue</w:t>
            </w:r>
            <w:r>
              <w:rPr>
                <w:rFonts w:hint="eastAsia" w:ascii="Times New Roman" w:hAnsi="Times New Roman" w:eastAsia="微软雅黑" w:cs="Times New Roman"/>
                <w:sz w:val="21"/>
                <w:szCs w:val="21"/>
                <w:highlight w:val="none"/>
                <w:lang w:val="en-US" w:eastAsia="zh-CN"/>
              </w:rPr>
              <w:t xml:space="preserve"> </w:t>
            </w:r>
            <w:r>
              <w:rPr>
                <w:rFonts w:hint="eastAsia" w:ascii="Times New Roman" w:hAnsi="Times New Roman" w:eastAsia="微软雅黑" w:cs="Times New Roman"/>
                <w:sz w:val="21"/>
                <w:szCs w:val="21"/>
                <w:highlight w:val="none"/>
                <w:lang w:eastAsia="zh-CN"/>
              </w:rPr>
              <w:t>%}</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1338" w:type="dxa"/>
            <w:tcBorders>
              <w:top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.gene }}</w:t>
            </w:r>
          </w:p>
        </w:tc>
        <w:tc>
          <w:tcPr>
            <w:tcW w:w="118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负相关</w:t>
            </w:r>
          </w:p>
        </w:tc>
        <w:tc>
          <w:tcPr>
            <w:tcW w:w="343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.variant}}</w:t>
            </w:r>
          </w:p>
        </w:tc>
        <w:tc>
          <w:tcPr>
            <w:tcW w:w="1860"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.mutFreq}}</w:t>
            </w:r>
          </w:p>
        </w:tc>
        <w:tc>
          <w:tcPr>
            <w:tcW w:w="1914" w:type="dxa"/>
            <w:tcBorders>
              <w:top w:val="dotted" w:color="15A73A" w:sz="4" w:space="0"/>
              <w:left w:val="dotted" w:color="15A73A" w:sz="4" w:space="0"/>
              <w:bottom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.ExonicFunc}}</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endfor %}</w:t>
            </w:r>
          </w:p>
        </w:tc>
      </w:tr>
    </w:tbl>
    <w:p>
      <w:pPr>
        <w:rPr>
          <w:rFonts w:ascii="微软雅黑" w:hAnsi="微软雅黑" w:eastAsia="微软雅黑" w:cs="微软雅黑"/>
          <w:b/>
          <w:sz w:val="18"/>
          <w:szCs w:val="18"/>
          <w:highlight w:val="none"/>
          <w:shd w:val="clear" w:color="auto" w:fill="FFFFFF"/>
          <w:lang w:eastAsia="zh-CN" w:bidi="ar"/>
        </w:rPr>
      </w:pPr>
    </w:p>
    <w:p>
      <w:pPr>
        <w:rPr>
          <w:rFonts w:ascii="微软雅黑" w:hAnsi="微软雅黑" w:eastAsia="微软雅黑" w:cs="微软雅黑"/>
          <w:b/>
          <w:sz w:val="18"/>
          <w:szCs w:val="18"/>
          <w:highlight w:val="none"/>
          <w:shd w:val="clear" w:color="auto" w:fill="FFFFFF"/>
          <w:lang w:eastAsia="zh-CN" w:bidi="ar"/>
        </w:rPr>
      </w:pPr>
      <w:r>
        <w:rPr>
          <w:rFonts w:ascii="微软雅黑" w:hAnsi="微软雅黑" w:eastAsia="微软雅黑" w:cs="微软雅黑"/>
          <w:b/>
          <w:sz w:val="18"/>
          <w:szCs w:val="18"/>
          <w:highlight w:val="none"/>
          <w:shd w:val="clear" w:color="auto" w:fill="FFFFFF"/>
          <w:lang w:eastAsia="zh-CN" w:bidi="ar"/>
        </w:rPr>
        <w:t xml:space="preserve">注: </w:t>
      </w:r>
    </w:p>
    <w:p>
      <w:pPr>
        <w:numPr>
          <w:ilvl w:val="0"/>
          <w:numId w:val="13"/>
        </w:numPr>
        <w:rPr>
          <w:rFonts w:ascii="Times New Roman" w:hAnsi="Times New Roman" w:eastAsia="微软雅黑" w:cs="Times New Roman"/>
          <w:sz w:val="18"/>
          <w:highlight w:val="none"/>
          <w:shd w:val="clear" w:color="auto" w:fill="FFFFFF"/>
          <w:lang w:eastAsia="zh-CN"/>
        </w:rPr>
      </w:pPr>
      <w:bookmarkStart w:id="39" w:name="_Toc6229"/>
      <w:r>
        <w:rPr>
          <w:rFonts w:hint="eastAsia" w:ascii="Times New Roman" w:hAnsi="Times New Roman" w:eastAsia="微软雅黑" w:cs="Times New Roman"/>
          <w:sz w:val="18"/>
          <w:highlight w:val="none"/>
          <w:shd w:val="clear" w:color="auto" w:fill="FFFFFF"/>
          <w:lang w:eastAsia="zh-CN"/>
        </w:rPr>
        <w:t>11q13</w:t>
      </w:r>
      <w:r>
        <w:rPr>
          <w:rFonts w:hint="eastAsia" w:ascii="Times New Roman" w:hAnsi="Times New Roman" w:eastAsia="微软雅黑" w:cs="Times New Roman"/>
          <w:sz w:val="18"/>
          <w:highlight w:val="none"/>
          <w:shd w:val="clear" w:color="auto" w:fill="FFFFFF"/>
          <w:lang w:val="en-US" w:eastAsia="zh-CN"/>
        </w:rPr>
        <w:t>包含基因CCND1，FGF3，FGF4，FGF19。</w:t>
      </w:r>
      <w:bookmarkEnd w:id="39"/>
    </w:p>
    <w:p>
      <w:pPr>
        <w:numPr>
          <w:ilvl w:val="0"/>
          <w:numId w:val="13"/>
        </w:num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表格中仅列出可能影响免疫疗效的突变。</w:t>
      </w:r>
    </w:p>
    <w:p>
      <w:pPr>
        <w:rPr>
          <w:rFonts w:ascii="微软雅黑" w:hAnsi="微软雅黑" w:eastAsia="微软雅黑" w:cs="微软雅黑"/>
          <w:sz w:val="18"/>
          <w:szCs w:val="18"/>
          <w:highlight w:val="none"/>
          <w:shd w:val="clear" w:color="auto" w:fill="FFFFFF"/>
          <w:lang w:eastAsia="zh-CN" w:bidi="ar"/>
        </w:rPr>
      </w:pPr>
      <w:r>
        <w:rPr>
          <w:rFonts w:ascii="微软雅黑" w:hAnsi="微软雅黑" w:eastAsia="微软雅黑" w:cs="微软雅黑"/>
          <w:sz w:val="18"/>
          <w:szCs w:val="18"/>
          <w:highlight w:val="none"/>
          <w:shd w:val="clear" w:color="auto" w:fill="FFFFFF"/>
          <w:lang w:eastAsia="zh-CN" w:bidi="ar"/>
        </w:rPr>
        <w:br w:type="page"/>
      </w:r>
    </w:p>
    <w:tbl>
      <w:tblPr>
        <w:tblStyle w:val="12"/>
        <w:tblpPr w:leftFromText="180" w:rightFromText="180" w:vertAnchor="text" w:horzAnchor="page" w:tblpX="1244" w:tblpY="112"/>
        <w:tblOverlap w:val="never"/>
        <w:tblW w:w="9622" w:type="dxa"/>
        <w:tblInd w:w="0" w:type="dxa"/>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59"/>
        <w:gridCol w:w="719"/>
        <w:gridCol w:w="1044"/>
        <w:gridCol w:w="720"/>
        <w:gridCol w:w="636"/>
        <w:gridCol w:w="612"/>
        <w:gridCol w:w="696"/>
        <w:gridCol w:w="576"/>
        <w:gridCol w:w="624"/>
        <w:gridCol w:w="720"/>
        <w:gridCol w:w="648"/>
        <w:gridCol w:w="636"/>
        <w:gridCol w:w="732"/>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9622" w:type="dxa"/>
            <w:gridSpan w:val="13"/>
            <w:tcBorders>
              <w:tl2br w:val="nil"/>
              <w:tr2bl w:val="nil"/>
            </w:tcBorders>
            <w:shd w:val="clear" w:color="auto" w:fill="11B052"/>
            <w:vAlign w:val="center"/>
          </w:tcPr>
          <w:p>
            <w:pPr>
              <w:spacing w:before="136"/>
              <w:ind w:left="8"/>
              <w:jc w:val="center"/>
              <w:rPr>
                <w:rFonts w:ascii="Times New Roman" w:hAnsi="Times New Roman" w:eastAsia="微软雅黑" w:cs="Times New Roman"/>
                <w:b/>
                <w:color w:val="FFFFFF"/>
                <w:highlight w:val="none"/>
                <w:lang w:eastAsia="zh-CN"/>
              </w:rPr>
            </w:pPr>
            <w:r>
              <w:rPr>
                <w:rFonts w:ascii="Times New Roman" w:hAnsi="Times New Roman" w:eastAsia="微软雅黑" w:cs="Times New Roman"/>
                <w:b/>
                <w:color w:val="FFFFFF"/>
                <w:highlight w:val="none"/>
                <w:lang w:eastAsia="zh-CN"/>
              </w:rPr>
              <w:t>目前各癌种已批准的免疫治疗药物（截止</w:t>
            </w:r>
            <w:r>
              <w:rPr>
                <w:rFonts w:ascii="Times New Roman" w:hAnsi="Times New Roman" w:eastAsia="微软雅黑" w:cs="Times New Roman"/>
                <w:b/>
                <w:color w:val="FFFFFF"/>
                <w:highlight w:val="none"/>
                <w:shd w:val="clear"/>
                <w:lang w:eastAsia="zh-CN"/>
              </w:rPr>
              <w:t xml:space="preserve"> 202</w:t>
            </w:r>
            <w:r>
              <w:rPr>
                <w:rFonts w:hint="eastAsia" w:ascii="Times New Roman" w:hAnsi="Times New Roman" w:eastAsia="微软雅黑" w:cs="Times New Roman"/>
                <w:b/>
                <w:color w:val="FFFFFF"/>
                <w:highlight w:val="none"/>
                <w:shd w:val="clear"/>
                <w:lang w:eastAsia="zh-CN"/>
              </w:rPr>
              <w:t>1</w:t>
            </w:r>
            <w:r>
              <w:rPr>
                <w:rFonts w:ascii="Times New Roman" w:hAnsi="Times New Roman" w:eastAsia="微软雅黑" w:cs="Times New Roman"/>
                <w:b/>
                <w:color w:val="FFFFFF"/>
                <w:highlight w:val="none"/>
                <w:shd w:val="clear"/>
                <w:lang w:eastAsia="zh-CN"/>
              </w:rPr>
              <w:t>.</w:t>
            </w:r>
            <w:r>
              <w:rPr>
                <w:rFonts w:hint="eastAsia" w:ascii="Times New Roman" w:hAnsi="Times New Roman" w:eastAsia="微软雅黑" w:cs="Times New Roman"/>
                <w:b/>
                <w:color w:val="FFFFFF"/>
                <w:highlight w:val="none"/>
                <w:shd w:val="clear"/>
                <w:lang w:eastAsia="zh-CN"/>
              </w:rPr>
              <w:t>0</w:t>
            </w:r>
            <w:r>
              <w:rPr>
                <w:rFonts w:hint="eastAsia" w:ascii="Times New Roman" w:hAnsi="Times New Roman" w:eastAsia="微软雅黑" w:cs="Times New Roman"/>
                <w:b/>
                <w:color w:val="FFFFFF"/>
                <w:highlight w:val="none"/>
                <w:shd w:val="clear"/>
                <w:lang w:val="en-US" w:eastAsia="zh-CN"/>
              </w:rPr>
              <w:t>7</w:t>
            </w:r>
            <w:r>
              <w:rPr>
                <w:rFonts w:hint="eastAsia" w:ascii="Times New Roman" w:hAnsi="Times New Roman" w:eastAsia="微软雅黑" w:cs="Times New Roman"/>
                <w:b/>
                <w:color w:val="FFFFFF" w:themeColor="background1"/>
                <w:highlight w:val="none"/>
                <w:shd w:val="clear"/>
                <w:lang w:eastAsia="zh-CN"/>
                <w14:textFill>
                  <w14:solidFill>
                    <w14:schemeClr w14:val="bg1"/>
                  </w14:solidFill>
                </w14:textFill>
              </w:rPr>
              <w:t>.</w:t>
            </w:r>
            <w:r>
              <w:rPr>
                <w:rFonts w:hint="eastAsia" w:ascii="Times New Roman" w:hAnsi="Times New Roman" w:eastAsia="微软雅黑" w:cs="Times New Roman"/>
                <w:b/>
                <w:color w:val="FFFFFF" w:themeColor="background1"/>
                <w:highlight w:val="none"/>
                <w:shd w:val="clear"/>
                <w:lang w:val="en-US" w:eastAsia="zh-CN"/>
                <w14:textFill>
                  <w14:solidFill>
                    <w14:schemeClr w14:val="bg1"/>
                  </w14:solidFill>
                </w14:textFill>
              </w:rPr>
              <w:t>01</w:t>
            </w:r>
            <w:r>
              <w:rPr>
                <w:rFonts w:ascii="Times New Roman" w:hAnsi="Times New Roman" w:eastAsia="微软雅黑" w:cs="Times New Roman"/>
                <w:b/>
                <w:color w:val="FFFFFF"/>
                <w:highlight w:val="none"/>
                <w:shd w:val="clear"/>
                <w:lang w:eastAsia="zh-CN"/>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商品名</w:t>
            </w:r>
          </w:p>
        </w:tc>
        <w:tc>
          <w:tcPr>
            <w:tcW w:w="719" w:type="dxa"/>
            <w:tcBorders>
              <w:tl2br w:val="nil"/>
              <w:tr2bl w:val="nil"/>
            </w:tcBorders>
            <w:shd w:val="clear" w:color="auto" w:fill="11B052"/>
            <w:vAlign w:val="center"/>
          </w:tcPr>
          <w:p>
            <w:pPr>
              <w:spacing w:line="240" w:lineRule="exact"/>
              <w:ind w:left="9"/>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Opdivo</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Keytruda</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Tecentriq</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Bavencio</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Imfinz</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Libtayo</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拓益</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达伯舒</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艾瑞卡</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Yervoy</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hint="eastAsia" w:eastAsia="微软雅黑"/>
                <w:b/>
                <w:color w:val="FFFFFF"/>
                <w:sz w:val="18"/>
                <w:highlight w:val="none"/>
              </w:rPr>
              <w:t>百泽安</w:t>
            </w:r>
          </w:p>
        </w:tc>
        <w:tc>
          <w:tcPr>
            <w:tcW w:w="732" w:type="dxa"/>
            <w:tcBorders>
              <w:tl2br w:val="nil"/>
              <w:tr2bl w:val="nil"/>
            </w:tcBorders>
            <w:shd w:val="clear" w:color="auto" w:fill="11B052"/>
            <w:vAlign w:val="center"/>
          </w:tcPr>
          <w:p>
            <w:pPr>
              <w:spacing w:line="240" w:lineRule="exact"/>
              <w:ind w:left="8" w:leftChars="0"/>
              <w:jc w:val="center"/>
              <w:rPr>
                <w:rFonts w:hint="eastAsia" w:eastAsia="微软雅黑"/>
                <w:b/>
                <w:color w:val="FFFFFF"/>
                <w:sz w:val="18"/>
                <w:highlight w:val="none"/>
              </w:rPr>
            </w:pPr>
            <w:r>
              <w:rPr>
                <w:rFonts w:hint="eastAsia" w:ascii="Times New Roman" w:hAnsi="Times New Roman" w:eastAsia="微软雅黑" w:cs="Times New Roman"/>
                <w:b/>
                <w:color w:val="FFFFFF"/>
                <w:sz w:val="18"/>
                <w:highlight w:val="none"/>
              </w:rPr>
              <w:t>Jemperli</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药物名称</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Nivolumab</w:t>
            </w:r>
          </w:p>
        </w:tc>
        <w:tc>
          <w:tcPr>
            <w:tcW w:w="1044" w:type="dxa"/>
            <w:tcBorders>
              <w:tl2br w:val="nil"/>
              <w:tr2bl w:val="nil"/>
            </w:tcBorders>
            <w:shd w:val="clear" w:color="auto" w:fill="11B052"/>
            <w:vAlign w:val="center"/>
          </w:tcPr>
          <w:p>
            <w:pPr>
              <w:spacing w:line="240" w:lineRule="exact"/>
              <w:ind w:left="101"/>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Pembrolizumab</w:t>
            </w:r>
          </w:p>
        </w:tc>
        <w:tc>
          <w:tcPr>
            <w:tcW w:w="720"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Atezolizumab</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Avelumab</w:t>
            </w:r>
          </w:p>
        </w:tc>
        <w:tc>
          <w:tcPr>
            <w:tcW w:w="612"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Durvalumab</w:t>
            </w:r>
          </w:p>
        </w:tc>
        <w:tc>
          <w:tcPr>
            <w:tcW w:w="696"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Cemiplimab-rwlc</w:t>
            </w:r>
          </w:p>
        </w:tc>
        <w:tc>
          <w:tcPr>
            <w:tcW w:w="576"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Toripalimab</w:t>
            </w:r>
          </w:p>
        </w:tc>
        <w:tc>
          <w:tcPr>
            <w:tcW w:w="624"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Sintilimab</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Camrelizumab</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Ipilimumab</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Tislelizumab</w:t>
            </w: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hint="eastAsia" w:ascii="Times New Roman" w:hAnsi="Times New Roman" w:eastAsia="微软雅黑" w:cs="Times New Roman"/>
                <w:b/>
                <w:color w:val="FFFFFF"/>
                <w:sz w:val="18"/>
                <w:highlight w:val="none"/>
              </w:rPr>
              <w:t>Dostarlimab</w:t>
            </w:r>
            <w:r>
              <w:rPr>
                <w:rFonts w:hint="eastAsia" w:ascii="Times New Roman" w:hAnsi="Times New Roman" w:eastAsia="微软雅黑" w:cs="Times New Roman"/>
                <w:b/>
                <w:color w:val="FFFFFF"/>
                <w:sz w:val="18"/>
                <w:highlight w:val="none"/>
              </w:rPr>
              <w:tab/>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93" w:right="74"/>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中文译名</w:t>
            </w:r>
          </w:p>
          <w:p>
            <w:pPr>
              <w:spacing w:line="240" w:lineRule="exact"/>
              <w:ind w:left="93"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（参考）</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纳武利尤单抗</w:t>
            </w:r>
          </w:p>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（欧狄沃）</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帕博利珠单抗</w:t>
            </w:r>
          </w:p>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（可瑞达）</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阿替利珠单抗</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暂无</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度伐利尤单抗</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暂无</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特瑞普利单抗</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信迪利单抗</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卡瑞利珠单抗</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伊匹单抗</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hint="eastAsia" w:eastAsia="微软雅黑"/>
                <w:b/>
                <w:color w:val="FFFFFF"/>
                <w:sz w:val="18"/>
                <w:highlight w:val="none"/>
              </w:rPr>
              <w:t>替雷利珠单抗</w:t>
            </w:r>
          </w:p>
          <w:p>
            <w:pPr>
              <w:spacing w:line="240" w:lineRule="exact"/>
              <w:ind w:left="8"/>
              <w:jc w:val="center"/>
              <w:rPr>
                <w:rFonts w:ascii="Times New Roman" w:hAnsi="Times New Roman" w:eastAsia="微软雅黑" w:cs="Times New Roman"/>
                <w:b/>
                <w:color w:val="FFFFFF"/>
                <w:sz w:val="18"/>
                <w:highlight w:val="none"/>
              </w:rPr>
            </w:pP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hint="eastAsia" w:ascii="Times New Roman" w:hAnsi="Times New Roman" w:eastAsia="微软雅黑" w:cs="Times New Roman"/>
                <w:b/>
                <w:color w:val="FFFFFF"/>
                <w:sz w:val="18"/>
                <w:highlight w:val="none"/>
              </w:rPr>
              <w:t>Dostarlimab</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20"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靶点</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CTLA-4</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黑色素瘤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非小细胞肺癌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96" w:type="dxa"/>
            <w:tcBorders>
              <w:tl2br w:val="nil"/>
              <w:tr2bl w:val="nil"/>
            </w:tcBorders>
            <w:shd w:val="clear" w:color="auto" w:fill="auto"/>
            <w:vAlign w:val="center"/>
          </w:tcPr>
          <w:p>
            <w:pPr>
              <w:spacing w:line="240" w:lineRule="exact"/>
              <w:jc w:val="center"/>
              <w:rPr>
                <w:rFonts w:hint="default"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肾细胞癌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777"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经典型霍奇金淋巴瘤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头颈癌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尿路上皮癌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默克尔细胞癌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814"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具有MSI-H、TMB-H特征的实体瘤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皮肤鳞状细胞癌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胃癌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宫颈癌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结直肠癌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肝细胞癌</w:t>
            </w:r>
          </w:p>
        </w:tc>
        <w:tc>
          <w:tcPr>
            <w:tcW w:w="719" w:type="dxa"/>
            <w:tcBorders>
              <w:tl2br w:val="nil"/>
              <w:tr2bl w:val="nil"/>
            </w:tcBorders>
            <w:shd w:val="clear" w:color="auto" w:fill="auto"/>
            <w:vAlign w:val="center"/>
          </w:tcPr>
          <w:p>
            <w:pPr>
              <w:spacing w:line="240" w:lineRule="exact"/>
              <w:jc w:val="center"/>
              <w:rPr>
                <w:rFonts w:hint="default"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shd w:val="clear"/>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小细胞肺癌</w:t>
            </w:r>
          </w:p>
        </w:tc>
        <w:tc>
          <w:tcPr>
            <w:tcW w:w="719"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104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局部晚期或转移性三阴性乳腺癌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食管癌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 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非霍奇金淋巴瘤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子宫内膜癌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hint="eastAsia" w:ascii="Times New Roman" w:hAnsi="Times New Roman" w:eastAsia="微软雅黑" w:cs="Times New Roman"/>
                <w:sz w:val="18"/>
                <w:highlight w:val="none"/>
                <w:lang w:eastAsia="zh-CN"/>
              </w:rPr>
              <w:t>胸膜间皮瘤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基底细胞癌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leftChars="0"/>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鼻咽癌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b/>
                <w:bCs/>
                <w:sz w:val="18"/>
                <w:szCs w:val="22"/>
                <w:highlight w:val="none"/>
                <w:lang w:val="en-US" w:eastAsia="en-US" w:bidi="ar-SA"/>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leftChars="0"/>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胃食管结合腺癌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szCs w:val="22"/>
                <w:highlight w:val="none"/>
                <w:lang w:val="en-US" w:eastAsia="zh-CN" w:bidi="ar-SA"/>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F</w:t>
            </w:r>
            <w:r>
              <w:rPr>
                <w:rFonts w:ascii="Times New Roman" w:hAnsi="Times New Roman" w:eastAsia="微软雅黑" w:cs="Times New Roman"/>
                <w:sz w:val="18"/>
                <w:highlight w:val="none"/>
                <w:lang w:eastAsia="zh-CN"/>
              </w:rPr>
              <w:t>DA</w:t>
            </w:r>
          </w:p>
        </w:tc>
        <w:tc>
          <w:tcPr>
            <w:tcW w:w="720"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3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12"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9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57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2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720"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48"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36" w:type="dxa"/>
            <w:tcBorders>
              <w:tl2br w:val="nil"/>
              <w:tr2bl w:val="nil"/>
            </w:tcBorders>
            <w:vAlign w:val="center"/>
          </w:tcPr>
          <w:p>
            <w:pPr>
              <w:spacing w:line="240" w:lineRule="exact"/>
              <w:ind w:left="8" w:lef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732" w:type="dxa"/>
            <w:tcBorders>
              <w:tl2br w:val="nil"/>
              <w:tr2bl w:val="nil"/>
            </w:tcBorders>
            <w:vAlign w:val="center"/>
          </w:tcPr>
          <w:p>
            <w:pPr>
              <w:spacing w:line="240" w:lineRule="exact"/>
              <w:ind w:left="8" w:leftChars="0"/>
              <w:jc w:val="center"/>
              <w:rPr>
                <w:rFonts w:hint="eastAsia"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rPr>
              <w:t>/</w:t>
            </w:r>
          </w:p>
        </w:tc>
      </w:tr>
    </w:tbl>
    <w:p>
      <w:p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szCs w:val="18"/>
          <w:highlight w:val="none"/>
          <w:lang w:eastAsia="zh-CN"/>
        </w:rPr>
        <w:t>注：</w:t>
      </w:r>
      <w:r>
        <w:rPr>
          <w:rFonts w:hint="eastAsia" w:ascii="Times New Roman" w:hAnsi="Times New Roman" w:eastAsia="微软雅黑" w:cs="Times New Roman"/>
          <w:sz w:val="18"/>
          <w:szCs w:val="18"/>
          <w:highlight w:val="none"/>
          <w:lang w:eastAsia="zh-CN"/>
        </w:rPr>
        <w:t>表中已获批药物包括单药获批药物和联药获批药物。信息来源：FDA/NMPA官网、药企官网发布信息</w:t>
      </w:r>
      <w:r>
        <w:rPr>
          <w:rFonts w:ascii="Times New Roman" w:hAnsi="Times New Roman" w:eastAsia="微软雅黑" w:cs="Times New Roman"/>
          <w:sz w:val="18"/>
          <w:szCs w:val="18"/>
          <w:highlight w:val="none"/>
          <w:lang w:eastAsia="zh-CN"/>
        </w:rPr>
        <w:t>。</w:t>
      </w:r>
      <w:r>
        <w:rPr>
          <w:rFonts w:ascii="Times New Roman" w:hAnsi="Times New Roman" w:eastAsia="微软雅黑" w:cs="Times New Roman"/>
          <w:sz w:val="18"/>
          <w:szCs w:val="18"/>
          <w:highlight w:val="none"/>
          <w:shd w:val="clear" w:color="auto" w:fill="FFFFFF"/>
          <w:lang w:eastAsia="zh-CN"/>
        </w:rPr>
        <w:br w:type="page"/>
      </w:r>
    </w:p>
    <w:p>
      <w:pPr>
        <w:pStyle w:val="3"/>
        <w:rPr>
          <w:highlight w:val="none"/>
          <w:lang w:eastAsia="zh-CN"/>
        </w:rPr>
      </w:pPr>
      <w:bookmarkStart w:id="40" w:name="_Hlk516758315"/>
      <w:bookmarkStart w:id="41" w:name="_Toc13489_WPSOffice_Level2"/>
      <w:bookmarkStart w:id="42" w:name="_Toc10743"/>
      <w:bookmarkStart w:id="43" w:name="_Toc24038"/>
      <w:bookmarkStart w:id="44" w:name="_Toc19898_WPSOffice_Level2"/>
      <w:bookmarkStart w:id="45" w:name="_Toc12481"/>
      <w:r>
        <w:rPr>
          <w:highlight w:val="none"/>
          <w:lang w:eastAsia="zh-CN"/>
        </w:rPr>
        <w:t>肿瘤遗传</w:t>
      </w:r>
      <w:bookmarkEnd w:id="40"/>
      <w:r>
        <w:rPr>
          <w:highlight w:val="none"/>
          <w:lang w:eastAsia="zh-CN"/>
        </w:rPr>
        <w:t>风险</w:t>
      </w:r>
      <w:bookmarkEnd w:id="41"/>
      <w:bookmarkEnd w:id="42"/>
      <w:bookmarkEnd w:id="43"/>
      <w:bookmarkEnd w:id="44"/>
      <w:r>
        <w:rPr>
          <w:rFonts w:hint="eastAsia"/>
          <w:highlight w:val="none"/>
          <w:lang w:eastAsia="zh-CN"/>
        </w:rPr>
        <w:t>提示</w:t>
      </w:r>
      <w:bookmarkEnd w:id="45"/>
    </w:p>
    <w:p>
      <w:pPr>
        <w:spacing w:before="188" w:line="252" w:lineRule="auto"/>
        <w:ind w:left="113" w:right="213" w:firstLine="476"/>
        <w:jc w:val="both"/>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共检出{{summaryOfRresults.crAllListSize}}个胚系突变，其中{{summaryOfRresults.hasPathogenicityCount}}个为致病/可能致病性突变</w:t>
      </w:r>
      <w:r>
        <w:rPr>
          <w:rFonts w:ascii="Times New Roman" w:hAnsi="Times New Roman" w:eastAsia="微软雅黑" w:cs="Times New Roman"/>
          <w:b/>
          <w:color w:val="000000" w:themeColor="text1"/>
          <w:sz w:val="21"/>
          <w:szCs w:val="21"/>
          <w:highlight w:val="none"/>
          <w:lang w:eastAsia="zh-CN"/>
          <w14:textFill>
            <w14:solidFill>
              <w14:schemeClr w14:val="tx1"/>
            </w14:solidFill>
          </w14:textFill>
        </w:rPr>
        <w:t>。如果您有家族遗传史，可联系我们做进一步的检测。具体信息见“遗传变异解析”。</w:t>
      </w:r>
    </w:p>
    <w:p>
      <w:pPr>
        <w:spacing w:before="5" w:line="240" w:lineRule="exact"/>
        <w:rPr>
          <w:rFonts w:ascii="Times New Roman" w:hAnsi="Times New Roman" w:eastAsia="微软雅黑" w:cs="Times New Roman"/>
          <w:sz w:val="24"/>
          <w:szCs w:val="24"/>
          <w:highlight w:val="none"/>
          <w:lang w:eastAsia="zh-CN"/>
        </w:rPr>
      </w:pPr>
    </w:p>
    <w:p>
      <w:pPr>
        <w:spacing w:before="1" w:line="180" w:lineRule="exact"/>
        <w:rPr>
          <w:rFonts w:ascii="Times New Roman" w:hAnsi="Times New Roman" w:eastAsia="微软雅黑" w:cs="Times New Roman"/>
          <w:sz w:val="18"/>
          <w:szCs w:val="18"/>
          <w:highlight w:val="none"/>
          <w:lang w:eastAsia="zh-CN"/>
        </w:rPr>
      </w:pPr>
    </w:p>
    <w:tbl>
      <w:tblPr>
        <w:tblStyle w:val="18"/>
        <w:tblW w:w="9735" w:type="dxa"/>
        <w:tblInd w:w="113"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39"/>
        <w:gridCol w:w="814"/>
        <w:gridCol w:w="814"/>
        <w:gridCol w:w="1131"/>
        <w:gridCol w:w="1134"/>
        <w:gridCol w:w="1134"/>
        <w:gridCol w:w="1134"/>
        <w:gridCol w:w="992"/>
        <w:gridCol w:w="1343"/>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49" w:hRule="exact"/>
        </w:trPr>
        <w:tc>
          <w:tcPr>
            <w:tcW w:w="1239" w:type="dxa"/>
            <w:shd w:val="clear" w:color="auto" w:fill="FFFFFF" w:themeFill="background1"/>
            <w:vAlign w:val="center"/>
          </w:tcPr>
          <w:p>
            <w:pPr>
              <w:pStyle w:val="17"/>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基因</w:t>
            </w:r>
          </w:p>
        </w:tc>
        <w:tc>
          <w:tcPr>
            <w:tcW w:w="814" w:type="dxa"/>
            <w:shd w:val="clear" w:color="auto" w:fill="FFFFFF" w:themeFill="background1"/>
            <w:vAlign w:val="center"/>
          </w:tcPr>
          <w:p>
            <w:pPr>
              <w:pStyle w:val="17"/>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染色体</w:t>
            </w:r>
          </w:p>
        </w:tc>
        <w:tc>
          <w:tcPr>
            <w:tcW w:w="814" w:type="dxa"/>
            <w:shd w:val="clear" w:color="auto" w:fill="FFFFFF" w:themeFill="background1"/>
            <w:vAlign w:val="center"/>
          </w:tcPr>
          <w:p>
            <w:pPr>
              <w:pStyle w:val="17"/>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外显子</w:t>
            </w:r>
          </w:p>
        </w:tc>
        <w:tc>
          <w:tcPr>
            <w:tcW w:w="1131" w:type="dxa"/>
            <w:shd w:val="clear" w:color="auto" w:fill="FFFFFF" w:themeFill="background1"/>
            <w:vAlign w:val="center"/>
          </w:tcPr>
          <w:p>
            <w:pPr>
              <w:pStyle w:val="17"/>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核苷酸</w:t>
            </w:r>
          </w:p>
        </w:tc>
        <w:tc>
          <w:tcPr>
            <w:tcW w:w="1134" w:type="dxa"/>
            <w:shd w:val="clear" w:color="auto" w:fill="FFFFFF" w:themeFill="background1"/>
            <w:vAlign w:val="center"/>
          </w:tcPr>
          <w:p>
            <w:pPr>
              <w:pStyle w:val="17"/>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氨基酸</w:t>
            </w:r>
          </w:p>
        </w:tc>
        <w:tc>
          <w:tcPr>
            <w:tcW w:w="1134" w:type="dxa"/>
            <w:shd w:val="clear" w:color="auto" w:fill="FFFFFF" w:themeFill="background1"/>
            <w:vAlign w:val="center"/>
          </w:tcPr>
          <w:p>
            <w:pPr>
              <w:pStyle w:val="17"/>
              <w:spacing w:line="227"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pacing w:val="-1"/>
                <w:sz w:val="18"/>
                <w:szCs w:val="18"/>
                <w:highlight w:val="none"/>
              </w:rPr>
              <w:t>杂合/纯合</w:t>
            </w:r>
          </w:p>
        </w:tc>
        <w:tc>
          <w:tcPr>
            <w:tcW w:w="1134" w:type="dxa"/>
            <w:shd w:val="clear" w:color="auto" w:fill="FFFFFF" w:themeFill="background1"/>
            <w:vAlign w:val="center"/>
          </w:tcPr>
          <w:p>
            <w:pPr>
              <w:pStyle w:val="17"/>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突变类型</w:t>
            </w:r>
          </w:p>
        </w:tc>
        <w:tc>
          <w:tcPr>
            <w:tcW w:w="992" w:type="dxa"/>
            <w:shd w:val="clear" w:color="auto" w:fill="FFFFFF" w:themeFill="background1"/>
            <w:vAlign w:val="center"/>
          </w:tcPr>
          <w:p>
            <w:pPr>
              <w:pStyle w:val="17"/>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千人频率</w:t>
            </w:r>
          </w:p>
        </w:tc>
        <w:tc>
          <w:tcPr>
            <w:tcW w:w="1343" w:type="dxa"/>
            <w:shd w:val="clear" w:color="auto" w:fill="FFFFFF" w:themeFill="background1"/>
            <w:vAlign w:val="center"/>
          </w:tcPr>
          <w:p>
            <w:pPr>
              <w:pStyle w:val="17"/>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临床意义</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if crCheckLineStr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for cr in crCheckLineStr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highlight w:val="none"/>
                <w:lang w:eastAsia="zh-CN"/>
              </w:rPr>
              <w:t>{{ cr.Gene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cr.Chr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cr.Exon }}</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cr.pHGVS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cr.Zygosity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cr.ExonicFunc }}</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cr.c1000g2015aug_all }}</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cr.Clinical_significance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tabs>
                <w:tab w:val="left" w:pos="4117"/>
              </w:tabs>
              <w:spacing w:before="20"/>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ab/>
            </w:r>
            <w:r>
              <w:rPr>
                <w:rFonts w:hint="eastAsia" w:ascii="Times New Roman" w:hAnsi="Times New Roman" w:eastAsia="微软雅黑" w:cs="Times New Roman"/>
                <w:sz w:val="18"/>
                <w:highlight w:val="none"/>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endif %}</w:t>
            </w:r>
          </w:p>
        </w:tc>
      </w:tr>
    </w:tbl>
    <w:p>
      <w:pPr>
        <w:spacing w:before="4" w:line="240" w:lineRule="exact"/>
        <w:rPr>
          <w:rFonts w:ascii="Times New Roman" w:hAnsi="Times New Roman" w:eastAsia="微软雅黑" w:cs="Times New Roman"/>
          <w:sz w:val="24"/>
          <w:szCs w:val="24"/>
          <w:highlight w:val="none"/>
        </w:rPr>
      </w:pPr>
    </w:p>
    <w:p>
      <w:pPr>
        <w:spacing w:before="47"/>
        <w:rPr>
          <w:rFonts w:ascii="Times New Roman" w:hAnsi="Times New Roman" w:eastAsia="微软雅黑" w:cs="Times New Roman"/>
          <w:b/>
          <w:bCs/>
          <w:sz w:val="18"/>
          <w:szCs w:val="18"/>
          <w:highlight w:val="none"/>
          <w:lang w:eastAsia="zh-CN"/>
        </w:rPr>
      </w:pPr>
      <w:r>
        <w:rPr>
          <w:rFonts w:ascii="Times New Roman" w:hAnsi="Times New Roman" w:eastAsia="微软雅黑" w:cs="Times New Roman"/>
          <w:b/>
          <w:bCs/>
          <w:sz w:val="18"/>
          <w:szCs w:val="18"/>
          <w:highlight w:val="none"/>
          <w:lang w:eastAsia="zh-CN"/>
        </w:rPr>
        <w:t>注：</w:t>
      </w:r>
    </w:p>
    <w:p>
      <w:pPr>
        <w:pStyle w:val="19"/>
        <w:numPr>
          <w:ilvl w:val="0"/>
          <w:numId w:val="14"/>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本报告只给出千人频率均在2%以下的胚系非同义突变。</w:t>
      </w:r>
    </w:p>
    <w:p>
      <w:pPr>
        <w:pStyle w:val="19"/>
        <w:numPr>
          <w:ilvl w:val="0"/>
          <w:numId w:val="14"/>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根据美国医学遗传医师学会（ACMG）指导意见，个体携带的变异，分为5个大类：</w:t>
      </w:r>
    </w:p>
    <w:p>
      <w:pPr>
        <w:numPr>
          <w:ilvl w:val="0"/>
          <w:numId w:val="15"/>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 xml:space="preserve">致病性变异：有大量证据表明这种变异是高风险的致病性变异。 </w:t>
      </w:r>
    </w:p>
    <w:p>
      <w:pPr>
        <w:numPr>
          <w:ilvl w:val="0"/>
          <w:numId w:val="15"/>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可能致病性变异：有一些证据表明这种变异是高风险的致病性变异。</w:t>
      </w:r>
    </w:p>
    <w:p>
      <w:pPr>
        <w:numPr>
          <w:ilvl w:val="0"/>
          <w:numId w:val="15"/>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不确定性变异：没有足够的证据，将变异分类到其他四类中。</w:t>
      </w:r>
    </w:p>
    <w:p>
      <w:pPr>
        <w:numPr>
          <w:ilvl w:val="0"/>
          <w:numId w:val="15"/>
        </w:numPr>
        <w:rPr>
          <w:rFonts w:ascii="Times New Roman" w:hAnsi="Times New Roman" w:eastAsia="微软雅黑" w:cs="Times New Roman"/>
          <w:sz w:val="18"/>
          <w:szCs w:val="18"/>
          <w:highlight w:val="none"/>
          <w:lang w:val="zh-CN" w:eastAsia="zh-CN"/>
        </w:rPr>
      </w:pPr>
      <w:r>
        <w:rPr>
          <w:rFonts w:ascii="Times New Roman" w:hAnsi="Times New Roman" w:eastAsia="微软雅黑" w:cs="Times New Roman"/>
          <w:sz w:val="18"/>
          <w:szCs w:val="18"/>
          <w:highlight w:val="none"/>
          <w:lang w:eastAsia="zh-CN"/>
        </w:rPr>
        <w:t>可能良性</w:t>
      </w:r>
      <w:r>
        <w:rPr>
          <w:rFonts w:ascii="Times New Roman" w:hAnsi="Times New Roman" w:eastAsia="微软雅黑" w:cs="Times New Roman"/>
          <w:sz w:val="18"/>
          <w:szCs w:val="18"/>
          <w:highlight w:val="none"/>
          <w:lang w:val="zh-CN" w:eastAsia="zh-CN"/>
        </w:rPr>
        <w:t>变异：有一些证据表明这种变异不是高风险的致病变异。</w:t>
      </w:r>
    </w:p>
    <w:p>
      <w:pPr>
        <w:numPr>
          <w:ilvl w:val="0"/>
          <w:numId w:val="15"/>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良性</w:t>
      </w:r>
      <w:r>
        <w:rPr>
          <w:rFonts w:ascii="Times New Roman" w:hAnsi="Times New Roman" w:eastAsia="微软雅黑" w:cs="Times New Roman"/>
          <w:sz w:val="18"/>
          <w:szCs w:val="18"/>
          <w:highlight w:val="none"/>
          <w:lang w:val="zh-CN" w:eastAsia="zh-CN"/>
        </w:rPr>
        <w:t>变异：有大量证据表明这种变异不是高风险的致病变异。</w:t>
      </w:r>
    </w:p>
    <w:p>
      <w:pPr>
        <w:rPr>
          <w:rFonts w:ascii="Times New Roman" w:hAnsi="Times New Roman" w:eastAsia="微软雅黑" w:cs="Times New Roman"/>
          <w:sz w:val="18"/>
          <w:szCs w:val="18"/>
          <w:highlight w:val="none"/>
          <w:lang w:eastAsia="zh-CN"/>
        </w:rPr>
      </w:pPr>
    </w:p>
    <w:p>
      <w:pPr>
        <w:widowControl/>
        <w:rPr>
          <w:rFonts w:ascii="Times New Roman" w:hAnsi="Times New Roman" w:eastAsia="微软雅黑" w:cs="Times New Roman"/>
          <w:b/>
          <w:bCs/>
          <w:highlight w:val="none"/>
          <w:lang w:eastAsia="zh-CN"/>
        </w:rPr>
      </w:pPr>
      <w:r>
        <w:rPr>
          <w:rFonts w:ascii="Times New Roman" w:hAnsi="Times New Roman" w:eastAsia="微软雅黑" w:cs="Times New Roman"/>
          <w:b/>
          <w:bCs/>
          <w:highlight w:val="none"/>
          <w:lang w:eastAsia="zh-CN"/>
        </w:rPr>
        <w:br w:type="page"/>
      </w:r>
      <w:bookmarkStart w:id="46" w:name="_Toc30861"/>
      <w:bookmarkStart w:id="47" w:name="_Toc32443_WPSOffice_Level1"/>
      <w:bookmarkStart w:id="48" w:name="_Toc23846_WPSOffice_Level1"/>
      <w:bookmarkStart w:id="49" w:name="_Toc25727"/>
      <w:bookmarkStart w:id="50" w:name="_Toc4331_WPSOffice_Level1"/>
      <w:bookmarkStart w:id="51" w:name="_Toc23903"/>
    </w:p>
    <w:p>
      <w:pPr>
        <w:widowControl/>
        <w:rPr>
          <w:rFonts w:ascii="Times New Roman" w:hAnsi="Times New Roman" w:eastAsia="微软雅黑" w:cs="Times New Roman"/>
          <w:b/>
          <w:bCs/>
          <w:highlight w:val="none"/>
          <w:lang w:eastAsia="zh-CN"/>
        </w:rPr>
      </w:pPr>
      <w:r>
        <w:rPr>
          <w:rFonts w:hint="eastAsia" w:ascii="Times New Roman" w:hAnsi="Times New Roman" w:eastAsia="微软雅黑" w:cs="Times New Roman"/>
          <w:sz w:val="24"/>
          <w:szCs w:val="24"/>
          <w:highlight w:val="none"/>
          <w:lang w:eastAsia="zh-CN"/>
        </w:rPr>
        <w:t>{% endif %}</w:t>
      </w:r>
    </w:p>
    <w:p>
      <w:pPr>
        <w:pStyle w:val="20"/>
        <w:rPr>
          <w:highlight w:val="none"/>
        </w:rPr>
      </w:pPr>
      <w:r>
        <w:rPr>
          <w:highlight w:val="none"/>
        </w:rPr>
        <w:t>基因检测结果解析</w:t>
      </w:r>
      <w:bookmarkEnd w:id="46"/>
      <w:bookmarkEnd w:id="47"/>
      <w:bookmarkEnd w:id="48"/>
      <w:bookmarkEnd w:id="49"/>
      <w:bookmarkEnd w:id="50"/>
      <w:bookmarkEnd w:id="51"/>
    </w:p>
    <w:p>
      <w:pPr>
        <w:widowControl/>
        <w:rPr>
          <w:rFonts w:ascii="Times New Roman" w:hAnsi="Times New Roman" w:eastAsia="微软雅黑" w:cs="Times New Roman"/>
          <w:b/>
          <w:color w:val="45A3A7"/>
          <w:sz w:val="24"/>
          <w:szCs w:val="24"/>
          <w:highlight w:val="none"/>
          <w:lang w:eastAsia="zh-CN"/>
        </w:rPr>
      </w:pPr>
      <w:r>
        <w:rPr>
          <w:rFonts w:hint="eastAsia" w:ascii="Times New Roman" w:hAnsi="Times New Roman" w:eastAsia="微软雅黑" w:cs="Times New Roman"/>
          <w:b/>
          <w:color w:val="45A3A7"/>
          <w:sz w:val="24"/>
          <w:szCs w:val="24"/>
          <w:highlight w:val="none"/>
          <w:lang w:eastAsia="zh-CN"/>
        </w:rPr>
        <w:t>{% if drugAnalysisIndex == 'true' %}</w:t>
      </w:r>
    </w:p>
    <w:p>
      <w:pPr>
        <w:pStyle w:val="21"/>
        <w:rPr>
          <w:highlight w:val="none"/>
        </w:rPr>
      </w:pPr>
      <w:bookmarkStart w:id="52" w:name="_Toc32337"/>
      <w:bookmarkStart w:id="53" w:name="_Toc4331_WPSOffice_Level2"/>
      <w:bookmarkStart w:id="54" w:name="_Toc32443_WPSOffice_Level2"/>
      <w:bookmarkStart w:id="55" w:name="_Toc23606"/>
      <w:bookmarkStart w:id="56" w:name="_Toc26395"/>
      <w:r>
        <w:rPr>
          <w:rFonts w:hint="eastAsia"/>
          <w:highlight w:val="none"/>
        </w:rPr>
        <w:t>靶向药物检测解析</w:t>
      </w:r>
      <w:bookmarkEnd w:id="52"/>
      <w:bookmarkEnd w:id="53"/>
      <w:bookmarkEnd w:id="54"/>
      <w:bookmarkEnd w:id="55"/>
    </w:p>
    <w:p>
      <w:pPr>
        <w:keepNext/>
        <w:spacing w:before="120" w:beforeLines="50" w:after="120" w:afterLines="50"/>
        <w:rPr>
          <w:rFonts w:ascii="Times New Roman" w:hAnsi="Times New Roman" w:eastAsia="微软雅黑" w:cs="Times New Roman"/>
          <w:b/>
          <w:color w:val="45A3A7"/>
          <w:sz w:val="24"/>
          <w:szCs w:val="24"/>
          <w:highlight w:val="none"/>
          <w:lang w:eastAsia="zh-CN"/>
        </w:rPr>
      </w:pPr>
      <w:bookmarkStart w:id="57" w:name="_Toc18091_WPSOffice_Level3"/>
      <w:bookmarkStart w:id="58" w:name="_Toc6931_WPSOffice_Level3"/>
      <w:bookmarkStart w:id="59" w:name="_Toc15289_WPSOffice_Level3"/>
      <w:r>
        <w:rPr>
          <w:rFonts w:hint="eastAsia" w:ascii="Times New Roman" w:hAnsi="Times New Roman" w:eastAsia="微软雅黑" w:cs="Times New Roman"/>
          <w:b/>
          <w:color w:val="45A3A7"/>
          <w:sz w:val="24"/>
          <w:szCs w:val="24"/>
          <w:highlight w:val="none"/>
          <w:lang w:eastAsia="zh-CN"/>
        </w:rPr>
        <w:t>{%if TargetedDrugDetectionStr != [] %}{% for tdd in TargetedDrugDetectionStr %}{{ tdd.gene }}</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95"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xml:space="preserve">{%tr if tdd.gene == </w:t>
            </w:r>
            <w:r>
              <w:rPr>
                <w:rFonts w:ascii="Times New Roman" w:hAnsi="Times New Roman" w:eastAsia="微软雅黑" w:cs="Times New Roman"/>
                <w:bCs/>
                <w:sz w:val="18"/>
                <w:szCs w:val="18"/>
                <w:highlight w:val="none"/>
                <w:lang w:eastAsia="zh-CN"/>
              </w:rPr>
              <w:t>‘</w:t>
            </w:r>
            <w:r>
              <w:rPr>
                <w:rFonts w:ascii="Times New Roman" w:hAnsi="Times New Roman" w:eastAsia="微软雅黑" w:cs="Times New Roman"/>
                <w:sz w:val="18"/>
                <w:szCs w:val="18"/>
                <w:highlight w:val="none"/>
                <w:lang w:eastAsia="zh-CN"/>
              </w:rPr>
              <w:t>多靶点循证</w:t>
            </w:r>
            <w:r>
              <w:rPr>
                <w:rFonts w:ascii="Times New Roman" w:hAnsi="Times New Roman" w:eastAsia="微软雅黑" w:cs="Times New Roman"/>
                <w:bCs/>
                <w:sz w:val="18"/>
                <w:szCs w:val="18"/>
                <w:highlight w:val="none"/>
                <w:lang w:eastAsia="zh-CN"/>
              </w:rPr>
              <w:t>’</w:t>
            </w:r>
            <w:r>
              <w:rPr>
                <w:rFonts w:hint="eastAsia" w:ascii="Times New Roman" w:hAnsi="Times New Roman" w:eastAsia="微软雅黑" w:cs="Times New Roman"/>
                <w:bCs/>
                <w:sz w:val="18"/>
                <w:szCs w:val="18"/>
                <w:highlight w:val="none"/>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突变位点</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if</w:t>
            </w:r>
            <w:r>
              <w:rPr>
                <w:rFonts w:hint="eastAsia" w:ascii="Times New Roman" w:hAnsi="Times New Roman" w:eastAsia="微软雅黑" w:cs="Times New Roman"/>
                <w:bCs/>
                <w:sz w:val="18"/>
                <w:szCs w:val="18"/>
                <w:highlight w:val="none"/>
                <w:lang w:eastAsia="zh-CN"/>
              </w:rPr>
              <w:t xml:space="preserve"> tdd.simple_vars</w:t>
            </w:r>
            <w:r>
              <w:rPr>
                <w:rFonts w:hint="eastAsia" w:ascii="Times New Roman" w:hAnsi="Times New Roman" w:eastAsia="微软雅黑" w:cs="Times New Roman"/>
                <w:sz w:val="18"/>
                <w:szCs w:val="18"/>
                <w:highlight w:val="none"/>
                <w:lang w:eastAsia="zh-CN"/>
              </w:rPr>
              <w:t xml:space="preserve"> == [] %}无{% else%}</w:t>
            </w:r>
            <w:r>
              <w:rPr>
                <w:rFonts w:hint="eastAsia" w:ascii="Times New Roman" w:hAnsi="Times New Roman" w:eastAsia="微软雅黑" w:cs="Times New Roman"/>
                <w:bCs/>
                <w:sz w:val="18"/>
                <w:szCs w:val="18"/>
                <w:highlight w:val="none"/>
                <w:lang w:eastAsia="zh-CN"/>
              </w:rPr>
              <w:t>{% for sv in tdd.simple_vars%}</w:t>
            </w:r>
            <w:r>
              <w:rPr>
                <w:rFonts w:hint="eastAsia" w:ascii="Times New Roman" w:hAnsi="Times New Roman" w:eastAsia="微软雅黑" w:cs="Times New Roman"/>
                <w:sz w:val="18"/>
                <w:szCs w:val="18"/>
                <w:highlight w:val="none"/>
                <w:lang w:eastAsia="zh-CN"/>
              </w:rPr>
              <w:t>{% if loop.last %}</w:t>
            </w:r>
            <w:r>
              <w:rPr>
                <w:rFonts w:hint="eastAsia" w:ascii="Times New Roman" w:hAnsi="Times New Roman" w:eastAsia="微软雅黑" w:cs="Times New Roman"/>
                <w:bCs/>
                <w:sz w:val="18"/>
                <w:szCs w:val="18"/>
                <w:highlight w:val="none"/>
                <w:lang w:eastAsia="zh-CN"/>
              </w:rPr>
              <w:t>{{ sv }}{% else %}{{ sv }}</w:t>
            </w:r>
          </w:p>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endif %}{% endfor %}{%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restart"/>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潜在获益药物</w:t>
            </w: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A级</w:t>
            </w:r>
          </w:p>
        </w:tc>
        <w:tc>
          <w:tcPr>
            <w:tcW w:w="8247" w:type="dxa"/>
            <w:vAlign w:val="center"/>
          </w:tcPr>
          <w:p>
            <w:pPr>
              <w:spacing w:before="1" w:line="250" w:lineRule="auto"/>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tdd.drugaStr == [] %}无{% else%}{% for d in tdd.drugaStr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highlight w:val="none"/>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B级</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tdd.drugbStr == [] %}无{% else%}{% for d in tdd.drugbStr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highlight w:val="none"/>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C级</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tdd.drugcStr == [] %}无{% else%}{% for d in tdd.drugcStr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潜在耐药信息</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tdd.resistantStr == [] %}无{% else%}{% for d in tdd.resistantStr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循证医学证据</w:t>
            </w:r>
          </w:p>
        </w:tc>
        <w:tc>
          <w:tcPr>
            <w:tcW w:w="8247" w:type="dxa"/>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for md in tdd.medicationDescription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w:t>
            </w:r>
            <w:r>
              <w:rPr>
                <w:rFonts w:hint="eastAsia" w:ascii="Times New Roman" w:hAnsi="Times New Roman" w:eastAsia="微软雅黑" w:cs="Times New Roman"/>
                <w:b/>
                <w:bCs/>
                <w:sz w:val="18"/>
                <w:szCs w:val="18"/>
                <w:highlight w:val="none"/>
                <w:lang w:eastAsia="zh-CN"/>
              </w:rPr>
              <w:t>{{md.key}}</w:t>
            </w:r>
            <w:r>
              <w:rPr>
                <w:rFonts w:hint="eastAsia" w:ascii="Times New Roman" w:hAnsi="Times New Roman" w:eastAsia="微软雅黑" w:cs="Times New Roman"/>
                <w:sz w:val="18"/>
                <w:szCs w:val="18"/>
                <w:highlight w:val="none"/>
                <w:lang w:eastAsia="zh-CN"/>
              </w:rPr>
              <w:t>{{md.value}}</w:t>
            </w:r>
          </w:p>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endif %}{% endfor %}</w:t>
            </w:r>
          </w:p>
        </w:tc>
      </w:tr>
    </w:tbl>
    <w:p>
      <w:pPr>
        <w:keepNext/>
        <w:spacing w:before="26"/>
        <w:rPr>
          <w:rFonts w:ascii="Times New Roman" w:hAnsi="Times New Roman" w:eastAsia="微软雅黑" w:cs="Times New Roman"/>
          <w:b/>
          <w:sz w:val="24"/>
          <w:highlight w:val="none"/>
          <w:lang w:eastAsia="zh-CN"/>
        </w:rPr>
      </w:pPr>
      <w:r>
        <w:rPr>
          <w:rFonts w:hint="eastAsia" w:ascii="Times New Roman" w:hAnsi="Times New Roman" w:eastAsia="微软雅黑" w:cs="Times New Roman"/>
          <w:b/>
          <w:color w:val="45A3A7"/>
          <w:sz w:val="24"/>
          <w:highlight w:val="none"/>
          <w:lang w:eastAsia="zh-CN"/>
        </w:rPr>
        <w:t xml:space="preserve">{%if </w:t>
      </w:r>
      <w:r>
        <w:rPr>
          <w:rFonts w:hint="eastAsia" w:ascii="Times New Roman" w:hAnsi="Times New Roman" w:eastAsia="微软雅黑" w:cs="Times New Roman"/>
          <w:b/>
          <w:color w:val="45A3A7"/>
          <w:sz w:val="24"/>
          <w:szCs w:val="24"/>
          <w:highlight w:val="none"/>
          <w:lang w:eastAsia="zh-CN"/>
        </w:rPr>
        <w:t>tdd.</w:t>
      </w:r>
      <w:r>
        <w:rPr>
          <w:rFonts w:hint="eastAsia" w:ascii="Times New Roman" w:hAnsi="Times New Roman" w:eastAsia="微软雅黑" w:cs="Times New Roman"/>
          <w:b/>
          <w:color w:val="45A3A7"/>
          <w:sz w:val="24"/>
          <w:highlight w:val="none"/>
          <w:lang w:eastAsia="zh-CN"/>
        </w:rPr>
        <w:t>drugInformationStr != [] %}</w:t>
      </w:r>
    </w:p>
    <w:p>
      <w:pPr>
        <w:keepNext/>
        <w:spacing w:before="26" w:after="120" w:afterLines="50"/>
        <w:rPr>
          <w:rFonts w:ascii="Times New Roman" w:hAnsi="Times New Roman" w:eastAsia="微软雅黑" w:cs="Times New Roman"/>
          <w:b/>
          <w:color w:val="45A3A7"/>
          <w:sz w:val="24"/>
          <w:highlight w:val="none"/>
          <w:lang w:eastAsia="zh-CN"/>
        </w:rPr>
      </w:pPr>
      <w:r>
        <w:rPr>
          <w:rFonts w:ascii="Times New Roman" w:hAnsi="Times New Roman" w:eastAsia="微软雅黑" w:cs="Times New Roman"/>
          <w:b/>
          <w:color w:val="45A3A7"/>
          <w:sz w:val="24"/>
          <w:highlight w:val="none"/>
          <w:lang w:eastAsia="zh-CN"/>
        </w:rPr>
        <w:t>药物信息</w:t>
      </w:r>
    </w:p>
    <w:tbl>
      <w:tblPr>
        <w:tblStyle w:val="12"/>
        <w:tblpPr w:leftFromText="180" w:rightFromText="180" w:vertAnchor="text" w:horzAnchor="page" w:tblpX="1139" w:tblpY="7"/>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cantSplit/>
        </w:trPr>
        <w:tc>
          <w:tcPr>
            <w:tcW w:w="161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药物名称</w:t>
            </w:r>
          </w:p>
        </w:tc>
        <w:tc>
          <w:tcPr>
            <w:tcW w:w="825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适应症</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cantSplit/>
        </w:trPr>
        <w:tc>
          <w:tcPr>
            <w:tcW w:w="9870" w:type="dxa"/>
            <w:gridSpan w:val="2"/>
          </w:tcPr>
          <w:p>
            <w:pPr>
              <w:keepNext/>
              <w:spacing w:before="26"/>
              <w:jc w:val="center"/>
              <w:rPr>
                <w:rFonts w:ascii="Times New Roman" w:hAnsi="Times New Roman" w:eastAsia="微软雅黑" w:cs="Times New Roman"/>
                <w:b/>
                <w:color w:val="45A3A7"/>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{%tr for dis in tdd.drugInformationStr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cantSplit/>
        </w:trPr>
        <w:tc>
          <w:tcPr>
            <w:tcW w:w="161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{{r </w:t>
            </w:r>
            <w:r>
              <w:rPr>
                <w:rFonts w:hint="eastAsia" w:ascii="Times New Roman" w:hAnsi="Times New Roman" w:eastAsia="微软雅黑" w:cs="Times New Roman"/>
                <w:bCs/>
                <w:sz w:val="18"/>
                <w:szCs w:val="18"/>
                <w:highlight w:val="none"/>
                <w:lang w:eastAsia="zh-CN"/>
              </w:rPr>
              <w:t>dis.name</w:t>
            </w:r>
            <w:r>
              <w:rPr>
                <w:rFonts w:hint="eastAsia" w:ascii="Times New Roman" w:hAnsi="Times New Roman" w:eastAsia="微软雅黑" w:cs="Times New Roman"/>
                <w:sz w:val="18"/>
                <w:szCs w:val="18"/>
                <w:highlight w:val="none"/>
                <w:lang w:eastAsia="zh-CN"/>
              </w:rPr>
              <w:t xml:space="preserve"> | ms(</w:t>
            </w:r>
            <w:r>
              <w:rPr>
                <w:rFonts w:hint="eastAsia" w:ascii="Times New Roman" w:hAnsi="Times New Roman" w:eastAsia="微软雅黑" w:cs="Times New Roman"/>
                <w:bCs/>
                <w:sz w:val="18"/>
                <w:szCs w:val="18"/>
                <w:highlight w:val="none"/>
                <w:lang w:eastAsia="zh-CN"/>
              </w:rPr>
              <w:t>dis</w:t>
            </w:r>
            <w:r>
              <w:rPr>
                <w:rFonts w:hint="eastAsia" w:ascii="Times New Roman" w:hAnsi="Times New Roman" w:eastAsia="微软雅黑" w:cs="Times New Roman"/>
                <w:sz w:val="18"/>
                <w:szCs w:val="18"/>
                <w:highlight w:val="none"/>
                <w:lang w:eastAsia="zh-CN"/>
              </w:rPr>
              <w:t>.isbold,</w:t>
            </w:r>
            <w:r>
              <w:rPr>
                <w:rFonts w:hint="eastAsia" w:ascii="Times New Roman" w:hAnsi="Times New Roman" w:eastAsia="微软雅黑" w:cs="Times New Roman"/>
                <w:bCs/>
                <w:sz w:val="18"/>
                <w:szCs w:val="18"/>
                <w:highlight w:val="none"/>
                <w:lang w:eastAsia="zh-CN"/>
              </w:rPr>
              <w:t>dis</w:t>
            </w:r>
            <w:r>
              <w:rPr>
                <w:rFonts w:hint="eastAsia" w:ascii="Times New Roman" w:hAnsi="Times New Roman" w:eastAsia="微软雅黑" w:cs="Times New Roman"/>
                <w:sz w:val="18"/>
                <w:szCs w:val="18"/>
                <w:highlight w:val="none"/>
                <w:lang w:eastAsia="zh-CN"/>
              </w:rPr>
              <w:t>.isRed)}}</w:t>
            </w:r>
          </w:p>
        </w:tc>
        <w:tc>
          <w:tcPr>
            <w:tcW w:w="8255" w:type="dxa"/>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vAlign w:val="center"/>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endfor %}</w:t>
            </w:r>
          </w:p>
        </w:tc>
      </w:tr>
    </w:tbl>
    <w:p>
      <w:pPr>
        <w:keepNext/>
        <w:spacing w:before="26"/>
        <w:rPr>
          <w:rFonts w:ascii="Times New Roman" w:hAnsi="Times New Roman" w:eastAsia="微软雅黑" w:cs="Times New Roman"/>
          <w:b/>
          <w:sz w:val="24"/>
          <w:highlight w:val="none"/>
          <w:lang w:eastAsia="zh-CN"/>
        </w:rPr>
      </w:pPr>
      <w:r>
        <w:rPr>
          <w:rFonts w:hint="eastAsia" w:ascii="Times New Roman" w:hAnsi="Times New Roman" w:eastAsia="微软雅黑" w:cs="Times New Roman"/>
          <w:b/>
          <w:color w:val="45A3A7"/>
          <w:sz w:val="24"/>
          <w:highlight w:val="none"/>
          <w:lang w:eastAsia="zh-CN"/>
        </w:rPr>
        <w:t xml:space="preserve">{% endif %}{%if </w:t>
      </w:r>
      <w:r>
        <w:rPr>
          <w:rFonts w:hint="eastAsia" w:ascii="Times New Roman" w:hAnsi="Times New Roman" w:eastAsia="微软雅黑" w:cs="Times New Roman"/>
          <w:b/>
          <w:color w:val="45A3A7"/>
          <w:sz w:val="24"/>
          <w:szCs w:val="24"/>
          <w:highlight w:val="none"/>
          <w:lang w:eastAsia="zh-CN"/>
        </w:rPr>
        <w:t>tdd.</w:t>
      </w:r>
      <w:r>
        <w:rPr>
          <w:rFonts w:hint="eastAsia" w:ascii="Times New Roman" w:hAnsi="Times New Roman" w:eastAsia="微软雅黑" w:cs="Times New Roman"/>
          <w:b/>
          <w:color w:val="45A3A7"/>
          <w:sz w:val="24"/>
          <w:highlight w:val="none"/>
          <w:lang w:eastAsia="zh-CN"/>
        </w:rPr>
        <w:t>clinicalTrialInformationStr!= [] %}</w:t>
      </w:r>
    </w:p>
    <w:p>
      <w:pPr>
        <w:keepNext/>
        <w:spacing w:before="26" w:after="120" w:afterLines="50"/>
        <w:rPr>
          <w:rFonts w:ascii="Times New Roman" w:hAnsi="Times New Roman" w:eastAsia="微软雅黑" w:cs="Times New Roman"/>
          <w:b/>
          <w:color w:val="45A3A7"/>
          <w:sz w:val="24"/>
          <w:highlight w:val="none"/>
          <w:lang w:eastAsia="zh-CN"/>
        </w:rPr>
      </w:pPr>
      <w:r>
        <w:rPr>
          <w:rFonts w:hint="eastAsia" w:ascii="Times New Roman" w:hAnsi="Times New Roman" w:eastAsia="微软雅黑" w:cs="Times New Roman"/>
          <w:b/>
          <w:color w:val="45A3A7"/>
          <w:sz w:val="24"/>
          <w:highlight w:val="none"/>
          <w:lang w:eastAsia="zh-CN"/>
        </w:rPr>
        <w:t>临床试验信息</w:t>
      </w:r>
    </w:p>
    <w:tbl>
      <w:tblPr>
        <w:tblStyle w:val="12"/>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ID</w:t>
            </w:r>
          </w:p>
        </w:tc>
        <w:tc>
          <w:tcPr>
            <w:tcW w:w="3884"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临床试验名称</w:t>
            </w:r>
          </w:p>
        </w:tc>
        <w:tc>
          <w:tcPr>
            <w:tcW w:w="1246"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肿瘤类型</w:t>
            </w:r>
          </w:p>
        </w:tc>
        <w:tc>
          <w:tcPr>
            <w:tcW w:w="1035"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阶段</w:t>
            </w:r>
          </w:p>
        </w:tc>
        <w:tc>
          <w:tcPr>
            <w:tcW w:w="1204"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药物</w:t>
            </w:r>
          </w:p>
        </w:tc>
        <w:tc>
          <w:tcPr>
            <w:tcW w:w="856"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cti.clinical_trial_id }}</w:t>
            </w:r>
          </w:p>
        </w:tc>
        <w:tc>
          <w:tcPr>
            <w:tcW w:w="3884" w:type="dxa"/>
            <w:vAlign w:val="center"/>
          </w:tcPr>
          <w:p>
            <w:pPr>
              <w:keepNext/>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cti.title_chinese }}</w:t>
            </w:r>
          </w:p>
        </w:tc>
        <w:tc>
          <w:tcPr>
            <w:tcW w:w="1246"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cti.condition_chinese }}</w:t>
            </w:r>
          </w:p>
        </w:tc>
        <w:tc>
          <w:tcPr>
            <w:tcW w:w="103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cti.phase }}</w:t>
            </w:r>
          </w:p>
        </w:tc>
        <w:tc>
          <w:tcPr>
            <w:tcW w:w="1204" w:type="dxa"/>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cti.drug_name_chinese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keepNext/>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c>
          <w:tcPr>
            <w:tcW w:w="856"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endfor %}</w:t>
            </w:r>
          </w:p>
        </w:tc>
      </w:tr>
      <w:bookmarkEnd w:id="57"/>
      <w:bookmarkEnd w:id="58"/>
      <w:bookmarkEnd w:id="59"/>
    </w:tbl>
    <w:p>
      <w:pPr>
        <w:widowControl/>
        <w:rPr>
          <w:rFonts w:ascii="Times New Roman" w:hAnsi="Times New Roman" w:eastAsia="微软雅黑" w:cs="Times New Roman"/>
          <w:b/>
          <w:highlight w:val="none"/>
          <w:lang w:eastAsia="zh-CN"/>
        </w:rPr>
      </w:pPr>
      <w:r>
        <w:rPr>
          <w:rFonts w:hint="eastAsia" w:ascii="Times New Roman" w:hAnsi="Times New Roman" w:eastAsia="微软雅黑" w:cs="Times New Roman"/>
          <w:b/>
          <w:color w:val="45A3A7"/>
          <w:sz w:val="24"/>
          <w:szCs w:val="24"/>
          <w:highlight w:val="none"/>
          <w:lang w:eastAsia="zh-CN"/>
        </w:rPr>
        <w:t>{% endif %}</w:t>
      </w:r>
      <w:r>
        <w:rPr>
          <w:rFonts w:hint="eastAsia" w:ascii="Times New Roman" w:hAnsi="Times New Roman" w:eastAsia="微软雅黑" w:cs="Times New Roman"/>
          <w:b/>
          <w:color w:val="45A3A7"/>
          <w:sz w:val="24"/>
          <w:szCs w:val="24"/>
          <w:highlight w:val="none"/>
          <w:lang w:eastAsia="zh-CN"/>
        </w:rPr>
        <w:br w:type="page"/>
      </w:r>
      <w:r>
        <w:rPr>
          <w:rFonts w:hint="eastAsia" w:ascii="Times New Roman" w:hAnsi="Times New Roman" w:eastAsia="微软雅黑" w:cs="Times New Roman"/>
          <w:b/>
          <w:color w:val="45A3A7"/>
          <w:sz w:val="24"/>
          <w:szCs w:val="24"/>
          <w:highlight w:val="none"/>
          <w:lang w:eastAsia="zh-CN"/>
        </w:rPr>
        <w:t>{% endfor %}{% endif %}{% endif %}{% if unknownVarAnalysisStr != [] %}未知临床意义基因突变解析</w:t>
      </w:r>
      <w:r>
        <w:rPr>
          <w:rFonts w:hint="eastAsia" w:ascii="Times New Roman" w:hAnsi="Times New Roman" w:eastAsia="微软雅黑" w:cs="Times New Roman"/>
          <w:b/>
          <w:color w:val="45A3A7"/>
          <w:sz w:val="20"/>
          <w:szCs w:val="20"/>
          <w:highlight w:val="none"/>
          <w:lang w:eastAsia="zh-CN"/>
        </w:rPr>
        <w:t xml:space="preserve">{% for vus in </w:t>
      </w:r>
      <w:r>
        <w:rPr>
          <w:rFonts w:hint="eastAsia" w:ascii="Times New Roman" w:hAnsi="Times New Roman" w:eastAsia="微软雅黑" w:cs="Times New Roman"/>
          <w:b/>
          <w:color w:val="45A3A7"/>
          <w:sz w:val="24"/>
          <w:szCs w:val="24"/>
          <w:highlight w:val="none"/>
          <w:lang w:eastAsia="zh-CN"/>
        </w:rPr>
        <w:t xml:space="preserve">unknownVarAnalysisStr </w:t>
      </w:r>
      <w:r>
        <w:rPr>
          <w:rFonts w:hint="eastAsia" w:ascii="Times New Roman" w:hAnsi="Times New Roman" w:eastAsia="微软雅黑" w:cs="Times New Roman"/>
          <w:b/>
          <w:color w:val="45A3A7"/>
          <w:sz w:val="20"/>
          <w:szCs w:val="20"/>
          <w:highlight w:val="none"/>
          <w:lang w:eastAsia="zh-CN"/>
        </w:rPr>
        <w:t>%}</w:t>
      </w:r>
    </w:p>
    <w:p>
      <w:pPr>
        <w:keepNext/>
        <w:spacing w:before="240" w:beforeLines="100" w:line="360" w:lineRule="auto"/>
        <w:rPr>
          <w:rFonts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vus.gene}}</w:t>
      </w:r>
    </w:p>
    <w:tbl>
      <w:tblPr>
        <w:tblStyle w:val="12"/>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突变说明</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基因说明</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vus.gene_description_chinese }}</w:t>
            </w:r>
          </w:p>
        </w:tc>
      </w:tr>
    </w:tbl>
    <w:p>
      <w:pPr>
        <w:rPr>
          <w:rFonts w:ascii="Times New Roman" w:hAnsi="Times New Roman" w:eastAsia="微软雅黑" w:cs="Times New Roman"/>
          <w:b/>
          <w:highlight w:val="none"/>
          <w:lang w:eastAsia="zh-CN"/>
        </w:rPr>
      </w:pPr>
      <w:r>
        <w:rPr>
          <w:rFonts w:hint="eastAsia" w:ascii="Times New Roman" w:hAnsi="Times New Roman" w:eastAsia="微软雅黑" w:cs="Times New Roman"/>
          <w:b/>
          <w:color w:val="45A3A7"/>
          <w:sz w:val="20"/>
          <w:szCs w:val="20"/>
          <w:highlight w:val="none"/>
          <w:lang w:eastAsia="zh-CN"/>
        </w:rPr>
        <w:t>{% endfor %}</w:t>
      </w:r>
      <w:r>
        <w:rPr>
          <w:sz w:val="20"/>
          <w:szCs w:val="18"/>
          <w:highlight w:val="none"/>
        </w:rPr>
        <w:br w:type="page"/>
      </w:r>
      <w:r>
        <w:rPr>
          <w:rFonts w:hint="eastAsia"/>
          <w:highlight w:val="none"/>
          <w:lang w:eastAsia="zh-CN"/>
        </w:rPr>
        <w:t>{% endif %}</w:t>
      </w:r>
    </w:p>
    <w:p>
      <w:pPr>
        <w:pStyle w:val="21"/>
        <w:rPr>
          <w:highlight w:val="none"/>
        </w:rPr>
      </w:pPr>
      <w:bookmarkStart w:id="60" w:name="_Toc6713"/>
      <w:bookmarkStart w:id="61" w:name="_Toc9080"/>
      <w:r>
        <w:rPr>
          <w:highlight w:val="none"/>
        </w:rPr>
        <w:t>免疫检测结果解析</w:t>
      </w:r>
      <w:bookmarkEnd w:id="60"/>
      <w:bookmarkEnd w:id="61"/>
    </w:p>
    <w:p>
      <w:pPr>
        <w:spacing w:before="29" w:line="360" w:lineRule="auto"/>
        <w:rPr>
          <w:rFonts w:ascii="Times New Roman" w:hAnsi="Times New Roman" w:eastAsia="微软雅黑" w:cs="Times New Roman"/>
          <w:b/>
          <w:color w:val="45A3A7"/>
          <w:sz w:val="24"/>
          <w:szCs w:val="24"/>
          <w:highlight w:val="none"/>
          <w:lang w:eastAsia="zh-CN"/>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 if isSingleSample == False %}</w:t>
      </w:r>
      <w:r>
        <w:rPr>
          <w:rFonts w:hint="eastAsia" w:ascii="Times New Roman" w:hAnsi="Times New Roman" w:eastAsia="微软雅黑" w:cs="Times New Roman"/>
          <w:b/>
          <w:color w:val="45A3A7"/>
          <w:sz w:val="24"/>
          <w:szCs w:val="24"/>
          <w:highlight w:val="none"/>
          <w:lang w:eastAsia="zh-CN"/>
        </w:rPr>
        <w:t xml:space="preserve">{% if summaryOfRresults.type == </w:t>
      </w:r>
      <w:r>
        <w:rPr>
          <w:rFonts w:ascii="Times New Roman" w:hAnsi="Times New Roman" w:eastAsia="微软雅黑" w:cs="Times New Roman"/>
          <w:b/>
          <w:color w:val="45A3A7"/>
          <w:sz w:val="24"/>
          <w:szCs w:val="24"/>
          <w:highlight w:val="none"/>
          <w:lang w:eastAsia="zh-CN"/>
        </w:rPr>
        <w:t>‘tissue’</w:t>
      </w:r>
      <w:r>
        <w:rPr>
          <w:rFonts w:hint="eastAsia" w:ascii="Times New Roman" w:hAnsi="Times New Roman" w:eastAsia="微软雅黑" w:cs="Times New Roman"/>
          <w:b/>
          <w:color w:val="45A3A7"/>
          <w:sz w:val="24"/>
          <w:szCs w:val="24"/>
          <w:highlight w:val="none"/>
          <w:lang w:eastAsia="zh-CN"/>
        </w:rPr>
        <w:t xml:space="preserve"> %}</w:t>
      </w:r>
      <w:r>
        <w:rPr>
          <w:rFonts w:ascii="Times New Roman" w:hAnsi="Times New Roman" w:eastAsia="微软雅黑" w:cs="Times New Roman"/>
          <w:b/>
          <w:color w:val="45A3A7"/>
          <w:sz w:val="24"/>
          <w:szCs w:val="24"/>
          <w:highlight w:val="none"/>
          <w:lang w:eastAsia="zh-CN"/>
        </w:rPr>
        <w:t>肿瘤突变负荷（TMB）检测结果解析</w:t>
      </w:r>
      <w:r>
        <w:rPr>
          <w:rFonts w:hint="eastAsia" w:ascii="Times New Roman" w:hAnsi="Times New Roman" w:eastAsia="微软雅黑" w:cs="Times New Roman"/>
          <w:b/>
          <w:color w:val="45A3A7"/>
          <w:sz w:val="24"/>
          <w:szCs w:val="24"/>
          <w:highlight w:val="none"/>
          <w:lang w:eastAsia="zh-CN"/>
        </w:rPr>
        <w:t>{% else %}</w:t>
      </w:r>
      <w:r>
        <w:rPr>
          <w:rFonts w:ascii="Times New Roman" w:hAnsi="Times New Roman" w:eastAsia="微软雅黑" w:cs="Times New Roman"/>
          <w:b/>
          <w:color w:val="45A3A7"/>
          <w:sz w:val="24"/>
          <w:szCs w:val="24"/>
          <w:highlight w:val="none"/>
          <w:lang w:eastAsia="zh-CN"/>
        </w:rPr>
        <w:t>血液肿瘤突变负荷（bTMB）检测结果解析</w:t>
      </w:r>
      <w:r>
        <w:rPr>
          <w:rFonts w:hint="eastAsia" w:ascii="Times New Roman" w:hAnsi="Times New Roman" w:eastAsia="微软雅黑" w:cs="Times New Roman"/>
          <w:b/>
          <w:color w:val="45A3A7"/>
          <w:sz w:val="24"/>
          <w:szCs w:val="24"/>
          <w:highlight w:val="none"/>
          <w:lang w:eastAsia="zh-CN"/>
        </w:rPr>
        <w:t>{% endif %}</w:t>
      </w:r>
    </w:p>
    <w:p>
      <w:pPr>
        <w:spacing w:line="276" w:lineRule="auto"/>
        <w:rPr>
          <w:rFonts w:ascii="Times New Roman" w:hAnsi="Times New Roman" w:eastAsia="微软雅黑" w:cs="Times New Roman"/>
          <w:b/>
          <w:color w:val="45A3A7"/>
          <w:sz w:val="24"/>
          <w:szCs w:val="24"/>
          <w:highlight w:val="none"/>
          <w:lang w:eastAsia="zh-CN"/>
        </w:rPr>
      </w:pPr>
    </w:p>
    <w:tbl>
      <w:tblPr>
        <w:tblStyle w:val="12"/>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45A3A7" w:sz="18"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检测项目</w:t>
            </w:r>
          </w:p>
        </w:tc>
        <w:tc>
          <w:tcPr>
            <w:tcW w:w="8247"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r>
              <w:rPr>
                <w:rFonts w:ascii="Times New Roman" w:hAnsi="Times New Roman" w:eastAsia="微软雅黑" w:cs="Times New Roman"/>
                <w:sz w:val="21"/>
                <w:szCs w:val="21"/>
                <w:highlight w:val="none"/>
                <w:lang w:eastAsia="zh-CN"/>
              </w:rPr>
              <w:t>肿瘤突变负荷（Tumor mutation burden,</w:t>
            </w:r>
            <w:r>
              <w:rPr>
                <w:rFonts w:ascii="Times New Roman" w:hAnsi="Times New Roman" w:eastAsia="微软雅黑" w:cs="Times New Roman"/>
                <w:b/>
                <w:bCs/>
                <w:sz w:val="21"/>
                <w:szCs w:val="21"/>
                <w:highlight w:val="none"/>
                <w:lang w:eastAsia="zh-CN"/>
              </w:rPr>
              <w:t>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else %}</w:t>
            </w:r>
            <w:r>
              <w:rPr>
                <w:rFonts w:ascii="Times New Roman" w:hAnsi="Times New Roman" w:eastAsia="微软雅黑" w:cs="Times New Roman"/>
                <w:sz w:val="21"/>
                <w:szCs w:val="21"/>
                <w:highlight w:val="none"/>
                <w:lang w:eastAsia="zh-CN"/>
              </w:rPr>
              <w:t>血液肿瘤突变负荷（blood tumor mutation burden,</w:t>
            </w:r>
            <w:r>
              <w:rPr>
                <w:rFonts w:ascii="Times New Roman" w:hAnsi="Times New Roman" w:eastAsia="微软雅黑" w:cs="Times New Roman"/>
                <w:b/>
                <w:bCs/>
                <w:sz w:val="21"/>
                <w:szCs w:val="21"/>
                <w:highlight w:val="none"/>
                <w:lang w:eastAsia="zh-CN"/>
              </w:rPr>
              <w:t>bTMB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endif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检测结果</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黑体"/>
                <w:sz w:val="21"/>
                <w:highlight w:val="none"/>
                <w:lang w:eastAsia="zh-CN"/>
              </w:rPr>
              <w:t>{{ summaryOfRresults.tmb }}</w:t>
            </w:r>
            <w:r>
              <w:rPr>
                <w:rFonts w:ascii="Times New Roman" w:hAnsi="Times New Roman" w:eastAsia="微软雅黑" w:cs="黑体"/>
                <w:sz w:val="21"/>
                <w:highlight w:val="none"/>
              </w:rPr>
              <w:t>Muts/Mb（</w:t>
            </w:r>
            <w:r>
              <w:rPr>
                <w:rFonts w:hint="eastAsia" w:ascii="Times New Roman" w:hAnsi="Times New Roman" w:eastAsia="微软雅黑" w:cs="黑体"/>
                <w:sz w:val="21"/>
                <w:highlight w:val="none"/>
                <w:lang w:eastAsia="zh-CN"/>
              </w:rPr>
              <w:t>{{summaryOfRresults.tmb_status}}</w:t>
            </w:r>
            <w:r>
              <w:rPr>
                <w:rFonts w:ascii="Times New Roman" w:hAnsi="Times New Roman" w:eastAsia="微软雅黑" w:cs="黑体"/>
                <w:sz w:val="21"/>
                <w:highlight w:val="none"/>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lang w:eastAsia="zh-CN" w:bidi="ar"/>
              </w:rPr>
            </w:pPr>
            <w:r>
              <w:rPr>
                <w:rFonts w:ascii="Times New Roman" w:hAnsi="Times New Roman" w:eastAsia="微软雅黑" w:cs="Times New Roman"/>
                <w:b/>
                <w:color w:val="45A3A7"/>
                <w:sz w:val="18"/>
                <w:szCs w:val="18"/>
                <w:highlight w:val="none"/>
                <w:lang w:eastAsia="zh-CN" w:bidi="ar"/>
              </w:rPr>
              <w:t>潜在耐药信息</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黑体"/>
                <w:sz w:val="21"/>
                <w:highlight w:val="none"/>
                <w:lang w:eastAsia="zh-CN"/>
              </w:rPr>
            </w:pPr>
            <w:r>
              <w:rPr>
                <w:rFonts w:hint="eastAsia" w:ascii="Times New Roman" w:hAnsi="Times New Roman" w:eastAsia="微软雅黑" w:cs="Times New Roman"/>
                <w:sz w:val="18"/>
                <w:szCs w:val="18"/>
                <w:highlight w:val="none"/>
                <w:lang w:eastAsia="zh-CN"/>
              </w:rPr>
              <w:t xml:space="preserve">{% if </w:t>
            </w:r>
            <w:r>
              <w:rPr>
                <w:rFonts w:hint="eastAsia" w:ascii="Times New Roman" w:hAnsi="Times New Roman" w:eastAsia="微软雅黑" w:cs="Times New Roman"/>
                <w:bCs/>
                <w:sz w:val="18"/>
                <w:szCs w:val="18"/>
                <w:highlight w:val="none"/>
                <w:lang w:eastAsia="zh-CN" w:bidi="ar"/>
              </w:rPr>
              <w:t>tmbanalysisOfImmuneTestResults.resistantStr</w:t>
            </w:r>
            <w:r>
              <w:rPr>
                <w:rFonts w:hint="eastAsia" w:ascii="Times New Roman" w:hAnsi="Times New Roman" w:eastAsia="微软雅黑" w:cs="Times New Roman"/>
                <w:sz w:val="18"/>
                <w:szCs w:val="18"/>
                <w:highlight w:val="none"/>
                <w:lang w:eastAsia="zh-CN"/>
              </w:rPr>
              <w:t xml:space="preserve"> == [] %}无{% else%}{% for d in </w:t>
            </w:r>
            <w:r>
              <w:rPr>
                <w:rFonts w:hint="eastAsia" w:ascii="Times New Roman" w:hAnsi="Times New Roman" w:eastAsia="微软雅黑" w:cs="Times New Roman"/>
                <w:bCs/>
                <w:sz w:val="18"/>
                <w:szCs w:val="18"/>
                <w:highlight w:val="none"/>
                <w:lang w:eastAsia="zh-CN" w:bidi="ar"/>
              </w:rPr>
              <w:t>tmbanalysisOfImmuneTestResults.resistantStr</w:t>
            </w:r>
            <w:r>
              <w:rPr>
                <w:rFonts w:hint="eastAsia" w:ascii="Times New Roman" w:hAnsi="Times New Roman" w:eastAsia="微软雅黑" w:cs="Times New Roman"/>
                <w:sz w:val="18"/>
                <w:szCs w:val="18"/>
                <w:highlight w:val="none"/>
                <w:lang w:eastAsia="zh-CN"/>
              </w:rPr>
              <w:t xml:space="preserve"> %}{%if loop.last%}{{r d.name | ms(d.isbold,d.isRed) }}{%else%}{{r d.name | ms(d.isbold,d.isRed)}}，{%endif%}{% endfor %}{% endif%}</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循证医学证据</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md in </w:t>
            </w:r>
            <w:r>
              <w:rPr>
                <w:rFonts w:hint="eastAsia" w:ascii="Times New Roman" w:hAnsi="Times New Roman" w:eastAsia="微软雅黑" w:cs="Times New Roman"/>
                <w:bCs/>
                <w:sz w:val="18"/>
                <w:szCs w:val="18"/>
                <w:highlight w:val="none"/>
                <w:lang w:eastAsia="zh-CN" w:bidi="ar"/>
              </w:rPr>
              <w:t>tmbanalysisOfImmuneTestResults.varDrugNote</w:t>
            </w:r>
            <w:r>
              <w:rPr>
                <w:rFonts w:hint="eastAsia" w:ascii="Times New Roman" w:hAnsi="Times New Roman" w:eastAsia="微软雅黑" w:cs="Times New Roman"/>
                <w:sz w:val="18"/>
                <w:szCs w:val="18"/>
                <w:highlight w:val="none"/>
                <w:lang w:eastAsia="zh-CN"/>
              </w:rPr>
              <w:t xml:space="preserve">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 if md.key==</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基因说明:</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if summaryOfRresults.type == “tissue” %}</w:t>
            </w:r>
            <w:r>
              <w:rPr>
                <w:rFonts w:hint="eastAsia" w:ascii="Times New Roman" w:hAnsi="Times New Roman" w:eastAsia="微软雅黑" w:cs="Times New Roman"/>
                <w:b/>
                <w:bCs/>
                <w:sz w:val="18"/>
                <w:szCs w:val="18"/>
                <w:highlight w:val="none"/>
                <w:lang w:eastAsia="zh-CN"/>
              </w:rPr>
              <w:t>TMB定义:</w:t>
            </w:r>
            <w:r>
              <w:rPr>
                <w:rFonts w:hint="eastAsia" w:ascii="Times New Roman" w:hAnsi="Times New Roman" w:eastAsia="微软雅黑" w:cs="Times New Roman"/>
                <w:sz w:val="18"/>
                <w:szCs w:val="18"/>
                <w:highlight w:val="none"/>
                <w:lang w:eastAsia="zh-CN"/>
              </w:rPr>
              <w:t>{% else %}</w:t>
            </w:r>
            <w:r>
              <w:rPr>
                <w:rFonts w:hint="eastAsia" w:ascii="Times New Roman" w:hAnsi="Times New Roman" w:eastAsia="微软雅黑" w:cs="Times New Roman"/>
                <w:b/>
                <w:bCs/>
                <w:sz w:val="18"/>
                <w:szCs w:val="18"/>
                <w:highlight w:val="none"/>
                <w:lang w:eastAsia="zh-CN"/>
              </w:rPr>
              <w:t>bTMB定义:</w:t>
            </w:r>
            <w:r>
              <w:rPr>
                <w:rFonts w:hint="eastAsia" w:ascii="Times New Roman" w:hAnsi="Times New Roman" w:eastAsia="微软雅黑" w:cs="Times New Roman"/>
                <w:sz w:val="18"/>
                <w:szCs w:val="18"/>
                <w:highlight w:val="none"/>
                <w:lang w:eastAsia="zh-CN"/>
              </w:rPr>
              <w:t>{% endif %}{% else %}</w:t>
            </w:r>
            <w:r>
              <w:rPr>
                <w:rFonts w:hint="eastAsia" w:ascii="Times New Roman" w:hAnsi="Times New Roman" w:eastAsia="微软雅黑" w:cs="Times New Roman"/>
                <w:b/>
                <w:bCs/>
                <w:sz w:val="18"/>
                <w:szCs w:val="18"/>
                <w:highlight w:val="none"/>
                <w:lang w:eastAsia="zh-CN"/>
              </w:rPr>
              <w:t>{{md.key}}{% endif %}</w:t>
            </w:r>
            <w:r>
              <w:rPr>
                <w:rFonts w:hint="eastAsia" w:ascii="Times New Roman" w:hAnsi="Times New Roman" w:eastAsia="微软雅黑" w:cs="Times New Roman"/>
                <w:sz w:val="18"/>
                <w:szCs w:val="18"/>
                <w:highlight w:val="none"/>
                <w:lang w:eastAsia="zh-CN"/>
              </w:rPr>
              <w:t>{{md.value}}</w:t>
            </w:r>
          </w:p>
          <w:p>
            <w:pPr>
              <w:spacing w:before="26"/>
              <w:rPr>
                <w:rFonts w:ascii="Times New Roman" w:hAnsi="Times New Roman" w:eastAsia="微软雅黑" w:cs="Times New Roman"/>
                <w:bCs/>
                <w:sz w:val="18"/>
                <w:szCs w:val="18"/>
                <w:highlight w:val="none"/>
                <w:lang w:eastAsia="zh-CN" w:bidi="ar"/>
              </w:rPr>
            </w:pPr>
            <w:r>
              <w:rPr>
                <w:rFonts w:hint="eastAsia" w:ascii="Times New Roman" w:hAnsi="Times New Roman" w:eastAsia="微软雅黑" w:cs="Times New Roman"/>
                <w:sz w:val="18"/>
                <w:szCs w:val="18"/>
                <w:highlight w:val="none"/>
                <w:lang w:eastAsia="zh-CN"/>
              </w:rPr>
              <w:t>{% endif %}{% endfor %}</w:t>
            </w:r>
          </w:p>
        </w:tc>
      </w:tr>
    </w:tbl>
    <w:p>
      <w:pPr>
        <w:spacing w:before="26"/>
        <w:rPr>
          <w:rFonts w:ascii="Times New Roman" w:hAnsi="Times New Roman" w:eastAsia="微软雅黑" w:cs="Times New Roman"/>
          <w:b/>
          <w:sz w:val="24"/>
          <w:szCs w:val="24"/>
          <w:highlight w:val="none"/>
        </w:rPr>
      </w:pPr>
      <w:r>
        <w:rPr>
          <w:rFonts w:ascii="Times New Roman" w:hAnsi="Times New Roman" w:eastAsia="微软雅黑" w:cs="Times New Roman"/>
          <w:b/>
          <w:sz w:val="24"/>
          <w:szCs w:val="24"/>
          <w:highlight w:val="none"/>
          <w:lang w:eastAsia="zh-CN" w:bidi="ar"/>
        </w:rPr>
        <w:t xml:space="preserve"> </w:t>
      </w:r>
      <w:r>
        <w:rPr>
          <w:rFonts w:hint="eastAsia" w:ascii="Times New Roman" w:hAnsi="Times New Roman" w:eastAsia="微软雅黑" w:cs="Times New Roman"/>
          <w:b/>
          <w:color w:val="45A3A7"/>
          <w:sz w:val="24"/>
          <w:szCs w:val="24"/>
          <w:highlight w:val="none"/>
          <w:lang w:eastAsia="zh-CN"/>
        </w:rPr>
        <w:t>{% if tmbanalysisOfImmuneTestResults.drugInformationStr!=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药物信息</w:t>
      </w:r>
    </w:p>
    <w:tbl>
      <w:tblPr>
        <w:tblStyle w:val="12"/>
        <w:tblW w:w="9870" w:type="dxa"/>
        <w:tblInd w:w="135" w:type="dxa"/>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药物名称</w:t>
            </w:r>
          </w:p>
        </w:tc>
        <w:tc>
          <w:tcPr>
            <w:tcW w:w="8255" w:type="dxa"/>
            <w:tcBorders>
              <w:top w:val="single" w:color="45A3A7" w:sz="18" w:space="0"/>
              <w:left w:val="dotted" w:color="45A3A7" w:sz="4" w:space="0"/>
              <w:bottom w:val="dotted" w:color="45A3A7" w:sz="4" w:space="0"/>
              <w:right w:val="nil"/>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适应症</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tmbdis in tmbanalysisOfImmuneTestResults.drugInformationStr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{{r tmbdis.n</w:t>
            </w:r>
            <w:r>
              <w:rPr>
                <w:rFonts w:hint="eastAsia" w:ascii="Times New Roman" w:hAnsi="Times New Roman" w:eastAsia="微软雅黑" w:cs="Times New Roman"/>
                <w:bCs/>
                <w:sz w:val="18"/>
                <w:szCs w:val="18"/>
                <w:highlight w:val="none"/>
                <w:lang w:eastAsia="zh-CN"/>
              </w:rPr>
              <w:t>ame</w:t>
            </w:r>
            <w:r>
              <w:rPr>
                <w:rFonts w:hint="eastAsia" w:ascii="Times New Roman" w:hAnsi="Times New Roman" w:eastAsia="微软雅黑" w:cs="Times New Roman"/>
                <w:sz w:val="18"/>
                <w:szCs w:val="18"/>
                <w:highlight w:val="none"/>
                <w:lang w:eastAsia="zh-CN"/>
              </w:rPr>
              <w:t xml:space="preserve"> | ms(tmbdis.isbold,tmbdis.isRed)}}</w:t>
            </w:r>
          </w:p>
        </w:tc>
        <w:tc>
          <w:tcPr>
            <w:tcW w:w="8255" w:type="dxa"/>
            <w:tcBorders>
              <w:top w:val="dotted" w:color="45A3A7" w:sz="4" w:space="0"/>
              <w:left w:val="dotted" w:color="45A3A7" w:sz="4" w:space="0"/>
              <w:bottom w:val="dotted" w:color="45A3A7" w:sz="4" w:space="0"/>
              <w:right w:val="nil"/>
            </w:tcBorders>
            <w:shd w:val="clear" w:color="auto" w:fill="auto"/>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tmbdis.drugInfo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bl>
    <w:p>
      <w:pPr>
        <w:spacing w:before="26"/>
        <w:rPr>
          <w:rFonts w:ascii="Times New Roman" w:hAnsi="Times New Roman" w:eastAsia="微软雅黑" w:cs="Times New Roman"/>
          <w:b/>
          <w:sz w:val="24"/>
          <w:szCs w:val="24"/>
          <w:highlight w:val="none"/>
        </w:rPr>
      </w:pPr>
      <w:r>
        <w:rPr>
          <w:rFonts w:ascii="Times New Roman" w:hAnsi="Times New Roman" w:eastAsia="微软雅黑" w:cs="Times New Roman"/>
          <w:b/>
          <w:sz w:val="24"/>
          <w:szCs w:val="24"/>
          <w:highlight w:val="none"/>
          <w:lang w:eastAsia="zh-CN" w:bidi="ar"/>
        </w:rPr>
        <w:t xml:space="preserve"> </w:t>
      </w:r>
      <w:r>
        <w:rPr>
          <w:rFonts w:hint="eastAsia" w:ascii="Times New Roman" w:hAnsi="Times New Roman" w:eastAsia="微软雅黑" w:cs="Times New Roman"/>
          <w:b/>
          <w:sz w:val="24"/>
          <w:szCs w:val="24"/>
          <w:highlight w:val="none"/>
          <w:lang w:eastAsia="zh-CN" w:bidi="ar"/>
        </w:rPr>
        <w:t>{% endif %}</w:t>
      </w:r>
      <w:r>
        <w:rPr>
          <w:rFonts w:hint="eastAsia" w:ascii="Times New Roman" w:hAnsi="Times New Roman" w:eastAsia="微软雅黑" w:cs="Times New Roman"/>
          <w:b/>
          <w:color w:val="45A3A7"/>
          <w:sz w:val="24"/>
          <w:szCs w:val="24"/>
          <w:highlight w:val="none"/>
          <w:lang w:eastAsia="zh-CN"/>
        </w:rPr>
        <w:t>{% if tmbanalysisOfImmuneTestResults.clinicalTrialInformationStr!=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临床试验信息</w:t>
      </w:r>
    </w:p>
    <w:tbl>
      <w:tblPr>
        <w:tblStyle w:val="12"/>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ID</w:t>
            </w:r>
          </w:p>
        </w:tc>
        <w:tc>
          <w:tcPr>
            <w:tcW w:w="3884" w:type="dxa"/>
            <w:tcBorders>
              <w:top w:val="single" w:color="45A3A7" w:sz="18" w:space="0"/>
              <w:left w:val="dotted" w:color="45A3A7" w:sz="4" w:space="0"/>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临床试验名称</w:t>
            </w:r>
          </w:p>
        </w:tc>
        <w:tc>
          <w:tcPr>
            <w:tcW w:w="1246"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肿瘤类型</w:t>
            </w:r>
          </w:p>
        </w:tc>
        <w:tc>
          <w:tcPr>
            <w:tcW w:w="1035"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阶段</w:t>
            </w:r>
          </w:p>
        </w:tc>
        <w:tc>
          <w:tcPr>
            <w:tcW w:w="1204"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w:t>
            </w:r>
          </w:p>
        </w:tc>
        <w:tc>
          <w:tcPr>
            <w:tcW w:w="856"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地点</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tmbcli in tmbanalysisOfImmuneTestResults.clinicalTrialInformationStr%}</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tmbcli.clinical_trial_id}}</w:t>
            </w:r>
          </w:p>
        </w:tc>
        <w:tc>
          <w:tcPr>
            <w:tcW w:w="3884" w:type="dxa"/>
            <w:tcBorders>
              <w:top w:val="dotted" w:color="45A3A7" w:sz="4" w:space="0"/>
              <w:left w:val="dotted" w:color="45A3A7" w:sz="4" w:space="0"/>
              <w:bottom w:val="dotted" w:color="45A3A7" w:sz="4" w:space="0"/>
              <w:right w:val="dotted" w:color="45A3A7" w:sz="4" w:space="0"/>
            </w:tcBorders>
            <w:shd w:val="clear" w:color="auto" w:fill="auto"/>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tmbcli.title_chinese}}</w:t>
            </w:r>
          </w:p>
        </w:tc>
        <w:tc>
          <w:tcPr>
            <w:tcW w:w="1246"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tmbcli.condition_chinese}}</w:t>
            </w:r>
          </w:p>
        </w:tc>
        <w:tc>
          <w:tcPr>
            <w:tcW w:w="1035"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tmbcli.phase}}</w:t>
            </w:r>
          </w:p>
        </w:tc>
        <w:tc>
          <w:tcPr>
            <w:tcW w:w="1204"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tmbcli.drug_name_chinese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c>
          <w:tcPr>
            <w:tcW w:w="856"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tmbcli.location_chinese}}</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w:t>
            </w:r>
          </w:p>
        </w:tc>
      </w:tr>
    </w:tbl>
    <w:p>
      <w:pPr>
        <w:spacing w:before="29" w:line="360" w:lineRule="auto"/>
        <w:rPr>
          <w:rFonts w:ascii="Times New Roman" w:hAnsi="Times New Roman" w:eastAsia="微软雅黑" w:cs="Times New Roman"/>
          <w:b/>
          <w:color w:val="00B050"/>
          <w:sz w:val="24"/>
          <w:szCs w:val="24"/>
          <w:highlight w:val="none"/>
          <w:lang w:eastAsia="zh-CN" w:bidi="ar"/>
        </w:rPr>
      </w:pPr>
      <w:r>
        <w:rPr>
          <w:rFonts w:ascii="Times New Roman" w:hAnsi="Times New Roman" w:eastAsia="微软雅黑" w:cs="Times New Roman"/>
          <w:b/>
          <w:sz w:val="21"/>
          <w:szCs w:val="21"/>
          <w:highlight w:val="none"/>
          <w:lang w:eastAsia="zh-CN" w:bidi="ar"/>
        </w:rPr>
        <w:t xml:space="preserve"> </w:t>
      </w:r>
      <w:r>
        <w:rPr>
          <w:rFonts w:hint="eastAsia" w:ascii="Times New Roman" w:hAnsi="Times New Roman" w:eastAsia="微软雅黑" w:cs="Times New Roman"/>
          <w:b/>
          <w:sz w:val="21"/>
          <w:szCs w:val="21"/>
          <w:highlight w:val="none"/>
          <w:lang w:eastAsia="zh-CN" w:bidi="ar"/>
        </w:rPr>
        <w:t>{% endif %}</w:t>
      </w:r>
      <w:r>
        <w:rPr>
          <w:rFonts w:ascii="Times New Roman" w:hAnsi="Times New Roman" w:eastAsia="微软雅黑" w:cs="Times New Roman"/>
          <w:b/>
          <w:color w:val="00B050"/>
          <w:sz w:val="24"/>
          <w:szCs w:val="24"/>
          <w:highlight w:val="none"/>
          <w:lang w:eastAsia="zh-CN" w:bidi="ar"/>
        </w:rPr>
        <w:br w:type="page"/>
      </w:r>
    </w:p>
    <w:p>
      <w:pPr>
        <w:spacing w:line="276" w:lineRule="auto"/>
        <w:rPr>
          <w:rFonts w:ascii="Times New Roman" w:hAnsi="Times New Roman" w:eastAsia="微软雅黑" w:cs="Times New Roman"/>
          <w:b/>
          <w:color w:val="45A3A7"/>
          <w:sz w:val="24"/>
          <w:szCs w:val="24"/>
          <w:highlight w:val="none"/>
          <w:lang w:eastAsia="zh-CN"/>
        </w:rPr>
      </w:pPr>
      <w:r>
        <w:rPr>
          <w:rFonts w:hint="eastAsia"/>
          <w:highlight w:val="none"/>
          <w:lang w:eastAsia="zh-CN"/>
        </w:rPr>
        <w:t>{% endif %}</w:t>
      </w:r>
      <w:r>
        <w:rPr>
          <w:rFonts w:ascii="Times New Roman" w:hAnsi="Times New Roman" w:eastAsia="微软雅黑" w:cs="Times New Roman"/>
          <w:b/>
          <w:color w:val="45A3A7"/>
          <w:sz w:val="24"/>
          <w:szCs w:val="24"/>
          <w:highlight w:val="none"/>
          <w:lang w:eastAsia="zh-CN"/>
        </w:rPr>
        <w:t>微卫星不稳定（MSI）检测结果解析</w:t>
      </w:r>
    </w:p>
    <w:tbl>
      <w:tblPr>
        <w:tblStyle w:val="12"/>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45A3A7" w:sz="18"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检测项目</w:t>
            </w:r>
          </w:p>
        </w:tc>
        <w:tc>
          <w:tcPr>
            <w:tcW w:w="8247"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ascii="Times New Roman" w:hAnsi="Times New Roman" w:eastAsia="微软雅黑" w:cs="Times New Roman"/>
                <w:sz w:val="21"/>
                <w:szCs w:val="21"/>
                <w:highlight w:val="none"/>
                <w:lang w:eastAsia="zh-CN" w:bidi="ar"/>
              </w:rPr>
              <w:t>微卫星不稳定（microsatellite instability,</w:t>
            </w:r>
            <w:r>
              <w:rPr>
                <w:rFonts w:ascii="Times New Roman" w:hAnsi="Times New Roman" w:eastAsia="微软雅黑" w:cs="Times New Roman"/>
                <w:b/>
                <w:sz w:val="21"/>
                <w:szCs w:val="21"/>
                <w:highlight w:val="none"/>
                <w:lang w:eastAsia="zh-CN" w:bidi="ar"/>
              </w:rPr>
              <w:t>MSI</w:t>
            </w:r>
            <w:r>
              <w:rPr>
                <w:rFonts w:ascii="Times New Roman" w:hAnsi="Times New Roman" w:eastAsia="微软雅黑" w:cs="Times New Roman"/>
                <w:sz w:val="21"/>
                <w:szCs w:val="21"/>
                <w:highlight w:val="none"/>
                <w:lang w:eastAsia="zh-CN" w:bidi="ar"/>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PrEx>
        <w:trPr>
          <w:trHeight w:val="494" w:hRule="atLeast"/>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检测结果</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黑体"/>
                <w:sz w:val="21"/>
                <w:highlight w:val="none"/>
                <w:lang w:eastAsia="zh-CN"/>
              </w:rPr>
              <w:t>{{ summaryOfRresults.msi }}</w:t>
            </w:r>
            <w:r>
              <w:rPr>
                <w:rFonts w:ascii="Times New Roman" w:hAnsi="Times New Roman" w:eastAsia="微软雅黑" w:cs="黑体"/>
                <w:sz w:val="21"/>
                <w:highlight w:val="none"/>
              </w:rPr>
              <w:t>（</w:t>
            </w:r>
            <w:r>
              <w:rPr>
                <w:rFonts w:hint="eastAsia" w:ascii="Times New Roman" w:hAnsi="Times New Roman" w:eastAsia="微软雅黑" w:cs="黑体"/>
                <w:sz w:val="21"/>
                <w:highlight w:val="none"/>
                <w:lang w:eastAsia="zh-CN"/>
              </w:rPr>
              <w:t>{{summaryOfRresults.msi_status}}</w:t>
            </w:r>
            <w:r>
              <w:rPr>
                <w:rFonts w:ascii="Times New Roman" w:hAnsi="Times New Roman" w:eastAsia="微软雅黑" w:cs="黑体"/>
                <w:sz w:val="21"/>
                <w:highlight w:val="none"/>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潜在耐药信息</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xml:space="preserve">{% if </w:t>
            </w:r>
            <w:r>
              <w:rPr>
                <w:rFonts w:hint="eastAsia" w:ascii="Times New Roman" w:hAnsi="Times New Roman" w:eastAsia="微软雅黑" w:cs="Times New Roman"/>
                <w:bCs/>
                <w:sz w:val="18"/>
                <w:szCs w:val="18"/>
                <w:highlight w:val="none"/>
                <w:lang w:eastAsia="zh-CN" w:bidi="ar"/>
              </w:rPr>
              <w:t>msianalysisOfImmuneTestResults.resistantStr</w:t>
            </w:r>
            <w:r>
              <w:rPr>
                <w:rFonts w:hint="eastAsia" w:ascii="Times New Roman" w:hAnsi="Times New Roman" w:eastAsia="微软雅黑" w:cs="Times New Roman"/>
                <w:sz w:val="18"/>
                <w:szCs w:val="18"/>
                <w:highlight w:val="none"/>
                <w:lang w:eastAsia="zh-CN"/>
              </w:rPr>
              <w:t xml:space="preserve"> == [] %}无{% else%}{% for d in </w:t>
            </w:r>
            <w:r>
              <w:rPr>
                <w:rFonts w:hint="eastAsia" w:ascii="Times New Roman" w:hAnsi="Times New Roman" w:eastAsia="微软雅黑" w:cs="Times New Roman"/>
                <w:bCs/>
                <w:sz w:val="18"/>
                <w:szCs w:val="18"/>
                <w:highlight w:val="none"/>
                <w:lang w:eastAsia="zh-CN" w:bidi="ar"/>
              </w:rPr>
              <w:t>tmbanalysisOfImmuneTestResults.resistantStr</w:t>
            </w:r>
            <w:r>
              <w:rPr>
                <w:rFonts w:hint="eastAsia" w:ascii="Times New Roman" w:hAnsi="Times New Roman" w:eastAsia="微软雅黑" w:cs="Times New Roman"/>
                <w:sz w:val="18"/>
                <w:szCs w:val="18"/>
                <w:highlight w:val="none"/>
                <w:lang w:eastAsia="zh-CN"/>
              </w:rPr>
              <w:t xml:space="preserve"> %}{%if loop.last%}{{r d.name | ms(d.isbold,d.isRed) }}{%else%}{{r d.name | ms(d.isbold,d.isRed)}}，{%endif%}{% endfor %}{% endif%}</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循证医学证据</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md in </w:t>
            </w:r>
            <w:r>
              <w:rPr>
                <w:rFonts w:hint="eastAsia" w:ascii="Times New Roman" w:hAnsi="Times New Roman" w:eastAsia="微软雅黑" w:cs="Times New Roman"/>
                <w:bCs/>
                <w:sz w:val="18"/>
                <w:szCs w:val="18"/>
                <w:highlight w:val="none"/>
                <w:lang w:eastAsia="zh-CN" w:bidi="ar"/>
              </w:rPr>
              <w:t>msianalysisOfImmuneTestResults.varDrugNote</w:t>
            </w:r>
            <w:r>
              <w:rPr>
                <w:rFonts w:hint="eastAsia" w:ascii="Times New Roman" w:hAnsi="Times New Roman" w:eastAsia="微软雅黑" w:cs="Times New Roman"/>
                <w:sz w:val="18"/>
                <w:szCs w:val="18"/>
                <w:highlight w:val="none"/>
                <w:lang w:eastAsia="zh-CN"/>
              </w:rPr>
              <w:t xml:space="preserve">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 if md.key==</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基因说明:</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b/>
                <w:bCs/>
                <w:sz w:val="18"/>
                <w:szCs w:val="18"/>
                <w:highlight w:val="none"/>
                <w:lang w:eastAsia="zh-CN"/>
              </w:rPr>
              <w:t>MSI定义:</w:t>
            </w:r>
            <w:r>
              <w:rPr>
                <w:rFonts w:hint="eastAsia" w:ascii="Times New Roman" w:hAnsi="Times New Roman" w:eastAsia="微软雅黑" w:cs="Times New Roman"/>
                <w:sz w:val="18"/>
                <w:szCs w:val="18"/>
                <w:highlight w:val="none"/>
                <w:lang w:eastAsia="zh-CN"/>
              </w:rPr>
              <w:t>{% else%}</w:t>
            </w:r>
            <w:r>
              <w:rPr>
                <w:rFonts w:hint="eastAsia" w:ascii="Times New Roman" w:hAnsi="Times New Roman" w:eastAsia="微软雅黑" w:cs="Times New Roman"/>
                <w:b/>
                <w:bCs/>
                <w:sz w:val="18"/>
                <w:szCs w:val="18"/>
                <w:highlight w:val="none"/>
                <w:lang w:eastAsia="zh-CN"/>
              </w:rPr>
              <w:t>{{md.key}}</w:t>
            </w:r>
            <w:r>
              <w:rPr>
                <w:rFonts w:hint="eastAsia" w:ascii="Times New Roman" w:hAnsi="Times New Roman" w:eastAsia="微软雅黑" w:cs="Times New Roman"/>
                <w:sz w:val="18"/>
                <w:szCs w:val="18"/>
                <w:highlight w:val="none"/>
                <w:lang w:eastAsia="zh-CN"/>
              </w:rPr>
              <w:t>{% endif %}{{md.value}}</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endif %}{% endfor %}</w:t>
            </w:r>
          </w:p>
        </w:tc>
      </w:tr>
    </w:tbl>
    <w:p>
      <w:pPr>
        <w:spacing w:before="26"/>
        <w:rPr>
          <w:rFonts w:ascii="Times New Roman" w:hAnsi="Times New Roman" w:eastAsia="微软雅黑" w:cs="Times New Roman"/>
          <w:b/>
          <w:sz w:val="24"/>
          <w:szCs w:val="24"/>
          <w:highlight w:val="none"/>
        </w:rPr>
      </w:pPr>
      <w:r>
        <w:rPr>
          <w:rFonts w:ascii="Times New Roman" w:hAnsi="Times New Roman" w:eastAsia="微软雅黑" w:cs="Times New Roman"/>
          <w:b/>
          <w:sz w:val="24"/>
          <w:szCs w:val="24"/>
          <w:highlight w:val="none"/>
          <w:lang w:eastAsia="zh-CN" w:bidi="ar"/>
        </w:rPr>
        <w:t xml:space="preserve"> </w:t>
      </w:r>
      <w:r>
        <w:rPr>
          <w:rFonts w:hint="eastAsia" w:ascii="Times New Roman" w:hAnsi="Times New Roman" w:eastAsia="微软雅黑" w:cs="Times New Roman"/>
          <w:b/>
          <w:color w:val="45A3A7"/>
          <w:sz w:val="24"/>
          <w:szCs w:val="24"/>
          <w:highlight w:val="none"/>
          <w:lang w:eastAsia="zh-CN"/>
        </w:rPr>
        <w:t>{% if msianalysisOfImmuneTestResults.drugInformationStr!=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药物信息</w:t>
      </w:r>
    </w:p>
    <w:tbl>
      <w:tblPr>
        <w:tblStyle w:val="12"/>
        <w:tblW w:w="9870" w:type="dxa"/>
        <w:tblInd w:w="135" w:type="dxa"/>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PrEx>
        <w:trPr>
          <w:cantSplit/>
        </w:trPr>
        <w:tc>
          <w:tcPr>
            <w:tcW w:w="161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药物名称</w:t>
            </w:r>
          </w:p>
        </w:tc>
        <w:tc>
          <w:tcPr>
            <w:tcW w:w="8255" w:type="dxa"/>
            <w:tcBorders>
              <w:top w:val="single" w:color="45A3A7" w:sz="18" w:space="0"/>
              <w:left w:val="dotted" w:color="45A3A7" w:sz="4" w:space="0"/>
              <w:bottom w:val="dotted" w:color="45A3A7" w:sz="4" w:space="0"/>
              <w:right w:val="nil"/>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适应症</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msidis in msianalysisOfImmuneTestResults.drugInformationStr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PrEx>
        <w:trPr>
          <w:cantSplit/>
        </w:trPr>
        <w:tc>
          <w:tcPr>
            <w:tcW w:w="161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{{r </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.n</w:t>
            </w:r>
            <w:r>
              <w:rPr>
                <w:rFonts w:hint="eastAsia" w:ascii="Times New Roman" w:hAnsi="Times New Roman" w:eastAsia="微软雅黑" w:cs="Times New Roman"/>
                <w:bCs/>
                <w:sz w:val="18"/>
                <w:szCs w:val="18"/>
                <w:highlight w:val="none"/>
                <w:lang w:eastAsia="zh-CN"/>
              </w:rPr>
              <w:t>ame</w:t>
            </w:r>
            <w:r>
              <w:rPr>
                <w:rFonts w:hint="eastAsia" w:ascii="Times New Roman" w:hAnsi="Times New Roman" w:eastAsia="微软雅黑" w:cs="Times New Roman"/>
                <w:sz w:val="18"/>
                <w:szCs w:val="18"/>
                <w:highlight w:val="none"/>
                <w:lang w:eastAsia="zh-CN"/>
              </w:rPr>
              <w:t xml:space="preserve"> | ms(</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.isbold,</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.isRed)}}</w:t>
            </w:r>
          </w:p>
        </w:tc>
        <w:tc>
          <w:tcPr>
            <w:tcW w:w="8255" w:type="dxa"/>
            <w:tcBorders>
              <w:top w:val="dotted" w:color="45A3A7" w:sz="4" w:space="0"/>
              <w:left w:val="dotted" w:color="45A3A7" w:sz="4" w:space="0"/>
              <w:bottom w:val="dotted" w:color="45A3A7" w:sz="4" w:space="0"/>
              <w:right w:val="nil"/>
            </w:tcBorders>
            <w:shd w:val="clear" w:color="auto" w:fill="auto"/>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msidis.drugInfo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bl>
    <w:p>
      <w:pPr>
        <w:spacing w:before="26"/>
        <w:rPr>
          <w:rFonts w:ascii="Times New Roman" w:hAnsi="Times New Roman" w:eastAsia="微软雅黑" w:cs="Times New Roman"/>
          <w:b/>
          <w:sz w:val="24"/>
          <w:szCs w:val="24"/>
          <w:highlight w:val="none"/>
        </w:rPr>
      </w:pPr>
      <w:r>
        <w:rPr>
          <w:rFonts w:hint="eastAsia" w:ascii="Times New Roman" w:hAnsi="Times New Roman" w:eastAsia="微软雅黑" w:cs="Times New Roman"/>
          <w:b/>
          <w:sz w:val="24"/>
          <w:szCs w:val="24"/>
          <w:highlight w:val="none"/>
          <w:lang w:eastAsia="zh-CN" w:bidi="ar"/>
        </w:rPr>
        <w:t>{% endif %}</w:t>
      </w:r>
      <w:r>
        <w:rPr>
          <w:rFonts w:hint="eastAsia" w:ascii="Times New Roman" w:hAnsi="Times New Roman" w:eastAsia="微软雅黑" w:cs="Times New Roman"/>
          <w:b/>
          <w:color w:val="45A3A7"/>
          <w:sz w:val="24"/>
          <w:szCs w:val="24"/>
          <w:highlight w:val="none"/>
          <w:lang w:eastAsia="zh-CN"/>
        </w:rPr>
        <w:t>{% if msianalysisOfImmuneTestResults.clinicalTrialInformationStr!=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临床试验信息</w:t>
      </w:r>
    </w:p>
    <w:tbl>
      <w:tblPr>
        <w:tblStyle w:val="12"/>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ID</w:t>
            </w:r>
          </w:p>
        </w:tc>
        <w:tc>
          <w:tcPr>
            <w:tcW w:w="3884" w:type="dxa"/>
            <w:tcBorders>
              <w:top w:val="single" w:color="45A3A7" w:sz="18" w:space="0"/>
              <w:left w:val="dotted" w:color="45A3A7" w:sz="4" w:space="0"/>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临床试验名称</w:t>
            </w:r>
          </w:p>
        </w:tc>
        <w:tc>
          <w:tcPr>
            <w:tcW w:w="1246"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肿瘤类型</w:t>
            </w:r>
          </w:p>
        </w:tc>
        <w:tc>
          <w:tcPr>
            <w:tcW w:w="1035"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阶段</w:t>
            </w:r>
          </w:p>
        </w:tc>
        <w:tc>
          <w:tcPr>
            <w:tcW w:w="1204"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w:t>
            </w:r>
          </w:p>
        </w:tc>
        <w:tc>
          <w:tcPr>
            <w:tcW w:w="856"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地点</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msicli in msianalysisOfImmuneTestResults.clinicalTrialInformationStr%}</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msicli.clinical_trial_id}}</w:t>
            </w:r>
          </w:p>
        </w:tc>
        <w:tc>
          <w:tcPr>
            <w:tcW w:w="3884" w:type="dxa"/>
            <w:tcBorders>
              <w:top w:val="dotted" w:color="45A3A7" w:sz="4" w:space="0"/>
              <w:left w:val="dotted" w:color="45A3A7" w:sz="4" w:space="0"/>
              <w:bottom w:val="dotted" w:color="45A3A7" w:sz="4" w:space="0"/>
              <w:right w:val="dotted" w:color="45A3A7" w:sz="4" w:space="0"/>
            </w:tcBorders>
            <w:shd w:val="clear" w:color="auto" w:fill="auto"/>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msicli.title_chinese}}</w:t>
            </w:r>
          </w:p>
        </w:tc>
        <w:tc>
          <w:tcPr>
            <w:tcW w:w="1246"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msicli.condition_chinese}}</w:t>
            </w:r>
          </w:p>
        </w:tc>
        <w:tc>
          <w:tcPr>
            <w:tcW w:w="1035"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msicli.phase}}</w:t>
            </w:r>
          </w:p>
        </w:tc>
        <w:tc>
          <w:tcPr>
            <w:tcW w:w="1204"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msicli.drug_name_chinese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c>
          <w:tcPr>
            <w:tcW w:w="856"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msicli.location_chinese}}</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w:t>
            </w:r>
          </w:p>
        </w:tc>
      </w:tr>
    </w:tbl>
    <w:p>
      <w:pPr>
        <w:rPr>
          <w:rFonts w:ascii="Times New Roman" w:hAnsi="Times New Roman" w:eastAsia="微软雅黑" w:cs="Times New Roman"/>
          <w:b/>
          <w:sz w:val="18"/>
          <w:szCs w:val="18"/>
          <w:highlight w:val="none"/>
          <w:shd w:val="clear" w:color="auto" w:fill="FFFFFF"/>
        </w:rPr>
      </w:pPr>
      <w:r>
        <w:rPr>
          <w:rFonts w:ascii="Times New Roman" w:hAnsi="Times New Roman" w:eastAsia="微软雅黑" w:cs="Times New Roman"/>
          <w:b/>
          <w:sz w:val="18"/>
          <w:szCs w:val="18"/>
          <w:highlight w:val="none"/>
          <w:shd w:val="clear" w:color="auto" w:fill="FFFFFF"/>
          <w:lang w:eastAsia="zh-CN" w:bidi="ar"/>
        </w:rPr>
        <w:t xml:space="preserve"> </w:t>
      </w:r>
    </w:p>
    <w:p>
      <w:pPr>
        <w:rPr>
          <w:rFonts w:ascii="Times New Roman" w:hAnsi="Times New Roman" w:eastAsia="微软雅黑" w:cs="Times New Roman"/>
          <w:b/>
          <w:sz w:val="21"/>
          <w:szCs w:val="21"/>
          <w:highlight w:val="none"/>
          <w:lang w:eastAsia="zh-CN" w:bidi="ar"/>
        </w:rPr>
      </w:pPr>
      <w:r>
        <w:rPr>
          <w:rFonts w:hint="eastAsia" w:ascii="Times New Roman" w:hAnsi="Times New Roman" w:eastAsia="微软雅黑" w:cs="Times New Roman"/>
          <w:b/>
          <w:sz w:val="21"/>
          <w:szCs w:val="21"/>
          <w:highlight w:val="none"/>
          <w:lang w:eastAsia="zh-CN" w:bidi="ar"/>
        </w:rPr>
        <w:t>{% endif %}</w:t>
      </w:r>
      <w:r>
        <w:rPr>
          <w:rFonts w:hint="eastAsia" w:ascii="Times New Roman" w:hAnsi="Times New Roman" w:eastAsia="微软雅黑" w:cs="Times New Roman"/>
          <w:b/>
          <w:sz w:val="21"/>
          <w:szCs w:val="21"/>
          <w:highlight w:val="none"/>
          <w:lang w:eastAsia="zh-CN" w:bidi="ar"/>
        </w:rPr>
        <w:br w:type="page"/>
      </w:r>
    </w:p>
    <w:p>
      <w:pPr>
        <w:spacing w:before="26" w:after="120" w:afterLines="50"/>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 if isSingleSample == False %}</w:t>
      </w:r>
      <w:bookmarkStart w:id="526" w:name="_GoBack"/>
      <w:bookmarkEnd w:id="526"/>
      <w:r>
        <w:rPr>
          <w:rFonts w:hint="eastAsia" w:ascii="Times New Roman" w:hAnsi="Times New Roman" w:eastAsia="微软雅黑" w:cs="Times New Roman"/>
          <w:b/>
          <w:color w:val="45A3A7"/>
          <w:sz w:val="24"/>
          <w:szCs w:val="24"/>
          <w:highlight w:val="none"/>
          <w:lang w:val="en-US" w:eastAsia="zh-CN"/>
        </w:rPr>
        <w:t>{%</w:t>
      </w:r>
      <w:r>
        <w:rPr>
          <w:rFonts w:hint="eastAsia" w:ascii="Times New Roman" w:hAnsi="Times New Roman" w:eastAsia="微软雅黑" w:cs="Times New Roman"/>
          <w:b/>
          <w:color w:val="45A3A7"/>
          <w:sz w:val="24"/>
          <w:szCs w:val="24"/>
          <w:highlight w:val="none"/>
          <w:lang w:eastAsia="zh-CN"/>
        </w:rPr>
        <w:t>if</w:t>
      </w:r>
      <w:r>
        <w:rPr>
          <w:rFonts w:hint="eastAsia" w:ascii="Times New Roman" w:hAnsi="Times New Roman" w:eastAsia="微软雅黑" w:cs="Times New Roman"/>
          <w:b/>
          <w:color w:val="45A3A7"/>
          <w:sz w:val="24"/>
          <w:szCs w:val="24"/>
          <w:highlight w:val="none"/>
          <w:lang w:val="en-US" w:eastAsia="zh-CN"/>
        </w:rPr>
        <w:t xml:space="preserve"> </w:t>
      </w:r>
      <w:r>
        <w:rPr>
          <w:rFonts w:hint="eastAsia" w:ascii="Times New Roman" w:hAnsi="Times New Roman" w:eastAsia="微软雅黑" w:cs="Times New Roman"/>
          <w:b/>
          <w:color w:val="45A3A7"/>
          <w:sz w:val="24"/>
          <w:szCs w:val="24"/>
          <w:highlight w:val="none"/>
          <w:lang w:eastAsia="zh-CN"/>
        </w:rPr>
        <w:t>summaryOfRresults.positiveImmnue</w:t>
      </w:r>
      <w:r>
        <w:rPr>
          <w:rFonts w:hint="eastAsia" w:ascii="Times New Roman" w:hAnsi="Times New Roman" w:eastAsia="微软雅黑" w:cs="Times New Roman"/>
          <w:b/>
          <w:color w:val="45A3A7"/>
          <w:sz w:val="24"/>
          <w:szCs w:val="24"/>
          <w:highlight w:val="none"/>
          <w:lang w:val="en-US" w:eastAsia="zh-CN"/>
        </w:rPr>
        <w:t>Num != 0%}</w:t>
      </w:r>
      <w:r>
        <w:rPr>
          <w:rFonts w:hint="eastAsia" w:ascii="Times New Roman" w:hAnsi="Times New Roman" w:eastAsia="微软雅黑" w:cs="Times New Roman"/>
          <w:b/>
          <w:color w:val="45A3A7"/>
          <w:sz w:val="24"/>
          <w:szCs w:val="24"/>
          <w:highlight w:val="none"/>
          <w:lang w:eastAsia="zh-CN"/>
        </w:rPr>
        <w:t>{%if positiveImmnue!= [] %}</w:t>
      </w:r>
      <w:r>
        <w:rPr>
          <w:rFonts w:ascii="Times New Roman" w:hAnsi="Times New Roman" w:eastAsia="微软雅黑" w:cs="Times New Roman"/>
          <w:b/>
          <w:color w:val="45A3A7"/>
          <w:sz w:val="24"/>
          <w:highlight w:val="none"/>
          <w:lang w:eastAsia="zh-CN"/>
        </w:rPr>
        <w:t>免疫正相关基因检测结果解析</w:t>
      </w:r>
      <w:r>
        <w:rPr>
          <w:rFonts w:hint="eastAsia" w:ascii="Times New Roman" w:hAnsi="Times New Roman" w:eastAsia="微软雅黑" w:cs="Times New Roman"/>
          <w:b/>
          <w:color w:val="45A3A7"/>
          <w:sz w:val="20"/>
          <w:szCs w:val="20"/>
          <w:highlight w:val="none"/>
          <w:lang w:eastAsia="zh-CN"/>
        </w:rPr>
        <w:t xml:space="preserve">{% for tdd in positiveImmnue %}{% </w:t>
      </w:r>
      <w:r>
        <w:rPr>
          <w:rFonts w:hint="eastAsia" w:ascii="Times New Roman" w:hAnsi="Times New Roman" w:eastAsia="微软雅黑" w:cs="Times New Roman"/>
          <w:b/>
          <w:color w:val="45A3A7"/>
          <w:sz w:val="20"/>
          <w:szCs w:val="20"/>
          <w:highlight w:val="none"/>
          <w:lang w:val="en-US" w:eastAsia="zh-CN"/>
        </w:rPr>
        <w:t xml:space="preserve">if </w:t>
      </w:r>
      <w:r>
        <w:rPr>
          <w:rFonts w:hint="eastAsia" w:ascii="Times New Roman" w:hAnsi="Times New Roman" w:eastAsia="微软雅黑" w:cs="Times New Roman"/>
          <w:b/>
          <w:color w:val="45A3A7"/>
          <w:sz w:val="20"/>
          <w:szCs w:val="20"/>
          <w:highlight w:val="none"/>
          <w:lang w:eastAsia="zh-CN"/>
        </w:rPr>
        <w:t>tdd</w:t>
      </w:r>
      <w:r>
        <w:rPr>
          <w:rFonts w:hint="eastAsia"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varDesc</w:t>
      </w:r>
      <w:r>
        <w:rPr>
          <w:rFonts w:hint="eastAsia" w:ascii="Times New Roman" w:hAnsi="Times New Roman" w:eastAsia="微软雅黑" w:cs="Times New Roman"/>
          <w:b/>
          <w:color w:val="45A3A7"/>
          <w:sz w:val="20"/>
          <w:szCs w:val="20"/>
          <w:highlight w:val="none"/>
          <w:lang w:val="en-US" w:eastAsia="zh-CN"/>
        </w:rPr>
        <w:t xml:space="preserve"> !=</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val="en-US" w:eastAsia="zh-CN"/>
        </w:rPr>
        <w:t>/</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 xml:space="preserve"> %}</w:t>
      </w:r>
    </w:p>
    <w:p>
      <w:pPr>
        <w:keepNext/>
        <w:spacing w:before="240" w:beforeLines="100" w:line="360" w:lineRule="auto"/>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tdd.gene }}</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循证医学证据</w:t>
            </w:r>
          </w:p>
        </w:tc>
        <w:tc>
          <w:tcPr>
            <w:tcW w:w="8247" w:type="dxa"/>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b/>
                <w:bCs/>
                <w:sz w:val="18"/>
                <w:szCs w:val="18"/>
                <w:highlight w:val="none"/>
                <w:lang w:eastAsia="zh-CN"/>
              </w:rPr>
              <w:t>免疫正相关说明:</w:t>
            </w:r>
            <w:r>
              <w:rPr>
                <w:rFonts w:hint="eastAsia" w:ascii="Times New Roman" w:hAnsi="Times New Roman" w:eastAsia="微软雅黑" w:cs="Times New Roman"/>
                <w:bCs/>
                <w:sz w:val="18"/>
                <w:szCs w:val="18"/>
                <w:highlight w:val="none"/>
                <w:lang w:eastAsia="zh-CN"/>
              </w:rPr>
              <w:t>{{ tdd.varDesc</w:t>
            </w:r>
            <w:r>
              <w:rPr>
                <w:rFonts w:hint="eastAsia" w:ascii="Times New Roman" w:hAnsi="Times New Roman" w:eastAsia="微软雅黑" w:cs="Times New Roman"/>
                <w:bCs/>
                <w:sz w:val="18"/>
                <w:szCs w:val="18"/>
                <w:highlight w:val="none"/>
                <w:lang w:val="en-US" w:eastAsia="zh-CN"/>
              </w:rPr>
              <w:t xml:space="preserve"> </w:t>
            </w:r>
            <w:r>
              <w:rPr>
                <w:rFonts w:hint="eastAsia" w:ascii="Times New Roman" w:hAnsi="Times New Roman" w:eastAsia="微软雅黑" w:cs="Times New Roman"/>
                <w:bCs/>
                <w:sz w:val="18"/>
                <w:szCs w:val="18"/>
                <w:highlight w:val="none"/>
                <w:lang w:eastAsia="zh-CN"/>
              </w:rPr>
              <w:t>}}</w:t>
            </w:r>
          </w:p>
        </w:tc>
      </w:tr>
    </w:tbl>
    <w:p>
      <w:pPr>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4"/>
          <w:szCs w:val="24"/>
          <w:highlight w:val="none"/>
          <w:lang w:eastAsia="zh-CN"/>
        </w:rPr>
        <w:t>{% endif %}{% endfor %}{% endif %}</w:t>
      </w:r>
      <w:r>
        <w:rPr>
          <w:rFonts w:ascii="微软雅黑" w:hAnsi="微软雅黑" w:eastAsia="微软雅黑" w:cs="微软雅黑"/>
          <w:b/>
          <w:color w:val="45A3A7"/>
          <w:sz w:val="24"/>
          <w:szCs w:val="24"/>
          <w:highlight w:val="none"/>
          <w:lang w:eastAsia="zh-CN" w:bidi="ar"/>
        </w:rPr>
        <w:br w:type="page"/>
      </w:r>
      <w:r>
        <w:rPr>
          <w:rFonts w:hint="eastAsia" w:ascii="Times New Roman" w:hAnsi="Times New Roman" w:eastAsia="微软雅黑" w:cs="Times New Roman"/>
          <w:b/>
          <w:color w:val="45A3A7"/>
          <w:sz w:val="24"/>
          <w:szCs w:val="24"/>
          <w:highlight w:val="none"/>
          <w:lang w:eastAsia="zh-CN"/>
        </w:rPr>
        <w:t>{% endif %}</w:t>
      </w:r>
      <w:r>
        <w:rPr>
          <w:rFonts w:hint="eastAsia" w:ascii="Times New Roman" w:hAnsi="Times New Roman" w:eastAsia="微软雅黑" w:cs="Times New Roman"/>
          <w:b/>
          <w:color w:val="45A3A7"/>
          <w:sz w:val="24"/>
          <w:szCs w:val="24"/>
          <w:highlight w:val="none"/>
          <w:lang w:val="en-US" w:eastAsia="zh-CN"/>
        </w:rPr>
        <w:t>{%if summaryOfRresults.negativeImmnueNum != 0%}</w:t>
      </w:r>
      <w:r>
        <w:rPr>
          <w:rFonts w:hint="eastAsia" w:ascii="Times New Roman" w:hAnsi="Times New Roman" w:eastAsia="微软雅黑" w:cs="Times New Roman"/>
          <w:b/>
          <w:color w:val="45A3A7"/>
          <w:sz w:val="24"/>
          <w:szCs w:val="24"/>
          <w:highlight w:val="none"/>
          <w:lang w:eastAsia="zh-CN"/>
        </w:rPr>
        <w:t>{%if negativeImmnue!= [] %}</w:t>
      </w:r>
      <w:r>
        <w:rPr>
          <w:rFonts w:ascii="Times New Roman" w:hAnsi="Times New Roman" w:eastAsia="微软雅黑" w:cs="Times New Roman"/>
          <w:b/>
          <w:color w:val="45A3A7"/>
          <w:sz w:val="24"/>
          <w:highlight w:val="none"/>
          <w:lang w:eastAsia="zh-CN"/>
        </w:rPr>
        <w:t>免疫</w:t>
      </w:r>
      <w:r>
        <w:rPr>
          <w:rFonts w:hint="eastAsia" w:ascii="Times New Roman" w:hAnsi="Times New Roman" w:eastAsia="微软雅黑" w:cs="Times New Roman"/>
          <w:b/>
          <w:color w:val="45A3A7"/>
          <w:sz w:val="24"/>
          <w:highlight w:val="none"/>
          <w:lang w:eastAsia="zh-CN"/>
        </w:rPr>
        <w:t>负</w:t>
      </w:r>
      <w:r>
        <w:rPr>
          <w:rFonts w:ascii="Times New Roman" w:hAnsi="Times New Roman" w:eastAsia="微软雅黑" w:cs="Times New Roman"/>
          <w:b/>
          <w:color w:val="45A3A7"/>
          <w:sz w:val="24"/>
          <w:highlight w:val="none"/>
          <w:lang w:eastAsia="zh-CN"/>
        </w:rPr>
        <w:t>相关基因检测结果解析</w:t>
      </w:r>
      <w:r>
        <w:rPr>
          <w:rFonts w:hint="eastAsia" w:ascii="Times New Roman" w:hAnsi="Times New Roman" w:eastAsia="微软雅黑" w:cs="Times New Roman"/>
          <w:b/>
          <w:color w:val="45A3A7"/>
          <w:sz w:val="20"/>
          <w:szCs w:val="20"/>
          <w:highlight w:val="none"/>
          <w:lang w:eastAsia="zh-CN"/>
        </w:rPr>
        <w:t xml:space="preserve">{% for tdd in negativeImmnue%}{% </w:t>
      </w:r>
      <w:r>
        <w:rPr>
          <w:rFonts w:hint="eastAsia" w:ascii="Times New Roman" w:hAnsi="Times New Roman" w:eastAsia="微软雅黑" w:cs="Times New Roman"/>
          <w:b/>
          <w:color w:val="45A3A7"/>
          <w:sz w:val="20"/>
          <w:szCs w:val="20"/>
          <w:highlight w:val="none"/>
          <w:lang w:val="en-US" w:eastAsia="zh-CN"/>
        </w:rPr>
        <w:t xml:space="preserve">if </w:t>
      </w:r>
      <w:r>
        <w:rPr>
          <w:rFonts w:hint="eastAsia" w:ascii="Times New Roman" w:hAnsi="Times New Roman" w:eastAsia="微软雅黑" w:cs="Times New Roman"/>
          <w:b/>
          <w:color w:val="45A3A7"/>
          <w:sz w:val="20"/>
          <w:szCs w:val="20"/>
          <w:highlight w:val="none"/>
          <w:lang w:eastAsia="zh-CN"/>
        </w:rPr>
        <w:t>tdd</w:t>
      </w:r>
      <w:r>
        <w:rPr>
          <w:rFonts w:hint="eastAsia"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varDesc</w:t>
      </w:r>
      <w:r>
        <w:rPr>
          <w:rFonts w:hint="eastAsia" w:ascii="Times New Roman" w:hAnsi="Times New Roman" w:eastAsia="微软雅黑" w:cs="Times New Roman"/>
          <w:b/>
          <w:color w:val="45A3A7"/>
          <w:sz w:val="20"/>
          <w:szCs w:val="20"/>
          <w:highlight w:val="none"/>
          <w:lang w:val="en-US" w:eastAsia="zh-CN"/>
        </w:rPr>
        <w:t xml:space="preserve"> !=</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val="en-US" w:eastAsia="zh-CN"/>
        </w:rPr>
        <w:t>/</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 xml:space="preserve"> %}</w:t>
      </w:r>
    </w:p>
    <w:p>
      <w:pPr>
        <w:keepNext/>
        <w:spacing w:before="240" w:beforeLines="100" w:line="360" w:lineRule="auto"/>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tdd.gene }}</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循证医学证据</w:t>
            </w:r>
          </w:p>
        </w:tc>
        <w:tc>
          <w:tcPr>
            <w:tcW w:w="8247" w:type="dxa"/>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b/>
                <w:bCs/>
                <w:sz w:val="18"/>
                <w:szCs w:val="18"/>
                <w:highlight w:val="none"/>
                <w:lang w:eastAsia="zh-CN"/>
              </w:rPr>
              <w:t>免疫负相关说明:</w:t>
            </w:r>
            <w:r>
              <w:rPr>
                <w:rFonts w:hint="eastAsia" w:ascii="Times New Roman" w:hAnsi="Times New Roman" w:eastAsia="微软雅黑" w:cs="Times New Roman"/>
                <w:bCs/>
                <w:sz w:val="18"/>
                <w:szCs w:val="18"/>
                <w:highlight w:val="none"/>
                <w:lang w:eastAsia="zh-CN"/>
              </w:rPr>
              <w:t>{{ tdd.varDesc</w:t>
            </w:r>
            <w:r>
              <w:rPr>
                <w:rFonts w:hint="eastAsia" w:ascii="Times New Roman" w:hAnsi="Times New Roman" w:eastAsia="微软雅黑" w:cs="Times New Roman"/>
                <w:bCs/>
                <w:sz w:val="18"/>
                <w:szCs w:val="18"/>
                <w:highlight w:val="none"/>
                <w:lang w:val="en-US" w:eastAsia="zh-CN"/>
              </w:rPr>
              <w:t xml:space="preserve"> </w:t>
            </w:r>
            <w:r>
              <w:rPr>
                <w:rFonts w:hint="eastAsia" w:ascii="Times New Roman" w:hAnsi="Times New Roman" w:eastAsia="微软雅黑" w:cs="Times New Roman"/>
                <w:bCs/>
                <w:sz w:val="18"/>
                <w:szCs w:val="18"/>
                <w:highlight w:val="none"/>
                <w:lang w:eastAsia="zh-CN"/>
              </w:rPr>
              <w:t>}}</w:t>
            </w:r>
          </w:p>
        </w:tc>
      </w:tr>
    </w:tbl>
    <w:p>
      <w:pPr>
        <w:rPr>
          <w:rFonts w:hint="eastAsia" w:ascii="Times New Roman" w:hAnsi="Times New Roman" w:eastAsia="微软雅黑" w:cs="Times New Roman"/>
          <w:b/>
          <w:color w:val="45A3A7"/>
          <w:sz w:val="24"/>
          <w:szCs w:val="24"/>
          <w:highlight w:val="none"/>
          <w:lang w:eastAsia="zh-CN"/>
        </w:rPr>
      </w:pPr>
      <w:r>
        <w:rPr>
          <w:rFonts w:hint="eastAsia" w:ascii="Times New Roman" w:hAnsi="Times New Roman" w:eastAsia="微软雅黑" w:cs="Times New Roman"/>
          <w:b/>
          <w:color w:val="45A3A7"/>
          <w:sz w:val="24"/>
          <w:szCs w:val="24"/>
          <w:highlight w:val="none"/>
          <w:lang w:eastAsia="zh-CN"/>
        </w:rPr>
        <w:t>{% endif %}{% endfor %}{% endif %}</w:t>
      </w:r>
      <w:r>
        <w:rPr>
          <w:highlight w:val="none"/>
        </w:rPr>
        <w:br w:type="page"/>
      </w:r>
      <w:r>
        <w:rPr>
          <w:rFonts w:hint="eastAsia" w:ascii="Times New Roman" w:hAnsi="Times New Roman" w:eastAsia="微软雅黑" w:cs="Times New Roman"/>
          <w:b/>
          <w:color w:val="45A3A7"/>
          <w:sz w:val="24"/>
          <w:szCs w:val="24"/>
          <w:highlight w:val="none"/>
          <w:lang w:eastAsia="zh-CN"/>
        </w:rPr>
        <w:t>{% endif %}{% endif %}</w:t>
      </w:r>
      <w:r>
        <w:rPr>
          <w:rFonts w:hint="eastAsia" w:ascii="Times New Roman" w:hAnsi="Times New Roman" w:eastAsia="微软雅黑" w:cs="Times New Roman"/>
          <w:sz w:val="18"/>
          <w:highlight w:val="none"/>
          <w:lang w:eastAsia="zh-CN"/>
        </w:rPr>
        <w:t xml:space="preserve">{% if isSingleSample == False %}{% if crAnalysisIndex == </w:t>
      </w:r>
      <w:r>
        <w:rPr>
          <w:rFonts w:ascii="Times New Roman" w:hAnsi="Times New Roman" w:eastAsia="微软雅黑" w:cs="Times New Roman"/>
          <w:sz w:val="18"/>
          <w:highlight w:val="none"/>
          <w:lang w:eastAsia="zh-CN"/>
        </w:rPr>
        <w:t>‘</w:t>
      </w:r>
      <w:r>
        <w:rPr>
          <w:rFonts w:hint="eastAsia" w:ascii="Times New Roman" w:hAnsi="Times New Roman" w:eastAsia="微软雅黑" w:cs="Times New Roman"/>
          <w:sz w:val="18"/>
          <w:highlight w:val="none"/>
          <w:lang w:eastAsia="zh-CN"/>
        </w:rPr>
        <w:t>true</w:t>
      </w:r>
      <w:r>
        <w:rPr>
          <w:rFonts w:ascii="Times New Roman" w:hAnsi="Times New Roman" w:eastAsia="微软雅黑" w:cs="Times New Roman"/>
          <w:sz w:val="18"/>
          <w:highlight w:val="none"/>
          <w:lang w:eastAsia="zh-CN"/>
        </w:rPr>
        <w:t>’</w:t>
      </w:r>
      <w:r>
        <w:rPr>
          <w:rFonts w:hint="eastAsia" w:ascii="Times New Roman" w:hAnsi="Times New Roman" w:eastAsia="微软雅黑" w:cs="Times New Roman"/>
          <w:sz w:val="18"/>
          <w:highlight w:val="none"/>
          <w:lang w:eastAsia="zh-CN"/>
        </w:rPr>
        <w:t xml:space="preserve"> %}</w:t>
      </w:r>
    </w:p>
    <w:p>
      <w:pPr>
        <w:pStyle w:val="21"/>
        <w:rPr>
          <w:highlight w:val="none"/>
        </w:rPr>
      </w:pPr>
      <w:bookmarkStart w:id="62" w:name="_Toc15840_WPSOffice_Level2"/>
      <w:bookmarkStart w:id="63" w:name="_Toc6194"/>
      <w:bookmarkStart w:id="64" w:name="_Toc24085_WPSOffice_Level2"/>
      <w:r>
        <w:rPr>
          <w:rFonts w:hint="eastAsia"/>
          <w:highlight w:val="none"/>
        </w:rPr>
        <w:t>遗传变异检测解析</w:t>
      </w:r>
      <w:bookmarkEnd w:id="62"/>
      <w:bookmarkEnd w:id="63"/>
      <w:bookmarkEnd w:id="64"/>
    </w:p>
    <w:p>
      <w:pPr>
        <w:jc w:val="both"/>
        <w:rPr>
          <w:rFonts w:ascii="Times New Roman" w:hAnsi="Times New Roman" w:eastAsia="微软雅黑" w:cs="Times New Roman"/>
          <w:sz w:val="24"/>
          <w:szCs w:val="24"/>
          <w:highlight w:val="none"/>
          <w:lang w:eastAsia="zh-CN"/>
        </w:rPr>
      </w:pPr>
    </w:p>
    <w:p>
      <w:pPr>
        <w:pStyle w:val="22"/>
        <w:rPr>
          <w:highlight w:val="none"/>
        </w:rPr>
      </w:pPr>
      <w:r>
        <w:rPr>
          <w:rFonts w:hint="eastAsia"/>
          <w:highlight w:val="none"/>
        </w:rPr>
        <w:t>遗传风险相关基因检测结果解析{% for genetic in geneticCancerRiskInfo%}</w:t>
      </w:r>
    </w:p>
    <w:p>
      <w:pPr>
        <w:spacing w:before="240" w:beforeLines="100" w:line="360" w:lineRule="auto"/>
        <w:rPr>
          <w:rFonts w:hint="eastAsia" w:ascii="Times New Roman" w:hAnsi="Times New Roman" w:eastAsia="微软雅黑" w:cs="Times New Roman"/>
          <w:b/>
          <w:color w:val="45A3A7"/>
          <w:sz w:val="20"/>
          <w:szCs w:val="20"/>
          <w:highlight w:val="none"/>
          <w:lang w:val="en-US" w:eastAsia="zh-CN" w:bidi="ar-SA"/>
        </w:rPr>
      </w:pPr>
      <w:r>
        <w:rPr>
          <w:rFonts w:hint="eastAsia" w:ascii="Times New Roman" w:hAnsi="Times New Roman" w:eastAsia="微软雅黑" w:cs="Times New Roman"/>
          <w:b/>
          <w:color w:val="45A3A7"/>
          <w:sz w:val="20"/>
          <w:szCs w:val="20"/>
          <w:highlight w:val="none"/>
          <w:lang w:val="en-US" w:eastAsia="zh-CN" w:bidi="ar-SA"/>
        </w:rPr>
        <w:t>{{ genetic.Gene }}</w:t>
      </w:r>
    </w:p>
    <w:tbl>
      <w:tblPr>
        <w:tblStyle w:val="12"/>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31" w:hRule="atLeast"/>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027" w:type="dxa"/>
            <w:vAlign w:val="center"/>
          </w:tcPr>
          <w:p>
            <w:p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genetic.FreDesc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突变说明</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genetic.mutDesc}}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基因说明</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genetic.GeneDesc}}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变异解析</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genetic.VarClianno}}</w:t>
            </w:r>
          </w:p>
        </w:tc>
      </w:tr>
    </w:tbl>
    <w:p>
      <w:pPr>
        <w:pStyle w:val="22"/>
        <w:rPr>
          <w:sz w:val="16"/>
          <w:highlight w:val="none"/>
        </w:rPr>
      </w:pPr>
      <w:r>
        <w:rPr>
          <w:rFonts w:hint="eastAsia"/>
          <w:sz w:val="20"/>
          <w:szCs w:val="20"/>
          <w:highlight w:val="none"/>
        </w:rPr>
        <w:t>{% endfor %}</w:t>
      </w:r>
    </w:p>
    <w:p>
      <w:pPr>
        <w:pStyle w:val="22"/>
        <w:rPr>
          <w:sz w:val="16"/>
          <w:highlight w:val="none"/>
        </w:rPr>
      </w:pPr>
      <w:r>
        <w:rPr>
          <w:sz w:val="16"/>
          <w:highlight w:val="none"/>
        </w:rPr>
        <w:br w:type="page"/>
      </w:r>
    </w:p>
    <w:p>
      <w:pPr>
        <w:pStyle w:val="22"/>
        <w:rPr>
          <w:sz w:val="16"/>
          <w:highlight w:val="none"/>
        </w:rPr>
      </w:pPr>
      <w:r>
        <w:rPr>
          <w:rFonts w:hint="eastAsia"/>
          <w:sz w:val="16"/>
          <w:highlight w:val="none"/>
        </w:rPr>
        <w:t>{% endif %}{% endif %}</w:t>
      </w:r>
    </w:p>
    <w:p>
      <w:pPr>
        <w:pStyle w:val="21"/>
        <w:rPr>
          <w:highlight w:val="none"/>
        </w:rPr>
      </w:pPr>
      <w:bookmarkStart w:id="65" w:name="_Toc12502"/>
      <w:bookmarkStart w:id="66" w:name="_Toc21764_WPSOffice_Level2"/>
      <w:bookmarkStart w:id="67" w:name="_Toc16347"/>
      <w:bookmarkStart w:id="68" w:name="_Toc26649"/>
      <w:bookmarkStart w:id="69" w:name="_Toc1707_WPSOffice_Level2"/>
      <w:r>
        <w:rPr>
          <w:highlight w:val="none"/>
        </w:rPr>
        <w:t>化疗药物检测解析</w:t>
      </w:r>
      <w:bookmarkEnd w:id="65"/>
      <w:bookmarkEnd w:id="66"/>
      <w:bookmarkEnd w:id="67"/>
      <w:bookmarkEnd w:id="68"/>
      <w:bookmarkEnd w:id="69"/>
    </w:p>
    <w:p>
      <w:pPr>
        <w:spacing w:before="26" w:after="120" w:afterLines="50"/>
        <w:rPr>
          <w:highlight w:val="none"/>
        </w:rPr>
      </w:pPr>
      <w:r>
        <w:rPr>
          <w:rFonts w:ascii="Times New Roman" w:hAnsi="Times New Roman" w:eastAsia="微软雅黑" w:cs="Times New Roman"/>
          <w:b/>
          <w:color w:val="45A3A7"/>
          <w:sz w:val="24"/>
          <w:highlight w:val="none"/>
          <w:lang w:eastAsia="zh-CN"/>
        </w:rPr>
        <w:t>化疗药物用药提示</w:t>
      </w:r>
    </w:p>
    <w:tbl>
      <w:tblPr>
        <w:tblStyle w:val="28"/>
        <w:tblW w:w="9736" w:type="dxa"/>
        <w:jc w:val="center"/>
        <w:tblBorders>
          <w:top w:val="single" w:color="069698" w:sz="2" w:space="0"/>
          <w:left w:val="single" w:color="069698" w:sz="2" w:space="0"/>
          <w:bottom w:val="single" w:color="069698" w:sz="4" w:space="0"/>
          <w:right w:val="single" w:color="069698" w:sz="2" w:space="0"/>
          <w:insideH w:val="single" w:color="069698" w:sz="2" w:space="0"/>
          <w:insideV w:val="single" w:color="069698" w:sz="2" w:space="0"/>
        </w:tblBorders>
        <w:tblLayout w:type="fixed"/>
        <w:tblCellMar>
          <w:top w:w="0" w:type="dxa"/>
          <w:left w:w="108" w:type="dxa"/>
          <w:bottom w:w="0" w:type="dxa"/>
          <w:right w:w="108" w:type="dxa"/>
        </w:tblCellMar>
      </w:tblPr>
      <w:tblGrid>
        <w:gridCol w:w="3246"/>
        <w:gridCol w:w="3245"/>
        <w:gridCol w:w="3245"/>
      </w:tblGrid>
      <w:tr>
        <w:tblPrEx>
          <w:tblBorders>
            <w:top w:val="single" w:color="069698" w:sz="2" w:space="0"/>
            <w:left w:val="single" w:color="069698" w:sz="2" w:space="0"/>
            <w:bottom w:val="single" w:color="069698" w:sz="4" w:space="0"/>
            <w:right w:val="single" w:color="069698" w:sz="2" w:space="0"/>
            <w:insideH w:val="single" w:color="069698" w:sz="2" w:space="0"/>
            <w:insideV w:val="single" w:color="069698" w:sz="2" w:space="0"/>
          </w:tblBorders>
          <w:tblCellMar>
            <w:top w:w="0" w:type="dxa"/>
            <w:left w:w="108" w:type="dxa"/>
            <w:bottom w:w="0" w:type="dxa"/>
            <w:right w:w="108" w:type="dxa"/>
          </w:tblCellMar>
        </w:tblPrEx>
        <w:trPr>
          <w:cantSplit/>
          <w:trHeight w:val="397" w:hRule="atLeast"/>
          <w:jc w:val="center"/>
        </w:trPr>
        <w:tc>
          <w:tcPr>
            <w:tcW w:w="9736" w:type="dxa"/>
            <w:gridSpan w:val="3"/>
            <w:tcBorders>
              <w:tl2br w:val="nil"/>
              <w:tr2bl w:val="nil"/>
            </w:tcBorders>
            <w:shd w:val="clear" w:color="auto" w:fill="auto"/>
            <w:vAlign w:val="center"/>
          </w:tcPr>
          <w:p>
            <w:pPr>
              <w:spacing w:before="24" w:beforeLines="10" w:line="206" w:lineRule="exact"/>
              <w:jc w:val="center"/>
              <w:rPr>
                <w:rFonts w:ascii="Times New Roman" w:hAnsi="Times New Roman" w:eastAsia="微软雅黑" w:cs="Times New Roman"/>
                <w:b/>
                <w:color w:val="45A3A7"/>
                <w:sz w:val="21"/>
                <w:szCs w:val="21"/>
                <w:highlight w:val="none"/>
                <w:lang w:eastAsia="zh-CN" w:bidi="ar"/>
              </w:rPr>
            </w:pPr>
            <w:r>
              <w:rPr>
                <w:rFonts w:hint="eastAsia" w:ascii="Times New Roman" w:hAnsi="Times New Roman" w:eastAsia="微软雅黑" w:cs="Times New Roman"/>
                <w:b/>
                <w:color w:val="45A3A7"/>
                <w:sz w:val="21"/>
                <w:szCs w:val="21"/>
                <w:highlight w:val="none"/>
                <w:lang w:eastAsia="zh-CN" w:bidi="ar"/>
              </w:rPr>
              <w:t>{%tr for chemo in chemoSideeffectsEffectivenessStr%}</w:t>
            </w:r>
          </w:p>
        </w:tc>
      </w:tr>
      <w:tr>
        <w:tblPrEx>
          <w:tblBorders>
            <w:top w:val="single" w:color="069698" w:sz="2" w:space="0"/>
            <w:left w:val="single" w:color="069698" w:sz="2" w:space="0"/>
            <w:bottom w:val="single" w:color="069698" w:sz="4" w:space="0"/>
            <w:right w:val="single" w:color="069698" w:sz="2" w:space="0"/>
            <w:insideH w:val="single" w:color="069698" w:sz="2" w:space="0"/>
            <w:insideV w:val="single" w:color="069698" w:sz="2" w:space="0"/>
          </w:tblBorders>
          <w:tblCellMar>
            <w:top w:w="0" w:type="dxa"/>
            <w:left w:w="108" w:type="dxa"/>
            <w:bottom w:w="0" w:type="dxa"/>
            <w:right w:w="108" w:type="dxa"/>
          </w:tblCellMar>
        </w:tblPrEx>
        <w:trPr>
          <w:cantSplit/>
          <w:trHeight w:val="397" w:hRule="atLeast"/>
          <w:jc w:val="center"/>
        </w:trPr>
        <w:tc>
          <w:tcPr>
            <w:tcW w:w="9736" w:type="dxa"/>
            <w:gridSpan w:val="3"/>
            <w:tcBorders>
              <w:tl2br w:val="nil"/>
              <w:tr2bl w:val="nil"/>
            </w:tcBorders>
            <w:shd w:val="clear" w:color="auto" w:fill="auto"/>
            <w:vAlign w:val="center"/>
          </w:tcPr>
          <w:p>
            <w:pPr>
              <w:spacing w:before="24" w:beforeLines="10" w:line="206" w:lineRule="exact"/>
              <w:jc w:val="center"/>
              <w:rPr>
                <w:rFonts w:ascii="Times New Roman" w:hAnsi="Times New Roman" w:eastAsia="微软雅黑" w:cs="Times New Roman"/>
                <w:b/>
                <w:color w:val="45A3A7"/>
                <w:sz w:val="21"/>
                <w:szCs w:val="21"/>
                <w:highlight w:val="none"/>
                <w:lang w:eastAsia="zh-CN" w:bidi="ar"/>
              </w:rPr>
            </w:pPr>
            <w:r>
              <w:rPr>
                <w:rFonts w:hint="eastAsia" w:ascii="Times New Roman" w:hAnsi="Times New Roman" w:eastAsia="微软雅黑" w:cs="Times New Roman"/>
                <w:b/>
                <w:color w:val="45A3A7"/>
                <w:sz w:val="21"/>
                <w:szCs w:val="21"/>
                <w:highlight w:val="none"/>
                <w:lang w:eastAsia="zh-CN" w:bidi="ar"/>
              </w:rPr>
              <w:t>{%tr if chemo .isTitle%}</w:t>
            </w:r>
          </w:p>
        </w:tc>
      </w:tr>
      <w:tr>
        <w:tblPrEx>
          <w:tblBorders>
            <w:top w:val="single" w:color="069698" w:sz="2" w:space="0"/>
            <w:left w:val="single" w:color="069698" w:sz="2" w:space="0"/>
            <w:bottom w:val="single" w:color="069698" w:sz="4" w:space="0"/>
            <w:right w:val="single" w:color="069698" w:sz="2" w:space="0"/>
            <w:insideH w:val="single" w:color="069698" w:sz="2" w:space="0"/>
            <w:insideV w:val="single" w:color="069698" w:sz="2" w:space="0"/>
          </w:tblBorders>
          <w:tblCellMar>
            <w:top w:w="0" w:type="dxa"/>
            <w:left w:w="108" w:type="dxa"/>
            <w:bottom w:w="0" w:type="dxa"/>
            <w:right w:w="108" w:type="dxa"/>
          </w:tblCellMar>
        </w:tblPrEx>
        <w:trPr>
          <w:cantSplit/>
          <w:trHeight w:val="397" w:hRule="atLeast"/>
          <w:jc w:val="center"/>
        </w:trPr>
        <w:tc>
          <w:tcPr>
            <w:tcW w:w="3246" w:type="dxa"/>
            <w:tcBorders>
              <w:tl2br w:val="nil"/>
              <w:tr2bl w:val="nil"/>
            </w:tcBorders>
            <w:shd w:val="clear" w:color="auto" w:fill="auto"/>
            <w:vAlign w:val="center"/>
          </w:tcPr>
          <w:p>
            <w:pPr>
              <w:spacing w:before="24" w:beforeLines="10" w:line="206" w:lineRule="exact"/>
              <w:jc w:val="center"/>
              <w:rPr>
                <w:rFonts w:ascii="Times New Roman" w:hAnsi="Times New Roman" w:eastAsia="微软雅黑" w:cs="Times New Roman"/>
                <w:b/>
                <w:color w:val="45A3A7"/>
                <w:sz w:val="21"/>
                <w:szCs w:val="21"/>
                <w:highlight w:val="none"/>
              </w:rPr>
            </w:pPr>
            <w:r>
              <w:rPr>
                <w:rFonts w:hint="eastAsia" w:ascii="Times New Roman" w:hAnsi="Times New Roman" w:eastAsia="微软雅黑" w:cs="Times New Roman"/>
                <w:b/>
                <w:color w:val="45A3A7"/>
                <w:sz w:val="21"/>
                <w:szCs w:val="21"/>
                <w:highlight w:val="none"/>
                <w:lang w:eastAsia="zh-CN" w:bidi="ar"/>
              </w:rPr>
              <w:t>{{ chemo.content1 }}</w:t>
            </w:r>
          </w:p>
        </w:tc>
        <w:tc>
          <w:tcPr>
            <w:tcW w:w="3245" w:type="dxa"/>
            <w:tcBorders>
              <w:tl2br w:val="nil"/>
              <w:tr2bl w:val="nil"/>
            </w:tcBorders>
            <w:shd w:val="clear" w:color="auto" w:fill="auto"/>
            <w:vAlign w:val="center"/>
          </w:tcPr>
          <w:p>
            <w:pPr>
              <w:spacing w:before="24" w:beforeLines="10" w:line="206" w:lineRule="exact"/>
              <w:jc w:val="center"/>
              <w:rPr>
                <w:rFonts w:ascii="Times New Roman" w:hAnsi="Times New Roman" w:eastAsia="微软雅黑" w:cs="Times New Roman"/>
                <w:b/>
                <w:color w:val="45A3A7"/>
                <w:sz w:val="21"/>
                <w:szCs w:val="21"/>
                <w:highlight w:val="none"/>
              </w:rPr>
            </w:pPr>
            <w:r>
              <w:rPr>
                <w:rFonts w:hint="eastAsia" w:ascii="Times New Roman" w:hAnsi="Times New Roman" w:eastAsia="微软雅黑" w:cs="Times New Roman"/>
                <w:b/>
                <w:color w:val="45A3A7"/>
                <w:sz w:val="21"/>
                <w:szCs w:val="21"/>
                <w:highlight w:val="none"/>
                <w:lang w:eastAsia="zh-CN" w:bidi="ar"/>
              </w:rPr>
              <w:t>{{ chemo.content2 }}</w:t>
            </w:r>
          </w:p>
        </w:tc>
        <w:tc>
          <w:tcPr>
            <w:tcW w:w="3245" w:type="dxa"/>
            <w:tcBorders>
              <w:tl2br w:val="nil"/>
              <w:tr2bl w:val="nil"/>
            </w:tcBorders>
            <w:shd w:val="clear" w:color="auto" w:fill="auto"/>
            <w:vAlign w:val="center"/>
          </w:tcPr>
          <w:p>
            <w:pPr>
              <w:spacing w:before="24" w:beforeLines="10" w:line="206" w:lineRule="exact"/>
              <w:jc w:val="center"/>
              <w:rPr>
                <w:rFonts w:ascii="Times New Roman" w:hAnsi="Times New Roman" w:eastAsia="微软雅黑" w:cs="Times New Roman"/>
                <w:b/>
                <w:color w:val="45A3A7"/>
                <w:sz w:val="21"/>
                <w:szCs w:val="21"/>
                <w:highlight w:val="none"/>
              </w:rPr>
            </w:pPr>
            <w:r>
              <w:rPr>
                <w:rFonts w:hint="eastAsia" w:ascii="Times New Roman" w:hAnsi="Times New Roman" w:eastAsia="微软雅黑" w:cs="Times New Roman"/>
                <w:b/>
                <w:color w:val="45A3A7"/>
                <w:sz w:val="21"/>
                <w:szCs w:val="21"/>
                <w:highlight w:val="none"/>
                <w:lang w:eastAsia="zh-CN" w:bidi="ar"/>
              </w:rPr>
              <w:t>{{ chemo.content3 }}</w:t>
            </w:r>
          </w:p>
        </w:tc>
      </w:tr>
      <w:tr>
        <w:tblPrEx>
          <w:tblBorders>
            <w:top w:val="single" w:color="069698" w:sz="2" w:space="0"/>
            <w:left w:val="single" w:color="069698" w:sz="2" w:space="0"/>
            <w:bottom w:val="single" w:color="069698" w:sz="4" w:space="0"/>
            <w:right w:val="single" w:color="069698" w:sz="2" w:space="0"/>
            <w:insideH w:val="single" w:color="069698" w:sz="2" w:space="0"/>
            <w:insideV w:val="single" w:color="069698" w:sz="2" w:space="0"/>
          </w:tblBorders>
          <w:tblCellMar>
            <w:top w:w="0" w:type="dxa"/>
            <w:left w:w="108" w:type="dxa"/>
            <w:bottom w:w="0" w:type="dxa"/>
            <w:right w:w="108" w:type="dxa"/>
          </w:tblCellMar>
        </w:tblPrEx>
        <w:trPr>
          <w:cantSplit/>
          <w:trHeight w:val="397" w:hRule="atLeast"/>
          <w:jc w:val="center"/>
        </w:trPr>
        <w:tc>
          <w:tcPr>
            <w:tcW w:w="9736" w:type="dxa"/>
            <w:gridSpan w:val="3"/>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sz w:val="18"/>
                <w:szCs w:val="18"/>
                <w:highlight w:val="none"/>
              </w:rPr>
            </w:pPr>
            <w:r>
              <w:rPr>
                <w:rFonts w:hint="eastAsia" w:ascii="Times New Roman" w:hAnsi="Times New Roman" w:eastAsia="微软雅黑" w:cs="Times New Roman"/>
                <w:color w:val="000000"/>
                <w:sz w:val="18"/>
                <w:szCs w:val="18"/>
                <w:highlight w:val="none"/>
                <w:lang w:eastAsia="zh-CN" w:bidi="ar"/>
              </w:rPr>
              <w:t>{%tr else %}</w:t>
            </w:r>
          </w:p>
        </w:tc>
      </w:tr>
      <w:tr>
        <w:tblPrEx>
          <w:tblBorders>
            <w:top w:val="single" w:color="069698" w:sz="2" w:space="0"/>
            <w:left w:val="single" w:color="069698" w:sz="2" w:space="0"/>
            <w:bottom w:val="single" w:color="069698" w:sz="4" w:space="0"/>
            <w:right w:val="single" w:color="069698" w:sz="2" w:space="0"/>
            <w:insideH w:val="single" w:color="069698" w:sz="2" w:space="0"/>
            <w:insideV w:val="single" w:color="069698" w:sz="2" w:space="0"/>
          </w:tblBorders>
          <w:tblCellMar>
            <w:top w:w="0" w:type="dxa"/>
            <w:left w:w="108" w:type="dxa"/>
            <w:bottom w:w="0" w:type="dxa"/>
            <w:right w:w="108" w:type="dxa"/>
          </w:tblCellMar>
        </w:tblPrEx>
        <w:trPr>
          <w:cantSplit/>
          <w:trHeight w:val="397" w:hRule="atLeast"/>
          <w:jc w:val="center"/>
        </w:trPr>
        <w:tc>
          <w:tcPr>
            <w:tcW w:w="3246" w:type="dxa"/>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sz w:val="18"/>
                <w:szCs w:val="18"/>
                <w:highlight w:val="none"/>
              </w:rPr>
            </w:pPr>
            <w:r>
              <w:rPr>
                <w:rFonts w:hint="eastAsia" w:ascii="Times New Roman" w:hAnsi="Times New Roman" w:eastAsia="微软雅黑" w:cs="Times New Roman"/>
                <w:color w:val="000000"/>
                <w:sz w:val="18"/>
                <w:szCs w:val="18"/>
                <w:highlight w:val="none"/>
                <w:lang w:eastAsia="zh-CN" w:bidi="ar"/>
              </w:rPr>
              <w:t>{{ chemo.content1 }}</w:t>
            </w:r>
          </w:p>
        </w:tc>
        <w:tc>
          <w:tcPr>
            <w:tcW w:w="3245" w:type="dxa"/>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sz w:val="18"/>
                <w:szCs w:val="18"/>
                <w:highlight w:val="none"/>
              </w:rPr>
            </w:pPr>
            <w:r>
              <w:rPr>
                <w:rFonts w:hint="eastAsia" w:ascii="Times New Roman" w:hAnsi="Times New Roman" w:eastAsia="微软雅黑" w:cs="Times New Roman"/>
                <w:color w:val="000000"/>
                <w:sz w:val="18"/>
                <w:szCs w:val="18"/>
                <w:highlight w:val="none"/>
                <w:lang w:eastAsia="zh-CN" w:bidi="ar"/>
              </w:rPr>
              <w:t>{{ chemo.content2 }}</w:t>
            </w:r>
          </w:p>
        </w:tc>
        <w:tc>
          <w:tcPr>
            <w:tcW w:w="3245" w:type="dxa"/>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sz w:val="18"/>
                <w:szCs w:val="18"/>
                <w:highlight w:val="none"/>
              </w:rPr>
            </w:pPr>
            <w:r>
              <w:rPr>
                <w:rFonts w:hint="eastAsia" w:ascii="Times New Roman" w:hAnsi="Times New Roman" w:eastAsia="微软雅黑" w:cs="Times New Roman"/>
                <w:color w:val="000000"/>
                <w:sz w:val="18"/>
                <w:szCs w:val="18"/>
                <w:highlight w:val="none"/>
                <w:lang w:eastAsia="zh-CN" w:bidi="ar"/>
              </w:rPr>
              <w:t>{{ chemo.content3 }}</w:t>
            </w:r>
          </w:p>
        </w:tc>
      </w:tr>
      <w:tr>
        <w:tblPrEx>
          <w:tblBorders>
            <w:top w:val="single" w:color="069698" w:sz="2" w:space="0"/>
            <w:left w:val="single" w:color="069698" w:sz="2" w:space="0"/>
            <w:bottom w:val="single" w:color="069698" w:sz="4" w:space="0"/>
            <w:right w:val="single" w:color="069698" w:sz="2" w:space="0"/>
            <w:insideH w:val="single" w:color="069698" w:sz="2" w:space="0"/>
            <w:insideV w:val="single" w:color="069698" w:sz="2" w:space="0"/>
          </w:tblBorders>
          <w:tblCellMar>
            <w:top w:w="0" w:type="dxa"/>
            <w:left w:w="108" w:type="dxa"/>
            <w:bottom w:w="0" w:type="dxa"/>
            <w:right w:w="108" w:type="dxa"/>
          </w:tblCellMar>
        </w:tblPrEx>
        <w:trPr>
          <w:cantSplit/>
          <w:trHeight w:val="397" w:hRule="atLeast"/>
          <w:jc w:val="center"/>
        </w:trPr>
        <w:tc>
          <w:tcPr>
            <w:tcW w:w="9736" w:type="dxa"/>
            <w:gridSpan w:val="3"/>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sz w:val="18"/>
                <w:szCs w:val="18"/>
                <w:highlight w:val="none"/>
              </w:rPr>
            </w:pPr>
            <w:r>
              <w:rPr>
                <w:rFonts w:hint="eastAsia" w:ascii="Times New Roman" w:hAnsi="Times New Roman" w:eastAsia="微软雅黑" w:cs="Times New Roman"/>
                <w:color w:val="000000"/>
                <w:sz w:val="18"/>
                <w:szCs w:val="18"/>
                <w:highlight w:val="none"/>
                <w:lang w:eastAsia="zh-CN" w:bidi="ar"/>
              </w:rPr>
              <w:t>{%tr endif%}</w:t>
            </w:r>
          </w:p>
        </w:tc>
      </w:tr>
      <w:tr>
        <w:tblPrEx>
          <w:tblBorders>
            <w:top w:val="single" w:color="069698" w:sz="2" w:space="0"/>
            <w:left w:val="single" w:color="069698" w:sz="2" w:space="0"/>
            <w:bottom w:val="single" w:color="069698" w:sz="4" w:space="0"/>
            <w:right w:val="single" w:color="069698" w:sz="2" w:space="0"/>
            <w:insideH w:val="single" w:color="069698" w:sz="2" w:space="0"/>
            <w:insideV w:val="single" w:color="069698" w:sz="2" w:space="0"/>
          </w:tblBorders>
          <w:tblCellMar>
            <w:top w:w="0" w:type="dxa"/>
            <w:left w:w="108" w:type="dxa"/>
            <w:bottom w:w="0" w:type="dxa"/>
            <w:right w:w="108" w:type="dxa"/>
          </w:tblCellMar>
        </w:tblPrEx>
        <w:trPr>
          <w:cantSplit/>
          <w:trHeight w:val="397" w:hRule="atLeast"/>
          <w:jc w:val="center"/>
        </w:trPr>
        <w:tc>
          <w:tcPr>
            <w:tcW w:w="9736" w:type="dxa"/>
            <w:gridSpan w:val="3"/>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sz w:val="18"/>
                <w:szCs w:val="18"/>
                <w:highlight w:val="none"/>
                <w:lang w:eastAsia="zh-CN"/>
              </w:rPr>
            </w:pPr>
            <w:r>
              <w:rPr>
                <w:rFonts w:hint="eastAsia" w:ascii="Times New Roman" w:hAnsi="Times New Roman" w:eastAsia="微软雅黑" w:cs="Times New Roman"/>
                <w:color w:val="000000"/>
                <w:sz w:val="18"/>
                <w:szCs w:val="18"/>
                <w:highlight w:val="none"/>
                <w:lang w:eastAsia="zh-CN"/>
              </w:rPr>
              <w:t>{%tr endfor%}</w:t>
            </w:r>
          </w:p>
        </w:tc>
      </w:tr>
    </w:tbl>
    <w:p>
      <w:pPr>
        <w:spacing w:before="26" w:after="120" w:afterLines="50"/>
        <w:rPr>
          <w:rFonts w:ascii="Times New Roman" w:hAnsi="Times New Roman" w:eastAsia="微软雅黑" w:cs="Times New Roman"/>
          <w:b/>
          <w:color w:val="45A3A7"/>
          <w:sz w:val="24"/>
          <w:highlight w:val="none"/>
          <w:lang w:eastAsia="zh-CN"/>
        </w:rPr>
      </w:pPr>
    </w:p>
    <w:p>
      <w:pPr>
        <w:spacing w:before="26" w:after="120" w:afterLines="50"/>
        <w:rPr>
          <w:rFonts w:ascii="Times New Roman" w:hAnsi="Times New Roman" w:eastAsia="微软雅黑" w:cs="Times New Roman"/>
          <w:b/>
          <w:color w:val="45A3A7"/>
          <w:sz w:val="24"/>
          <w:highlight w:val="none"/>
          <w:lang w:eastAsia="zh-CN"/>
        </w:rPr>
      </w:pPr>
      <w:r>
        <w:rPr>
          <w:rFonts w:ascii="Times New Roman" w:hAnsi="Times New Roman" w:eastAsia="微软雅黑" w:cs="Times New Roman"/>
          <w:b/>
          <w:color w:val="45A3A7"/>
          <w:sz w:val="24"/>
          <w:highlight w:val="none"/>
          <w:lang w:eastAsia="zh-CN"/>
        </w:rPr>
        <w:t>伊立替康用药剂量参考建议</w:t>
      </w:r>
    </w:p>
    <w:tbl>
      <w:tblPr>
        <w:tblStyle w:val="29"/>
        <w:tblW w:w="973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4868"/>
        <w:gridCol w:w="486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397" w:hRule="atLeast"/>
          <w:jc w:val="center"/>
        </w:trPr>
        <w:tc>
          <w:tcPr>
            <w:tcW w:w="9736" w:type="dxa"/>
            <w:gridSpan w:val="2"/>
            <w:tcBorders>
              <w:top w:val="single" w:color="069698" w:sz="4" w:space="0"/>
              <w:left w:val="single" w:color="069698" w:sz="4" w:space="0"/>
              <w:bottom w:val="single" w:color="069698" w:sz="4" w:space="0"/>
              <w:right w:val="single" w:color="069698" w:sz="4" w:space="0"/>
            </w:tcBorders>
            <w:shd w:val="clear" w:color="auto" w:fill="auto"/>
            <w:vAlign w:val="center"/>
          </w:tcPr>
          <w:p>
            <w:pPr>
              <w:spacing w:before="24" w:beforeLines="10" w:line="206" w:lineRule="exact"/>
              <w:jc w:val="center"/>
              <w:rPr>
                <w:rFonts w:hint="default" w:ascii="Times New Roman" w:hAnsi="Times New Roman" w:eastAsia="微软雅黑" w:cs="Times New Roman"/>
                <w:b w:val="0"/>
                <w:color w:val="45A3A7"/>
                <w:sz w:val="21"/>
                <w:szCs w:val="21"/>
                <w:highlight w:val="none"/>
                <w:lang w:eastAsia="zh-CN" w:bidi="ar"/>
              </w:rPr>
            </w:pPr>
            <w:r>
              <w:rPr>
                <w:rFonts w:hint="eastAsia" w:ascii="Times New Roman" w:hAnsi="Times New Roman" w:eastAsia="微软雅黑" w:cs="Times New Roman"/>
                <w:b/>
                <w:color w:val="45A3A7"/>
                <w:sz w:val="21"/>
                <w:szCs w:val="21"/>
                <w:highlight w:val="none"/>
                <w:lang w:eastAsia="zh-CN" w:bidi="ar"/>
              </w:rPr>
              <w:t>{%tr for reference in referenceRecommendationStr%}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397" w:hRule="atLeast"/>
          <w:jc w:val="center"/>
        </w:trPr>
        <w:tc>
          <w:tcPr>
            <w:tcW w:w="9736" w:type="dxa"/>
            <w:gridSpan w:val="2"/>
            <w:tcBorders>
              <w:top w:val="single" w:color="069698" w:sz="4" w:space="0"/>
              <w:left w:val="single" w:color="069698" w:sz="4" w:space="0"/>
              <w:bottom w:val="single" w:color="069698" w:sz="4" w:space="0"/>
              <w:right w:val="single" w:color="069698" w:sz="4" w:space="0"/>
            </w:tcBorders>
            <w:shd w:val="clear" w:color="auto" w:fill="auto"/>
            <w:vAlign w:val="center"/>
          </w:tcPr>
          <w:p>
            <w:pPr>
              <w:spacing w:before="24" w:beforeLines="10" w:line="206" w:lineRule="exact"/>
              <w:jc w:val="center"/>
              <w:rPr>
                <w:rFonts w:ascii="Times New Roman" w:hAnsi="Times New Roman" w:eastAsia="微软雅黑" w:cs="Times New Roman"/>
                <w:b/>
                <w:color w:val="45A3A7"/>
                <w:sz w:val="21"/>
                <w:szCs w:val="21"/>
                <w:highlight w:val="none"/>
                <w:lang w:eastAsia="zh-CN" w:bidi="ar"/>
              </w:rPr>
            </w:pPr>
            <w:r>
              <w:rPr>
                <w:rFonts w:hint="eastAsia" w:ascii="Times New Roman" w:hAnsi="Times New Roman" w:eastAsia="微软雅黑" w:cs="Times New Roman"/>
                <w:b/>
                <w:color w:val="45A3A7"/>
                <w:sz w:val="21"/>
                <w:szCs w:val="21"/>
                <w:highlight w:val="none"/>
                <w:lang w:eastAsia="zh-CN" w:bidi="ar"/>
              </w:rPr>
              <w:t>{%tr if reference.isTitle%}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397" w:hRule="atLeast"/>
          <w:jc w:val="center"/>
        </w:trPr>
        <w:tc>
          <w:tcPr>
            <w:tcW w:w="4868" w:type="dxa"/>
            <w:tcBorders>
              <w:top w:val="single" w:color="069698" w:sz="4" w:space="0"/>
              <w:left w:val="single" w:color="069698" w:sz="4" w:space="0"/>
              <w:bottom w:val="single" w:color="069698" w:sz="4" w:space="0"/>
              <w:right w:val="single" w:color="069698" w:sz="4" w:space="0"/>
            </w:tcBorders>
            <w:shd w:val="clear" w:color="auto" w:fill="auto"/>
            <w:vAlign w:val="center"/>
          </w:tcPr>
          <w:p>
            <w:pPr>
              <w:spacing w:before="24" w:beforeLines="10" w:line="206" w:lineRule="exact"/>
              <w:jc w:val="center"/>
              <w:rPr>
                <w:rFonts w:ascii="Times New Roman" w:hAnsi="Times New Roman" w:eastAsia="微软雅黑" w:cs="Times New Roman"/>
                <w:b/>
                <w:color w:val="45A3A7"/>
                <w:sz w:val="21"/>
                <w:szCs w:val="21"/>
                <w:highlight w:val="none"/>
              </w:rPr>
            </w:pPr>
            <w:r>
              <w:rPr>
                <w:rFonts w:hint="eastAsia" w:ascii="Times New Roman" w:hAnsi="Times New Roman" w:eastAsia="微软雅黑" w:cs="Times New Roman"/>
                <w:b/>
                <w:color w:val="45A3A7"/>
                <w:sz w:val="21"/>
                <w:szCs w:val="21"/>
                <w:highlight w:val="none"/>
                <w:lang w:eastAsia="zh-CN" w:bidi="ar"/>
              </w:rPr>
              <w:t>{{ reference.content1 }}</w:t>
            </w:r>
          </w:p>
        </w:tc>
        <w:tc>
          <w:tcPr>
            <w:tcW w:w="4868" w:type="dxa"/>
            <w:tcBorders>
              <w:top w:val="single" w:color="069698" w:sz="4" w:space="0"/>
              <w:left w:val="nil"/>
              <w:bottom w:val="single" w:color="069698" w:sz="4" w:space="0"/>
              <w:right w:val="single" w:color="069698" w:sz="4" w:space="0"/>
            </w:tcBorders>
            <w:shd w:val="clear" w:color="auto" w:fill="auto"/>
            <w:vAlign w:val="center"/>
          </w:tcPr>
          <w:p>
            <w:pPr>
              <w:spacing w:before="24" w:beforeLines="10" w:line="206" w:lineRule="exact"/>
              <w:jc w:val="center"/>
              <w:rPr>
                <w:rFonts w:ascii="Times New Roman" w:hAnsi="Times New Roman" w:eastAsia="微软雅黑" w:cs="Times New Roman"/>
                <w:b/>
                <w:color w:val="45A3A7"/>
                <w:sz w:val="21"/>
                <w:szCs w:val="21"/>
                <w:highlight w:val="none"/>
              </w:rPr>
            </w:pPr>
            <w:r>
              <w:rPr>
                <w:rFonts w:hint="eastAsia" w:ascii="Times New Roman" w:hAnsi="Times New Roman" w:eastAsia="微软雅黑" w:cs="Times New Roman"/>
                <w:b/>
                <w:color w:val="45A3A7"/>
                <w:sz w:val="21"/>
                <w:szCs w:val="21"/>
                <w:highlight w:val="none"/>
                <w:lang w:eastAsia="zh-CN" w:bidi="ar"/>
              </w:rPr>
              <w:t>{{ reference.content2 }}</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397" w:hRule="atLeast"/>
          <w:jc w:val="center"/>
        </w:trPr>
        <w:tc>
          <w:tcPr>
            <w:tcW w:w="9736" w:type="dxa"/>
            <w:gridSpan w:val="2"/>
            <w:tcBorders>
              <w:top w:val="single" w:color="069698" w:sz="4" w:space="0"/>
              <w:left w:val="single" w:color="069698" w:sz="4" w:space="0"/>
              <w:bottom w:val="single" w:color="069698" w:sz="4" w:space="0"/>
              <w:right w:val="single" w:color="069698" w:sz="4" w:space="0"/>
            </w:tcBorders>
            <w:shd w:val="clear" w:color="auto" w:fill="auto"/>
            <w:vAlign w:val="center"/>
          </w:tcPr>
          <w:p>
            <w:pPr>
              <w:spacing w:before="24" w:beforeLines="10" w:line="206" w:lineRule="exact"/>
              <w:jc w:val="center"/>
              <w:rPr>
                <w:rFonts w:ascii="Times New Roman" w:hAnsi="Times New Roman" w:eastAsia="微软雅黑" w:cs="Times New Roman"/>
                <w:b/>
                <w:color w:val="45A3A7"/>
                <w:sz w:val="21"/>
                <w:szCs w:val="21"/>
                <w:highlight w:val="none"/>
                <w:lang w:eastAsia="zh-CN" w:bidi="ar"/>
              </w:rPr>
            </w:pPr>
            <w:r>
              <w:rPr>
                <w:rFonts w:hint="eastAsia" w:ascii="Times New Roman" w:hAnsi="Times New Roman" w:eastAsia="微软雅黑" w:cs="Times New Roman"/>
                <w:b/>
                <w:color w:val="45A3A7"/>
                <w:sz w:val="21"/>
                <w:szCs w:val="21"/>
                <w:highlight w:val="none"/>
                <w:lang w:eastAsia="zh-CN" w:bidi="ar"/>
              </w:rPr>
              <w:t>{%tr else%}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397" w:hRule="atLeast"/>
          <w:jc w:val="center"/>
        </w:trPr>
        <w:tc>
          <w:tcPr>
            <w:tcW w:w="4868" w:type="dxa"/>
            <w:tcBorders>
              <w:top w:val="single" w:color="069698" w:sz="4" w:space="0"/>
              <w:left w:val="single" w:color="069698" w:sz="4" w:space="0"/>
              <w:bottom w:val="single" w:color="069698" w:sz="4" w:space="0"/>
              <w:right w:val="single" w:color="069698" w:sz="4" w:space="0"/>
            </w:tcBorders>
            <w:shd w:val="clear" w:color="auto" w:fill="auto"/>
            <w:vAlign w:val="center"/>
          </w:tcPr>
          <w:p>
            <w:pPr>
              <w:spacing w:line="206" w:lineRule="exact"/>
              <w:jc w:val="center"/>
              <w:rPr>
                <w:rFonts w:ascii="Times New Roman" w:hAnsi="Times New Roman" w:eastAsia="微软雅黑" w:cs="Times New Roman"/>
                <w:color w:val="000000"/>
                <w:sz w:val="18"/>
                <w:szCs w:val="18"/>
                <w:highlight w:val="none"/>
              </w:rPr>
            </w:pPr>
            <w:r>
              <w:rPr>
                <w:rFonts w:hint="eastAsia" w:ascii="Times New Roman" w:hAnsi="Times New Roman" w:eastAsia="微软雅黑" w:cs="Times New Roman"/>
                <w:color w:val="000000"/>
                <w:sz w:val="18"/>
                <w:szCs w:val="18"/>
                <w:highlight w:val="none"/>
                <w:lang w:eastAsia="zh-CN" w:bidi="ar"/>
              </w:rPr>
              <w:t>{{reference.content1}}</w:t>
            </w:r>
          </w:p>
        </w:tc>
        <w:tc>
          <w:tcPr>
            <w:tcW w:w="4868" w:type="dxa"/>
            <w:tcBorders>
              <w:top w:val="single" w:color="069698" w:sz="4" w:space="0"/>
              <w:left w:val="nil"/>
              <w:bottom w:val="single" w:color="069698" w:sz="4" w:space="0"/>
              <w:right w:val="single" w:color="069698" w:sz="4" w:space="0"/>
            </w:tcBorders>
            <w:shd w:val="clear" w:color="auto" w:fill="auto"/>
            <w:vAlign w:val="center"/>
          </w:tcPr>
          <w:p>
            <w:pPr>
              <w:spacing w:line="206" w:lineRule="exact"/>
              <w:jc w:val="center"/>
              <w:rPr>
                <w:rFonts w:ascii="Times New Roman" w:hAnsi="Times New Roman" w:eastAsia="微软雅黑" w:cs="Times New Roman"/>
                <w:color w:val="000000"/>
                <w:sz w:val="18"/>
                <w:szCs w:val="18"/>
                <w:highlight w:val="none"/>
              </w:rPr>
            </w:pPr>
            <w:r>
              <w:rPr>
                <w:rFonts w:hint="eastAsia" w:ascii="Times New Roman" w:hAnsi="Times New Roman" w:eastAsia="微软雅黑" w:cs="Times New Roman"/>
                <w:color w:val="000000"/>
                <w:sz w:val="18"/>
                <w:szCs w:val="18"/>
                <w:highlight w:val="none"/>
                <w:lang w:eastAsia="zh-CN" w:bidi="ar"/>
              </w:rPr>
              <w:t>{{reference.content2}}</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397" w:hRule="atLeast"/>
          <w:jc w:val="center"/>
        </w:trPr>
        <w:tc>
          <w:tcPr>
            <w:tcW w:w="9736" w:type="dxa"/>
            <w:gridSpan w:val="2"/>
            <w:tcBorders>
              <w:top w:val="single" w:color="069698" w:sz="4" w:space="0"/>
              <w:left w:val="single" w:color="069698" w:sz="4" w:space="0"/>
              <w:bottom w:val="single" w:color="069698" w:sz="4" w:space="0"/>
              <w:right w:val="single" w:color="069698" w:sz="4" w:space="0"/>
            </w:tcBorders>
            <w:shd w:val="clear" w:color="auto" w:fill="auto"/>
            <w:vAlign w:val="center"/>
          </w:tcPr>
          <w:p>
            <w:pPr>
              <w:tabs>
                <w:tab w:val="left" w:pos="4202"/>
              </w:tabs>
              <w:spacing w:line="206" w:lineRule="exact"/>
              <w:jc w:val="left"/>
              <w:rPr>
                <w:rFonts w:ascii="Times New Roman" w:hAnsi="Times New Roman" w:eastAsia="微软雅黑" w:cs="Times New Roman"/>
                <w:color w:val="000000"/>
                <w:sz w:val="18"/>
                <w:szCs w:val="18"/>
                <w:highlight w:val="none"/>
                <w:lang w:eastAsia="zh-CN" w:bidi="ar"/>
              </w:rPr>
            </w:pPr>
            <w:r>
              <w:rPr>
                <w:rFonts w:hint="eastAsia" w:ascii="Times New Roman" w:hAnsi="Times New Roman" w:eastAsia="微软雅黑" w:cs="Times New Roman"/>
                <w:color w:val="000000"/>
                <w:sz w:val="18"/>
                <w:szCs w:val="18"/>
                <w:highlight w:val="none"/>
                <w:lang w:eastAsia="zh-CN" w:bidi="ar"/>
              </w:rPr>
              <w:tab/>
            </w:r>
            <w:r>
              <w:rPr>
                <w:rFonts w:hint="eastAsia" w:ascii="Times New Roman" w:hAnsi="Times New Roman" w:eastAsia="微软雅黑" w:cs="Times New Roman"/>
                <w:color w:val="000000"/>
                <w:sz w:val="18"/>
                <w:szCs w:val="18"/>
                <w:highlight w:val="none"/>
                <w:lang w:eastAsia="zh-CN" w:bidi="ar"/>
              </w:rPr>
              <w:t>{%tr endif%}</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397" w:hRule="atLeast"/>
          <w:jc w:val="center"/>
        </w:trPr>
        <w:tc>
          <w:tcPr>
            <w:tcW w:w="9736" w:type="dxa"/>
            <w:gridSpan w:val="2"/>
            <w:tcBorders>
              <w:top w:val="single" w:color="069698" w:sz="4" w:space="0"/>
              <w:left w:val="single" w:color="069698" w:sz="4" w:space="0"/>
              <w:bottom w:val="single" w:color="069698" w:sz="4" w:space="0"/>
              <w:right w:val="single" w:color="069698" w:sz="4" w:space="0"/>
            </w:tcBorders>
            <w:shd w:val="clear" w:color="auto" w:fill="auto"/>
            <w:vAlign w:val="center"/>
          </w:tcPr>
          <w:p>
            <w:pPr>
              <w:tabs>
                <w:tab w:val="left" w:pos="4202"/>
              </w:tabs>
              <w:spacing w:line="206" w:lineRule="exact"/>
              <w:jc w:val="center"/>
              <w:rPr>
                <w:rFonts w:ascii="Times New Roman" w:hAnsi="Times New Roman" w:eastAsia="微软雅黑" w:cs="Times New Roman"/>
                <w:color w:val="000000"/>
                <w:sz w:val="18"/>
                <w:szCs w:val="18"/>
                <w:highlight w:val="none"/>
                <w:lang w:eastAsia="zh-CN" w:bidi="ar"/>
              </w:rPr>
            </w:pPr>
            <w:r>
              <w:rPr>
                <w:rFonts w:hint="eastAsia" w:ascii="Times New Roman" w:hAnsi="Times New Roman" w:eastAsia="微软雅黑" w:cs="Times New Roman"/>
                <w:color w:val="000000"/>
                <w:sz w:val="18"/>
                <w:szCs w:val="18"/>
                <w:highlight w:val="none"/>
                <w:lang w:eastAsia="zh-CN"/>
              </w:rPr>
              <w:t>{%tr endfor%}</w:t>
            </w:r>
          </w:p>
        </w:tc>
      </w:tr>
    </w:tbl>
    <w:p>
      <w:pPr>
        <w:jc w:val="center"/>
        <w:rPr>
          <w:rFonts w:ascii="Times New Roman" w:hAnsi="Times New Roman" w:eastAsia="微软雅黑" w:cs="Times New Roman"/>
          <w:highlight w:val="none"/>
        </w:rPr>
      </w:pPr>
      <w:r>
        <w:rPr>
          <w:rFonts w:ascii="Times New Roman" w:hAnsi="Times New Roman" w:eastAsia="微软雅黑" w:cs="Times New Roman"/>
          <w:highlight w:val="none"/>
          <w:lang w:eastAsia="zh-CN" w:bidi="ar"/>
        </w:rPr>
        <w:t xml:space="preserve"> </w:t>
      </w:r>
    </w:p>
    <w:p>
      <w:pPr>
        <w:rPr>
          <w:rFonts w:ascii="Times New Roman" w:hAnsi="Times New Roman" w:eastAsia="微软雅黑" w:cs="Times New Roman"/>
          <w:highlight w:val="none"/>
        </w:rPr>
      </w:pPr>
      <w:r>
        <w:rPr>
          <w:rFonts w:ascii="Times New Roman" w:hAnsi="Times New Roman" w:eastAsia="微软雅黑" w:cs="Times New Roman"/>
          <w:b/>
          <w:sz w:val="18"/>
          <w:szCs w:val="18"/>
          <w:highlight w:val="none"/>
          <w:lang w:eastAsia="zh-CN" w:bidi="ar"/>
        </w:rPr>
        <w:t>注：</w:t>
      </w:r>
    </w:p>
    <w:p>
      <w:pPr>
        <w:rPr>
          <w:rFonts w:ascii="Times New Roman" w:hAnsi="Times New Roman" w:eastAsia="微软雅黑" w:cs="Times New Roman"/>
          <w:highlight w:val="none"/>
          <w:lang w:eastAsia="zh-CN"/>
        </w:rPr>
      </w:pPr>
      <w:r>
        <w:rPr>
          <w:rFonts w:ascii="Times New Roman" w:hAnsi="Times New Roman" w:eastAsia="微软雅黑" w:cs="Times New Roman"/>
          <w:sz w:val="18"/>
          <w:szCs w:val="18"/>
          <w:highlight w:val="none"/>
          <w:lang w:eastAsia="zh-CN" w:bidi="ar"/>
        </w:rPr>
        <w:t>1.   “/” 未有研究报道或现有研究结论不一致。</w:t>
      </w:r>
    </w:p>
    <w:p>
      <w:pPr>
        <w:rPr>
          <w:rFonts w:ascii="Times New Roman" w:hAnsi="Times New Roman" w:eastAsia="微软雅黑" w:cs="Times New Roman"/>
          <w:highlight w:val="none"/>
          <w:lang w:eastAsia="zh-CN"/>
        </w:rPr>
      </w:pPr>
      <w:r>
        <w:rPr>
          <w:rFonts w:ascii="Times New Roman" w:hAnsi="Times New Roman" w:eastAsia="微软雅黑" w:cs="Times New Roman"/>
          <w:sz w:val="18"/>
          <w:szCs w:val="18"/>
          <w:highlight w:val="none"/>
          <w:lang w:eastAsia="zh-CN" w:bidi="ar"/>
        </w:rPr>
        <w:t>2.   本癌种化疗药物的毒副风险和有效性预测参考纳入人群为本癌种患者的研究文献。</w:t>
      </w:r>
    </w:p>
    <w:p>
      <w:pPr>
        <w:rPr>
          <w:rFonts w:ascii="Times New Roman" w:hAnsi="Times New Roman" w:eastAsia="微软雅黑" w:cs="Times New Roman"/>
          <w:sz w:val="18"/>
          <w:szCs w:val="18"/>
          <w:highlight w:val="none"/>
          <w:lang w:eastAsia="zh-CN" w:bidi="ar"/>
        </w:rPr>
      </w:pPr>
      <w:r>
        <w:rPr>
          <w:rFonts w:ascii="Times New Roman" w:hAnsi="Times New Roman" w:eastAsia="微软雅黑" w:cs="Times New Roman"/>
          <w:sz w:val="18"/>
          <w:szCs w:val="18"/>
          <w:highlight w:val="none"/>
          <w:lang w:eastAsia="zh-CN" w:bidi="ar"/>
        </w:rPr>
        <w:t>3.   更详细的化疗基因多态性和药物信息参见“检测结果解析”。</w:t>
      </w:r>
    </w:p>
    <w:p>
      <w:pPr>
        <w:rPr>
          <w:rFonts w:ascii="Times New Roman" w:hAnsi="Times New Roman" w:eastAsia="微软雅黑" w:cs="Times New Roman"/>
          <w:sz w:val="18"/>
          <w:szCs w:val="18"/>
          <w:highlight w:val="none"/>
          <w:lang w:eastAsia="zh-CN" w:bidi="ar"/>
        </w:rPr>
      </w:pPr>
      <w:r>
        <w:rPr>
          <w:rFonts w:ascii="Times New Roman" w:hAnsi="Times New Roman" w:eastAsia="微软雅黑" w:cs="Times New Roman"/>
          <w:sz w:val="18"/>
          <w:szCs w:val="18"/>
          <w:highlight w:val="none"/>
          <w:lang w:eastAsia="zh-CN" w:bidi="ar"/>
        </w:rPr>
        <w:br w:type="page"/>
      </w:r>
    </w:p>
    <w:p>
      <w:pPr>
        <w:pStyle w:val="22"/>
        <w:rPr>
          <w:highlight w:val="none"/>
        </w:rPr>
      </w:pPr>
      <w:r>
        <w:rPr>
          <w:highlight w:val="none"/>
        </w:rPr>
        <w:t>化疗药物毒副作用风险解析</w:t>
      </w:r>
    </w:p>
    <w:p>
      <w:pPr>
        <w:jc w:val="center"/>
        <w:rPr>
          <w:rFonts w:ascii="Times New Roman" w:hAnsi="Times New Roman" w:eastAsia="微软雅黑" w:cs="Times New Roman"/>
          <w:sz w:val="18"/>
          <w:szCs w:val="18"/>
          <w:highlight w:val="none"/>
          <w:lang w:eastAsia="zh-CN"/>
        </w:rPr>
      </w:pPr>
    </w:p>
    <w:tbl>
      <w:tblPr>
        <w:tblStyle w:val="12"/>
        <w:tblW w:w="9998"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0" w:type="dxa"/>
          <w:bottom w:w="0" w:type="dxa"/>
          <w:right w:w="0" w:type="dxa"/>
        </w:tblCellMar>
      </w:tblPr>
      <w:tblGrid>
        <w:gridCol w:w="784"/>
        <w:gridCol w:w="1086"/>
        <w:gridCol w:w="919"/>
        <w:gridCol w:w="1275"/>
        <w:gridCol w:w="1514"/>
        <w:gridCol w:w="3675"/>
        <w:gridCol w:w="74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for css in chemoSideeffectsStr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css.isFirstLine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rPr>
            </w:pPr>
            <w:r>
              <w:rPr>
                <w:rFonts w:hint="eastAsia" w:ascii="Times New Roman" w:hAnsi="Times New Roman" w:eastAsia="微软雅黑" w:cs="Times New Roman"/>
                <w:b/>
                <w:bCs/>
                <w:color w:val="45A3A7"/>
                <w:sz w:val="18"/>
                <w:szCs w:val="18"/>
                <w:highlight w:val="none"/>
                <w:lang w:eastAsia="zh-CN"/>
              </w:rPr>
              <w:t>{{ css.chemotherapyDrugs }}</w:t>
            </w:r>
          </w:p>
        </w:tc>
        <w:tc>
          <w:tcPr>
            <w:tcW w:w="919"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css.detectionGene }}</w:t>
            </w:r>
          </w:p>
        </w:tc>
        <w:tc>
          <w:tcPr>
            <w:tcW w:w="127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css.detectionSite }}</w:t>
            </w:r>
          </w:p>
        </w:tc>
        <w:tc>
          <w:tcPr>
            <w:tcW w:w="1514"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css.detectionResult }}</w:t>
            </w:r>
          </w:p>
        </w:tc>
        <w:tc>
          <w:tcPr>
            <w:tcW w:w="3675" w:type="dxa"/>
            <w:shd w:val="clear" w:color="auto" w:fill="auto"/>
            <w:vAlign w:val="center"/>
          </w:tcPr>
          <w:p>
            <w:pPr>
              <w:spacing w:line="218" w:lineRule="exact"/>
              <w:ind w:right="36"/>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css.medicationTips }}</w:t>
            </w:r>
          </w:p>
        </w:tc>
        <w:tc>
          <w:tcPr>
            <w:tcW w:w="74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css.isMerge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78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1086"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css.chemotherapyDrugs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endfor%}</w:t>
            </w:r>
          </w:p>
        </w:tc>
      </w:tr>
    </w:tbl>
    <w:p>
      <w:pPr>
        <w:jc w:val="center"/>
        <w:rPr>
          <w:rFonts w:ascii="Times New Roman" w:hAnsi="Times New Roman" w:eastAsia="微软雅黑" w:cs="Times New Roman"/>
          <w:sz w:val="18"/>
          <w:szCs w:val="18"/>
          <w:highlight w:val="none"/>
        </w:rPr>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p>
    <w:p>
      <w:pPr>
        <w:pStyle w:val="22"/>
        <w:rPr>
          <w:highlight w:val="none"/>
        </w:rPr>
      </w:pPr>
      <w:r>
        <w:rPr>
          <w:highlight w:val="none"/>
        </w:rPr>
        <w:t>化疗药物有效性解析</w:t>
      </w:r>
    </w:p>
    <w:tbl>
      <w:tblPr>
        <w:tblStyle w:val="12"/>
        <w:tblW w:w="9998"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0" w:type="dxa"/>
          <w:bottom w:w="0" w:type="dxa"/>
          <w:right w:w="0" w:type="dxa"/>
        </w:tblCellMar>
      </w:tblPr>
      <w:tblGrid>
        <w:gridCol w:w="784"/>
        <w:gridCol w:w="1086"/>
        <w:gridCol w:w="919"/>
        <w:gridCol w:w="1275"/>
        <w:gridCol w:w="1514"/>
        <w:gridCol w:w="3675"/>
        <w:gridCol w:w="74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for css in chemoEffectivenessStr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css.isFirstLine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rPr>
            </w:pPr>
            <w:r>
              <w:rPr>
                <w:rFonts w:hint="eastAsia" w:ascii="Times New Roman" w:hAnsi="Times New Roman" w:eastAsia="微软雅黑" w:cs="Times New Roman"/>
                <w:b/>
                <w:bCs/>
                <w:color w:val="45A3A7"/>
                <w:sz w:val="18"/>
                <w:szCs w:val="18"/>
                <w:highlight w:val="none"/>
                <w:lang w:eastAsia="zh-CN"/>
              </w:rPr>
              <w:t>{{ css.chemotherapyDrugs }}</w:t>
            </w:r>
          </w:p>
        </w:tc>
        <w:tc>
          <w:tcPr>
            <w:tcW w:w="919"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css.detectionGene }}</w:t>
            </w:r>
          </w:p>
        </w:tc>
        <w:tc>
          <w:tcPr>
            <w:tcW w:w="127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css.detectionSite }}</w:t>
            </w:r>
          </w:p>
        </w:tc>
        <w:tc>
          <w:tcPr>
            <w:tcW w:w="1514"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css.detectionResult }}</w:t>
            </w:r>
          </w:p>
        </w:tc>
        <w:tc>
          <w:tcPr>
            <w:tcW w:w="3675" w:type="dxa"/>
            <w:shd w:val="clear" w:color="auto" w:fill="auto"/>
            <w:vAlign w:val="center"/>
          </w:tcPr>
          <w:p>
            <w:pPr>
              <w:spacing w:line="218" w:lineRule="exact"/>
              <w:ind w:right="36"/>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css.medicationTips }}</w:t>
            </w:r>
          </w:p>
        </w:tc>
        <w:tc>
          <w:tcPr>
            <w:tcW w:w="74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css.isMerge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78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1086"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css.chemotherapyDrugs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endfor%}</w:t>
            </w:r>
          </w:p>
        </w:tc>
      </w:tr>
    </w:tbl>
    <w:p>
      <w:pPr>
        <w:rPr>
          <w:rFonts w:ascii="Times New Roman" w:hAnsi="Times New Roman" w:eastAsia="微软雅黑" w:cs="Times New Roman"/>
          <w:b/>
          <w:sz w:val="18"/>
          <w:highlight w:val="none"/>
          <w:lang w:eastAsia="zh-CN"/>
        </w:rPr>
      </w:pPr>
    </w:p>
    <w:p>
      <w:pPr>
        <w:rPr>
          <w:rFonts w:ascii="Times New Roman" w:hAnsi="Times New Roman" w:eastAsia="微软雅黑" w:cs="Times New Roman"/>
          <w:b/>
          <w:sz w:val="18"/>
          <w:highlight w:val="none"/>
          <w:lang w:eastAsia="zh-CN"/>
        </w:rPr>
      </w:pPr>
      <w:r>
        <w:rPr>
          <w:rFonts w:ascii="Times New Roman" w:hAnsi="Times New Roman" w:eastAsia="微软雅黑" w:cs="Times New Roman"/>
          <w:b/>
          <w:sz w:val="18"/>
          <w:highlight w:val="none"/>
          <w:lang w:eastAsia="zh-CN"/>
        </w:rPr>
        <w:t>证据等级说明：</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1A：相关性已被临床药理学联合会或某些重大卫生系统认可。</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1B：相关性基于多项有统计显著性的研究，此相关性必须在多于一个群体的研究中被重复，且显著性较强。</w:t>
      </w:r>
    </w:p>
    <w:p>
      <w:pPr>
        <w:ind w:left="450" w:hanging="450" w:hangingChars="250"/>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2A：PharmGKB定义的2B级之上的有VIP（Very Important Pharmacogene，非常重要的用药相关基因）的变异。2A级变异为已知用药相关基因，与2B级相比功能相关性更显著。</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2B：相关性基于多项重复性研究所得的中等程度证据，但其中某些研究可能缺乏统计学显著性或规模效应较小。</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3 ：相关性基于单一显著性（尚无重复性）研究或多项缺乏明确证据的研究。</w:t>
      </w:r>
    </w:p>
    <w:p>
      <w:pPr>
        <w:rPr>
          <w:rFonts w:ascii="Times New Roman" w:hAnsi="Times New Roman" w:eastAsia="微软雅黑" w:cs="Times New Roman"/>
          <w:sz w:val="18"/>
          <w:highlight w:val="none"/>
          <w:lang w:eastAsia="zh-CN"/>
        </w:rPr>
      </w:pPr>
      <w:r>
        <w:rPr>
          <w:highlight w:val="none"/>
        </w:rPr>
        <w:br w:type="page"/>
      </w:r>
    </w:p>
    <w:p>
      <w:pPr>
        <w:rPr>
          <w:rFonts w:ascii="Times New Roman" w:hAnsi="Times New Roman" w:eastAsia="微软雅黑" w:cs="Times New Roman"/>
          <w:sz w:val="16"/>
          <w:highlight w:val="none"/>
          <w:lang w:eastAsia="zh-CN"/>
        </w:rPr>
      </w:pPr>
    </w:p>
    <w:bookmarkEnd w:id="56"/>
    <w:p>
      <w:pPr>
        <w:pStyle w:val="23"/>
        <w:rPr>
          <w:highlight w:val="none"/>
        </w:rPr>
      </w:pPr>
      <w:bookmarkStart w:id="70" w:name="_Toc28240"/>
      <w:bookmarkStart w:id="71" w:name="_Toc27302"/>
      <w:bookmarkStart w:id="72" w:name="_Toc25081"/>
      <w:bookmarkStart w:id="73" w:name="_Toc21764_WPSOffice_Level1"/>
      <w:bookmarkStart w:id="74" w:name="_Toc1707_WPSOffice_Level1"/>
      <w:bookmarkStart w:id="75" w:name="_Toc13196_WPSOffice_Level1"/>
      <w:r>
        <w:rPr>
          <w:highlight w:val="none"/>
        </w:rPr>
        <w:t>附录</w:t>
      </w:r>
      <w:bookmarkEnd w:id="70"/>
      <w:bookmarkEnd w:id="71"/>
      <w:bookmarkEnd w:id="72"/>
      <w:bookmarkEnd w:id="73"/>
      <w:bookmarkEnd w:id="74"/>
      <w:bookmarkEnd w:id="75"/>
    </w:p>
    <w:p>
      <w:pPr>
        <w:pStyle w:val="24"/>
        <w:rPr>
          <w:highlight w:val="none"/>
        </w:rPr>
      </w:pPr>
      <w:bookmarkStart w:id="76" w:name="_Toc14255_WPSOffice_Level1"/>
      <w:bookmarkStart w:id="77" w:name="_Toc16578"/>
      <w:bookmarkStart w:id="78" w:name="_Toc15840_WPSOffice_Level1"/>
      <w:bookmarkStart w:id="79" w:name="_Toc24085_WPSOffice_Level1"/>
      <w:r>
        <w:rPr>
          <w:rFonts w:hint="eastAsia"/>
          <w:highlight w:val="none"/>
        </w:rPr>
        <w:t>样本控制情况</w:t>
      </w:r>
      <w:bookmarkEnd w:id="76"/>
      <w:bookmarkEnd w:id="77"/>
      <w:bookmarkEnd w:id="78"/>
      <w:bookmarkEnd w:id="79"/>
    </w:p>
    <w:p>
      <w:pPr>
        <w:rPr>
          <w:highlight w:val="none"/>
          <w:lang w:eastAsia="zh-CN"/>
        </w:rPr>
      </w:pPr>
    </w:p>
    <w:tbl>
      <w:tblPr>
        <w:tblStyle w:val="18"/>
        <w:tblW w:w="9805"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3078"/>
        <w:gridCol w:w="3649"/>
        <w:gridCol w:w="3078"/>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513" w:hRule="atLeast"/>
        </w:trPr>
        <w:tc>
          <w:tcPr>
            <w:tcW w:w="3078" w:type="dxa"/>
            <w:tcBorders>
              <w:left w:val="nil"/>
              <w:bottom w:val="single" w:color="416AAB" w:sz="4" w:space="0"/>
              <w:right w:val="single" w:color="416AAB" w:sz="4" w:space="0"/>
            </w:tcBorders>
          </w:tcPr>
          <w:p>
            <w:pPr>
              <w:pStyle w:val="25"/>
              <w:spacing w:before="95"/>
              <w:ind w:left="119"/>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质控环节</w:t>
            </w:r>
          </w:p>
        </w:tc>
        <w:tc>
          <w:tcPr>
            <w:tcW w:w="3649" w:type="dxa"/>
            <w:tcBorders>
              <w:left w:val="single" w:color="416AAB" w:sz="4" w:space="0"/>
              <w:bottom w:val="single" w:color="416AAB" w:sz="4" w:space="0"/>
              <w:right w:val="single" w:color="416AAB" w:sz="4" w:space="0"/>
            </w:tcBorders>
          </w:tcPr>
          <w:p>
            <w:pPr>
              <w:pStyle w:val="25"/>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质控参数</w:t>
            </w:r>
          </w:p>
        </w:tc>
        <w:tc>
          <w:tcPr>
            <w:tcW w:w="3078" w:type="dxa"/>
            <w:tcBorders>
              <w:left w:val="single" w:color="416AAB" w:sz="4" w:space="0"/>
              <w:bottom w:val="single" w:color="416AAB" w:sz="4" w:space="0"/>
              <w:right w:val="nil"/>
            </w:tcBorders>
          </w:tcPr>
          <w:p>
            <w:pPr>
              <w:pStyle w:val="25"/>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tcBorders>
              <w:top w:val="single" w:color="416AAB" w:sz="4" w:space="0"/>
              <w:left w:val="nil"/>
              <w:bottom w:val="single" w:color="416AAB" w:sz="4" w:space="0"/>
              <w:right w:val="single" w:color="416AAB" w:sz="4" w:space="0"/>
            </w:tcBorders>
          </w:tcPr>
          <w:p>
            <w:pPr>
              <w:pStyle w:val="25"/>
              <w:spacing w:before="94"/>
              <w:ind w:left="119"/>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病理质控</w:t>
            </w:r>
          </w:p>
        </w:tc>
        <w:tc>
          <w:tcPr>
            <w:tcW w:w="3649" w:type="dxa"/>
            <w:tcBorders>
              <w:top w:val="single" w:color="416AAB" w:sz="4" w:space="0"/>
              <w:left w:val="single" w:color="416AAB" w:sz="4" w:space="0"/>
              <w:bottom w:val="single" w:color="416AAB" w:sz="4" w:space="0"/>
              <w:right w:val="single" w:color="416AAB" w:sz="4" w:space="0"/>
            </w:tcBorders>
          </w:tcPr>
          <w:p>
            <w:pPr>
              <w:pStyle w:val="25"/>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3078" w:type="dxa"/>
            <w:tcBorders>
              <w:top w:val="single" w:color="416AAB" w:sz="4" w:space="0"/>
              <w:left w:val="single" w:color="416AAB" w:sz="4" w:space="0"/>
              <w:bottom w:val="single" w:color="416AAB" w:sz="4" w:space="0"/>
              <w:right w:val="nil"/>
            </w:tcBorders>
          </w:tcPr>
          <w:p>
            <w:pPr>
              <w:pStyle w:val="25"/>
              <w:spacing w:before="175"/>
              <w:ind w:left="118"/>
              <w:rPr>
                <w:rFonts w:ascii="Times New Roman" w:hAnsi="Times New Roman" w:eastAsia="微软雅黑" w:cs="Times New Roman"/>
                <w:sz w:val="21"/>
                <w:highlight w:val="none"/>
              </w:rPr>
            </w:pPr>
            <w:r>
              <w:rPr>
                <w:rFonts w:hint="eastAsia" w:ascii="Times New Roman" w:hAnsi="Times New Roman" w:eastAsia="微软雅黑" w:cs="黑体"/>
                <w:sz w:val="21"/>
                <w:highlight w:val="none"/>
              </w:rPr>
              <w:t xml:space="preserve">{% if summaryOfRresults.type == </w:t>
            </w:r>
            <w:r>
              <w:rPr>
                <w:rFonts w:ascii="Times New Roman" w:hAnsi="Times New Roman" w:eastAsia="微软雅黑" w:cs="黑体"/>
                <w:sz w:val="21"/>
                <w:highlight w:val="none"/>
              </w:rPr>
              <w:t>“tissue”</w:t>
            </w:r>
            <w:r>
              <w:rPr>
                <w:rFonts w:hint="eastAsia" w:ascii="Times New Roman" w:hAnsi="Times New Roman" w:eastAsia="微软雅黑" w:cs="黑体"/>
                <w:sz w:val="21"/>
                <w:highlight w:val="none"/>
              </w:rPr>
              <w:t xml:space="preserve"> %}</w:t>
            </w:r>
            <w:r>
              <w:rPr>
                <w:rFonts w:hint="eastAsia" w:ascii="微软雅黑" w:hAnsi="微软雅黑" w:eastAsia="微软雅黑" w:cs="微软雅黑"/>
                <w:sz w:val="21"/>
                <w:highlight w:val="none"/>
              </w:rPr>
              <w:t>&gt;</w:t>
            </w:r>
            <w:r>
              <w:rPr>
                <w:rFonts w:hint="eastAsia" w:ascii="Times New Roman" w:hAnsi="Times New Roman" w:eastAsia="微软雅黑" w:cs="Times New Roman"/>
                <w:sz w:val="21"/>
                <w:szCs w:val="22"/>
                <w:highlight w:val="none"/>
              </w:rPr>
              <w:t>=</w:t>
            </w:r>
            <w:r>
              <w:rPr>
                <w:rFonts w:ascii="Times New Roman" w:hAnsi="Times New Roman" w:eastAsia="微软雅黑" w:cs="Times New Roman"/>
                <w:sz w:val="21"/>
                <w:highlight w:val="none"/>
              </w:rPr>
              <w:t>20%</w:t>
            </w:r>
            <w:r>
              <w:rPr>
                <w:rFonts w:hint="eastAsia" w:ascii="Times New Roman" w:hAnsi="Times New Roman" w:eastAsia="微软雅黑" w:cs="黑体"/>
                <w:sz w:val="21"/>
                <w:highlight w:val="none"/>
              </w:rPr>
              <w:t>{% else %}</w:t>
            </w:r>
            <w:r>
              <w:rPr>
                <w:rFonts w:ascii="Times New Roman" w:hAnsi="Times New Roman" w:eastAsia="微软雅黑" w:cs="Times New Roman"/>
                <w:sz w:val="21"/>
                <w:highlight w:val="none"/>
              </w:rPr>
              <w:t>不适用</w:t>
            </w:r>
            <w:r>
              <w:rPr>
                <w:rFonts w:hint="eastAsia" w:ascii="Times New Roman" w:hAnsi="Times New Roman" w:eastAsia="微软雅黑" w:cs="黑体"/>
                <w:sz w:val="21"/>
                <w:highlight w:val="none"/>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pStyle w:val="25"/>
              <w:ind w:left="119"/>
              <w:jc w:val="both"/>
              <w:rPr>
                <w:sz w:val="21"/>
                <w:highlight w:val="none"/>
              </w:rPr>
            </w:pPr>
            <w:r>
              <w:rPr>
                <w:rFonts w:ascii="Times New Roman" w:hAnsi="Times New Roman" w:eastAsia="微软雅黑" w:cs="Times New Roman"/>
                <w:sz w:val="21"/>
                <w:highlight w:val="none"/>
              </w:rPr>
              <w:t>DNA质量</w:t>
            </w:r>
          </w:p>
        </w:tc>
        <w:tc>
          <w:tcPr>
            <w:tcW w:w="3649" w:type="dxa"/>
            <w:tcBorders>
              <w:top w:val="single" w:color="416AAB" w:sz="4" w:space="0"/>
              <w:left w:val="single" w:color="416AAB" w:sz="4" w:space="0"/>
              <w:bottom w:val="single" w:color="416AAB" w:sz="4" w:space="0"/>
              <w:right w:val="single" w:color="416AAB" w:sz="4" w:space="0"/>
            </w:tcBorders>
          </w:tcPr>
          <w:p>
            <w:pPr>
              <w:pStyle w:val="25"/>
              <w:spacing w:before="94"/>
              <w:ind w:left="118"/>
              <w:rPr>
                <w:sz w:val="21"/>
                <w:highlight w:val="none"/>
              </w:rPr>
            </w:pPr>
            <w:r>
              <w:rPr>
                <w:rFonts w:ascii="Times New Roman" w:hAnsi="Times New Roman" w:eastAsia="微软雅黑" w:cs="Times New Roman"/>
                <w:sz w:val="21"/>
                <w:highlight w:val="none"/>
              </w:rPr>
              <w:t>DNA总量</w:t>
            </w:r>
          </w:p>
        </w:tc>
        <w:tc>
          <w:tcPr>
            <w:tcW w:w="3078" w:type="dxa"/>
            <w:tcBorders>
              <w:top w:val="single" w:color="416AAB" w:sz="4" w:space="0"/>
              <w:left w:val="single" w:color="416AAB" w:sz="4" w:space="0"/>
              <w:bottom w:val="single" w:color="416AAB" w:sz="4" w:space="0"/>
              <w:right w:val="nil"/>
            </w:tcBorders>
          </w:tcPr>
          <w:p>
            <w:pPr>
              <w:pStyle w:val="25"/>
              <w:spacing w:before="175"/>
              <w:ind w:left="118"/>
              <w:rPr>
                <w:rFonts w:ascii="Times New Roman" w:hAnsi="Times New Roman" w:eastAsia="微软雅黑" w:cs="Times New Roman"/>
                <w:sz w:val="21"/>
                <w:highlight w:val="none"/>
              </w:rPr>
            </w:pPr>
            <w:r>
              <w:rPr>
                <w:rFonts w:hint="eastAsia" w:ascii="Times New Roman" w:hAnsi="Times New Roman" w:eastAsia="微软雅黑" w:cs="黑体"/>
                <w:sz w:val="21"/>
                <w:highlight w:val="none"/>
              </w:rPr>
              <w:t xml:space="preserve">{% if summaryOfRresults.type == </w:t>
            </w:r>
            <w:r>
              <w:rPr>
                <w:rFonts w:ascii="Times New Roman" w:hAnsi="Times New Roman" w:eastAsia="微软雅黑" w:cs="黑体"/>
                <w:sz w:val="21"/>
                <w:highlight w:val="none"/>
              </w:rPr>
              <w:t>“tissue”</w:t>
            </w:r>
            <w:r>
              <w:rPr>
                <w:rFonts w:hint="eastAsia" w:ascii="Times New Roman" w:hAnsi="Times New Roman" w:eastAsia="微软雅黑" w:cs="黑体"/>
                <w:sz w:val="21"/>
                <w:highlight w:val="none"/>
              </w:rPr>
              <w:t xml:space="preserve"> %}</w:t>
            </w:r>
            <w:r>
              <w:rPr>
                <w:rFonts w:hint="eastAsia" w:ascii="微软雅黑" w:hAnsi="微软雅黑" w:eastAsia="微软雅黑" w:cs="微软雅黑"/>
                <w:sz w:val="21"/>
                <w:szCs w:val="22"/>
                <w:highlight w:val="none"/>
              </w:rPr>
              <w:t>&gt;</w:t>
            </w:r>
            <w:r>
              <w:rPr>
                <w:rFonts w:hint="eastAsia" w:ascii="Times New Roman" w:hAnsi="Times New Roman" w:eastAsia="微软雅黑" w:cs="Times New Roman"/>
                <w:sz w:val="21"/>
                <w:szCs w:val="22"/>
                <w:highlight w:val="none"/>
              </w:rPr>
              <w:t>=</w:t>
            </w:r>
            <w:r>
              <w:rPr>
                <w:rFonts w:ascii="Times New Roman" w:hAnsi="Times New Roman" w:eastAsia="微软雅黑" w:cs="Times New Roman"/>
                <w:sz w:val="21"/>
                <w:highlight w:val="none"/>
              </w:rPr>
              <w:t>1</w:t>
            </w:r>
            <w:r>
              <w:rPr>
                <w:rFonts w:hint="eastAsia" w:ascii="Times New Roman" w:hAnsi="Times New Roman" w:eastAsia="微软雅黑" w:cs="Times New Roman"/>
                <w:sz w:val="21"/>
                <w:highlight w:val="none"/>
                <w:lang w:val="en-US" w:eastAsia="zh-CN"/>
              </w:rPr>
              <w:t>2</w:t>
            </w:r>
            <w:r>
              <w:rPr>
                <w:rFonts w:ascii="Times New Roman" w:hAnsi="Times New Roman" w:eastAsia="微软雅黑" w:cs="Times New Roman"/>
                <w:sz w:val="21"/>
                <w:highlight w:val="none"/>
              </w:rPr>
              <w:t>0ng</w:t>
            </w:r>
            <w:r>
              <w:rPr>
                <w:rFonts w:hint="eastAsia" w:ascii="Times New Roman" w:hAnsi="Times New Roman" w:eastAsia="微软雅黑" w:cs="黑体"/>
                <w:sz w:val="21"/>
                <w:highlight w:val="none"/>
              </w:rPr>
              <w:t>{% else %}</w:t>
            </w:r>
            <w:r>
              <w:rPr>
                <w:rFonts w:hint="eastAsia" w:ascii="微软雅黑" w:hAnsi="微软雅黑" w:eastAsia="微软雅黑" w:cs="微软雅黑"/>
                <w:sz w:val="21"/>
                <w:szCs w:val="22"/>
                <w:highlight w:val="none"/>
              </w:rPr>
              <w:t>&gt;</w:t>
            </w:r>
            <w:r>
              <w:rPr>
                <w:rFonts w:hint="eastAsia" w:ascii="Times New Roman" w:hAnsi="Times New Roman" w:eastAsia="微软雅黑" w:cs="Times New Roman"/>
                <w:sz w:val="21"/>
                <w:szCs w:val="22"/>
                <w:highlight w:val="none"/>
              </w:rPr>
              <w:t>=</w:t>
            </w:r>
            <w:r>
              <w:rPr>
                <w:rFonts w:hint="eastAsia" w:ascii="Times New Roman" w:hAnsi="Times New Roman" w:eastAsia="微软雅黑" w:cs="Times New Roman"/>
                <w:sz w:val="21"/>
                <w:szCs w:val="22"/>
                <w:highlight w:val="none"/>
                <w:lang w:val="en-US" w:eastAsia="zh-CN"/>
              </w:rPr>
              <w:t>2</w:t>
            </w:r>
            <w:r>
              <w:rPr>
                <w:rFonts w:ascii="Times New Roman" w:hAnsi="Times New Roman" w:eastAsia="微软雅黑" w:cs="Times New Roman"/>
                <w:sz w:val="21"/>
                <w:highlight w:val="none"/>
              </w:rPr>
              <w:t>0ng</w:t>
            </w:r>
            <w:r>
              <w:rPr>
                <w:rFonts w:hint="eastAsia" w:ascii="Times New Roman" w:hAnsi="Times New Roman" w:eastAsia="微软雅黑" w:cs="黑体"/>
                <w:sz w:val="21"/>
                <w:highlight w:val="none"/>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pStyle w:val="25"/>
              <w:spacing w:before="94"/>
              <w:ind w:left="118"/>
              <w:rPr>
                <w:sz w:val="21"/>
                <w:highlight w:val="none"/>
              </w:rPr>
            </w:pPr>
            <w:r>
              <w:rPr>
                <w:rFonts w:ascii="Times New Roman" w:hAnsi="Times New Roman" w:eastAsia="微软雅黑" w:cs="Times New Roman"/>
                <w:sz w:val="21"/>
                <w:highlight w:val="none"/>
              </w:rPr>
              <w:t>DNA降解程度</w:t>
            </w:r>
          </w:p>
        </w:tc>
        <w:tc>
          <w:tcPr>
            <w:tcW w:w="3078" w:type="dxa"/>
            <w:tcBorders>
              <w:top w:val="single" w:color="416AAB" w:sz="4" w:space="0"/>
              <w:left w:val="single" w:color="416AAB" w:sz="4" w:space="0"/>
              <w:bottom w:val="single" w:color="416AAB" w:sz="4" w:space="0"/>
              <w:right w:val="nil"/>
            </w:tcBorders>
          </w:tcPr>
          <w:p>
            <w:pPr>
              <w:pStyle w:val="25"/>
              <w:spacing w:before="94"/>
              <w:ind w:left="118"/>
              <w:rPr>
                <w:rFonts w:ascii="Times New Roman" w:hAnsi="Times New Roman" w:eastAsia="微软雅黑" w:cs="Times New Roman"/>
                <w:sz w:val="21"/>
                <w:highlight w:val="none"/>
              </w:rPr>
            </w:pPr>
            <w:r>
              <w:rPr>
                <w:rFonts w:hint="eastAsia" w:ascii="Times New Roman" w:hAnsi="Times New Roman" w:eastAsia="微软雅黑" w:cs="黑体"/>
                <w:sz w:val="21"/>
                <w:highlight w:val="none"/>
              </w:rPr>
              <w:t xml:space="preserve">{% if summaryOfRresults.type == </w:t>
            </w:r>
            <w:r>
              <w:rPr>
                <w:rFonts w:ascii="Times New Roman" w:hAnsi="Times New Roman" w:eastAsia="微软雅黑" w:cs="黑体"/>
                <w:sz w:val="21"/>
                <w:highlight w:val="none"/>
              </w:rPr>
              <w:t>“tissue”</w:t>
            </w:r>
            <w:r>
              <w:rPr>
                <w:rFonts w:hint="eastAsia" w:ascii="Times New Roman" w:hAnsi="Times New Roman" w:eastAsia="微软雅黑" w:cs="黑体"/>
                <w:sz w:val="21"/>
                <w:highlight w:val="none"/>
              </w:rPr>
              <w:t xml:space="preserve"> %}</w:t>
            </w:r>
            <w:r>
              <w:rPr>
                <w:rFonts w:hint="eastAsia" w:ascii="微软雅黑" w:hAnsi="微软雅黑" w:eastAsia="微软雅黑" w:cs="微软雅黑"/>
                <w:sz w:val="21"/>
                <w:szCs w:val="22"/>
                <w:highlight w:val="none"/>
              </w:rPr>
              <w:t>&gt;</w:t>
            </w:r>
            <w:r>
              <w:rPr>
                <w:rFonts w:hint="eastAsia" w:ascii="Times New Roman" w:hAnsi="Times New Roman" w:eastAsia="微软雅黑" w:cs="Times New Roman"/>
                <w:sz w:val="21"/>
                <w:szCs w:val="22"/>
                <w:highlight w:val="none"/>
              </w:rPr>
              <w:t>=</w:t>
            </w:r>
            <w:r>
              <w:rPr>
                <w:rFonts w:ascii="Times New Roman" w:hAnsi="Times New Roman" w:eastAsia="微软雅黑" w:cs="Times New Roman"/>
                <w:sz w:val="21"/>
                <w:highlight w:val="none"/>
              </w:rPr>
              <w:t>C级</w:t>
            </w:r>
            <w:r>
              <w:rPr>
                <w:rFonts w:hint="eastAsia" w:ascii="Times New Roman" w:hAnsi="Times New Roman" w:eastAsia="微软雅黑" w:cs="黑体"/>
                <w:sz w:val="21"/>
                <w:highlight w:val="none"/>
              </w:rPr>
              <w:t>{% else %}</w:t>
            </w:r>
            <w:r>
              <w:rPr>
                <w:rFonts w:ascii="Times New Roman" w:hAnsi="Times New Roman" w:eastAsia="微软雅黑" w:cs="Times New Roman"/>
                <w:sz w:val="21"/>
                <w:highlight w:val="none"/>
              </w:rPr>
              <w:t>不适用</w:t>
            </w:r>
            <w:r>
              <w:rPr>
                <w:rFonts w:hint="eastAsia" w:ascii="Times New Roman" w:hAnsi="Times New Roman" w:eastAsia="微软雅黑" w:cs="黑体"/>
                <w:sz w:val="21"/>
                <w:highlight w:val="none"/>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pStyle w:val="25"/>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文库出库量</w:t>
            </w:r>
          </w:p>
        </w:tc>
        <w:tc>
          <w:tcPr>
            <w:tcW w:w="3078" w:type="dxa"/>
            <w:tcBorders>
              <w:top w:val="single" w:color="416AAB" w:sz="4" w:space="0"/>
              <w:left w:val="single" w:color="416AAB" w:sz="4" w:space="0"/>
              <w:bottom w:val="single" w:color="416AAB" w:sz="4" w:space="0"/>
              <w:right w:val="nil"/>
            </w:tcBorders>
          </w:tcPr>
          <w:p>
            <w:pPr>
              <w:pStyle w:val="25"/>
              <w:spacing w:before="17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&gt;</w:t>
            </w:r>
            <w:r>
              <w:rPr>
                <w:rFonts w:hint="eastAsia" w:ascii="Times New Roman" w:hAnsi="Times New Roman" w:eastAsia="微软雅黑" w:cs="Times New Roman"/>
                <w:sz w:val="21"/>
                <w:szCs w:val="22"/>
                <w:highlight w:val="none"/>
              </w:rPr>
              <w:t>=</w:t>
            </w:r>
            <w:r>
              <w:rPr>
                <w:rFonts w:ascii="Times New Roman" w:hAnsi="Times New Roman" w:eastAsia="微软雅黑" w:cs="Times New Roman"/>
                <w:sz w:val="21"/>
                <w:highlight w:val="none"/>
              </w:rPr>
              <w:t>500ng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pStyle w:val="25"/>
              <w:spacing w:before="1"/>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测序质控</w:t>
            </w:r>
          </w:p>
        </w:tc>
        <w:tc>
          <w:tcPr>
            <w:tcW w:w="3649" w:type="dxa"/>
            <w:tcBorders>
              <w:top w:val="single" w:color="416AAB" w:sz="4" w:space="0"/>
              <w:left w:val="single" w:color="416AAB" w:sz="4" w:space="0"/>
              <w:bottom w:val="single" w:color="416AAB" w:sz="4" w:space="0"/>
              <w:right w:val="single" w:color="416AAB" w:sz="4" w:space="0"/>
            </w:tcBorders>
          </w:tcPr>
          <w:p>
            <w:pPr>
              <w:pStyle w:val="25"/>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下机数据量</w:t>
            </w:r>
          </w:p>
        </w:tc>
        <w:tc>
          <w:tcPr>
            <w:tcW w:w="3078" w:type="dxa"/>
            <w:tcBorders>
              <w:top w:val="single" w:color="416AAB" w:sz="4" w:space="0"/>
              <w:left w:val="single" w:color="416AAB" w:sz="4" w:space="0"/>
              <w:bottom w:val="single" w:color="416AAB" w:sz="4" w:space="0"/>
              <w:right w:val="nil"/>
            </w:tcBorders>
          </w:tcPr>
          <w:p>
            <w:pPr>
              <w:pStyle w:val="25"/>
              <w:spacing w:before="175"/>
              <w:ind w:left="118"/>
              <w:rPr>
                <w:rFonts w:ascii="Times New Roman" w:hAnsi="Times New Roman" w:eastAsia="微软雅黑" w:cs="Times New Roman"/>
                <w:sz w:val="21"/>
                <w:highlight w:val="none"/>
              </w:rPr>
            </w:pPr>
            <w:r>
              <w:rPr>
                <w:rFonts w:hint="eastAsia" w:ascii="Times New Roman" w:hAnsi="Times New Roman" w:eastAsia="微软雅黑" w:cs="黑体"/>
                <w:sz w:val="21"/>
                <w:highlight w:val="none"/>
              </w:rPr>
              <w:t xml:space="preserve">{% if summaryOfRresults.type == </w:t>
            </w:r>
            <w:r>
              <w:rPr>
                <w:rFonts w:ascii="Times New Roman" w:hAnsi="Times New Roman" w:eastAsia="微软雅黑" w:cs="黑体"/>
                <w:sz w:val="21"/>
                <w:highlight w:val="none"/>
              </w:rPr>
              <w:t>“tissue”</w:t>
            </w:r>
            <w:r>
              <w:rPr>
                <w:rFonts w:hint="eastAsia" w:ascii="Times New Roman" w:hAnsi="Times New Roman" w:eastAsia="微软雅黑" w:cs="黑体"/>
                <w:sz w:val="21"/>
                <w:highlight w:val="none"/>
              </w:rPr>
              <w:t xml:space="preserve"> %}</w:t>
            </w:r>
            <w:r>
              <w:rPr>
                <w:rFonts w:hint="eastAsia" w:ascii="微软雅黑" w:hAnsi="微软雅黑" w:eastAsia="微软雅黑" w:cs="微软雅黑"/>
                <w:sz w:val="21"/>
                <w:szCs w:val="22"/>
                <w:highlight w:val="none"/>
              </w:rPr>
              <w:t>&gt;</w:t>
            </w:r>
            <w:r>
              <w:rPr>
                <w:rFonts w:hint="eastAsia" w:ascii="Times New Roman" w:hAnsi="Times New Roman" w:eastAsia="微软雅黑" w:cs="Times New Roman"/>
                <w:sz w:val="21"/>
                <w:szCs w:val="22"/>
                <w:highlight w:val="none"/>
              </w:rPr>
              <w:t>=</w:t>
            </w:r>
            <w:r>
              <w:rPr>
                <w:rFonts w:ascii="Times New Roman" w:hAnsi="Times New Roman" w:eastAsia="微软雅黑" w:cs="Times New Roman"/>
                <w:sz w:val="21"/>
                <w:highlight w:val="none"/>
              </w:rPr>
              <w:t>8G</w:t>
            </w:r>
            <w:r>
              <w:rPr>
                <w:rFonts w:hint="eastAsia" w:ascii="Times New Roman" w:hAnsi="Times New Roman" w:eastAsia="微软雅黑" w:cs="黑体"/>
                <w:sz w:val="21"/>
                <w:highlight w:val="none"/>
              </w:rPr>
              <w:t>{% else %}</w:t>
            </w:r>
            <w:r>
              <w:rPr>
                <w:rFonts w:hint="eastAsia" w:ascii="微软雅黑" w:hAnsi="微软雅黑" w:eastAsia="微软雅黑" w:cs="微软雅黑"/>
                <w:sz w:val="21"/>
                <w:szCs w:val="22"/>
                <w:highlight w:val="none"/>
              </w:rPr>
              <w:t>&gt;</w:t>
            </w:r>
            <w:r>
              <w:rPr>
                <w:rFonts w:hint="eastAsia" w:ascii="Times New Roman" w:hAnsi="Times New Roman" w:eastAsia="微软雅黑" w:cs="Times New Roman"/>
                <w:sz w:val="21"/>
                <w:szCs w:val="22"/>
                <w:highlight w:val="none"/>
              </w:rPr>
              <w:t>=</w:t>
            </w:r>
            <w:r>
              <w:rPr>
                <w:rFonts w:ascii="Times New Roman" w:hAnsi="Times New Roman" w:eastAsia="微软雅黑" w:cs="Times New Roman"/>
                <w:sz w:val="21"/>
                <w:highlight w:val="none"/>
              </w:rPr>
              <w:t>17G</w:t>
            </w:r>
            <w:r>
              <w:rPr>
                <w:rFonts w:hint="eastAsia" w:ascii="Times New Roman" w:hAnsi="Times New Roman" w:eastAsia="微软雅黑" w:cs="黑体"/>
                <w:sz w:val="21"/>
                <w:highlight w:val="none"/>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pStyle w:val="25"/>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平均有效测序深度</w:t>
            </w:r>
          </w:p>
        </w:tc>
        <w:tc>
          <w:tcPr>
            <w:tcW w:w="3078" w:type="dxa"/>
            <w:tcBorders>
              <w:top w:val="single" w:color="416AAB" w:sz="4" w:space="0"/>
              <w:left w:val="single" w:color="416AAB" w:sz="4" w:space="0"/>
              <w:bottom w:val="single" w:color="416AAB" w:sz="4" w:space="0"/>
              <w:right w:val="nil"/>
            </w:tcBorders>
          </w:tcPr>
          <w:p>
            <w:pPr>
              <w:pStyle w:val="25"/>
              <w:spacing w:before="175"/>
              <w:ind w:left="118"/>
              <w:rPr>
                <w:rFonts w:ascii="Times New Roman" w:hAnsi="Times New Roman" w:eastAsia="微软雅黑" w:cs="Times New Roman"/>
                <w:sz w:val="21"/>
                <w:highlight w:val="none"/>
              </w:rPr>
            </w:pPr>
            <w:r>
              <w:rPr>
                <w:rFonts w:hint="eastAsia" w:ascii="Times New Roman" w:hAnsi="Times New Roman" w:eastAsia="微软雅黑" w:cs="黑体"/>
                <w:sz w:val="21"/>
                <w:highlight w:val="none"/>
              </w:rPr>
              <w:t xml:space="preserve">{% if summaryOfRresults.type == </w:t>
            </w:r>
            <w:r>
              <w:rPr>
                <w:rFonts w:ascii="Times New Roman" w:hAnsi="Times New Roman" w:eastAsia="微软雅黑" w:cs="黑体"/>
                <w:sz w:val="21"/>
                <w:highlight w:val="none"/>
              </w:rPr>
              <w:t>“tissue”</w:t>
            </w:r>
            <w:r>
              <w:rPr>
                <w:rFonts w:hint="eastAsia" w:ascii="Times New Roman" w:hAnsi="Times New Roman" w:eastAsia="微软雅黑" w:cs="黑体"/>
                <w:sz w:val="21"/>
                <w:highlight w:val="none"/>
              </w:rPr>
              <w:t xml:space="preserve"> %}</w:t>
            </w:r>
            <w:r>
              <w:rPr>
                <w:rFonts w:hint="eastAsia" w:ascii="微软雅黑" w:hAnsi="微软雅黑" w:eastAsia="微软雅黑" w:cs="微软雅黑"/>
                <w:sz w:val="21"/>
                <w:szCs w:val="22"/>
                <w:highlight w:val="none"/>
              </w:rPr>
              <w:t>&gt;</w:t>
            </w:r>
            <w:r>
              <w:rPr>
                <w:rFonts w:hint="eastAsia" w:ascii="Times New Roman" w:hAnsi="Times New Roman" w:eastAsia="微软雅黑" w:cs="Times New Roman"/>
                <w:sz w:val="21"/>
                <w:szCs w:val="22"/>
                <w:highlight w:val="none"/>
              </w:rPr>
              <w:t>=</w:t>
            </w:r>
            <w:r>
              <w:rPr>
                <w:rFonts w:ascii="Times New Roman" w:hAnsi="Times New Roman" w:eastAsia="微软雅黑" w:cs="Times New Roman"/>
                <w:sz w:val="21"/>
                <w:highlight w:val="none"/>
              </w:rPr>
              <w:t>1</w:t>
            </w:r>
            <w:r>
              <w:rPr>
                <w:rFonts w:hint="eastAsia" w:ascii="Times New Roman" w:hAnsi="Times New Roman" w:eastAsia="微软雅黑" w:cs="Times New Roman"/>
                <w:sz w:val="21"/>
                <w:highlight w:val="none"/>
                <w:lang w:val="en-US" w:eastAsia="zh-CN"/>
              </w:rPr>
              <w:t>0</w:t>
            </w:r>
            <w:r>
              <w:rPr>
                <w:rFonts w:ascii="Times New Roman" w:hAnsi="Times New Roman" w:eastAsia="微软雅黑" w:cs="Times New Roman"/>
                <w:sz w:val="21"/>
                <w:highlight w:val="none"/>
              </w:rPr>
              <w:t>00X</w:t>
            </w:r>
            <w:r>
              <w:rPr>
                <w:rFonts w:hint="eastAsia" w:ascii="Times New Roman" w:hAnsi="Times New Roman" w:eastAsia="微软雅黑" w:cs="黑体"/>
                <w:sz w:val="21"/>
                <w:highlight w:val="none"/>
              </w:rPr>
              <w:t>{% else %}</w:t>
            </w:r>
            <w:r>
              <w:rPr>
                <w:rFonts w:hint="eastAsia" w:ascii="微软雅黑" w:hAnsi="微软雅黑" w:eastAsia="微软雅黑" w:cs="微软雅黑"/>
                <w:sz w:val="21"/>
                <w:szCs w:val="22"/>
                <w:highlight w:val="none"/>
              </w:rPr>
              <w:t>&gt;</w:t>
            </w:r>
            <w:r>
              <w:rPr>
                <w:rFonts w:hint="eastAsia" w:ascii="Times New Roman" w:hAnsi="Times New Roman" w:eastAsia="微软雅黑" w:cs="Times New Roman"/>
                <w:sz w:val="21"/>
                <w:szCs w:val="22"/>
                <w:highlight w:val="none"/>
              </w:rPr>
              <w:t>=</w:t>
            </w:r>
            <w:r>
              <w:rPr>
                <w:rFonts w:ascii="Times New Roman" w:hAnsi="Times New Roman" w:eastAsia="微软雅黑" w:cs="Times New Roman"/>
                <w:sz w:val="21"/>
                <w:highlight w:val="none"/>
              </w:rPr>
              <w:t>1500X</w:t>
            </w:r>
            <w:r>
              <w:rPr>
                <w:rFonts w:hint="eastAsia" w:ascii="Times New Roman" w:hAnsi="Times New Roman" w:eastAsia="微软雅黑" w:cs="黑体"/>
                <w:sz w:val="21"/>
                <w:highlight w:val="none"/>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86"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pStyle w:val="25"/>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目标区域覆盖度</w:t>
            </w:r>
          </w:p>
        </w:tc>
        <w:tc>
          <w:tcPr>
            <w:tcW w:w="3078" w:type="dxa"/>
            <w:tcBorders>
              <w:top w:val="single" w:color="416AAB" w:sz="4" w:space="0"/>
              <w:left w:val="single" w:color="416AAB" w:sz="4" w:space="0"/>
              <w:bottom w:val="single" w:color="416AAB" w:sz="4" w:space="0"/>
              <w:right w:val="nil"/>
            </w:tcBorders>
          </w:tcPr>
          <w:p>
            <w:pPr>
              <w:pStyle w:val="25"/>
              <w:spacing w:before="95"/>
              <w:ind w:left="118"/>
              <w:rPr>
                <w:sz w:val="21"/>
                <w:highlight w:val="none"/>
              </w:rPr>
            </w:pPr>
            <w:r>
              <w:rPr>
                <w:rFonts w:ascii="Times New Roman" w:hAnsi="Times New Roman" w:eastAsia="微软雅黑" w:cs="Times New Roman"/>
                <w:sz w:val="21"/>
                <w:highlight w:val="none"/>
              </w:rPr>
              <w:t>99%以上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96"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pStyle w:val="25"/>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碱基质量Q30</w:t>
            </w:r>
          </w:p>
        </w:tc>
        <w:tc>
          <w:tcPr>
            <w:tcW w:w="3078" w:type="dxa"/>
            <w:tcBorders>
              <w:top w:val="single" w:color="416AAB" w:sz="4" w:space="0"/>
              <w:left w:val="single" w:color="416AAB" w:sz="4" w:space="0"/>
              <w:bottom w:val="single" w:color="416AAB" w:sz="4" w:space="0"/>
              <w:right w:val="nil"/>
            </w:tcBorders>
          </w:tcPr>
          <w:p>
            <w:pPr>
              <w:pStyle w:val="25"/>
              <w:spacing w:before="95"/>
              <w:ind w:left="118"/>
              <w:rPr>
                <w:sz w:val="21"/>
                <w:highlight w:val="none"/>
              </w:rPr>
            </w:pPr>
            <w:r>
              <w:rPr>
                <w:rFonts w:ascii="Times New Roman" w:hAnsi="Times New Roman" w:eastAsia="微软雅黑" w:cs="Times New Roman"/>
                <w:sz w:val="21"/>
                <w:highlight w:val="none"/>
              </w:rPr>
              <w:t>85%以上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3078" w:type="dxa"/>
            <w:tcBorders>
              <w:top w:val="single" w:color="416AAB" w:sz="4" w:space="0"/>
              <w:left w:val="nil"/>
              <w:right w:val="single" w:color="416AAB" w:sz="4" w:space="0"/>
            </w:tcBorders>
            <w:shd w:val="clear" w:color="auto" w:fill="F1F1F1"/>
            <w:vAlign w:val="center"/>
          </w:tcPr>
          <w:p>
            <w:pPr>
              <w:pStyle w:val="25"/>
              <w:spacing w:before="94"/>
              <w:ind w:left="119"/>
              <w:jc w:val="both"/>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rPr>
              <w:t>总体质量评估</w:t>
            </w:r>
          </w:p>
        </w:tc>
        <w:tc>
          <w:tcPr>
            <w:tcW w:w="6727" w:type="dxa"/>
            <w:gridSpan w:val="2"/>
            <w:tcBorders>
              <w:top w:val="single" w:color="416AAB" w:sz="4" w:space="0"/>
              <w:left w:val="single" w:color="416AAB" w:sz="4" w:space="0"/>
              <w:right w:val="nil"/>
            </w:tcBorders>
            <w:shd w:val="clear" w:color="auto" w:fill="F1F1F1"/>
            <w:vAlign w:val="center"/>
          </w:tcPr>
          <w:p>
            <w:pPr>
              <w:pStyle w:val="25"/>
              <w:spacing w:before="52"/>
              <w:jc w:val="center"/>
              <w:rPr>
                <w:rFonts w:ascii="Times New Roman" w:hAnsi="Times New Roman" w:eastAsia="微软雅黑" w:cs="Times New Roman"/>
                <w:sz w:val="21"/>
                <w:highlight w:val="none"/>
              </w:rPr>
            </w:pPr>
            <w:r>
              <w:rPr>
                <w:rFonts w:hint="eastAsia" w:ascii="Times New Roman" w:hAnsi="Times New Roman" w:eastAsia="微软雅黑" w:cs="黑体"/>
                <w:sz w:val="21"/>
                <w:highlight w:val="none"/>
              </w:rPr>
              <w:t xml:space="preserve">{% if summaryOfRresults.qualityStat== </w:t>
            </w:r>
            <w:r>
              <w:rPr>
                <w:rFonts w:ascii="Times New Roman" w:hAnsi="Times New Roman" w:eastAsia="微软雅黑" w:cs="黑体"/>
                <w:sz w:val="21"/>
                <w:highlight w:val="none"/>
              </w:rPr>
              <w:t>“</w:t>
            </w:r>
            <w:r>
              <w:rPr>
                <w:rFonts w:hint="eastAsia" w:ascii="Times New Roman" w:hAnsi="Times New Roman" w:eastAsia="微软雅黑" w:cs="黑体"/>
                <w:sz w:val="21"/>
                <w:highlight w:val="none"/>
              </w:rPr>
              <w:t>D</w:t>
            </w:r>
            <w:r>
              <w:rPr>
                <w:rFonts w:ascii="Times New Roman" w:hAnsi="Times New Roman" w:eastAsia="微软雅黑" w:cs="黑体"/>
                <w:sz w:val="21"/>
                <w:highlight w:val="none"/>
              </w:rPr>
              <w:t>”</w:t>
            </w:r>
            <w:r>
              <w:rPr>
                <w:rFonts w:hint="eastAsia" w:ascii="Times New Roman" w:hAnsi="Times New Roman" w:eastAsia="微软雅黑" w:cs="黑体"/>
                <w:sz w:val="21"/>
                <w:highlight w:val="none"/>
              </w:rPr>
              <w:t xml:space="preserve"> %}风险{% else %}合格{% endif %}</w:t>
            </w:r>
          </w:p>
        </w:tc>
      </w:tr>
    </w:tbl>
    <w:p>
      <w:pPr>
        <w:pStyle w:val="6"/>
        <w:rPr>
          <w:b/>
          <w:sz w:val="6"/>
          <w:highlight w:val="none"/>
        </w:rPr>
      </w:pPr>
    </w:p>
    <w:p>
      <w:pPr>
        <w:spacing w:before="53" w:line="301" w:lineRule="exact"/>
        <w:ind w:left="133"/>
        <w:rPr>
          <w:rFonts w:ascii="微软雅黑" w:hAnsi="微软雅黑" w:eastAsia="微软雅黑" w:cs="微软雅黑"/>
          <w:b/>
          <w:sz w:val="18"/>
          <w:highlight w:val="none"/>
        </w:rPr>
      </w:pPr>
      <w:r>
        <w:rPr>
          <w:rFonts w:ascii="Times New Roman" w:hAnsi="Times New Roman" w:eastAsia="微软雅黑" w:cs="Times New Roman"/>
          <w:b/>
          <w:sz w:val="18"/>
          <w:highlight w:val="none"/>
        </w:rPr>
        <w:t>DNA 降解程度说明:</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A级：有主带，或降解均匀且降解区域主要集中在5000bp以上。</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B级：无主带，降解均匀且降解区域主要集中在1500-5000bp之间。</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C级：无主带，降解均匀且降解区域主要集中在500-1500bp之间。</w:t>
      </w:r>
    </w:p>
    <w:p>
      <w:pPr>
        <w:pStyle w:val="6"/>
        <w:spacing w:line="270" w:lineRule="exact"/>
        <w:ind w:left="133"/>
        <w:rPr>
          <w:rFonts w:ascii="微软雅黑" w:hAnsi="微软雅黑" w:eastAsia="微软雅黑" w:cs="微软雅黑"/>
          <w:highlight w:val="none"/>
          <w:lang w:eastAsia="zh-CN"/>
        </w:rPr>
        <w:sectPr>
          <w:headerReference r:id="rId5" w:type="default"/>
          <w:footerReference r:id="rId6" w:type="default"/>
          <w:pgSz w:w="11910" w:h="16840"/>
          <w:pgMar w:top="1037" w:right="1020" w:bottom="981" w:left="1020" w:header="567" w:footer="567" w:gutter="0"/>
          <w:pgBorders>
            <w:top w:val="none" w:sz="0" w:space="0"/>
            <w:left w:val="none" w:sz="0" w:space="0"/>
            <w:bottom w:val="none" w:sz="0" w:space="0"/>
            <w:right w:val="none" w:sz="0" w:space="0"/>
          </w:pgBorders>
          <w:cols w:space="720" w:num="1"/>
        </w:sectPr>
      </w:pPr>
      <w:r>
        <w:rPr>
          <w:rFonts w:ascii="Times New Roman" w:hAnsi="Times New Roman" w:eastAsia="微软雅黑" w:cs="Times New Roman"/>
          <w:highlight w:val="none"/>
          <w:lang w:eastAsia="zh-CN"/>
        </w:rPr>
        <w:t>D</w:t>
      </w:r>
      <w:r>
        <w:rPr>
          <w:rFonts w:ascii="Times New Roman" w:hAnsi="Times New Roman" w:eastAsia="微软雅黑" w:cs="Times New Roman"/>
          <w:spacing w:val="3"/>
          <w:highlight w:val="none"/>
          <w:lang w:eastAsia="zh-CN"/>
        </w:rPr>
        <w:t>级</w:t>
      </w:r>
      <w:r>
        <w:rPr>
          <w:rFonts w:ascii="Times New Roman" w:hAnsi="Times New Roman" w:eastAsia="微软雅黑" w:cs="Times New Roman"/>
          <w:highlight w:val="none"/>
          <w:lang w:eastAsia="zh-CN"/>
        </w:rPr>
        <w:t>（</w:t>
      </w:r>
      <w:r>
        <w:rPr>
          <w:rFonts w:ascii="Times New Roman" w:hAnsi="Times New Roman" w:eastAsia="微软雅黑" w:cs="Times New Roman"/>
          <w:spacing w:val="1"/>
          <w:highlight w:val="none"/>
          <w:lang w:eastAsia="zh-CN"/>
        </w:rPr>
        <w:t>不合格</w:t>
      </w:r>
      <w:r>
        <w:rPr>
          <w:rFonts w:ascii="Times New Roman" w:hAnsi="Times New Roman" w:eastAsia="微软雅黑" w:cs="Times New Roman"/>
          <w:spacing w:val="-90"/>
          <w:highlight w:val="none"/>
          <w:lang w:eastAsia="zh-CN"/>
        </w:rPr>
        <w:t>）</w:t>
      </w:r>
      <w:r>
        <w:rPr>
          <w:rFonts w:ascii="微软雅黑" w:hAnsi="微软雅黑" w:eastAsia="微软雅黑" w:cs="微软雅黑"/>
          <w:highlight w:val="none"/>
          <w:lang w:eastAsia="zh-CN"/>
        </w:rPr>
        <w:t>）</w:t>
      </w:r>
      <w:r>
        <w:rPr>
          <w:rFonts w:ascii="Times New Roman" w:hAnsi="Times New Roman" w:eastAsia="微软雅黑" w:cs="Times New Roman"/>
          <w:highlight w:val="none"/>
          <w:lang w:eastAsia="zh-CN"/>
        </w:rPr>
        <w:t>：无主带，降解均匀且降解区域主要集中在500-1500bp</w:t>
      </w:r>
      <w:r>
        <w:rPr>
          <w:rFonts w:ascii="Times New Roman" w:hAnsi="Times New Roman" w:eastAsia="微软雅黑" w:cs="Times New Roman"/>
          <w:spacing w:val="-1"/>
          <w:highlight w:val="none"/>
          <w:lang w:eastAsia="zh-CN"/>
        </w:rPr>
        <w:t>之间，但总量介于</w:t>
      </w:r>
      <w:r>
        <w:rPr>
          <w:rFonts w:ascii="Times New Roman" w:hAnsi="Times New Roman" w:eastAsia="微软雅黑" w:cs="Times New Roman"/>
          <w:highlight w:val="none"/>
          <w:lang w:eastAsia="zh-CN"/>
        </w:rPr>
        <w:t>100ng</w:t>
      </w:r>
      <w:r>
        <w:rPr>
          <w:rFonts w:ascii="Times New Roman" w:hAnsi="Times New Roman" w:eastAsia="微软雅黑" w:cs="Times New Roman"/>
          <w:spacing w:val="-3"/>
          <w:highlight w:val="none"/>
          <w:lang w:eastAsia="zh-CN"/>
        </w:rPr>
        <w:t>到</w:t>
      </w:r>
      <w:r>
        <w:rPr>
          <w:rFonts w:ascii="Times New Roman" w:hAnsi="Times New Roman" w:eastAsia="微软雅黑" w:cs="Times New Roman"/>
          <w:highlight w:val="none"/>
          <w:lang w:eastAsia="zh-CN"/>
        </w:rPr>
        <w:t>300ng之间；或降解区</w:t>
      </w:r>
      <w:r>
        <w:rPr>
          <w:rFonts w:ascii="Times New Roman" w:hAnsi="Times New Roman" w:eastAsia="微软雅黑" w:cs="Times New Roman"/>
          <w:spacing w:val="-2"/>
          <w:highlight w:val="none"/>
          <w:lang w:eastAsia="zh-CN"/>
        </w:rPr>
        <w:t>域弥散在</w:t>
      </w:r>
      <w:r>
        <w:rPr>
          <w:rFonts w:ascii="Times New Roman" w:hAnsi="Times New Roman" w:eastAsia="微软雅黑" w:cs="Times New Roman"/>
          <w:highlight w:val="none"/>
          <w:lang w:eastAsia="zh-CN"/>
        </w:rPr>
        <w:t>150-1000bp</w:t>
      </w:r>
      <w:r>
        <w:rPr>
          <w:rFonts w:ascii="Times New Roman" w:hAnsi="Times New Roman" w:eastAsia="微软雅黑" w:cs="Times New Roman"/>
          <w:spacing w:val="-2"/>
          <w:highlight w:val="none"/>
          <w:lang w:eastAsia="zh-CN"/>
        </w:rPr>
        <w:t>，或集中在</w:t>
      </w:r>
      <w:r>
        <w:rPr>
          <w:rFonts w:ascii="Times New Roman" w:hAnsi="Times New Roman" w:eastAsia="微软雅黑" w:cs="Times New Roman"/>
          <w:highlight w:val="none"/>
          <w:lang w:eastAsia="zh-CN"/>
        </w:rPr>
        <w:t>500bp以下。</w:t>
      </w:r>
    </w:p>
    <w:p>
      <w:pPr>
        <w:pStyle w:val="24"/>
        <w:spacing w:line="240" w:lineRule="exact"/>
        <w:rPr>
          <w:highlight w:val="none"/>
        </w:rPr>
      </w:pPr>
      <w:bookmarkStart w:id="80" w:name="_Toc11896_WPSOffice_Level1"/>
      <w:bookmarkStart w:id="81" w:name="_Toc11193_WPSOffice_Level1"/>
      <w:bookmarkStart w:id="82" w:name="_Toc28810_WPSOffice_Level1"/>
      <w:bookmarkStart w:id="83" w:name="_Toc31995"/>
      <w:r>
        <w:rPr>
          <w:highlight w:val="none"/>
        </w:rPr>
        <w:t>常见靶向药物相关基因检测列表</w:t>
      </w:r>
      <w:bookmarkEnd w:id="80"/>
      <w:bookmarkEnd w:id="81"/>
      <w:bookmarkEnd w:id="82"/>
      <w:bookmarkEnd w:id="83"/>
      <w:bookmarkStart w:id="84" w:name="OLE_LINK73"/>
      <w:bookmarkStart w:id="85" w:name="OLE_LINK74"/>
      <w:bookmarkStart w:id="86" w:name="OLE_LINK66"/>
      <w:bookmarkStart w:id="87" w:name="OLE_LINK59"/>
      <w:bookmarkStart w:id="88" w:name="OLE_LINK65"/>
      <w:bookmarkStart w:id="89" w:name="OLE_LINK57"/>
      <w:bookmarkStart w:id="90" w:name="OLE_LINK58"/>
    </w:p>
    <w:tbl>
      <w:tblPr>
        <w:tblStyle w:val="13"/>
        <w:tblpPr w:leftFromText="180" w:rightFromText="180" w:vertAnchor="text" w:horzAnchor="page" w:tblpXSpec="center" w:tblpY="224"/>
        <w:tblOverlap w:val="never"/>
        <w:tblW w:w="10514"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222"/>
        <w:gridCol w:w="565"/>
        <w:gridCol w:w="442"/>
        <w:gridCol w:w="170"/>
        <w:gridCol w:w="502"/>
        <w:gridCol w:w="4581"/>
        <w:gridCol w:w="89"/>
        <w:gridCol w:w="3668"/>
        <w:gridCol w:w="275"/>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683" w:hRule="exact"/>
          <w:tblHeader/>
          <w:jc w:val="center"/>
        </w:trPr>
        <w:tc>
          <w:tcPr>
            <w:tcW w:w="787" w:type="dxa"/>
            <w:gridSpan w:val="2"/>
            <w:shd w:val="clear" w:color="auto" w:fill="auto"/>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12" w:type="dxa"/>
            <w:gridSpan w:val="2"/>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5172" w:type="dxa"/>
            <w:gridSpan w:val="3"/>
            <w:shd w:val="clear" w:color="auto" w:fill="auto"/>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943" w:type="dxa"/>
            <w:gridSpan w:val="2"/>
            <w:shd w:val="clear" w:color="auto" w:fill="auto"/>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601" w:hRule="exact"/>
          <w:tblHeader/>
          <w:jc w:val="center"/>
        </w:trPr>
        <w:tc>
          <w:tcPr>
            <w:tcW w:w="78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AKT1</w:t>
            </w:r>
          </w:p>
        </w:tc>
        <w:tc>
          <w:tcPr>
            <w:tcW w:w="612" w:type="dxa"/>
            <w:gridSpan w:val="2"/>
            <w:vAlign w:val="center"/>
          </w:tcPr>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z w:val="18"/>
                <w:szCs w:val="18"/>
                <w:highlight w:val="none"/>
              </w:rPr>
              <w:t>突变</w:t>
            </w:r>
          </w:p>
        </w:tc>
        <w:tc>
          <w:tcPr>
            <w:tcW w:w="5172" w:type="dxa"/>
            <w:gridSpan w:val="3"/>
            <w:vAlign w:val="center"/>
          </w:tcPr>
          <w:p>
            <w:pPr>
              <w:spacing w:before="19" w:line="315" w:lineRule="auto"/>
              <w:ind w:right="-8"/>
              <w:jc w:val="both"/>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Ipatasertib+</w:t>
            </w:r>
            <w:r>
              <w:rPr>
                <w:rFonts w:hint="eastAsia" w:ascii="Times New Roman" w:hAnsi="Times New Roman" w:eastAsia="微软雅黑" w:cs="Times New Roman"/>
                <w:spacing w:val="-1"/>
                <w:sz w:val="18"/>
                <w:szCs w:val="18"/>
                <w:highlight w:val="none"/>
              </w:rPr>
              <w:t>紫杉醇（临床</w:t>
            </w:r>
            <w:r>
              <w:rPr>
                <w:rFonts w:ascii="Times New Roman" w:hAnsi="Times New Roman" w:eastAsia="微软雅黑" w:cs="Times New Roman"/>
                <w:spacing w:val="-1"/>
                <w:sz w:val="18"/>
                <w:szCs w:val="18"/>
                <w:highlight w:val="none"/>
              </w:rPr>
              <w:t>II</w:t>
            </w:r>
            <w:r>
              <w:rPr>
                <w:rFonts w:hint="eastAsia" w:ascii="Times New Roman" w:hAnsi="Times New Roman" w:eastAsia="微软雅黑" w:cs="Times New Roman"/>
                <w:spacing w:val="-1"/>
                <w:sz w:val="18"/>
                <w:szCs w:val="18"/>
                <w:highlight w:val="none"/>
              </w:rPr>
              <w:t>期）</w:t>
            </w:r>
          </w:p>
        </w:tc>
        <w:tc>
          <w:tcPr>
            <w:tcW w:w="3943" w:type="dxa"/>
            <w:gridSpan w:val="2"/>
            <w:vAlign w:val="center"/>
          </w:tcPr>
          <w:p>
            <w:pPr>
              <w:spacing w:before="19"/>
              <w:ind w:right="62"/>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lang w:eastAsia="zh-CN"/>
              </w:rPr>
              <w:t>在乳腺癌中，携带</w:t>
            </w:r>
            <w:r>
              <w:rPr>
                <w:rFonts w:ascii="Times New Roman" w:hAnsi="Times New Roman" w:eastAsia="微软雅黑" w:cs="Times New Roman"/>
                <w:spacing w:val="-1"/>
                <w:sz w:val="18"/>
                <w:szCs w:val="18"/>
                <w:highlight w:val="none"/>
                <w:lang w:eastAsia="zh-CN"/>
              </w:rPr>
              <w:t>AKT1 E17K</w:t>
            </w:r>
            <w:r>
              <w:rPr>
                <w:rFonts w:hint="eastAsia" w:ascii="Times New Roman" w:hAnsi="Times New Roman" w:eastAsia="微软雅黑" w:cs="Times New Roman"/>
                <w:spacing w:val="-1"/>
                <w:sz w:val="18"/>
                <w:szCs w:val="18"/>
                <w:highlight w:val="none"/>
                <w:lang w:eastAsia="zh-CN"/>
              </w:rPr>
              <w:t>突变的患者对</w:t>
            </w:r>
            <w:r>
              <w:rPr>
                <w:rFonts w:ascii="Times New Roman" w:hAnsi="Times New Roman" w:eastAsia="微软雅黑" w:cs="Times New Roman"/>
                <w:spacing w:val="-1"/>
                <w:sz w:val="18"/>
                <w:szCs w:val="18"/>
                <w:highlight w:val="none"/>
              </w:rPr>
              <w:t>Ipatasertib+</w:t>
            </w:r>
            <w:r>
              <w:rPr>
                <w:rFonts w:hint="eastAsia" w:ascii="Times New Roman" w:hAnsi="Times New Roman" w:eastAsia="微软雅黑" w:cs="Times New Roman"/>
                <w:spacing w:val="-1"/>
                <w:sz w:val="18"/>
                <w:szCs w:val="18"/>
                <w:highlight w:val="none"/>
              </w:rPr>
              <w:t>紫杉醇敏感</w:t>
            </w:r>
            <w:r>
              <w:rPr>
                <w:rFonts w:ascii="Times New Roman" w:hAnsi="Times New Roman" w:eastAsia="微软雅黑" w:cs="Times New Roman"/>
                <w:spacing w:val="-1"/>
                <w:sz w:val="18"/>
                <w:szCs w:val="18"/>
                <w:highlight w:val="none"/>
                <w:vertAlign w:val="superscript"/>
              </w:rPr>
              <w:t xml:space="preserve"> [1</w:t>
            </w:r>
            <w:r>
              <w:rPr>
                <w:rFonts w:hint="eastAsia" w:ascii="Times New Roman" w:hAnsi="Times New Roman" w:eastAsia="微软雅黑" w:cs="Times New Roman"/>
                <w:spacing w:val="-1"/>
                <w:sz w:val="18"/>
                <w:szCs w:val="18"/>
                <w:highlight w:val="none"/>
                <w:vertAlign w:val="superscript"/>
              </w:rPr>
              <w:t>-</w:t>
            </w:r>
            <w:r>
              <w:rPr>
                <w:rFonts w:ascii="Times New Roman" w:hAnsi="Times New Roman" w:eastAsia="微软雅黑" w:cs="Times New Roman"/>
                <w:spacing w:val="-1"/>
                <w:sz w:val="18"/>
                <w:szCs w:val="18"/>
                <w:highlight w:val="none"/>
                <w:vertAlign w:val="superscript"/>
              </w:rPr>
              <w:t>2]</w:t>
            </w:r>
            <w:r>
              <w:rPr>
                <w:rFonts w:hint="eastAsia" w:ascii="Times New Roman" w:hAnsi="Times New Roman" w:eastAsia="微软雅黑" w:cs="Times New Roman"/>
                <w:spacing w:val="-1"/>
                <w:sz w:val="18"/>
                <w:szCs w:val="18"/>
                <w:highlight w:val="none"/>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4374" w:hRule="atLeast"/>
          <w:tblHeader/>
          <w:jc w:val="center"/>
        </w:trPr>
        <w:tc>
          <w:tcPr>
            <w:tcW w:w="78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ALK</w:t>
            </w:r>
          </w:p>
        </w:tc>
        <w:tc>
          <w:tcPr>
            <w:tcW w:w="612"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融合</w:t>
            </w:r>
          </w:p>
        </w:tc>
        <w:tc>
          <w:tcPr>
            <w:tcW w:w="5172" w:type="dxa"/>
            <w:gridSpan w:val="3"/>
            <w:vAlign w:val="center"/>
          </w:tcPr>
          <w:p>
            <w:pPr>
              <w:spacing w:before="19"/>
              <w:ind w:right="62"/>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ALK抑制剂：</w:t>
            </w:r>
            <w:r>
              <w:rPr>
                <w:rFonts w:hint="eastAsia" w:ascii="Times New Roman" w:hAnsi="Times New Roman" w:eastAsia="微软雅黑" w:cs="Times New Roman"/>
                <w:b/>
                <w:spacing w:val="-1"/>
                <w:sz w:val="18"/>
                <w:szCs w:val="18"/>
                <w:highlight w:val="none"/>
              </w:rPr>
              <w:t>克唑替尼*（</w:t>
            </w:r>
            <w:r>
              <w:rPr>
                <w:rFonts w:ascii="Times New Roman" w:hAnsi="Times New Roman" w:eastAsia="微软雅黑" w:cs="Times New Roman"/>
                <w:b/>
                <w:spacing w:val="-1"/>
                <w:sz w:val="18"/>
                <w:szCs w:val="18"/>
                <w:highlight w:val="none"/>
              </w:rPr>
              <w:t>Crizotinib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间变性大细胞淋巴瘤）、</w:t>
            </w:r>
            <w:r>
              <w:rPr>
                <w:rFonts w:hint="eastAsia" w:ascii="Times New Roman" w:hAnsi="Times New Roman" w:eastAsia="微软雅黑" w:cs="Times New Roman"/>
                <w:b/>
                <w:spacing w:val="-1"/>
                <w:sz w:val="18"/>
                <w:szCs w:val="18"/>
                <w:highlight w:val="none"/>
              </w:rPr>
              <w:t>塞瑞替尼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Ceritinib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阿来替尼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Alectinib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布吉他滨（</w:t>
            </w:r>
            <w:r>
              <w:rPr>
                <w:rFonts w:ascii="Times New Roman" w:hAnsi="Times New Roman" w:eastAsia="微软雅黑" w:cs="Times New Roman"/>
                <w:b/>
                <w:spacing w:val="-1"/>
                <w:sz w:val="18"/>
                <w:szCs w:val="18"/>
                <w:highlight w:val="none"/>
              </w:rPr>
              <w:t>Brigatinib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b/>
                <w:bCs/>
                <w:spacing w:val="-1"/>
                <w:sz w:val="18"/>
                <w:szCs w:val="18"/>
                <w:highlight w:val="none"/>
              </w:rPr>
              <w:t>劳拉替尼（</w:t>
            </w:r>
            <w:r>
              <w:rPr>
                <w:rFonts w:hint="eastAsia" w:ascii="Times New Roman" w:hAnsi="Times New Roman" w:eastAsia="微软雅黑" w:cs="Times New Roman"/>
                <w:b/>
                <w:bCs/>
                <w:spacing w:val="-1"/>
                <w:sz w:val="18"/>
                <w:szCs w:val="18"/>
                <w:highlight w:val="none"/>
              </w:rPr>
              <w:t>Lorlatinib</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（FDA批准用于非小细胞肺癌）</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spacing w:val="-1"/>
                <w:sz w:val="18"/>
                <w:szCs w:val="18"/>
                <w:highlight w:val="none"/>
              </w:rPr>
              <w:t>恩沙替尼</w:t>
            </w:r>
            <w:r>
              <w:rPr>
                <w:rFonts w:hint="eastAsia" w:ascii="Times New Roman" w:hAnsi="Times New Roman" w:eastAsia="微软雅黑" w:cs="Times New Roman"/>
                <w:b/>
                <w:spacing w:val="-1"/>
                <w:sz w:val="18"/>
                <w:szCs w:val="18"/>
                <w:highlight w:val="none"/>
                <w:lang w:val="en-US" w:eastAsia="zh-CN"/>
              </w:rPr>
              <w:t>*</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bCs/>
                <w:spacing w:val="-1"/>
                <w:sz w:val="18"/>
                <w:szCs w:val="18"/>
                <w:highlight w:val="none"/>
              </w:rPr>
              <w:t>Ensartinib</w:t>
            </w:r>
            <w:r>
              <w:rPr>
                <w:rFonts w:hint="eastAsia" w:ascii="Times New Roman" w:hAnsi="Times New Roman" w:eastAsia="微软雅黑" w:cs="Times New Roman"/>
                <w:b/>
                <w:bCs/>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spacing w:val="-1"/>
                <w:sz w:val="18"/>
                <w:szCs w:val="18"/>
                <w:highlight w:val="none"/>
                <w:lang w:eastAsia="zh-CN"/>
              </w:rPr>
              <w:t>）；</w:t>
            </w:r>
          </w:p>
          <w:p>
            <w:pPr>
              <w:spacing w:before="19"/>
              <w:ind w:right="-6"/>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w:t>
            </w:r>
            <w:r>
              <w:rPr>
                <w:rFonts w:hint="eastAsia" w:ascii="Times New Roman" w:hAnsi="Times New Roman" w:eastAsia="微软雅黑" w:cs="Times New Roman"/>
                <w:spacing w:val="-1"/>
                <w:sz w:val="18"/>
                <w:szCs w:val="18"/>
                <w:highlight w:val="none"/>
              </w:rPr>
              <w:t>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p>
        </w:tc>
        <w:tc>
          <w:tcPr>
            <w:tcW w:w="3943" w:type="dxa"/>
            <w:gridSpan w:val="2"/>
            <w:vAlign w:val="center"/>
          </w:tcPr>
          <w:p>
            <w:pPr>
              <w:spacing w:before="19"/>
              <w:ind w:right="62"/>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ALK酪氨酸激酶结构域关键位点(</w:t>
            </w:r>
            <w:r>
              <w:rPr>
                <w:rFonts w:hint="eastAsia" w:ascii="Times New Roman" w:hAnsi="Times New Roman" w:eastAsia="微软雅黑" w:cs="Times New Roman"/>
                <w:spacing w:val="-1"/>
                <w:sz w:val="18"/>
                <w:szCs w:val="18"/>
                <w:highlight w:val="none"/>
                <w:lang w:eastAsia="zh-CN"/>
              </w:rPr>
              <w:t>包含</w:t>
            </w:r>
            <w:r>
              <w:rPr>
                <w:rFonts w:ascii="Times New Roman" w:hAnsi="Times New Roman" w:eastAsia="微软雅黑" w:cs="Times New Roman"/>
                <w:spacing w:val="-1"/>
                <w:sz w:val="18"/>
                <w:szCs w:val="18"/>
                <w:highlight w:val="none"/>
                <w:lang w:eastAsia="zh-CN"/>
              </w:rPr>
              <w:t>1151Tins、L1152R、C1156Y、F1174L、L1196M、G1202R、S1206Y、G1269A、F1174V、F1245C）发生突变会导致对一代ALK抑制剂克唑替尼产生耐药性，L1196M</w:t>
            </w:r>
            <w:r>
              <w:rPr>
                <w:rFonts w:hint="eastAsia" w:ascii="Times New Roman" w:hAnsi="Times New Roman" w:eastAsia="微软雅黑" w:cs="Times New Roman"/>
                <w:spacing w:val="-1"/>
                <w:sz w:val="18"/>
                <w:szCs w:val="18"/>
                <w:highlight w:val="none"/>
                <w:lang w:eastAsia="zh-CN"/>
              </w:rPr>
              <w:t>、G1269A、I1171T、</w:t>
            </w:r>
            <w:r>
              <w:rPr>
                <w:rFonts w:ascii="Times New Roman" w:hAnsi="Times New Roman" w:eastAsia="微软雅黑" w:cs="Times New Roman"/>
                <w:spacing w:val="-1"/>
                <w:sz w:val="18"/>
                <w:szCs w:val="18"/>
                <w:highlight w:val="none"/>
                <w:lang w:eastAsia="zh-CN"/>
              </w:rPr>
              <w:t>S1206Y</w:t>
            </w:r>
            <w:r>
              <w:rPr>
                <w:rFonts w:hint="eastAsia" w:ascii="Times New Roman" w:hAnsi="Times New Roman" w:eastAsia="微软雅黑" w:cs="Times New Roman"/>
                <w:spacing w:val="-1"/>
                <w:sz w:val="18"/>
                <w:szCs w:val="18"/>
                <w:highlight w:val="none"/>
                <w:lang w:eastAsia="zh-CN"/>
              </w:rPr>
              <w:t>位点突变对</w:t>
            </w:r>
            <w:r>
              <w:rPr>
                <w:rFonts w:ascii="Times New Roman" w:hAnsi="Times New Roman" w:eastAsia="微软雅黑" w:cs="Times New Roman"/>
                <w:spacing w:val="-1"/>
                <w:sz w:val="18"/>
                <w:szCs w:val="18"/>
                <w:highlight w:val="none"/>
                <w:lang w:eastAsia="zh-CN"/>
              </w:rPr>
              <w:t>二代ALK抑制剂</w:t>
            </w:r>
            <w:r>
              <w:rPr>
                <w:rFonts w:hint="eastAsia" w:ascii="Times New Roman" w:hAnsi="Times New Roman" w:eastAsia="微软雅黑" w:cs="Times New Roman"/>
                <w:spacing w:val="-1"/>
                <w:sz w:val="18"/>
                <w:szCs w:val="18"/>
                <w:highlight w:val="none"/>
                <w:lang w:eastAsia="zh-CN"/>
              </w:rPr>
              <w:t>塞</w:t>
            </w:r>
            <w:r>
              <w:rPr>
                <w:rFonts w:ascii="Times New Roman" w:hAnsi="Times New Roman" w:eastAsia="微软雅黑" w:cs="Times New Roman"/>
                <w:spacing w:val="-1"/>
                <w:sz w:val="18"/>
                <w:szCs w:val="18"/>
                <w:highlight w:val="none"/>
                <w:lang w:eastAsia="zh-CN"/>
              </w:rPr>
              <w:t>瑞替尼</w:t>
            </w:r>
            <w:r>
              <w:rPr>
                <w:rFonts w:hint="eastAsia" w:ascii="Times New Roman" w:hAnsi="Times New Roman" w:eastAsia="微软雅黑" w:cs="Times New Roman"/>
                <w:spacing w:val="-1"/>
                <w:sz w:val="18"/>
                <w:szCs w:val="18"/>
                <w:highlight w:val="none"/>
                <w:lang w:eastAsia="zh-CN"/>
              </w:rPr>
              <w:t>敏感，L1196M、G1269A、C1156Y、F1174L、1151T</w:t>
            </w:r>
            <w:r>
              <w:rPr>
                <w:rFonts w:ascii="Times New Roman" w:hAnsi="Times New Roman" w:eastAsia="微软雅黑" w:cs="Times New Roman"/>
                <w:spacing w:val="-1"/>
                <w:sz w:val="18"/>
                <w:szCs w:val="18"/>
                <w:highlight w:val="none"/>
                <w:lang w:eastAsia="zh-CN"/>
              </w:rPr>
              <w:t>ins</w:t>
            </w:r>
            <w:r>
              <w:rPr>
                <w:rFonts w:hint="eastAsia" w:ascii="Times New Roman" w:hAnsi="Times New Roman" w:eastAsia="微软雅黑" w:cs="Times New Roman"/>
                <w:spacing w:val="-1"/>
                <w:sz w:val="18"/>
                <w:szCs w:val="18"/>
                <w:highlight w:val="none"/>
                <w:lang w:eastAsia="zh-CN"/>
              </w:rPr>
              <w:t>、L1152R位点突变对二代</w:t>
            </w:r>
            <w:r>
              <w:rPr>
                <w:rFonts w:ascii="Times New Roman" w:hAnsi="Times New Roman" w:eastAsia="微软雅黑" w:cs="Times New Roman"/>
                <w:spacing w:val="-1"/>
                <w:sz w:val="18"/>
                <w:szCs w:val="18"/>
                <w:highlight w:val="none"/>
                <w:lang w:eastAsia="zh-CN"/>
              </w:rPr>
              <w:t>ALK</w:t>
            </w:r>
            <w:r>
              <w:rPr>
                <w:rFonts w:hint="eastAsia" w:ascii="Times New Roman" w:hAnsi="Times New Roman" w:eastAsia="微软雅黑" w:cs="Times New Roman"/>
                <w:spacing w:val="-1"/>
                <w:sz w:val="18"/>
                <w:szCs w:val="18"/>
                <w:highlight w:val="none"/>
                <w:lang w:eastAsia="zh-CN"/>
              </w:rPr>
              <w:t>抑制剂阿来替尼敏感</w:t>
            </w:r>
            <w:r>
              <w:rPr>
                <w:rFonts w:ascii="Times New Roman" w:hAnsi="Times New Roman" w:eastAsia="微软雅黑" w:cs="Times New Roman"/>
                <w:spacing w:val="-1"/>
                <w:sz w:val="18"/>
                <w:szCs w:val="18"/>
                <w:highlight w:val="none"/>
                <w:lang w:eastAsia="zh-CN"/>
              </w:rPr>
              <w:t>；肺癌中，ALK融合，对ALK TKIs药物克唑替尼、</w:t>
            </w:r>
            <w:r>
              <w:rPr>
                <w:rFonts w:hint="eastAsia" w:ascii="Times New Roman" w:hAnsi="Times New Roman" w:eastAsia="微软雅黑" w:cs="Times New Roman"/>
                <w:spacing w:val="-1"/>
                <w:sz w:val="18"/>
                <w:szCs w:val="18"/>
                <w:highlight w:val="none"/>
                <w:lang w:eastAsia="zh-CN"/>
              </w:rPr>
              <w:t>塞</w:t>
            </w:r>
            <w:r>
              <w:rPr>
                <w:rFonts w:ascii="Times New Roman" w:hAnsi="Times New Roman" w:eastAsia="微软雅黑" w:cs="Times New Roman"/>
                <w:spacing w:val="-1"/>
                <w:sz w:val="18"/>
                <w:szCs w:val="18"/>
                <w:highlight w:val="none"/>
                <w:lang w:eastAsia="zh-CN"/>
              </w:rPr>
              <w:t>瑞替尼、</w:t>
            </w:r>
            <w:r>
              <w:rPr>
                <w:rFonts w:hint="eastAsia" w:ascii="Times New Roman" w:hAnsi="Times New Roman" w:eastAsia="微软雅黑" w:cs="Times New Roman"/>
                <w:spacing w:val="-1"/>
                <w:sz w:val="18"/>
                <w:szCs w:val="18"/>
                <w:highlight w:val="none"/>
                <w:lang w:eastAsia="zh-CN"/>
              </w:rPr>
              <w:t>阿来</w:t>
            </w:r>
            <w:r>
              <w:rPr>
                <w:rFonts w:ascii="Times New Roman" w:hAnsi="Times New Roman" w:eastAsia="微软雅黑" w:cs="Times New Roman"/>
                <w:spacing w:val="-1"/>
                <w:sz w:val="18"/>
                <w:szCs w:val="18"/>
                <w:highlight w:val="none"/>
                <w:lang w:eastAsia="zh-CN"/>
              </w:rPr>
              <w:t>替尼、布吉他滨</w:t>
            </w:r>
            <w:r>
              <w:rPr>
                <w:rFonts w:hint="eastAsia" w:ascii="Times New Roman" w:hAnsi="Times New Roman" w:eastAsia="微软雅黑" w:cs="Times New Roman"/>
                <w:spacing w:val="-1"/>
                <w:sz w:val="18"/>
                <w:szCs w:val="18"/>
                <w:highlight w:val="none"/>
                <w:lang w:eastAsia="zh-CN"/>
              </w:rPr>
              <w:t>、劳拉替尼、恩沙替尼</w:t>
            </w:r>
            <w:r>
              <w:rPr>
                <w:rFonts w:ascii="Times New Roman" w:hAnsi="Times New Roman" w:eastAsia="微软雅黑" w:cs="Times New Roman"/>
                <w:spacing w:val="-1"/>
                <w:sz w:val="18"/>
                <w:szCs w:val="18"/>
                <w:highlight w:val="none"/>
                <w:lang w:eastAsia="zh-CN"/>
              </w:rPr>
              <w:t>敏感；对EGFR TKIs药物埃克替尼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厄洛替尼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吉非替尼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阿法替尼、</w:t>
            </w:r>
            <w:r>
              <w:rPr>
                <w:rFonts w:hint="eastAsia" w:ascii="Times New Roman" w:hAnsi="Times New Roman" w:eastAsia="微软雅黑" w:cs="Times New Roman"/>
                <w:spacing w:val="-1"/>
                <w:sz w:val="18"/>
                <w:szCs w:val="18"/>
                <w:highlight w:val="none"/>
                <w:lang w:eastAsia="zh-CN"/>
              </w:rPr>
              <w:t>奥希替尼</w:t>
            </w:r>
            <w:r>
              <w:rPr>
                <w:rFonts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产生耐药性</w:t>
            </w:r>
            <w:r>
              <w:rPr>
                <w:rFonts w:ascii="Times New Roman" w:hAnsi="Times New Roman" w:eastAsia="微软雅黑" w:cs="Times New Roman"/>
                <w:spacing w:val="-1"/>
                <w:sz w:val="18"/>
                <w:szCs w:val="18"/>
                <w:highlight w:val="none"/>
                <w:vertAlign w:val="superscript"/>
                <w:lang w:eastAsia="zh-CN"/>
              </w:rPr>
              <w:t>[3−</w:t>
            </w:r>
            <w:r>
              <w:rPr>
                <w:rFonts w:hint="eastAsia" w:ascii="Times New Roman" w:hAnsi="Times New Roman" w:eastAsia="微软雅黑" w:cs="Times New Roman"/>
                <w:spacing w:val="-1"/>
                <w:sz w:val="18"/>
                <w:szCs w:val="18"/>
                <w:highlight w:val="none"/>
                <w:vertAlign w:val="superscript"/>
                <w:lang w:eastAsia="zh-CN"/>
              </w:rPr>
              <w:t>10</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336" w:hRule="atLeast"/>
          <w:tblHeader/>
          <w:jc w:val="center"/>
        </w:trPr>
        <w:tc>
          <w:tcPr>
            <w:tcW w:w="78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BRAF</w:t>
            </w:r>
          </w:p>
        </w:tc>
        <w:tc>
          <w:tcPr>
            <w:tcW w:w="612" w:type="dxa"/>
            <w:gridSpan w:val="2"/>
            <w:vAlign w:val="center"/>
          </w:tcPr>
          <w:p>
            <w:pPr>
              <w:spacing w:before="161"/>
              <w:jc w:val="center"/>
              <w:rPr>
                <w:rFonts w:ascii="Times New Roman" w:hAnsi="Times New Roman" w:eastAsia="微软雅黑" w:cs="Times New Roman"/>
                <w:sz w:val="9"/>
                <w:szCs w:val="9"/>
                <w:highlight w:val="none"/>
              </w:rPr>
            </w:pPr>
            <w:r>
              <w:rPr>
                <w:rFonts w:ascii="Times New Roman" w:hAnsi="Times New Roman" w:eastAsia="微软雅黑" w:cs="Times New Roman"/>
                <w:sz w:val="18"/>
                <w:szCs w:val="18"/>
                <w:highlight w:val="none"/>
              </w:rPr>
              <w:t>突变</w:t>
            </w:r>
          </w:p>
        </w:tc>
        <w:tc>
          <w:tcPr>
            <w:tcW w:w="5172" w:type="dxa"/>
            <w:gridSpan w:val="3"/>
            <w:vAlign w:val="center"/>
          </w:tcPr>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BRAF抑制剂</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b/>
                <w:spacing w:val="-1"/>
                <w:sz w:val="18"/>
                <w:szCs w:val="18"/>
                <w:highlight w:val="none"/>
              </w:rPr>
              <w:t>维莫非尼</w:t>
            </w:r>
            <w:r>
              <w:rPr>
                <w:rFonts w:hint="eastAsia" w:ascii="Times New Roman" w:hAnsi="Times New Roman" w:eastAsia="微软雅黑" w:cs="Times New Roman"/>
                <w:b/>
                <w:bCs/>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Vemurafenib）</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/NMPA</w:t>
            </w:r>
            <w:r>
              <w:rPr>
                <w:rFonts w:ascii="Times New Roman" w:hAnsi="Times New Roman" w:eastAsia="微软雅黑" w:cs="Times New Roman"/>
                <w:spacing w:val="-1"/>
                <w:sz w:val="18"/>
                <w:szCs w:val="18"/>
                <w:highlight w:val="none"/>
              </w:rPr>
              <w:t>批准用于黑色素瘤</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val="en-US" w:eastAsia="zh-CN"/>
              </w:rPr>
              <w:t>FDA批准用于埃德海姆-切斯特病</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达拉非尼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Dabrafenib）</w:t>
            </w:r>
            <w:r>
              <w:rPr>
                <w:rFonts w:ascii="Times New Roman" w:hAnsi="Times New Roman" w:eastAsia="微软雅黑" w:cs="Times New Roman"/>
                <w:spacing w:val="-1"/>
                <w:sz w:val="18"/>
                <w:szCs w:val="18"/>
                <w:highlight w:val="none"/>
              </w:rPr>
              <w:t>（FDA批准用于黑色素瘤）；</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MEK抑制剂：</w:t>
            </w:r>
            <w:r>
              <w:rPr>
                <w:rFonts w:ascii="Times New Roman" w:hAnsi="Times New Roman" w:eastAsia="微软雅黑" w:cs="Times New Roman"/>
                <w:b/>
                <w:spacing w:val="-1"/>
                <w:sz w:val="18"/>
                <w:szCs w:val="18"/>
                <w:highlight w:val="none"/>
              </w:rPr>
              <w:t>曲美替尼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Trametinib）</w:t>
            </w:r>
            <w:r>
              <w:rPr>
                <w:rFonts w:ascii="Times New Roman" w:hAnsi="Times New Roman" w:eastAsia="微软雅黑" w:cs="Times New Roman"/>
                <w:spacing w:val="-1"/>
                <w:sz w:val="18"/>
                <w:szCs w:val="18"/>
                <w:highlight w:val="none"/>
              </w:rPr>
              <w:t>（FDA批准用于黑色素瘤）</w:t>
            </w:r>
            <w:r>
              <w:rPr>
                <w:rFonts w:hint="eastAsia" w:ascii="Times New Roman" w:hAnsi="Times New Roman" w:eastAsia="微软雅黑" w:cs="Times New Roman"/>
                <w:spacing w:val="-1"/>
                <w:sz w:val="18"/>
                <w:szCs w:val="18"/>
                <w:highlight w:val="none"/>
              </w:rPr>
              <w:t>；</w:t>
            </w:r>
          </w:p>
          <w:p>
            <w:pPr>
              <w:jc w:val="left"/>
              <w:rPr>
                <w:sz w:val="24"/>
                <w:szCs w:val="24"/>
                <w:highlight w:val="none"/>
                <w:lang w:eastAsia="zh-CN"/>
              </w:rPr>
            </w:pPr>
            <w:r>
              <w:rPr>
                <w:rFonts w:ascii="Times New Roman" w:hAnsi="Times New Roman" w:eastAsia="微软雅黑" w:cs="Times New Roman"/>
                <w:b/>
                <w:spacing w:val="-1"/>
                <w:sz w:val="18"/>
                <w:szCs w:val="18"/>
                <w:highlight w:val="none"/>
              </w:rPr>
              <w:t>曲美替尼+达拉非尼</w:t>
            </w:r>
            <w:r>
              <w:rPr>
                <w:rFonts w:hint="eastAsia" w:ascii="Times New Roman" w:hAnsi="Times New Roman" w:eastAsia="微软雅黑" w:cs="Times New Roman"/>
                <w:b/>
                <w:spacing w:val="-1"/>
                <w:sz w:val="18"/>
                <w:szCs w:val="18"/>
                <w:highlight w:val="none"/>
                <w:lang w:eastAsia="zh-CN"/>
              </w:rPr>
              <w:t>*</w:t>
            </w:r>
            <w:r>
              <w:rPr>
                <w:rFonts w:hint="eastAsia" w:ascii="Times New Roman" w:hAnsi="Times New Roman" w:eastAsia="微软雅黑" w:cs="Times New Roman"/>
                <w:b/>
                <w:spacing w:val="-1"/>
                <w:sz w:val="18"/>
                <w:szCs w:val="18"/>
                <w:highlight w:val="none"/>
              </w:rPr>
              <w:t>（D</w:t>
            </w:r>
            <w:r>
              <w:rPr>
                <w:rFonts w:ascii="Times New Roman" w:hAnsi="Times New Roman" w:eastAsia="微软雅黑" w:cs="Times New Roman"/>
                <w:b/>
                <w:spacing w:val="-1"/>
                <w:sz w:val="18"/>
                <w:szCs w:val="18"/>
                <w:highlight w:val="none"/>
              </w:rPr>
              <w:t>abrafenib+</w:t>
            </w:r>
            <w:r>
              <w:rPr>
                <w:rFonts w:hint="eastAsia" w:ascii="Times New Roman" w:hAnsi="Times New Roman" w:eastAsia="微软雅黑" w:cs="Times New Roman"/>
                <w:b/>
                <w:spacing w:val="-1"/>
                <w:sz w:val="18"/>
                <w:szCs w:val="18"/>
                <w:highlight w:val="none"/>
              </w:rPr>
              <w:t>T</w:t>
            </w:r>
            <w:r>
              <w:rPr>
                <w:rFonts w:ascii="Times New Roman" w:hAnsi="Times New Roman" w:eastAsia="微软雅黑" w:cs="Times New Roman"/>
                <w:b/>
                <w:spacing w:val="-1"/>
                <w:sz w:val="18"/>
                <w:szCs w:val="18"/>
                <w:highlight w:val="none"/>
              </w:rPr>
              <w:t>rametinib）</w:t>
            </w:r>
            <w:r>
              <w:rPr>
                <w:rFonts w:ascii="Times New Roman" w:hAnsi="Times New Roman" w:eastAsia="微软雅黑" w:cs="Times New Roman"/>
                <w:spacing w:val="-1"/>
                <w:sz w:val="18"/>
                <w:szCs w:val="18"/>
                <w:highlight w:val="none"/>
              </w:rPr>
              <w:t>（FDA</w:t>
            </w:r>
            <w:r>
              <w:rPr>
                <w:rFonts w:ascii="微软雅黑" w:hAnsi="微软雅黑" w:eastAsia="微软雅黑" w:cs="Times New Roman"/>
                <w:spacing w:val="-1"/>
                <w:sz w:val="18"/>
                <w:szCs w:val="18"/>
                <w:highlight w:val="none"/>
              </w:rPr>
              <w:t>批准用于非小细胞肺癌、甲状腺癌；</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w:t>
            </w:r>
            <w:r>
              <w:rPr>
                <w:rFonts w:ascii="微软雅黑" w:hAnsi="微软雅黑" w:eastAsia="微软雅黑" w:cs="Times New Roman"/>
                <w:spacing w:val="-1"/>
                <w:sz w:val="18"/>
                <w:szCs w:val="18"/>
                <w:highlight w:val="none"/>
              </w:rPr>
              <w:t>黑色素瘤</w:t>
            </w:r>
            <w:r>
              <w:rPr>
                <w:rFonts w:hint="eastAsia"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康奈非尼</w:t>
            </w:r>
            <w:r>
              <w:rPr>
                <w:rFonts w:ascii="Times New Roman" w:hAnsi="Times New Roman" w:eastAsia="微软雅黑" w:cs="Times New Roman"/>
                <w:b/>
                <w:spacing w:val="-1"/>
                <w:sz w:val="18"/>
                <w:szCs w:val="18"/>
                <w:highlight w:val="none"/>
              </w:rPr>
              <w:t>+贝美替尼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Encorafenib+Binimetinib）</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黑色素瘤</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考比替尼</w:t>
            </w:r>
            <w:r>
              <w:rPr>
                <w:rFonts w:ascii="Times New Roman" w:hAnsi="Times New Roman" w:eastAsia="微软雅黑" w:cs="Times New Roman"/>
                <w:b/>
                <w:spacing w:val="-1"/>
                <w:sz w:val="18"/>
                <w:szCs w:val="18"/>
                <w:highlight w:val="none"/>
              </w:rPr>
              <w:t>+维莫非尼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Cobimetinib+Vemurafenib）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用于黑色素瘤）；</w:t>
            </w:r>
          </w:p>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bCs/>
                <w:spacing w:val="-1"/>
                <w:sz w:val="18"/>
                <w:szCs w:val="18"/>
                <w:highlight w:val="none"/>
                <w:lang w:val="en-US" w:eastAsia="zh-CN"/>
              </w:rPr>
              <w:t>司美替尼（</w:t>
            </w:r>
            <w:r>
              <w:rPr>
                <w:rFonts w:ascii="Times New Roman" w:hAnsi="Times New Roman" w:eastAsia="微软雅黑" w:cs="Times New Roman"/>
                <w:spacing w:val="-1"/>
                <w:sz w:val="18"/>
                <w:szCs w:val="18"/>
                <w:highlight w:val="none"/>
              </w:rPr>
              <w:t>NCCN指南推荐用于</w:t>
            </w:r>
            <w:r>
              <w:rPr>
                <w:rFonts w:hint="eastAsia" w:ascii="Times New Roman" w:hAnsi="Times New Roman" w:eastAsia="微软雅黑" w:cs="Times New Roman"/>
                <w:spacing w:val="-1"/>
                <w:sz w:val="18"/>
                <w:szCs w:val="18"/>
                <w:highlight w:val="none"/>
                <w:lang w:val="en-US" w:eastAsia="zh-CN"/>
              </w:rPr>
              <w:t>胶质瘤</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b/>
                <w:bCs/>
                <w:spacing w:val="-1"/>
                <w:sz w:val="18"/>
                <w:szCs w:val="18"/>
                <w:highlight w:val="none"/>
                <w:lang w:eastAsia="zh-CN"/>
              </w:rPr>
            </w:pPr>
            <w:r>
              <w:rPr>
                <w:rFonts w:ascii="微软雅黑" w:hAnsi="微软雅黑" w:eastAsia="微软雅黑" w:cs="Times New Roman"/>
                <w:b/>
                <w:bCs/>
                <w:spacing w:val="-1"/>
                <w:sz w:val="18"/>
                <w:szCs w:val="18"/>
                <w:highlight w:val="none"/>
              </w:rPr>
              <w:t>阿替利珠单抗</w:t>
            </w:r>
            <w:r>
              <w:rPr>
                <w:rFonts w:ascii="Times New Roman" w:hAnsi="Times New Roman" w:eastAsia="微软雅黑" w:cs="Times New Roman"/>
                <w:b/>
                <w:bCs/>
                <w:spacing w:val="-1"/>
                <w:sz w:val="18"/>
                <w:szCs w:val="18"/>
                <w:highlight w:val="none"/>
              </w:rPr>
              <w:t>+</w:t>
            </w:r>
            <w:r>
              <w:rPr>
                <w:rFonts w:ascii="微软雅黑" w:hAnsi="微软雅黑" w:eastAsia="微软雅黑" w:cs="Times New Roman"/>
                <w:b/>
                <w:bCs/>
                <w:spacing w:val="-1"/>
                <w:sz w:val="18"/>
                <w:szCs w:val="18"/>
                <w:highlight w:val="none"/>
              </w:rPr>
              <w:t>考比替尼</w:t>
            </w:r>
            <w:r>
              <w:rPr>
                <w:rFonts w:ascii="Times New Roman" w:hAnsi="Times New Roman" w:eastAsia="微软雅黑" w:cs="Times New Roman"/>
                <w:b/>
                <w:bCs/>
                <w:spacing w:val="-1"/>
                <w:sz w:val="18"/>
                <w:szCs w:val="18"/>
                <w:highlight w:val="none"/>
              </w:rPr>
              <w:t>+</w:t>
            </w:r>
            <w:r>
              <w:rPr>
                <w:rFonts w:ascii="微软雅黑" w:hAnsi="微软雅黑" w:eastAsia="微软雅黑" w:cs="Times New Roman"/>
                <w:b/>
                <w:bCs/>
                <w:spacing w:val="-1"/>
                <w:sz w:val="18"/>
                <w:szCs w:val="18"/>
                <w:highlight w:val="none"/>
              </w:rPr>
              <w:t>维莫非尼</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Atezolizumab+Cobimetinib+Vemurafenib</w:t>
            </w:r>
            <w:r>
              <w:rPr>
                <w:rFonts w:hint="eastAsia" w:ascii="微软雅黑" w:hAnsi="微软雅黑" w:eastAsia="微软雅黑" w:cs="Times New Roman"/>
                <w:b/>
                <w:bCs/>
                <w:spacing w:val="-1"/>
                <w:sz w:val="18"/>
                <w:szCs w:val="18"/>
                <w:highlight w:val="none"/>
              </w:rPr>
              <w:t>）</w:t>
            </w:r>
          </w:p>
          <w:p>
            <w:pPr>
              <w:jc w:val="left"/>
              <w:rPr>
                <w:rFonts w:hint="eastAsia" w:ascii="微软雅黑" w:hAnsi="微软雅黑" w:eastAsia="微软雅黑" w:cs="Times New Roman"/>
                <w:spacing w:val="-1"/>
                <w:sz w:val="18"/>
                <w:szCs w:val="18"/>
                <w:highlight w:val="none"/>
              </w:rPr>
            </w:pP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hint="eastAsia" w:ascii="微软雅黑" w:hAnsi="微软雅黑" w:eastAsia="微软雅黑" w:cs="Times New Roman"/>
                <w:spacing w:val="-1"/>
                <w:sz w:val="18"/>
                <w:szCs w:val="18"/>
                <w:highlight w:val="none"/>
              </w:rPr>
              <w:t>批准</w:t>
            </w:r>
            <w:r>
              <w:rPr>
                <w:rFonts w:ascii="微软雅黑" w:hAnsi="微软雅黑" w:eastAsia="微软雅黑" w:cs="Times New Roman"/>
                <w:spacing w:val="-1"/>
                <w:sz w:val="18"/>
                <w:szCs w:val="18"/>
                <w:highlight w:val="none"/>
              </w:rPr>
              <w:t>用于黑色素瘤</w:t>
            </w:r>
            <w:r>
              <w:rPr>
                <w:rFonts w:hint="eastAsia" w:ascii="微软雅黑" w:hAnsi="微软雅黑" w:eastAsia="微软雅黑" w:cs="Times New Roman"/>
                <w:spacing w:val="-1"/>
                <w:sz w:val="18"/>
                <w:szCs w:val="18"/>
                <w:highlight w:val="none"/>
              </w:rPr>
              <w:t>）；</w:t>
            </w:r>
          </w:p>
          <w:p>
            <w:pPr>
              <w:jc w:val="both"/>
              <w:rPr>
                <w:rFonts w:hint="eastAsia" w:ascii="微软雅黑" w:hAnsi="微软雅黑" w:eastAsia="微软雅黑" w:cs="Times New Roman"/>
                <w:spacing w:val="-1"/>
                <w:sz w:val="18"/>
                <w:szCs w:val="18"/>
                <w:highlight w:val="none"/>
              </w:rPr>
            </w:pPr>
            <w:r>
              <w:rPr>
                <w:rFonts w:hint="eastAsia" w:ascii="微软雅黑" w:hAnsi="微软雅黑" w:eastAsia="微软雅黑" w:cs="Times New Roman"/>
                <w:spacing w:val="-1"/>
                <w:sz w:val="18"/>
                <w:szCs w:val="18"/>
                <w:highlight w:val="none"/>
              </w:rPr>
              <w:t>达拉非尼+曲美替尼+帕博利珠单抗</w:t>
            </w:r>
            <w:r>
              <w:rPr>
                <w:rFonts w:hint="default"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val="en-US" w:eastAsia="zh-CN"/>
              </w:rPr>
              <w:t>NCCN指南推荐用于皮肤黑色素瘤</w:t>
            </w:r>
            <w:r>
              <w:rPr>
                <w:rFonts w:hint="default"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康奈非尼+帕尼单抗（Encorafenib+Panitumumab）（NCCN指南推荐用于结直肠癌）；</w:t>
            </w:r>
          </w:p>
          <w:p>
            <w:pPr>
              <w:jc w:val="left"/>
              <w:rPr>
                <w:rFonts w:ascii="微软雅黑" w:hAnsi="微软雅黑" w:eastAsia="微软雅黑" w:cs="Times New Roman"/>
                <w:spacing w:val="-1"/>
                <w:sz w:val="18"/>
                <w:szCs w:val="18"/>
                <w:highlight w:val="none"/>
              </w:rPr>
            </w:pPr>
            <w:r>
              <w:rPr>
                <w:rFonts w:ascii="微软雅黑" w:hAnsi="微软雅黑" w:eastAsia="微软雅黑" w:cs="Times New Roman"/>
                <w:b/>
                <w:bCs/>
                <w:spacing w:val="-1"/>
                <w:sz w:val="18"/>
                <w:szCs w:val="18"/>
                <w:highlight w:val="none"/>
              </w:rPr>
              <w:t>康奈非尼</w:t>
            </w:r>
            <w:r>
              <w:rPr>
                <w:rFonts w:ascii="Times New Roman" w:hAnsi="Times New Roman" w:eastAsia="微软雅黑" w:cs="Times New Roman"/>
                <w:b/>
                <w:bCs/>
                <w:spacing w:val="-1"/>
                <w:sz w:val="18"/>
                <w:szCs w:val="18"/>
                <w:highlight w:val="none"/>
              </w:rPr>
              <w:t>+</w:t>
            </w:r>
            <w:r>
              <w:rPr>
                <w:rFonts w:ascii="微软雅黑" w:hAnsi="微软雅黑" w:eastAsia="微软雅黑" w:cs="Times New Roman"/>
                <w:b/>
                <w:bCs/>
                <w:spacing w:val="-1"/>
                <w:sz w:val="18"/>
                <w:szCs w:val="18"/>
                <w:highlight w:val="none"/>
              </w:rPr>
              <w:t>西妥昔单抗（</w:t>
            </w:r>
            <w:r>
              <w:rPr>
                <w:rFonts w:ascii="Times New Roman" w:hAnsi="Times New Roman" w:eastAsia="微软雅黑" w:cs="Times New Roman"/>
                <w:b/>
                <w:bCs/>
                <w:spacing w:val="-1"/>
                <w:sz w:val="18"/>
                <w:szCs w:val="18"/>
                <w:highlight w:val="none"/>
              </w:rPr>
              <w:t>Encorafenib+Cetuximab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hint="eastAsia" w:ascii="微软雅黑" w:hAnsi="微软雅黑" w:eastAsia="微软雅黑" w:cs="Times New Roman"/>
                <w:spacing w:val="-1"/>
                <w:sz w:val="18"/>
                <w:szCs w:val="18"/>
                <w:highlight w:val="none"/>
              </w:rPr>
              <w:t>批准</w:t>
            </w:r>
            <w:r>
              <w:rPr>
                <w:rFonts w:ascii="微软雅黑" w:hAnsi="微软雅黑" w:eastAsia="微软雅黑" w:cs="Times New Roman"/>
                <w:spacing w:val="-1"/>
                <w:sz w:val="18"/>
                <w:szCs w:val="18"/>
                <w:highlight w:val="none"/>
              </w:rPr>
              <w:t>用于结直肠癌）；</w:t>
            </w:r>
          </w:p>
          <w:p>
            <w:pPr>
              <w:widowControl/>
              <w:jc w:val="both"/>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康奈非尼+贝美替尼+西妥昔单抗</w:t>
            </w:r>
          </w:p>
          <w:p>
            <w:pPr>
              <w:jc w:val="left"/>
              <w:rPr>
                <w:rFonts w:hint="eastAsia"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rPr>
              <w:t>（Encorafenib+Binimetinib+Cetuximab）（</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III</w:t>
            </w:r>
            <w:r>
              <w:rPr>
                <w:rFonts w:hint="eastAsia" w:ascii="Times New Roman" w:hAnsi="Times New Roman" w:eastAsia="微软雅黑" w:cs="Times New Roman"/>
                <w:spacing w:val="-1"/>
                <w:sz w:val="18"/>
                <w:szCs w:val="18"/>
                <w:highlight w:val="none"/>
              </w:rPr>
              <w:t>期）</w:t>
            </w:r>
            <w:r>
              <w:rPr>
                <w:rFonts w:hint="eastAsia" w:ascii="Times New Roman" w:hAnsi="Times New Roman" w:eastAsia="微软雅黑" w:cs="Times New Roman"/>
                <w:spacing w:val="-1"/>
                <w:sz w:val="18"/>
                <w:szCs w:val="18"/>
                <w:highlight w:val="none"/>
                <w:lang w:eastAsia="zh-CN"/>
              </w:rPr>
              <w:t>；</w:t>
            </w:r>
          </w:p>
          <w:p>
            <w:pPr>
              <w:jc w:val="both"/>
              <w:rPr>
                <w:rFonts w:hint="eastAsia"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维莫非尼 + 伊立替康 + 西妥昔单抗</w:t>
            </w:r>
          </w:p>
          <w:p>
            <w:pPr>
              <w:jc w:val="both"/>
              <w:rPr>
                <w:rFonts w:hint="eastAsia" w:ascii="Times New Roman" w:hAnsi="Times New Roman" w:eastAsia="微软雅黑" w:cs="Times New Roman"/>
                <w:spacing w:val="-1"/>
                <w:sz w:val="18"/>
                <w:szCs w:val="18"/>
                <w:highlight w:val="none"/>
                <w:lang w:eastAsia="zh-CN"/>
              </w:rPr>
            </w:pP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Vemurafenib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Irinotecan</w:t>
            </w:r>
            <w:r>
              <w:rPr>
                <w:rFonts w:ascii="Times New Roman" w:hAnsi="Times New Roman" w:eastAsia="微软雅黑" w:cs="Times New Roman"/>
                <w:spacing w:val="-1"/>
                <w:sz w:val="18"/>
                <w:szCs w:val="18"/>
                <w:highlight w:val="none"/>
              </w:rPr>
              <w:t>+Cetuximab</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hint="eastAsia" w:ascii="微软雅黑" w:hAnsi="微软雅黑" w:eastAsia="微软雅黑" w:cs="Times New Roman"/>
                <w:spacing w:val="-1"/>
                <w:sz w:val="18"/>
                <w:szCs w:val="18"/>
                <w:highlight w:val="none"/>
              </w:rPr>
              <w:t>期）</w:t>
            </w:r>
            <w:r>
              <w:rPr>
                <w:rFonts w:hint="eastAsia" w:ascii="Times New Roman" w:hAnsi="Times New Roman" w:eastAsia="微软雅黑" w:cs="Times New Roman"/>
                <w:spacing w:val="-1"/>
                <w:sz w:val="18"/>
                <w:szCs w:val="18"/>
                <w:highlight w:val="none"/>
                <w:lang w:eastAsia="zh-CN"/>
              </w:rPr>
              <w:t>；</w:t>
            </w:r>
          </w:p>
          <w:p>
            <w:pPr>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rPr>
              <w:t>EGF</w:t>
            </w:r>
            <w:r>
              <w:rPr>
                <w:rFonts w:ascii="Times New Roman" w:hAnsi="Times New Roman" w:eastAsia="微软雅黑" w:cs="Times New Roman"/>
                <w:spacing w:val="-1"/>
                <w:sz w:val="18"/>
                <w:szCs w:val="18"/>
                <w:highlight w:val="none"/>
              </w:rPr>
              <w:t>R</w:t>
            </w:r>
            <w:r>
              <w:rPr>
                <w:rFonts w:hint="eastAsia" w:ascii="Times New Roman" w:hAnsi="Times New Roman" w:eastAsia="微软雅黑" w:cs="Times New Roman"/>
                <w:spacing w:val="-1"/>
                <w:sz w:val="18"/>
                <w:szCs w:val="18"/>
                <w:highlight w:val="none"/>
              </w:rPr>
              <w:t>单抗：</w:t>
            </w:r>
            <w:r>
              <w:rPr>
                <w:rFonts w:hint="eastAsia" w:ascii="Times New Roman" w:hAnsi="Times New Roman" w:eastAsia="微软雅黑" w:cs="Times New Roman"/>
                <w:b/>
                <w:spacing w:val="-1"/>
                <w:sz w:val="18"/>
                <w:szCs w:val="18"/>
                <w:highlight w:val="none"/>
              </w:rPr>
              <w:t>帕尼单抗（</w:t>
            </w:r>
            <w:r>
              <w:rPr>
                <w:rFonts w:ascii="Times New Roman" w:hAnsi="Times New Roman" w:eastAsia="微软雅黑" w:cs="Times New Roman"/>
                <w:b/>
                <w:spacing w:val="-1"/>
                <w:sz w:val="18"/>
                <w:szCs w:val="18"/>
                <w:highlight w:val="none"/>
              </w:rPr>
              <w:t>Panitumumab）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用于结直肠癌）</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w:t>
            </w:r>
            <w:r>
              <w:rPr>
                <w:rFonts w:hint="eastAsia" w:ascii="Times New Roman" w:hAnsi="Times New Roman" w:eastAsia="微软雅黑" w:cs="Times New Roman"/>
                <w:b/>
                <w:spacing w:val="-1"/>
                <w:sz w:val="18"/>
                <w:szCs w:val="18"/>
                <w:highlight w:val="none"/>
              </w:rPr>
              <w:t>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头颈部鳞状细胞癌</w:t>
            </w:r>
            <w:r>
              <w:rPr>
                <w:rFonts w:ascii="Times New Roman" w:hAnsi="Times New Roman" w:eastAsia="微软雅黑" w:cs="Times New Roman"/>
                <w:spacing w:val="-1"/>
                <w:sz w:val="18"/>
                <w:szCs w:val="18"/>
                <w:highlight w:val="none"/>
              </w:rPr>
              <w:t>）</w:t>
            </w:r>
          </w:p>
        </w:tc>
        <w:tc>
          <w:tcPr>
            <w:tcW w:w="3943" w:type="dxa"/>
            <w:gridSpan w:val="2"/>
            <w:vAlign w:val="center"/>
          </w:tcPr>
          <w:p>
            <w:pPr>
              <w:spacing w:before="19"/>
              <w:ind w:right="-8" w:rightChars="0"/>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肺癌中</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BRAF V600E突变对BRAF抑制剂</w:t>
            </w:r>
            <w:r>
              <w:rPr>
                <w:rFonts w:hint="eastAsia" w:ascii="Times New Roman" w:hAnsi="Times New Roman" w:eastAsia="微软雅黑" w:cs="Times New Roman"/>
                <w:spacing w:val="-1"/>
                <w:sz w:val="18"/>
                <w:szCs w:val="18"/>
                <w:highlight w:val="none"/>
                <w:lang w:eastAsia="zh-CN"/>
              </w:rPr>
              <w:t>维莫非尼</w:t>
            </w:r>
            <w:r>
              <w:rPr>
                <w:rFonts w:ascii="Times New Roman" w:hAnsi="Times New Roman" w:eastAsia="微软雅黑" w:cs="Times New Roman"/>
                <w:spacing w:val="-1"/>
                <w:sz w:val="18"/>
                <w:szCs w:val="18"/>
                <w:highlight w:val="none"/>
                <w:lang w:eastAsia="zh-CN"/>
              </w:rPr>
              <w:t>、达拉非尼敏感；黑色素瘤中，BRAF V600突变对BRAF抑制剂</w:t>
            </w:r>
            <w:r>
              <w:rPr>
                <w:rFonts w:hint="eastAsia" w:ascii="Times New Roman" w:hAnsi="Times New Roman" w:eastAsia="微软雅黑" w:cs="Times New Roman"/>
                <w:spacing w:val="-1"/>
                <w:sz w:val="18"/>
                <w:szCs w:val="18"/>
                <w:highlight w:val="none"/>
                <w:lang w:eastAsia="zh-CN"/>
              </w:rPr>
              <w:t>维莫非尼</w:t>
            </w:r>
            <w:r>
              <w:rPr>
                <w:rFonts w:ascii="Times New Roman" w:hAnsi="Times New Roman" w:eastAsia="微软雅黑" w:cs="Times New Roman"/>
                <w:spacing w:val="-1"/>
                <w:sz w:val="18"/>
                <w:szCs w:val="18"/>
                <w:highlight w:val="none"/>
                <w:lang w:eastAsia="zh-CN"/>
              </w:rPr>
              <w:t>、达拉非尼敏感</w:t>
            </w:r>
            <w:r>
              <w:rPr>
                <w:rFonts w:hint="eastAsia" w:ascii="Times New Roman" w:hAnsi="Times New Roman" w:eastAsia="微软雅黑" w:cs="Times New Roman"/>
                <w:spacing w:val="-1"/>
                <w:sz w:val="18"/>
                <w:szCs w:val="18"/>
                <w:highlight w:val="none"/>
                <w:lang w:eastAsia="zh-CN"/>
              </w:rPr>
              <w:t>，携带</w:t>
            </w:r>
            <w:r>
              <w:rPr>
                <w:rFonts w:ascii="Times New Roman" w:hAnsi="Times New Roman" w:eastAsia="微软雅黑" w:cs="Times New Roman"/>
                <w:spacing w:val="-1"/>
                <w:sz w:val="18"/>
                <w:szCs w:val="18"/>
                <w:highlight w:val="none"/>
                <w:lang w:eastAsia="zh-CN"/>
              </w:rPr>
              <w:t>BRAF V600</w:t>
            </w:r>
            <w:r>
              <w:rPr>
                <w:rFonts w:hint="eastAsia" w:ascii="Times New Roman" w:hAnsi="Times New Roman" w:eastAsia="微软雅黑" w:cs="Times New Roman"/>
                <w:spacing w:val="-1"/>
                <w:sz w:val="18"/>
                <w:szCs w:val="18"/>
                <w:highlight w:val="none"/>
                <w:lang w:eastAsia="zh-CN"/>
              </w:rPr>
              <w:t>突变的</w:t>
            </w:r>
            <w:r>
              <w:rPr>
                <w:rFonts w:ascii="Times New Roman" w:hAnsi="Times New Roman" w:eastAsia="微软雅黑" w:cs="Times New Roman"/>
                <w:spacing w:val="-1"/>
                <w:sz w:val="18"/>
                <w:szCs w:val="18"/>
                <w:highlight w:val="none"/>
                <w:lang w:eastAsia="zh-CN"/>
              </w:rPr>
              <w:t>患者</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贝美替尼</w:t>
            </w:r>
            <w:r>
              <w:rPr>
                <w:rFonts w:hint="eastAsia" w:ascii="Times New Roman" w:hAnsi="Times New Roman" w:eastAsia="微软雅黑" w:cs="Times New Roman"/>
                <w:spacing w:val="-1"/>
                <w:sz w:val="18"/>
                <w:szCs w:val="18"/>
                <w:highlight w:val="none"/>
                <w:lang w:eastAsia="zh-CN"/>
              </w:rPr>
              <w:t xml:space="preserve">敏感，BRAF </w:t>
            </w:r>
            <w:r>
              <w:rPr>
                <w:rFonts w:ascii="Times New Roman" w:hAnsi="Times New Roman" w:eastAsia="微软雅黑" w:cs="Times New Roman"/>
                <w:spacing w:val="-1"/>
                <w:sz w:val="18"/>
                <w:szCs w:val="18"/>
                <w:highlight w:val="none"/>
                <w:lang w:eastAsia="zh-CN"/>
              </w:rPr>
              <w:t>V600E/K</w:t>
            </w:r>
            <w:r>
              <w:rPr>
                <w:rFonts w:hint="eastAsia" w:ascii="Times New Roman" w:hAnsi="Times New Roman" w:eastAsia="微软雅黑" w:cs="Times New Roman"/>
                <w:spacing w:val="-1"/>
                <w:sz w:val="18"/>
                <w:szCs w:val="18"/>
                <w:highlight w:val="none"/>
                <w:lang w:eastAsia="zh-CN"/>
              </w:rPr>
              <w:t>突变</w:t>
            </w:r>
            <w:r>
              <w:rPr>
                <w:rFonts w:ascii="Times New Roman" w:hAnsi="Times New Roman" w:eastAsia="微软雅黑" w:cs="Times New Roman"/>
                <w:spacing w:val="-1"/>
                <w:sz w:val="18"/>
                <w:szCs w:val="18"/>
                <w:highlight w:val="none"/>
                <w:lang w:eastAsia="zh-CN"/>
              </w:rPr>
              <w:t>的患者对</w:t>
            </w:r>
            <w:r>
              <w:rPr>
                <w:rFonts w:hint="eastAsia" w:ascii="Times New Roman" w:hAnsi="Times New Roman" w:eastAsia="微软雅黑" w:cs="Times New Roman"/>
                <w:spacing w:val="-1"/>
                <w:sz w:val="18"/>
                <w:szCs w:val="18"/>
                <w:highlight w:val="none"/>
                <w:lang w:eastAsia="zh-CN"/>
              </w:rPr>
              <w:t>康奈非尼</w:t>
            </w:r>
            <w:r>
              <w:rPr>
                <w:rFonts w:ascii="Times New Roman" w:hAnsi="Times New Roman" w:eastAsia="微软雅黑" w:cs="Times New Roman"/>
                <w:spacing w:val="-1"/>
                <w:sz w:val="18"/>
                <w:szCs w:val="18"/>
                <w:highlight w:val="none"/>
                <w:lang w:eastAsia="zh-CN"/>
              </w:rPr>
              <w:t>+贝美替尼、</w:t>
            </w:r>
            <w:r>
              <w:rPr>
                <w:rFonts w:hint="eastAsia" w:ascii="Times New Roman" w:hAnsi="Times New Roman" w:eastAsia="微软雅黑" w:cs="Times New Roman"/>
                <w:spacing w:val="-1"/>
                <w:sz w:val="18"/>
                <w:szCs w:val="18"/>
                <w:highlight w:val="none"/>
                <w:lang w:eastAsia="zh-CN"/>
              </w:rPr>
              <w:t>考比替尼</w:t>
            </w:r>
            <w:r>
              <w:rPr>
                <w:rFonts w:ascii="Times New Roman" w:hAnsi="Times New Roman" w:eastAsia="微软雅黑" w:cs="Times New Roman"/>
                <w:spacing w:val="-1"/>
                <w:sz w:val="18"/>
                <w:szCs w:val="18"/>
                <w:highlight w:val="none"/>
                <w:lang w:eastAsia="zh-CN"/>
              </w:rPr>
              <w:t>+维莫非尼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曲美替尼+</w:t>
            </w:r>
            <w:r>
              <w:rPr>
                <w:rFonts w:hint="eastAsia" w:ascii="Times New Roman" w:hAnsi="Times New Roman" w:eastAsia="微软雅黑" w:cs="Times New Roman"/>
                <w:spacing w:val="-1"/>
                <w:sz w:val="18"/>
                <w:szCs w:val="18"/>
                <w:highlight w:val="none"/>
                <w:lang w:eastAsia="zh-CN"/>
              </w:rPr>
              <w:t>达拉非尼、</w:t>
            </w:r>
            <w:r>
              <w:rPr>
                <w:rFonts w:ascii="Times New Roman" w:hAnsi="Times New Roman" w:eastAsia="微软雅黑" w:cs="Times New Roman"/>
                <w:spacing w:val="-1"/>
                <w:sz w:val="18"/>
                <w:szCs w:val="18"/>
                <w:highlight w:val="none"/>
                <w:lang w:eastAsia="zh-CN"/>
              </w:rPr>
              <w:t>阿替利珠单抗+考比替尼+维莫非尼</w:t>
            </w:r>
            <w:r>
              <w:rPr>
                <w:rFonts w:hint="eastAsia" w:ascii="Times New Roman" w:hAnsi="Times New Roman" w:eastAsia="微软雅黑" w:cs="Times New Roman"/>
                <w:spacing w:val="-1"/>
                <w:sz w:val="18"/>
                <w:szCs w:val="18"/>
                <w:highlight w:val="none"/>
                <w:lang w:eastAsia="zh-CN"/>
              </w:rPr>
              <w:t>、</w:t>
            </w:r>
            <w:r>
              <w:rPr>
                <w:rFonts w:hint="eastAsia" w:ascii="微软雅黑" w:hAnsi="微软雅黑" w:eastAsia="微软雅黑" w:cs="Times New Roman"/>
                <w:spacing w:val="-1"/>
                <w:sz w:val="18"/>
                <w:szCs w:val="18"/>
                <w:highlight w:val="none"/>
              </w:rPr>
              <w:t>达拉非尼+曲美替尼+帕博利珠单抗</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；在结直肠癌中，</w:t>
            </w:r>
            <w:r>
              <w:rPr>
                <w:rFonts w:hint="eastAsia" w:ascii="Times New Roman" w:hAnsi="Times New Roman" w:eastAsia="微软雅黑" w:cs="Times New Roman"/>
                <w:spacing w:val="-1"/>
                <w:sz w:val="18"/>
                <w:szCs w:val="18"/>
                <w:highlight w:val="none"/>
                <w:lang w:eastAsia="zh-CN"/>
              </w:rPr>
              <w:t>BRAF V600E突变的患者对</w:t>
            </w:r>
            <w:r>
              <w:rPr>
                <w:rFonts w:ascii="Times New Roman" w:hAnsi="Times New Roman" w:eastAsia="微软雅黑" w:cs="Times New Roman"/>
                <w:spacing w:val="-1"/>
                <w:sz w:val="18"/>
                <w:szCs w:val="18"/>
                <w:highlight w:val="none"/>
                <w:lang w:eastAsia="zh-CN"/>
              </w:rPr>
              <w:t>康奈非尼+帕尼单抗、康奈非尼+西妥昔单抗</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康奈非尼+贝美替尼+西妥昔单抗</w:t>
            </w:r>
            <w:r>
              <w:rPr>
                <w:rFonts w:hint="eastAsia" w:ascii="Times New Roman" w:hAnsi="Times New Roman" w:eastAsia="微软雅黑" w:cs="Times New Roman"/>
                <w:spacing w:val="-1"/>
                <w:sz w:val="18"/>
                <w:szCs w:val="18"/>
                <w:highlight w:val="none"/>
                <w:lang w:eastAsia="zh-CN"/>
              </w:rPr>
              <w:t>、维莫非尼 + 伊立替康 + 西妥昔单抗</w:t>
            </w:r>
            <w:r>
              <w:rPr>
                <w:rFonts w:ascii="Times New Roman" w:hAnsi="Times New Roman" w:eastAsia="微软雅黑" w:cs="Times New Roman"/>
                <w:spacing w:val="-1"/>
                <w:sz w:val="18"/>
                <w:szCs w:val="18"/>
                <w:highlight w:val="none"/>
                <w:lang w:eastAsia="zh-CN"/>
              </w:rPr>
              <w:t>敏感，</w:t>
            </w:r>
            <w:r>
              <w:rPr>
                <w:rFonts w:hint="eastAsia" w:ascii="Times New Roman" w:hAnsi="Times New Roman" w:eastAsia="微软雅黑" w:cs="Times New Roman"/>
                <w:spacing w:val="-1"/>
                <w:sz w:val="18"/>
                <w:szCs w:val="18"/>
                <w:highlight w:val="none"/>
                <w:lang w:eastAsia="zh-CN"/>
              </w:rPr>
              <w:t>携带B</w:t>
            </w:r>
            <w:r>
              <w:rPr>
                <w:rFonts w:hint="eastAsia" w:ascii="Times New Roman" w:hAnsi="Times New Roman" w:eastAsia="微软雅黑" w:cs="Times New Roman"/>
                <w:color w:val="000000"/>
                <w:spacing w:val="-1"/>
                <w:sz w:val="18"/>
                <w:szCs w:val="18"/>
                <w:highlight w:val="none"/>
                <w:lang w:eastAsia="zh-CN"/>
              </w:rPr>
              <w:t>RAF</w:t>
            </w:r>
            <w:r>
              <w:rPr>
                <w:rFonts w:ascii="Times New Roman" w:hAnsi="Times New Roman" w:eastAsia="微软雅黑" w:cs="Times New Roman"/>
                <w:color w:val="000000"/>
                <w:spacing w:val="-1"/>
                <w:sz w:val="18"/>
                <w:szCs w:val="18"/>
                <w:highlight w:val="none"/>
                <w:lang w:eastAsia="zh-CN"/>
              </w:rPr>
              <w:t xml:space="preserve"> V600</w:t>
            </w:r>
            <w:r>
              <w:rPr>
                <w:rFonts w:hint="eastAsia" w:ascii="Times New Roman" w:hAnsi="Times New Roman" w:eastAsia="微软雅黑" w:cs="Times New Roman"/>
                <w:color w:val="000000"/>
                <w:spacing w:val="-1"/>
                <w:sz w:val="18"/>
                <w:szCs w:val="18"/>
                <w:highlight w:val="none"/>
                <w:lang w:eastAsia="zh-CN"/>
              </w:rPr>
              <w:t>的</w:t>
            </w:r>
            <w:r>
              <w:rPr>
                <w:rFonts w:ascii="Times New Roman" w:hAnsi="Times New Roman" w:eastAsia="微软雅黑" w:cs="Times New Roman"/>
                <w:color w:val="000000"/>
                <w:spacing w:val="-1"/>
                <w:sz w:val="18"/>
                <w:szCs w:val="18"/>
                <w:highlight w:val="none"/>
                <w:lang w:eastAsia="zh-CN"/>
              </w:rPr>
              <w:t>患者</w:t>
            </w:r>
            <w:r>
              <w:rPr>
                <w:rFonts w:hint="eastAsia" w:ascii="Times New Roman" w:hAnsi="Times New Roman" w:eastAsia="微软雅黑" w:cs="Times New Roman"/>
                <w:color w:val="000000"/>
                <w:spacing w:val="-1"/>
                <w:sz w:val="18"/>
                <w:szCs w:val="18"/>
                <w:highlight w:val="none"/>
                <w:lang w:eastAsia="zh-CN"/>
              </w:rPr>
              <w:t>对维莫非尼敏感,</w:t>
            </w:r>
            <w:r>
              <w:rPr>
                <w:rFonts w:hint="eastAsia" w:ascii="Times New Roman" w:hAnsi="Times New Roman" w:eastAsia="微软雅黑" w:cs="Times New Roman"/>
                <w:spacing w:val="-1"/>
                <w:sz w:val="18"/>
                <w:szCs w:val="18"/>
                <w:highlight w:val="none"/>
                <w:lang w:eastAsia="zh-CN"/>
              </w:rPr>
              <w:t>携带BRAF</w:t>
            </w:r>
            <w:r>
              <w:rPr>
                <w:rFonts w:ascii="Times New Roman" w:hAnsi="Times New Roman" w:eastAsia="微软雅黑" w:cs="Times New Roman"/>
                <w:spacing w:val="-1"/>
                <w:sz w:val="18"/>
                <w:szCs w:val="18"/>
                <w:highlight w:val="none"/>
                <w:lang w:eastAsia="zh-CN"/>
              </w:rPr>
              <w:t xml:space="preserve"> V600</w:t>
            </w:r>
            <w:r>
              <w:rPr>
                <w:rFonts w:hint="eastAsia" w:ascii="Times New Roman" w:hAnsi="Times New Roman" w:eastAsia="微软雅黑" w:cs="Times New Roman"/>
                <w:spacing w:val="-1"/>
                <w:sz w:val="18"/>
                <w:szCs w:val="18"/>
                <w:highlight w:val="none"/>
                <w:lang w:eastAsia="zh-CN"/>
              </w:rPr>
              <w:t>的</w:t>
            </w:r>
            <w:r>
              <w:rPr>
                <w:rFonts w:ascii="Times New Roman" w:hAnsi="Times New Roman" w:eastAsia="微软雅黑" w:cs="Times New Roman"/>
                <w:spacing w:val="-1"/>
                <w:sz w:val="18"/>
                <w:szCs w:val="18"/>
                <w:highlight w:val="none"/>
                <w:lang w:eastAsia="zh-CN"/>
              </w:rPr>
              <w:t>患者使用</w:t>
            </w:r>
            <w:r>
              <w:rPr>
                <w:rFonts w:hint="eastAsia" w:ascii="Times New Roman" w:hAnsi="Times New Roman" w:eastAsia="微软雅黑" w:cs="Times New Roman"/>
                <w:spacing w:val="-1"/>
                <w:sz w:val="18"/>
                <w:szCs w:val="18"/>
                <w:highlight w:val="none"/>
                <w:lang w:eastAsia="zh-CN"/>
              </w:rPr>
              <w:t>帕尼单抗</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西妥昔单抗产生耐药性</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对于BRAF V600激活突变（包括V600E、V600K、V600R、V600D等）的转移性黑色素瘤患者，BRAF/MEK抑制剂组合（达拉非尼/曲美替尼或维莫非尼/考比替尼）优于BRAF抑制剂单药治疗；在</w:t>
            </w:r>
            <w:r>
              <w:rPr>
                <w:rFonts w:ascii="Times New Roman" w:hAnsi="Times New Roman" w:eastAsia="微软雅黑" w:cs="Times New Roman"/>
                <w:spacing w:val="-1"/>
                <w:sz w:val="18"/>
                <w:szCs w:val="18"/>
                <w:highlight w:val="none"/>
                <w:lang w:eastAsia="zh-CN"/>
              </w:rPr>
              <w:t>非小细胞肺癌中，</w:t>
            </w:r>
            <w:r>
              <w:rPr>
                <w:rFonts w:hint="eastAsia" w:ascii="Times New Roman" w:hAnsi="Times New Roman" w:eastAsia="微软雅黑" w:cs="Times New Roman"/>
                <w:spacing w:val="-1"/>
                <w:sz w:val="18"/>
                <w:szCs w:val="18"/>
                <w:highlight w:val="none"/>
                <w:lang w:eastAsia="zh-CN"/>
              </w:rPr>
              <w:t>达拉非尼联合曲美替尼可作为具有BRAF V600E突变的非小细胞肺癌患者的一线治疗方案，联合治疗不耐受的患者建议使用单药达拉非尼或维莫非尼进行治疗；</w:t>
            </w:r>
            <w:r>
              <w:rPr>
                <w:rFonts w:ascii="Times New Roman" w:hAnsi="Times New Roman" w:eastAsia="微软雅黑" w:cs="Times New Roman"/>
                <w:spacing w:val="-1"/>
                <w:sz w:val="18"/>
                <w:szCs w:val="18"/>
                <w:highlight w:val="none"/>
                <w:lang w:eastAsia="zh-CN"/>
              </w:rPr>
              <w:t>BRAF V600E或V600K突变的不可手术切除的转移黑色素瘤</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曲美替</w:t>
            </w:r>
            <w:r>
              <w:rPr>
                <w:rFonts w:hint="eastAsia" w:ascii="Times New Roman" w:hAnsi="Times New Roman" w:eastAsia="微软雅黑" w:cs="Times New Roman"/>
                <w:spacing w:val="-1"/>
                <w:sz w:val="18"/>
                <w:szCs w:val="18"/>
                <w:highlight w:val="none"/>
                <w:lang w:eastAsia="zh-CN"/>
              </w:rPr>
              <w:t>尼</w:t>
            </w:r>
            <w:r>
              <w:rPr>
                <w:rFonts w:ascii="Times New Roman" w:hAnsi="Times New Roman" w:eastAsia="微软雅黑" w:cs="Times New Roman"/>
                <w:spacing w:val="-1"/>
                <w:sz w:val="18"/>
                <w:szCs w:val="18"/>
                <w:highlight w:val="none"/>
                <w:lang w:eastAsia="zh-CN"/>
              </w:rPr>
              <w:t>联合达拉非尼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；BRAF V600E或V600K突变的黑色素瘤</w:t>
            </w:r>
            <w:r>
              <w:rPr>
                <w:rFonts w:hint="eastAsia" w:ascii="Times New Roman" w:hAnsi="Times New Roman" w:eastAsia="微软雅黑" w:cs="Times New Roman"/>
                <w:spacing w:val="-1"/>
                <w:sz w:val="18"/>
                <w:szCs w:val="18"/>
                <w:highlight w:val="none"/>
                <w:lang w:eastAsia="zh-CN"/>
              </w:rPr>
              <w:t>对考比替尼</w:t>
            </w:r>
            <w:r>
              <w:rPr>
                <w:rFonts w:ascii="Times New Roman" w:hAnsi="Times New Roman" w:eastAsia="微软雅黑" w:cs="Times New Roman"/>
                <w:spacing w:val="-1"/>
                <w:sz w:val="18"/>
                <w:szCs w:val="18"/>
                <w:highlight w:val="none"/>
                <w:lang w:eastAsia="zh-CN"/>
              </w:rPr>
              <w:t>联合</w:t>
            </w:r>
            <w:r>
              <w:rPr>
                <w:rFonts w:hint="eastAsia" w:ascii="Times New Roman" w:hAnsi="Times New Roman" w:eastAsia="微软雅黑" w:cs="Times New Roman"/>
                <w:spacing w:val="-1"/>
                <w:sz w:val="18"/>
                <w:szCs w:val="18"/>
                <w:highlight w:val="none"/>
                <w:lang w:eastAsia="zh-CN"/>
              </w:rPr>
              <w:t>维莫非尼敏感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w:t>
            </w:r>
            <w:r>
              <w:rPr>
                <w:rFonts w:ascii="Times New Roman" w:hAnsi="Times New Roman" w:eastAsia="微软雅黑" w:cs="Times New Roman"/>
                <w:spacing w:val="-1"/>
                <w:sz w:val="18"/>
                <w:szCs w:val="18"/>
                <w:highlight w:val="none"/>
                <w:vertAlign w:val="superscript"/>
                <w:lang w:eastAsia="zh-CN"/>
              </w:rPr>
              <w:t>−4</w:t>
            </w:r>
            <w:r>
              <w:rPr>
                <w:rFonts w:hint="eastAsia" w:ascii="Times New Roman" w:hAnsi="Times New Roman" w:eastAsia="微软雅黑" w:cs="Times New Roman"/>
                <w:spacing w:val="-1"/>
                <w:sz w:val="18"/>
                <w:szCs w:val="18"/>
                <w:highlight w:val="none"/>
                <w:vertAlign w:val="superscript"/>
                <w:lang w:eastAsia="zh-CN"/>
              </w:rPr>
              <w:t>3</w:t>
            </w:r>
            <w:r>
              <w:rPr>
                <w:rFonts w:hint="eastAsia" w:ascii="Times New Roman" w:hAnsi="Times New Roman" w:eastAsia="微软雅黑" w:cs="Times New Roman"/>
                <w:spacing w:val="-1"/>
                <w:sz w:val="18"/>
                <w:szCs w:val="18"/>
                <w:highlight w:val="none"/>
                <w:vertAlign w:val="superscript"/>
                <w:lang w:val="en-US" w:eastAsia="zh-CN"/>
              </w:rPr>
              <w:t>, 287</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val="en-US" w:eastAsia="zh-CN"/>
              </w:rPr>
              <w:t>在胶质瘤中，</w:t>
            </w:r>
            <w:r>
              <w:rPr>
                <w:rFonts w:hint="eastAsia" w:ascii="Times New Roman" w:hAnsi="Times New Roman" w:eastAsia="微软雅黑" w:cs="Times New Roman"/>
                <w:spacing w:val="-1"/>
                <w:sz w:val="18"/>
                <w:szCs w:val="18"/>
                <w:highlight w:val="none"/>
                <w:lang w:eastAsia="zh-CN"/>
              </w:rPr>
              <w:t>携带</w:t>
            </w:r>
            <w:r>
              <w:rPr>
                <w:rFonts w:ascii="Times New Roman" w:hAnsi="Times New Roman" w:eastAsia="微软雅黑" w:cs="Times New Roman"/>
                <w:spacing w:val="-1"/>
                <w:sz w:val="18"/>
                <w:szCs w:val="18"/>
                <w:highlight w:val="none"/>
                <w:lang w:eastAsia="zh-CN"/>
              </w:rPr>
              <w:t>BRAF V600</w:t>
            </w:r>
            <w:r>
              <w:rPr>
                <w:rFonts w:hint="eastAsia" w:ascii="Times New Roman" w:hAnsi="Times New Roman" w:eastAsia="微软雅黑" w:cs="Times New Roman"/>
                <w:spacing w:val="-1"/>
                <w:sz w:val="18"/>
                <w:szCs w:val="18"/>
                <w:highlight w:val="none"/>
                <w:lang w:val="en-US" w:eastAsia="zh-CN"/>
              </w:rPr>
              <w:t>激活</w:t>
            </w:r>
            <w:r>
              <w:rPr>
                <w:rFonts w:hint="eastAsia" w:ascii="Times New Roman" w:hAnsi="Times New Roman" w:eastAsia="微软雅黑" w:cs="Times New Roman"/>
                <w:spacing w:val="-1"/>
                <w:sz w:val="18"/>
                <w:szCs w:val="18"/>
                <w:highlight w:val="none"/>
                <w:lang w:eastAsia="zh-CN"/>
              </w:rPr>
              <w:t>突变</w:t>
            </w:r>
            <w:r>
              <w:rPr>
                <w:rFonts w:hint="eastAsia" w:ascii="Times New Roman" w:hAnsi="Times New Roman" w:eastAsia="微软雅黑" w:cs="Times New Roman"/>
                <w:spacing w:val="-1"/>
                <w:sz w:val="18"/>
                <w:szCs w:val="18"/>
                <w:highlight w:val="none"/>
                <w:lang w:val="en-US" w:eastAsia="zh-CN"/>
              </w:rPr>
              <w:t>和BRAF融合突变</w:t>
            </w:r>
            <w:r>
              <w:rPr>
                <w:rFonts w:hint="eastAsia" w:ascii="Times New Roman" w:hAnsi="Times New Roman" w:eastAsia="微软雅黑" w:cs="Times New Roman"/>
                <w:spacing w:val="-1"/>
                <w:sz w:val="18"/>
                <w:szCs w:val="18"/>
                <w:highlight w:val="none"/>
                <w:lang w:eastAsia="zh-CN"/>
              </w:rPr>
              <w:t>的</w:t>
            </w:r>
            <w:r>
              <w:rPr>
                <w:rFonts w:ascii="Times New Roman" w:hAnsi="Times New Roman" w:eastAsia="微软雅黑" w:cs="Times New Roman"/>
                <w:spacing w:val="-1"/>
                <w:sz w:val="18"/>
                <w:szCs w:val="18"/>
                <w:highlight w:val="none"/>
                <w:lang w:eastAsia="zh-CN"/>
              </w:rPr>
              <w:t>患者</w:t>
            </w:r>
            <w:r>
              <w:rPr>
                <w:rFonts w:hint="eastAsia" w:ascii="Times New Roman" w:hAnsi="Times New Roman" w:eastAsia="微软雅黑" w:cs="Times New Roman"/>
                <w:spacing w:val="-1"/>
                <w:sz w:val="18"/>
                <w:szCs w:val="18"/>
                <w:highlight w:val="none"/>
                <w:lang w:val="en-US" w:eastAsia="zh-CN"/>
              </w:rPr>
              <w:t>对司美替尼敏感</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val="en-US" w:eastAsia="zh-CN"/>
              </w:rPr>
              <w:t>288</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val="en-US"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Before w:val="1"/>
          <w:gridAfter w:val="1"/>
          <w:wBefore w:w="222" w:type="dxa"/>
          <w:wAfter w:w="275" w:type="dxa"/>
          <w:trHeight w:val="752" w:hRule="exact"/>
          <w:tblHeader/>
          <w:jc w:val="center"/>
        </w:trPr>
        <w:tc>
          <w:tcPr>
            <w:tcW w:w="1007" w:type="dxa"/>
            <w:gridSpan w:val="2"/>
            <w:shd w:val="clear" w:color="auto" w:fill="auto"/>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72" w:type="dxa"/>
            <w:gridSpan w:val="2"/>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4581" w:type="dxa"/>
            <w:shd w:val="clear" w:color="auto" w:fill="auto"/>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gridSpan w:val="2"/>
            <w:shd w:val="clear" w:color="auto" w:fill="auto"/>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Before w:val="1"/>
          <w:gridAfter w:val="1"/>
          <w:wBefore w:w="222" w:type="dxa"/>
          <w:wAfter w:w="275" w:type="dxa"/>
          <w:trHeight w:val="7025" w:hRule="exac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EGFR</w:t>
            </w:r>
          </w:p>
        </w:tc>
        <w:tc>
          <w:tcPr>
            <w:tcW w:w="672"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val="en-US" w:eastAsia="zh-CN"/>
              </w:rPr>
              <w:t>扩增</w:t>
            </w:r>
          </w:p>
        </w:tc>
        <w:tc>
          <w:tcPr>
            <w:tcW w:w="4581" w:type="dxa"/>
            <w:vAlign w:val="center"/>
          </w:tcPr>
          <w:p>
            <w:pPr>
              <w:spacing w:before="19"/>
              <w:ind w:right="-6"/>
              <w:jc w:val="left"/>
              <w:rPr>
                <w:rFonts w:hint="eastAsia" w:ascii="微软雅黑" w:hAnsi="微软雅黑" w:eastAsia="微软雅黑" w:cs="Times New Roman"/>
                <w:b w:val="0"/>
                <w:bCs w:val="0"/>
                <w:spacing w:val="-1"/>
                <w:sz w:val="18"/>
                <w:szCs w:val="18"/>
                <w:highlight w:val="none"/>
                <w:lang w:val="en-US" w:eastAsia="zh-CN"/>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阿美替尼*（Almonertinib）</w:t>
            </w:r>
            <w:r>
              <w:rPr>
                <w:rFonts w:hint="eastAsia" w:ascii="Times New Roman" w:hAnsi="Times New Roman" w:eastAsia="微软雅黑" w:cs="Times New Roman"/>
                <w:spacing w:val="-1"/>
                <w:sz w:val="18"/>
                <w:szCs w:val="18"/>
                <w:highlight w:val="none"/>
              </w:rPr>
              <w:t>（NMPA批准用于非小细胞肺癌）</w:t>
            </w:r>
            <w:r>
              <w:rPr>
                <w:rFonts w:hint="eastAsia" w:ascii="Times New Roman" w:hAnsi="Times New Roman" w:eastAsia="微软雅黑" w:cs="Times New Roman"/>
                <w:spacing w:val="-1"/>
                <w:sz w:val="18"/>
                <w:szCs w:val="18"/>
                <w:highlight w:val="none"/>
                <w:lang w:eastAsia="zh-CN"/>
              </w:rPr>
              <w:t>；</w:t>
            </w:r>
            <w:r>
              <w:rPr>
                <w:rFonts w:hint="eastAsia" w:ascii="微软雅黑" w:hAnsi="微软雅黑" w:eastAsia="微软雅黑" w:cs="Times New Roman"/>
                <w:b/>
                <w:bCs/>
                <w:spacing w:val="-1"/>
                <w:sz w:val="18"/>
                <w:szCs w:val="18"/>
                <w:highlight w:val="none"/>
              </w:rPr>
              <w:t>伏美替尼</w:t>
            </w:r>
            <w:r>
              <w:rPr>
                <w:rFonts w:hint="eastAsia" w:ascii="微软雅黑" w:hAnsi="微软雅黑" w:eastAsia="微软雅黑" w:cs="Times New Roman"/>
                <w:b/>
                <w:bCs/>
                <w:spacing w:val="-1"/>
                <w:sz w:val="18"/>
                <w:szCs w:val="18"/>
                <w:highlight w:val="none"/>
                <w:lang w:val="en-US" w:eastAsia="zh-CN"/>
              </w:rPr>
              <w:t>*（</w:t>
            </w:r>
            <w:r>
              <w:rPr>
                <w:rFonts w:hint="default" w:ascii="Times New Roman" w:hAnsi="Times New Roman" w:eastAsia="微软雅黑" w:cs="Times New Roman"/>
                <w:b/>
                <w:bCs/>
                <w:spacing w:val="-1"/>
                <w:sz w:val="18"/>
                <w:szCs w:val="18"/>
                <w:highlight w:val="none"/>
                <w:lang w:val="en-US" w:eastAsia="zh-CN"/>
              </w:rPr>
              <w:t>Furmonertinib</w:t>
            </w:r>
            <w:r>
              <w:rPr>
                <w:rFonts w:hint="eastAsia" w:ascii="微软雅黑" w:hAnsi="微软雅黑" w:eastAsia="微软雅黑" w:cs="Times New Roman"/>
                <w:b/>
                <w:bCs/>
                <w:spacing w:val="-1"/>
                <w:sz w:val="18"/>
                <w:szCs w:val="18"/>
                <w:highlight w:val="none"/>
                <w:lang w:val="en-US" w:eastAsia="zh-CN"/>
              </w:rPr>
              <w:t>）</w:t>
            </w:r>
            <w:r>
              <w:rPr>
                <w:rFonts w:hint="eastAsia" w:ascii="微软雅黑" w:hAnsi="微软雅黑" w:eastAsia="微软雅黑" w:cs="Times New Roman"/>
                <w:b w:val="0"/>
                <w:bCs w:val="0"/>
                <w:spacing w:val="-1"/>
                <w:sz w:val="18"/>
                <w:szCs w:val="18"/>
                <w:highlight w:val="none"/>
                <w:lang w:val="en-US" w:eastAsia="zh-CN"/>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hint="eastAsia" w:ascii="微软雅黑" w:hAnsi="微软雅黑" w:eastAsia="微软雅黑" w:cs="Times New Roman"/>
                <w:b w:val="0"/>
                <w:bCs w:val="0"/>
                <w:spacing w:val="-1"/>
                <w:sz w:val="18"/>
                <w:szCs w:val="18"/>
                <w:highlight w:val="none"/>
                <w:lang w:val="en-US" w:eastAsia="zh-CN"/>
              </w:rPr>
              <w:t>)；</w:t>
            </w:r>
          </w:p>
          <w:p>
            <w:pPr>
              <w:spacing w:before="19"/>
              <w:ind w:right="-6"/>
              <w:jc w:val="left"/>
              <w:rPr>
                <w:rFonts w:hint="eastAsia" w:ascii="微软雅黑" w:hAnsi="微软雅黑" w:eastAsia="微软雅黑" w:cs="Times New Roman"/>
                <w:b w:val="0"/>
                <w:bCs w:val="0"/>
                <w:spacing w:val="-1"/>
                <w:sz w:val="18"/>
                <w:szCs w:val="18"/>
                <w:highlight w:val="none"/>
                <w:lang w:val="en-US" w:eastAsia="zh-CN"/>
              </w:rPr>
            </w:pPr>
            <w:r>
              <w:rPr>
                <w:rFonts w:hint="eastAsia" w:ascii="Times New Roman" w:hAnsi="Times New Roman" w:eastAsia="微软雅黑" w:cs="Times New Roman"/>
                <w:b/>
                <w:bCs/>
                <w:spacing w:val="-1"/>
                <w:sz w:val="18"/>
                <w:szCs w:val="18"/>
                <w:highlight w:val="none"/>
                <w:lang w:eastAsia="zh-CN"/>
              </w:rPr>
              <w:t>Amivantamab</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FDA</w:t>
            </w:r>
            <w:r>
              <w:rPr>
                <w:rFonts w:hint="eastAsia" w:ascii="Times New Roman" w:hAnsi="Times New Roman" w:eastAsia="微软雅黑" w:cs="Times New Roman"/>
                <w:spacing w:val="-1"/>
                <w:sz w:val="18"/>
                <w:szCs w:val="18"/>
                <w:highlight w:val="none"/>
                <w:lang w:eastAsia="zh-CN"/>
              </w:rPr>
              <w:t>批准用于非小细胞肺癌）；</w:t>
            </w:r>
          </w:p>
          <w:p>
            <w:pPr>
              <w:spacing w:before="19"/>
              <w:ind w:right="-6"/>
              <w:jc w:val="left"/>
              <w:rPr>
                <w:rFonts w:hint="eastAsia"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spacing w:val="-1"/>
                <w:sz w:val="18"/>
                <w:szCs w:val="18"/>
                <w:highlight w:val="none"/>
                <w:lang w:eastAsia="zh-CN"/>
              </w:rPr>
              <w:t>奈西单抗+吉西他滨+顺铂</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Necitumumab+ Gemcitabine+</w:t>
            </w:r>
            <w:r>
              <w:rPr>
                <w:rFonts w:hint="eastAsia" w:ascii="Times New Roman" w:hAnsi="Times New Roman" w:eastAsia="微软雅黑" w:cs="Times New Roman"/>
                <w:b/>
                <w:bCs/>
                <w:spacing w:val="-1"/>
                <w:sz w:val="18"/>
                <w:szCs w:val="18"/>
                <w:highlight w:val="none"/>
              </w:rPr>
              <w:t>Cisplatin）</w:t>
            </w:r>
            <w:r>
              <w:rPr>
                <w:rFonts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w:t>
            </w:r>
            <w:r>
              <w:rPr>
                <w:rFonts w:hint="eastAsia" w:ascii="Times New Roman" w:hAnsi="Times New Roman" w:eastAsia="微软雅黑" w:cs="Times New Roman"/>
                <w:spacing w:val="-1"/>
                <w:sz w:val="18"/>
                <w:szCs w:val="18"/>
                <w:highlight w:val="none"/>
              </w:rPr>
              <w:t>批准用于</w:t>
            </w:r>
            <w:r>
              <w:rPr>
                <w:rFonts w:hint="eastAsia" w:ascii="Times New Roman" w:hAnsi="Times New Roman" w:eastAsia="微软雅黑" w:cs="Times New Roman"/>
                <w:spacing w:val="-1"/>
                <w:sz w:val="18"/>
                <w:szCs w:val="18"/>
                <w:highlight w:val="none"/>
                <w:lang w:eastAsia="zh-CN"/>
              </w:rPr>
              <w:t>肺鳞癌</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lang w:eastAsia="zh-CN"/>
              </w:rPr>
              <w:t>；</w:t>
            </w:r>
          </w:p>
          <w:p>
            <w:pPr>
              <w:spacing w:before="19"/>
              <w:ind w:right="-6"/>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bCs/>
                <w:spacing w:val="-1"/>
                <w:sz w:val="18"/>
                <w:szCs w:val="18"/>
                <w:highlight w:val="none"/>
              </w:rPr>
              <w:t>厄洛替尼+雷莫芦单抗（Erlotinib+Ramucirumab）</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w:t>
            </w:r>
            <w:r>
              <w:rPr>
                <w:rFonts w:hint="eastAsia" w:ascii="Times New Roman" w:hAnsi="Times New Roman" w:eastAsia="微软雅黑" w:cs="Times New Roman"/>
                <w:spacing w:val="-1"/>
                <w:sz w:val="18"/>
                <w:szCs w:val="18"/>
                <w:highlight w:val="none"/>
              </w:rPr>
              <w:t>批准用于非小细胞肺癌）；</w:t>
            </w:r>
          </w:p>
          <w:p>
            <w:pPr>
              <w:spacing w:before="19"/>
              <w:ind w:right="-6"/>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厄洛替尼+贝伐珠单抗（Erlotinib+Bevacizumab）（NCCN推荐用于非鳞非小细胞肺癌、肾癌）；</w:t>
            </w:r>
          </w:p>
          <w:p>
            <w:pPr>
              <w:widowControl/>
              <w:jc w:val="both"/>
              <w:rPr>
                <w:rFonts w:ascii="微软雅黑" w:hAnsi="微软雅黑"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rPr>
              <w:t>凡德他尼+</w:t>
            </w:r>
            <w:r>
              <w:rPr>
                <w:rFonts w:ascii="Times New Roman" w:hAnsi="Times New Roman" w:eastAsia="微软雅黑" w:cs="Times New Roman"/>
                <w:spacing w:val="-1"/>
                <w:sz w:val="18"/>
                <w:szCs w:val="18"/>
                <w:highlight w:val="none"/>
              </w:rPr>
              <w:t>多西他赛</w:t>
            </w:r>
            <w:r>
              <w:rPr>
                <w:rFonts w:hint="eastAsia" w:ascii="Times New Roman" w:hAnsi="Times New Roman" w:eastAsia="微软雅黑" w:cs="Times New Roman"/>
                <w:spacing w:val="-1"/>
                <w:sz w:val="18"/>
                <w:szCs w:val="18"/>
                <w:highlight w:val="none"/>
              </w:rPr>
              <w:t>（V</w:t>
            </w:r>
            <w:r>
              <w:rPr>
                <w:rFonts w:ascii="Times New Roman" w:hAnsi="Times New Roman" w:eastAsia="微软雅黑" w:cs="Times New Roman"/>
                <w:spacing w:val="-1"/>
                <w:sz w:val="18"/>
                <w:szCs w:val="18"/>
                <w:highlight w:val="none"/>
              </w:rPr>
              <w:t>andetanib+Docetaxel）（</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III</w:t>
            </w:r>
            <w:r>
              <w:rPr>
                <w:rFonts w:hint="eastAsia" w:ascii="Times New Roman" w:hAnsi="Times New Roman" w:eastAsia="微软雅黑" w:cs="Times New Roman"/>
                <w:spacing w:val="-1"/>
                <w:sz w:val="18"/>
                <w:szCs w:val="18"/>
                <w:highlight w:val="none"/>
              </w:rPr>
              <w:t>期）；</w:t>
            </w:r>
            <w:r>
              <w:rPr>
                <w:rFonts w:ascii="Times New Roman" w:hAnsi="Times New Roman" w:eastAsia="微软雅黑" w:cs="Times New Roman"/>
                <w:spacing w:val="-1"/>
                <w:sz w:val="18"/>
                <w:szCs w:val="18"/>
                <w:highlight w:val="none"/>
              </w:rPr>
              <w:t>Poziotinib（</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hint="eastAsia" w:ascii="Times New Roman" w:hAnsi="Times New Roman" w:eastAsia="微软雅黑" w:cs="Times New Roman"/>
                <w:spacing w:val="-1"/>
                <w:sz w:val="18"/>
                <w:szCs w:val="18"/>
                <w:highlight w:val="none"/>
              </w:rPr>
              <w:t>期）；</w:t>
            </w:r>
          </w:p>
          <w:p>
            <w:pPr>
              <w:spacing w:before="19"/>
              <w:ind w:right="-6"/>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EGFR单抗：</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头颈部鳞状细胞癌</w:t>
            </w:r>
            <w:r>
              <w:rPr>
                <w:rFonts w:ascii="Times New Roman" w:hAnsi="Times New Roman" w:eastAsia="微软雅黑" w:cs="Times New Roman"/>
                <w:spacing w:val="-1"/>
                <w:sz w:val="18"/>
                <w:szCs w:val="18"/>
                <w:highlight w:val="none"/>
              </w:rPr>
              <w:t>）、</w:t>
            </w:r>
            <w:r>
              <w:rPr>
                <w:rFonts w:ascii="微软雅黑" w:hAnsi="微软雅黑" w:eastAsia="微软雅黑" w:cs="Times New Roman"/>
                <w:b/>
                <w:bCs/>
                <w:spacing w:val="-1"/>
                <w:sz w:val="18"/>
                <w:szCs w:val="18"/>
                <w:highlight w:val="none"/>
              </w:rPr>
              <w:t>帕尼单抗</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Panitumumab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w:t>
            </w:r>
            <w:r>
              <w:rPr>
                <w:rFonts w:ascii="微软雅黑" w:hAnsi="微软雅黑" w:eastAsia="微软雅黑" w:cs="Times New Roman"/>
                <w:spacing w:val="-1"/>
                <w:sz w:val="18"/>
                <w:szCs w:val="18"/>
                <w:highlight w:val="none"/>
              </w:rPr>
              <w:t>批准用于结直肠癌）</w:t>
            </w:r>
          </w:p>
        </w:tc>
        <w:tc>
          <w:tcPr>
            <w:tcW w:w="3757" w:type="dxa"/>
            <w:gridSpan w:val="2"/>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肺癌中，EGFR野生型、20外显子插入突变，对EGFR TKIs（吉非替尼、厄洛替尼、埃克替尼</w:t>
            </w:r>
            <w:r>
              <w:rPr>
                <w:rFonts w:hint="eastAsia" w:ascii="Times New Roman" w:hAnsi="Times New Roman" w:eastAsia="微软雅黑" w:cs="Times New Roman"/>
                <w:spacing w:val="-1"/>
                <w:sz w:val="18"/>
                <w:szCs w:val="18"/>
                <w:highlight w:val="none"/>
                <w:lang w:eastAsia="zh-CN"/>
              </w:rPr>
              <w:t>、达</w:t>
            </w:r>
            <w:r>
              <w:rPr>
                <w:rFonts w:ascii="Times New Roman" w:hAnsi="Times New Roman" w:eastAsia="微软雅黑" w:cs="Times New Roman"/>
                <w:spacing w:val="-1"/>
                <w:sz w:val="18"/>
                <w:szCs w:val="18"/>
                <w:highlight w:val="none"/>
                <w:lang w:eastAsia="zh-CN"/>
              </w:rPr>
              <w:t>可</w:t>
            </w:r>
            <w:r>
              <w:rPr>
                <w:rFonts w:hint="eastAsia" w:ascii="Times New Roman" w:hAnsi="Times New Roman" w:eastAsia="微软雅黑" w:cs="Times New Roman"/>
                <w:spacing w:val="-1"/>
                <w:sz w:val="18"/>
                <w:szCs w:val="18"/>
                <w:highlight w:val="none"/>
                <w:lang w:eastAsia="zh-CN"/>
              </w:rPr>
              <w:t>替尼</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不敏感，</w:t>
            </w:r>
            <w:r>
              <w:rPr>
                <w:rFonts w:ascii="Times New Roman" w:hAnsi="Times New Roman" w:eastAsia="微软雅黑" w:cs="Times New Roman"/>
                <w:spacing w:val="-1"/>
                <w:sz w:val="18"/>
                <w:szCs w:val="18"/>
                <w:highlight w:val="none"/>
                <w:lang w:eastAsia="zh-CN"/>
              </w:rPr>
              <w:t>EGFR L861Q、L858R、A763_Y764insFQEA、G719A/C/S、19外显子插入或缺失等对EGFR TKIs敏感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EGFR T790M对EGFR TKIs（吉非替尼、厄洛替尼、埃克替尼、阿法替尼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）产生耐药性，但</w:t>
            </w:r>
            <w:r>
              <w:rPr>
                <w:rFonts w:ascii="Times New Roman" w:hAnsi="Times New Roman" w:eastAsia="微软雅黑" w:cs="Times New Roman"/>
                <w:spacing w:val="-1"/>
                <w:sz w:val="18"/>
                <w:szCs w:val="18"/>
                <w:highlight w:val="none"/>
                <w:lang w:eastAsia="zh-CN"/>
              </w:rPr>
              <w:t>EGFR T790M对EGFR TKIs（</w:t>
            </w:r>
            <w:r>
              <w:rPr>
                <w:rFonts w:hint="eastAsia" w:ascii="Times New Roman" w:hAnsi="Times New Roman" w:eastAsia="微软雅黑" w:cs="Times New Roman"/>
                <w:spacing w:val="-1"/>
                <w:sz w:val="18"/>
                <w:szCs w:val="18"/>
                <w:highlight w:val="none"/>
                <w:lang w:eastAsia="zh-CN"/>
              </w:rPr>
              <w:t>奥希替尼、阿美替尼</w:t>
            </w:r>
            <w:r>
              <w:rPr>
                <w:rFonts w:hint="eastAsia" w:ascii="微软雅黑" w:hAnsi="微软雅黑" w:eastAsia="微软雅黑" w:cs="Times New Roman"/>
                <w:spacing w:val="-1"/>
                <w:sz w:val="18"/>
                <w:szCs w:val="18"/>
                <w:highlight w:val="none"/>
                <w:lang w:eastAsia="zh-CN"/>
              </w:rPr>
              <w:t>、</w:t>
            </w:r>
            <w:r>
              <w:rPr>
                <w:rFonts w:hint="eastAsia" w:ascii="微软雅黑" w:hAnsi="微软雅黑" w:eastAsia="微软雅黑" w:cs="Times New Roman"/>
                <w:spacing w:val="-1"/>
                <w:sz w:val="18"/>
                <w:szCs w:val="18"/>
                <w:highlight w:val="none"/>
              </w:rPr>
              <w:t>伏美</w:t>
            </w:r>
            <w:r>
              <w:rPr>
                <w:rFonts w:ascii="微软雅黑" w:hAnsi="微软雅黑" w:eastAsia="微软雅黑" w:cs="Times New Roman"/>
                <w:spacing w:val="-1"/>
                <w:sz w:val="18"/>
                <w:szCs w:val="18"/>
                <w:highlight w:val="none"/>
                <w:lang w:eastAsia="zh-CN"/>
              </w:rPr>
              <w:t>替尼</w:t>
            </w:r>
            <w:r>
              <w:rPr>
                <w:rFonts w:ascii="Times New Roman" w:hAnsi="Times New Roman" w:eastAsia="微软雅黑" w:cs="Times New Roman"/>
                <w:spacing w:val="-1"/>
                <w:sz w:val="18"/>
                <w:szCs w:val="18"/>
                <w:highlight w:val="none"/>
                <w:lang w:eastAsia="zh-CN"/>
              </w:rPr>
              <w:t>）敏感；在非小细胞肺癌中，</w:t>
            </w:r>
            <w:r>
              <w:rPr>
                <w:rFonts w:hint="eastAsia" w:ascii="Times New Roman" w:hAnsi="Times New Roman" w:eastAsia="微软雅黑" w:cs="Times New Roman"/>
                <w:spacing w:val="-1"/>
                <w:sz w:val="18"/>
                <w:szCs w:val="18"/>
                <w:highlight w:val="none"/>
                <w:lang w:eastAsia="zh-CN"/>
              </w:rPr>
              <w:t>EGFR扩增</w:t>
            </w:r>
            <w:r>
              <w:rPr>
                <w:rFonts w:ascii="Times New Roman" w:hAnsi="Times New Roman" w:eastAsia="微软雅黑" w:cs="Times New Roman"/>
                <w:spacing w:val="-1"/>
                <w:sz w:val="18"/>
                <w:szCs w:val="18"/>
                <w:highlight w:val="none"/>
                <w:lang w:eastAsia="zh-CN"/>
              </w:rPr>
              <w:t>的患者对凡德他尼+多西他赛</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奈西单抗+吉西他滨+顺铂</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；西妥昔单抗、</w:t>
            </w:r>
            <w:r>
              <w:rPr>
                <w:rFonts w:ascii="微软雅黑" w:hAnsi="微软雅黑" w:eastAsia="微软雅黑" w:cs="Times New Roman"/>
                <w:spacing w:val="-1"/>
                <w:sz w:val="18"/>
                <w:szCs w:val="18"/>
                <w:highlight w:val="none"/>
                <w:lang w:eastAsia="zh-CN"/>
              </w:rPr>
              <w:t>帕尼单抗</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厄洛替尼+贝伐珠单抗、厄洛替尼+雷莫芦单抗是EGFR的单克隆抗体</w:t>
            </w:r>
            <w:r>
              <w:rPr>
                <w:rFonts w:hint="eastAsia" w:ascii="Times New Roman" w:hAnsi="Times New Roman" w:eastAsia="微软雅黑" w:cs="Times New Roman"/>
                <w:spacing w:val="-1"/>
                <w:sz w:val="18"/>
                <w:szCs w:val="18"/>
                <w:highlight w:val="none"/>
                <w:vertAlign w:val="baseline"/>
                <w:lang w:eastAsia="zh-CN"/>
              </w:rPr>
              <w:t>；</w:t>
            </w:r>
            <w:r>
              <w:rPr>
                <w:rFonts w:hint="eastAsia" w:ascii="Times New Roman" w:hAnsi="Times New Roman" w:eastAsia="微软雅黑" w:cs="Times New Roman"/>
                <w:spacing w:val="-1"/>
                <w:sz w:val="18"/>
                <w:szCs w:val="18"/>
                <w:highlight w:val="none"/>
                <w:vertAlign w:val="baseline"/>
                <w:lang w:val="en-US" w:eastAsia="zh-CN"/>
              </w:rPr>
              <w:t>在肺鳞癌中，EGFR扩增的患者对奈西单抗+吉西他滨+ 顺铂敏感</w:t>
            </w:r>
            <w:r>
              <w:rPr>
                <w:rFonts w:hint="eastAsia" w:ascii="Times New Roman" w:hAnsi="Times New Roman" w:eastAsia="微软雅黑" w:cs="Times New Roman"/>
                <w:spacing w:val="-1"/>
                <w:sz w:val="18"/>
                <w:szCs w:val="18"/>
                <w:highlight w:val="none"/>
                <w:vertAlign w:val="baseline"/>
                <w:lang w:eastAsia="zh-CN"/>
              </w:rPr>
              <w:t>；</w:t>
            </w:r>
            <w:r>
              <w:rPr>
                <w:rFonts w:hint="eastAsia" w:ascii="Times New Roman" w:hAnsi="Times New Roman" w:eastAsia="微软雅黑" w:cs="Times New Roman"/>
                <w:spacing w:val="-1"/>
                <w:sz w:val="18"/>
                <w:szCs w:val="18"/>
                <w:highlight w:val="none"/>
                <w:vertAlign w:val="baseline"/>
                <w:lang w:val="en-US" w:eastAsia="zh-CN"/>
              </w:rPr>
              <w:t>在</w:t>
            </w:r>
            <w:r>
              <w:rPr>
                <w:rFonts w:hint="eastAsia" w:ascii="Times New Roman" w:hAnsi="Times New Roman" w:eastAsia="微软雅黑" w:cs="Times New Roman"/>
                <w:spacing w:val="-1"/>
                <w:sz w:val="18"/>
                <w:szCs w:val="18"/>
                <w:highlight w:val="none"/>
                <w:vertAlign w:val="baseline"/>
                <w:lang w:eastAsia="zh-CN"/>
              </w:rPr>
              <w:t>非小细胞肺癌</w:t>
            </w:r>
            <w:r>
              <w:rPr>
                <w:rFonts w:hint="eastAsia" w:ascii="Times New Roman" w:hAnsi="Times New Roman" w:eastAsia="微软雅黑" w:cs="Times New Roman"/>
                <w:spacing w:val="-1"/>
                <w:sz w:val="18"/>
                <w:szCs w:val="18"/>
                <w:highlight w:val="none"/>
                <w:vertAlign w:val="baseline"/>
                <w:lang w:val="en-US" w:eastAsia="zh-CN"/>
              </w:rPr>
              <w:t>中，携带</w:t>
            </w:r>
            <w:r>
              <w:rPr>
                <w:rFonts w:hint="eastAsia" w:ascii="Times New Roman" w:hAnsi="Times New Roman" w:eastAsia="微软雅黑" w:cs="Times New Roman"/>
                <w:spacing w:val="-1"/>
                <w:sz w:val="18"/>
                <w:szCs w:val="18"/>
                <w:highlight w:val="none"/>
                <w:vertAlign w:val="baseline"/>
                <w:lang w:eastAsia="zh-CN"/>
              </w:rPr>
              <w:t>EGFR 20号外显子插入突变的患者</w:t>
            </w:r>
            <w:r>
              <w:rPr>
                <w:rFonts w:hint="eastAsia" w:ascii="Times New Roman" w:hAnsi="Times New Roman" w:eastAsia="微软雅黑" w:cs="Times New Roman"/>
                <w:spacing w:val="-1"/>
                <w:sz w:val="18"/>
                <w:szCs w:val="18"/>
                <w:highlight w:val="none"/>
                <w:vertAlign w:val="baseline"/>
                <w:lang w:val="en-US" w:eastAsia="zh-CN"/>
              </w:rPr>
              <w:t>对</w:t>
            </w:r>
            <w:r>
              <w:rPr>
                <w:rFonts w:hint="eastAsia" w:ascii="Times New Roman" w:hAnsi="Times New Roman" w:eastAsia="微软雅黑" w:cs="Times New Roman"/>
                <w:b w:val="0"/>
                <w:bCs w:val="0"/>
                <w:spacing w:val="-1"/>
                <w:sz w:val="18"/>
                <w:szCs w:val="18"/>
                <w:highlight w:val="none"/>
                <w:lang w:eastAsia="zh-CN"/>
              </w:rPr>
              <w:t>Amivantamab、</w:t>
            </w:r>
            <w:r>
              <w:rPr>
                <w:rFonts w:hint="eastAsia" w:ascii="Times New Roman" w:hAnsi="Times New Roman" w:eastAsia="微软雅黑" w:cs="Times New Roman"/>
                <w:spacing w:val="-1"/>
                <w:sz w:val="18"/>
                <w:szCs w:val="18"/>
                <w:highlight w:val="none"/>
                <w:vertAlign w:val="baseline"/>
                <w:lang w:val="en-US" w:eastAsia="zh-CN"/>
              </w:rPr>
              <w:t>Poziotinib敏感</w:t>
            </w:r>
            <w:r>
              <w:rPr>
                <w:rFonts w:hint="default" w:ascii="Times New Roman" w:hAnsi="Times New Roman" w:eastAsia="微软雅黑" w:cs="Times New Roman"/>
                <w:spacing w:val="-1"/>
                <w:sz w:val="18"/>
                <w:szCs w:val="18"/>
                <w:highlight w:val="none"/>
                <w:vertAlign w:val="superscript"/>
                <w:lang w:val="en-US" w:eastAsia="zh-CN"/>
              </w:rPr>
              <w:t>[</w:t>
            </w:r>
            <w:r>
              <w:rPr>
                <w:rFonts w:hint="eastAsia" w:ascii="Times New Roman" w:hAnsi="Times New Roman" w:eastAsia="微软雅黑" w:cs="Times New Roman"/>
                <w:sz w:val="18"/>
                <w:szCs w:val="18"/>
                <w:highlight w:val="none"/>
                <w:vertAlign w:val="superscript"/>
                <w:lang w:val="en-US" w:eastAsia="zh-CN"/>
              </w:rPr>
              <w:t>44-58,285]</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Before w:val="1"/>
          <w:gridAfter w:val="1"/>
          <w:wBefore w:w="222" w:type="dxa"/>
          <w:wAfter w:w="275" w:type="dxa"/>
          <w:trHeight w:val="1555"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FGFR1</w:t>
            </w:r>
          </w:p>
        </w:tc>
        <w:tc>
          <w:tcPr>
            <w:tcW w:w="672"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扩增</w:t>
            </w:r>
          </w:p>
        </w:tc>
        <w:tc>
          <w:tcPr>
            <w:tcW w:w="4581" w:type="dxa"/>
            <w:vAlign w:val="center"/>
          </w:tcPr>
          <w:p>
            <w:pPr>
              <w:spacing w:before="19"/>
              <w:ind w:right="-6"/>
              <w:jc w:val="left"/>
              <w:rPr>
                <w:rFonts w:ascii="Times New Roman" w:hAnsi="Times New Roman" w:eastAsia="微软雅黑" w:cs="Times New Roman"/>
                <w:sz w:val="18"/>
                <w:szCs w:val="18"/>
                <w:highlight w:val="none"/>
              </w:rPr>
            </w:pPr>
            <w:r>
              <w:rPr>
                <w:rFonts w:ascii="Times New Roman" w:hAnsi="Times New Roman" w:eastAsia="微软雅黑" w:cs="Times New Roman"/>
                <w:b/>
                <w:bCs/>
                <w:sz w:val="18"/>
                <w:szCs w:val="18"/>
                <w:highlight w:val="none"/>
              </w:rPr>
              <w:t>Infigratinib</w:t>
            </w:r>
            <w:r>
              <w:rPr>
                <w:rFonts w:hint="eastAsia" w:ascii="Times New Roman" w:hAnsi="Times New Roman" w:eastAsia="微软雅黑" w:cs="Times New Roman"/>
                <w:sz w:val="18"/>
                <w:szCs w:val="18"/>
                <w:highlight w:val="none"/>
              </w:rPr>
              <w:t>（</w:t>
            </w:r>
            <w:r>
              <w:rPr>
                <w:rFonts w:ascii="Times New Roman" w:hAnsi="Times New Roman" w:eastAsia="微软雅黑" w:cs="Times New Roman"/>
                <w:sz w:val="18"/>
                <w:szCs w:val="18"/>
                <w:highlight w:val="none"/>
                <w:lang w:eastAsia="zh-CN"/>
              </w:rPr>
              <w:t>FDA批准用于</w:t>
            </w:r>
            <w:r>
              <w:rPr>
                <w:rFonts w:hint="eastAsia" w:ascii="Times New Roman" w:hAnsi="Times New Roman" w:eastAsia="微软雅黑" w:cs="Times New Roman"/>
                <w:sz w:val="18"/>
                <w:szCs w:val="18"/>
                <w:highlight w:val="none"/>
                <w:lang w:eastAsia="zh-CN"/>
              </w:rPr>
              <w:t>胆管</w:t>
            </w:r>
            <w:r>
              <w:rPr>
                <w:rFonts w:ascii="Times New Roman" w:hAnsi="Times New Roman" w:eastAsia="微软雅黑" w:cs="Times New Roman"/>
                <w:sz w:val="18"/>
                <w:szCs w:val="18"/>
                <w:highlight w:val="none"/>
                <w:lang w:eastAsia="zh-CN"/>
              </w:rPr>
              <w:t>癌</w:t>
            </w:r>
            <w:r>
              <w:rPr>
                <w:rFonts w:ascii="Times New Roman" w:hAnsi="Times New Roman" w:eastAsia="微软雅黑" w:cs="Times New Roman"/>
                <w:sz w:val="18"/>
                <w:szCs w:val="18"/>
                <w:highlight w:val="none"/>
              </w:rPr>
              <w:t>）</w:t>
            </w:r>
            <w:r>
              <w:rPr>
                <w:rFonts w:hint="eastAsia" w:ascii="Times New Roman" w:hAnsi="Times New Roman" w:eastAsia="微软雅黑" w:cs="Times New Roman"/>
                <w:sz w:val="18"/>
                <w:szCs w:val="18"/>
                <w:highlight w:val="none"/>
              </w:rPr>
              <w:t>；</w:t>
            </w:r>
          </w:p>
          <w:p>
            <w:pPr>
              <w:spacing w:before="19"/>
              <w:ind w:right="-6"/>
              <w:jc w:val="left"/>
              <w:rPr>
                <w:rFonts w:hint="eastAsia" w:ascii="Times New Roman" w:hAnsi="Times New Roman" w:eastAsia="微软雅黑" w:cs="Times New Roman"/>
                <w:sz w:val="18"/>
                <w:szCs w:val="18"/>
                <w:highlight w:val="none"/>
                <w:lang w:eastAsia="zh-CN"/>
              </w:rPr>
            </w:pPr>
            <w:r>
              <w:rPr>
                <w:rFonts w:hint="eastAsia" w:ascii="Times New Roman" w:hAnsi="Times New Roman" w:eastAsia="微软雅黑" w:cs="Times New Roman"/>
                <w:spacing w:val="-1"/>
                <w:sz w:val="18"/>
                <w:szCs w:val="18"/>
                <w:highlight w:val="none"/>
              </w:rPr>
              <w:t>Derazantinib</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rPr>
              <w:t>）</w:t>
            </w:r>
            <w:r>
              <w:rPr>
                <w:rFonts w:hint="eastAsia" w:ascii="Times New Roman" w:hAnsi="Times New Roman" w:eastAsia="微软雅黑" w:cs="Times New Roman"/>
                <w:sz w:val="18"/>
                <w:szCs w:val="18"/>
                <w:highlight w:val="none"/>
                <w:lang w:eastAsia="zh-CN"/>
              </w:rPr>
              <w:t>；</w:t>
            </w:r>
          </w:p>
          <w:p>
            <w:pPr>
              <w:spacing w:before="19"/>
              <w:ind w:right="-6" w:rightChars="0"/>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rPr>
              <w:t>多韦替尼</w:t>
            </w:r>
            <w:r>
              <w:rPr>
                <w:rFonts w:hint="eastAsia" w:ascii="Times New Roman" w:hAnsi="Times New Roman" w:eastAsia="微软雅黑" w:cs="Times New Roman"/>
                <w:sz w:val="18"/>
                <w:szCs w:val="18"/>
                <w:highlight w:val="none"/>
              </w:rPr>
              <w:t>（</w:t>
            </w:r>
            <w:r>
              <w:rPr>
                <w:rFonts w:ascii="Times New Roman" w:hAnsi="Times New Roman" w:eastAsia="微软雅黑" w:cs="Times New Roman"/>
                <w:sz w:val="18"/>
                <w:szCs w:val="18"/>
                <w:highlight w:val="none"/>
                <w:lang w:eastAsia="zh-CN"/>
              </w:rPr>
              <w:t>Dovitinib</w:t>
            </w:r>
            <w:r>
              <w:rPr>
                <w:rFonts w:ascii="Times New Roman" w:hAnsi="Times New Roman" w:eastAsia="微软雅黑" w:cs="Times New Roman"/>
                <w:sz w:val="18"/>
                <w:szCs w:val="18"/>
                <w:highlight w:val="none"/>
              </w:rPr>
              <w:t>）</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rPr>
              <w:t>）</w:t>
            </w:r>
          </w:p>
        </w:tc>
        <w:tc>
          <w:tcPr>
            <w:tcW w:w="3757" w:type="dxa"/>
            <w:gridSpan w:val="2"/>
            <w:vAlign w:val="center"/>
          </w:tcPr>
          <w:p>
            <w:pPr>
              <w:spacing w:before="19"/>
              <w:ind w:right="62"/>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在肾上腺皮质癌中，</w:t>
            </w:r>
            <w:r>
              <w:rPr>
                <w:rFonts w:ascii="Times New Roman" w:hAnsi="Times New Roman" w:eastAsia="微软雅黑" w:cs="Times New Roman"/>
                <w:spacing w:val="-1"/>
                <w:sz w:val="18"/>
                <w:szCs w:val="18"/>
                <w:highlight w:val="none"/>
                <w:lang w:eastAsia="zh-CN"/>
              </w:rPr>
              <w:t>携带FGFR1扩增的患者对Derazantinib敏感</w:t>
            </w:r>
            <w:r>
              <w:rPr>
                <w:rFonts w:hint="eastAsia" w:ascii="Times New Roman" w:hAnsi="Times New Roman" w:eastAsia="微软雅黑" w:cs="Times New Roman"/>
                <w:spacing w:val="-1"/>
                <w:sz w:val="18"/>
                <w:szCs w:val="18"/>
                <w:highlight w:val="none"/>
                <w:lang w:eastAsia="zh-CN"/>
              </w:rPr>
              <w:t>；在</w:t>
            </w:r>
            <w:r>
              <w:rPr>
                <w:rFonts w:ascii="Times New Roman" w:hAnsi="Times New Roman" w:eastAsia="微软雅黑" w:cs="Times New Roman"/>
                <w:spacing w:val="-1"/>
                <w:sz w:val="18"/>
                <w:szCs w:val="18"/>
                <w:highlight w:val="none"/>
                <w:lang w:eastAsia="zh-CN"/>
              </w:rPr>
              <w:t>肺鳞癌中</w:t>
            </w:r>
            <w:r>
              <w:rPr>
                <w:rFonts w:hint="eastAsia" w:ascii="Times New Roman" w:hAnsi="Times New Roman" w:eastAsia="微软雅黑" w:cs="Times New Roman"/>
                <w:spacing w:val="-1"/>
                <w:sz w:val="18"/>
                <w:szCs w:val="18"/>
                <w:highlight w:val="none"/>
                <w:lang w:eastAsia="zh-CN"/>
              </w:rPr>
              <w:t>，携带FGFR1扩增</w:t>
            </w:r>
            <w:r>
              <w:rPr>
                <w:rFonts w:ascii="Times New Roman" w:hAnsi="Times New Roman" w:eastAsia="微软雅黑" w:cs="Times New Roman"/>
                <w:spacing w:val="-1"/>
                <w:sz w:val="18"/>
                <w:szCs w:val="18"/>
                <w:highlight w:val="none"/>
                <w:lang w:eastAsia="zh-CN"/>
              </w:rPr>
              <w:t>的患者对</w:t>
            </w:r>
            <w:r>
              <w:rPr>
                <w:rFonts w:ascii="Times New Roman" w:hAnsi="Times New Roman" w:eastAsia="微软雅黑" w:cs="Times New Roman"/>
                <w:sz w:val="18"/>
                <w:szCs w:val="18"/>
                <w:highlight w:val="none"/>
                <w:lang w:eastAsia="zh-CN"/>
              </w:rPr>
              <w:t>Infigratinib</w:t>
            </w:r>
            <w:r>
              <w:rPr>
                <w:rFonts w:hint="eastAsia" w:ascii="Times New Roman" w:hAnsi="Times New Roman" w:eastAsia="微软雅黑" w:cs="Times New Roman"/>
                <w:sz w:val="18"/>
                <w:szCs w:val="18"/>
                <w:highlight w:val="none"/>
                <w:lang w:eastAsia="zh-CN"/>
              </w:rPr>
              <w:t>敏感；在</w:t>
            </w:r>
            <w:r>
              <w:rPr>
                <w:rFonts w:ascii="Times New Roman" w:hAnsi="Times New Roman" w:eastAsia="微软雅黑" w:cs="Times New Roman"/>
                <w:sz w:val="18"/>
                <w:szCs w:val="18"/>
                <w:highlight w:val="none"/>
                <w:lang w:eastAsia="zh-CN"/>
              </w:rPr>
              <w:t>HER2阳性乳腺癌</w:t>
            </w:r>
            <w:r>
              <w:rPr>
                <w:rFonts w:hint="eastAsia" w:ascii="Times New Roman" w:hAnsi="Times New Roman" w:eastAsia="微软雅黑" w:cs="Times New Roman"/>
                <w:sz w:val="18"/>
                <w:szCs w:val="18"/>
                <w:highlight w:val="none"/>
                <w:lang w:eastAsia="zh-CN"/>
              </w:rPr>
              <w:t>中</w:t>
            </w:r>
            <w:r>
              <w:rPr>
                <w:rFonts w:ascii="Times New Roman" w:hAnsi="Times New Roman" w:eastAsia="微软雅黑" w:cs="Times New Roman"/>
                <w:sz w:val="18"/>
                <w:szCs w:val="18"/>
                <w:highlight w:val="none"/>
                <w:lang w:eastAsia="zh-CN"/>
              </w:rPr>
              <w:t>，携带</w:t>
            </w:r>
            <w:r>
              <w:rPr>
                <w:rFonts w:hint="eastAsia" w:ascii="Times New Roman" w:hAnsi="Times New Roman" w:eastAsia="微软雅黑" w:cs="Times New Roman"/>
                <w:sz w:val="18"/>
                <w:szCs w:val="18"/>
                <w:highlight w:val="none"/>
                <w:lang w:eastAsia="zh-CN"/>
              </w:rPr>
              <w:t>FGFR1</w:t>
            </w:r>
            <w:r>
              <w:rPr>
                <w:rFonts w:hint="eastAsia" w:ascii="Times New Roman" w:hAnsi="Times New Roman" w:eastAsia="微软雅黑" w:cs="Times New Roman"/>
                <w:spacing w:val="-1"/>
                <w:sz w:val="18"/>
                <w:szCs w:val="18"/>
                <w:highlight w:val="none"/>
                <w:lang w:eastAsia="zh-CN"/>
              </w:rPr>
              <w:t>扩增</w:t>
            </w:r>
            <w:r>
              <w:rPr>
                <w:rFonts w:hint="eastAsia" w:ascii="Times New Roman" w:hAnsi="Times New Roman" w:eastAsia="微软雅黑" w:cs="Times New Roman"/>
                <w:sz w:val="18"/>
                <w:szCs w:val="18"/>
                <w:highlight w:val="none"/>
                <w:lang w:eastAsia="zh-CN"/>
              </w:rPr>
              <w:t>的</w:t>
            </w:r>
            <w:r>
              <w:rPr>
                <w:rFonts w:ascii="Times New Roman" w:hAnsi="Times New Roman" w:eastAsia="微软雅黑" w:cs="Times New Roman"/>
                <w:sz w:val="18"/>
                <w:szCs w:val="18"/>
                <w:highlight w:val="none"/>
                <w:lang w:eastAsia="zh-CN"/>
              </w:rPr>
              <w:t>患者</w:t>
            </w:r>
            <w:r>
              <w:rPr>
                <w:rFonts w:hint="eastAsia" w:ascii="Times New Roman" w:hAnsi="Times New Roman" w:eastAsia="微软雅黑" w:cs="Times New Roman"/>
                <w:sz w:val="18"/>
                <w:szCs w:val="18"/>
                <w:highlight w:val="none"/>
                <w:lang w:eastAsia="zh-CN"/>
              </w:rPr>
              <w:t>对</w:t>
            </w:r>
            <w:r>
              <w:rPr>
                <w:rFonts w:hint="eastAsia" w:ascii="Times New Roman" w:hAnsi="Times New Roman" w:eastAsia="微软雅黑" w:cs="Times New Roman"/>
                <w:spacing w:val="-1"/>
                <w:sz w:val="18"/>
                <w:szCs w:val="18"/>
                <w:highlight w:val="none"/>
                <w:lang w:eastAsia="zh-CN"/>
              </w:rPr>
              <w:t>多韦替尼敏感</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val="en-US" w:eastAsia="zh-CN"/>
              </w:rPr>
              <w:t>60</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6</w:t>
            </w:r>
            <w:r>
              <w:rPr>
                <w:rFonts w:hint="eastAsia" w:ascii="Times New Roman" w:hAnsi="Times New Roman" w:eastAsia="微软雅黑" w:cs="Times New Roman"/>
                <w:spacing w:val="-1"/>
                <w:sz w:val="18"/>
                <w:szCs w:val="18"/>
                <w:highlight w:val="none"/>
                <w:vertAlign w:val="superscript"/>
                <w:lang w:val="en-US" w:eastAsia="zh-CN"/>
              </w:rPr>
              <w:t>2</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Before w:val="1"/>
          <w:gridAfter w:val="1"/>
          <w:wBefore w:w="222" w:type="dxa"/>
          <w:wAfter w:w="275" w:type="dxa"/>
          <w:trHeight w:val="695"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FGFR2</w:t>
            </w:r>
          </w:p>
        </w:tc>
        <w:tc>
          <w:tcPr>
            <w:tcW w:w="672" w:type="dxa"/>
            <w:gridSpan w:val="2"/>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val="en-US" w:eastAsia="zh-CN"/>
              </w:rPr>
              <w:t>突变</w:t>
            </w:r>
            <w:r>
              <w:rPr>
                <w:rFonts w:ascii="Times New Roman" w:hAnsi="Times New Roman" w:eastAsia="微软雅黑" w:cs="Times New Roman"/>
                <w:sz w:val="18"/>
                <w:szCs w:val="18"/>
                <w:highlight w:val="none"/>
              </w:rPr>
              <w:t>扩增</w:t>
            </w:r>
          </w:p>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val="en-US" w:eastAsia="zh-CN"/>
              </w:rPr>
              <w:t>融合</w:t>
            </w:r>
          </w:p>
        </w:tc>
        <w:tc>
          <w:tcPr>
            <w:tcW w:w="4581" w:type="dxa"/>
            <w:vAlign w:val="center"/>
          </w:tcPr>
          <w:p>
            <w:pPr>
              <w:spacing w:before="19"/>
              <w:ind w:right="-8"/>
              <w:jc w:val="both"/>
              <w:rPr>
                <w:rFonts w:ascii="Times New Roman" w:hAnsi="Times New Roman" w:eastAsia="微软雅黑" w:cs="Times New Roman"/>
                <w:sz w:val="18"/>
                <w:szCs w:val="18"/>
                <w:highlight w:val="none"/>
                <w:lang w:eastAsia="zh-CN"/>
              </w:rPr>
            </w:pPr>
            <w:r>
              <w:rPr>
                <w:rFonts w:ascii="Times New Roman" w:hAnsi="Times New Roman" w:eastAsia="微软雅黑" w:cs="Times New Roman"/>
                <w:b/>
                <w:sz w:val="18"/>
                <w:szCs w:val="18"/>
                <w:highlight w:val="none"/>
                <w:lang w:eastAsia="zh-CN"/>
              </w:rPr>
              <w:t>Pemigatinib</w:t>
            </w:r>
            <w:r>
              <w:rPr>
                <w:rFonts w:ascii="Times New Roman" w:hAnsi="Times New Roman" w:eastAsia="微软雅黑" w:cs="Times New Roman"/>
                <w:sz w:val="18"/>
                <w:szCs w:val="18"/>
                <w:highlight w:val="none"/>
                <w:lang w:eastAsia="zh-CN"/>
              </w:rPr>
              <w:t>（FDA批准用于</w:t>
            </w:r>
            <w:r>
              <w:rPr>
                <w:rFonts w:hint="eastAsia" w:ascii="Times New Roman" w:hAnsi="Times New Roman" w:eastAsia="微软雅黑" w:cs="Times New Roman"/>
                <w:sz w:val="18"/>
                <w:szCs w:val="18"/>
                <w:highlight w:val="none"/>
                <w:lang w:eastAsia="zh-CN"/>
              </w:rPr>
              <w:t>胆管</w:t>
            </w:r>
            <w:r>
              <w:rPr>
                <w:rFonts w:ascii="Times New Roman" w:hAnsi="Times New Roman" w:eastAsia="微软雅黑" w:cs="Times New Roman"/>
                <w:sz w:val="18"/>
                <w:szCs w:val="18"/>
                <w:highlight w:val="none"/>
                <w:lang w:eastAsia="zh-CN"/>
              </w:rPr>
              <w:t>癌）</w:t>
            </w:r>
            <w:r>
              <w:rPr>
                <w:rFonts w:hint="eastAsia" w:ascii="Times New Roman" w:hAnsi="Times New Roman" w:eastAsia="微软雅黑" w:cs="Times New Roman"/>
                <w:sz w:val="18"/>
                <w:szCs w:val="18"/>
                <w:highlight w:val="none"/>
                <w:lang w:eastAsia="zh-CN"/>
              </w:rPr>
              <w:t>；</w:t>
            </w:r>
          </w:p>
          <w:p>
            <w:pPr>
              <w:widowControl/>
              <w:jc w:val="both"/>
              <w:rPr>
                <w:rFonts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rPr>
              <w:t>Erdafitinib</w:t>
            </w:r>
            <w:r>
              <w:rPr>
                <w:rFonts w:ascii="Times New Roman" w:hAnsi="Times New Roman" w:eastAsia="微软雅黑" w:cs="Times New Roman"/>
                <w:sz w:val="18"/>
                <w:szCs w:val="18"/>
                <w:highlight w:val="none"/>
                <w:lang w:eastAsia="zh-CN"/>
              </w:rPr>
              <w:t>（FDA批准用于膀胱尿路上皮癌</w:t>
            </w:r>
            <w:r>
              <w:rPr>
                <w:rFonts w:hint="eastAsia" w:ascii="Times New Roman" w:hAnsi="Times New Roman" w:eastAsia="微软雅黑" w:cs="Times New Roman"/>
                <w:sz w:val="18"/>
                <w:szCs w:val="18"/>
                <w:highlight w:val="none"/>
                <w:lang w:eastAsia="zh-CN"/>
              </w:rPr>
              <w:t>）；</w:t>
            </w:r>
          </w:p>
          <w:p>
            <w:pPr>
              <w:spacing w:before="19"/>
              <w:ind w:right="-8" w:rightChars="0"/>
              <w:jc w:val="left"/>
              <w:rPr>
                <w:rFonts w:ascii="Times New Roman" w:hAnsi="Times New Roman" w:eastAsia="微软雅黑" w:cs="Times New Roman"/>
                <w:sz w:val="18"/>
                <w:szCs w:val="18"/>
                <w:highlight w:val="none"/>
              </w:rPr>
            </w:pPr>
            <w:r>
              <w:rPr>
                <w:rFonts w:ascii="Times New Roman" w:hAnsi="Times New Roman" w:eastAsia="微软雅黑" w:cs="Times New Roman"/>
                <w:b/>
                <w:bCs/>
                <w:sz w:val="18"/>
                <w:szCs w:val="18"/>
                <w:highlight w:val="none"/>
                <w:lang w:eastAsia="zh-CN"/>
              </w:rPr>
              <w:t>Infigratinib</w:t>
            </w:r>
            <w:r>
              <w:rPr>
                <w:rFonts w:hint="eastAsia" w:ascii="Times New Roman" w:hAnsi="Times New Roman" w:eastAsia="微软雅黑" w:cs="Times New Roman"/>
                <w:sz w:val="18"/>
                <w:szCs w:val="18"/>
                <w:highlight w:val="none"/>
                <w:lang w:eastAsia="zh-CN"/>
              </w:rPr>
              <w:t>（</w:t>
            </w:r>
            <w:r>
              <w:rPr>
                <w:rFonts w:ascii="Times New Roman" w:hAnsi="Times New Roman" w:eastAsia="微软雅黑" w:cs="Times New Roman"/>
                <w:sz w:val="18"/>
                <w:szCs w:val="18"/>
                <w:highlight w:val="none"/>
                <w:lang w:eastAsia="zh-CN"/>
              </w:rPr>
              <w:t>FDA批准用于</w:t>
            </w:r>
            <w:r>
              <w:rPr>
                <w:rFonts w:hint="eastAsia" w:ascii="Times New Roman" w:hAnsi="Times New Roman" w:eastAsia="微软雅黑" w:cs="Times New Roman"/>
                <w:sz w:val="18"/>
                <w:szCs w:val="18"/>
                <w:highlight w:val="none"/>
                <w:lang w:eastAsia="zh-CN"/>
              </w:rPr>
              <w:t>胆管</w:t>
            </w:r>
            <w:r>
              <w:rPr>
                <w:rFonts w:ascii="Times New Roman" w:hAnsi="Times New Roman" w:eastAsia="微软雅黑" w:cs="Times New Roman"/>
                <w:sz w:val="18"/>
                <w:szCs w:val="18"/>
                <w:highlight w:val="none"/>
                <w:lang w:eastAsia="zh-CN"/>
              </w:rPr>
              <w:t>癌</w:t>
            </w:r>
            <w:r>
              <w:rPr>
                <w:rFonts w:hint="eastAsia" w:ascii="Times New Roman" w:hAnsi="Times New Roman" w:eastAsia="微软雅黑" w:cs="Times New Roman"/>
                <w:sz w:val="18"/>
                <w:szCs w:val="18"/>
                <w:highlight w:val="none"/>
                <w:lang w:eastAsia="zh-CN"/>
              </w:rPr>
              <w:t>）</w:t>
            </w:r>
          </w:p>
        </w:tc>
        <w:tc>
          <w:tcPr>
            <w:tcW w:w="3757" w:type="dxa"/>
            <w:gridSpan w:val="2"/>
            <w:vAlign w:val="center"/>
          </w:tcPr>
          <w:p>
            <w:pPr>
              <w:spacing w:before="19"/>
              <w:ind w:right="-8"/>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vertAlign w:val="baseline"/>
                <w:lang w:val="en-US" w:eastAsia="zh-CN"/>
              </w:rPr>
              <w:t>在胆管癌中，FGFR2融合的患者</w:t>
            </w:r>
            <w:r>
              <w:rPr>
                <w:rFonts w:hint="eastAsia" w:ascii="Times New Roman" w:hAnsi="Times New Roman" w:eastAsia="微软雅黑" w:cs="Times New Roman"/>
                <w:spacing w:val="-1"/>
                <w:sz w:val="18"/>
                <w:szCs w:val="18"/>
                <w:highlight w:val="none"/>
                <w:lang w:eastAsia="zh-CN"/>
              </w:rPr>
              <w:t>对Pemigatinib、</w:t>
            </w:r>
            <w:r>
              <w:rPr>
                <w:rFonts w:hint="eastAsia" w:ascii="Times New Roman" w:hAnsi="Times New Roman" w:eastAsia="微软雅黑" w:cs="Times New Roman"/>
                <w:spacing w:val="-1"/>
                <w:sz w:val="18"/>
                <w:szCs w:val="18"/>
                <w:highlight w:val="none"/>
                <w:lang w:val="en-US" w:eastAsia="zh-CN"/>
              </w:rPr>
              <w:t>Infigratinib敏感；在尿路上皮癌中，</w:t>
            </w:r>
            <w:r>
              <w:rPr>
                <w:rFonts w:hint="eastAsia" w:ascii="Times New Roman" w:hAnsi="Times New Roman" w:eastAsia="微软雅黑" w:cs="Times New Roman"/>
                <w:spacing w:val="-1"/>
                <w:sz w:val="18"/>
                <w:szCs w:val="18"/>
                <w:highlight w:val="none"/>
                <w:vertAlign w:val="baseline"/>
                <w:lang w:val="en-US" w:eastAsia="zh-CN"/>
              </w:rPr>
              <w:t>FGFR2基因扩增/突变的患者对Erdafitinib敏感</w:t>
            </w:r>
            <w:r>
              <w:rPr>
                <w:rFonts w:hint="eastAsia" w:ascii="Times New Roman" w:hAnsi="Times New Roman" w:eastAsia="微软雅黑" w:cs="Times New Roman"/>
                <w:spacing w:val="-1"/>
                <w:sz w:val="18"/>
                <w:szCs w:val="18"/>
                <w:highlight w:val="none"/>
                <w:vertAlign w:val="superscript"/>
                <w:lang w:val="en-US" w:eastAsia="zh-CN"/>
              </w:rPr>
              <w:t>[63-65]</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Before w:val="1"/>
          <w:gridAfter w:val="1"/>
          <w:wBefore w:w="222" w:type="dxa"/>
          <w:wAfter w:w="275" w:type="dxa"/>
          <w:trHeight w:val="2192"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GNA11</w:t>
            </w:r>
          </w:p>
        </w:tc>
        <w:tc>
          <w:tcPr>
            <w:tcW w:w="672" w:type="dxa"/>
            <w:gridSpan w:val="2"/>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突变</w:t>
            </w:r>
          </w:p>
        </w:tc>
        <w:tc>
          <w:tcPr>
            <w:tcW w:w="4581" w:type="dxa"/>
            <w:vAlign w:val="center"/>
          </w:tcPr>
          <w:p>
            <w:pPr>
              <w:jc w:val="left"/>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MEK抑制剂：</w:t>
            </w:r>
            <w:r>
              <w:rPr>
                <w:rFonts w:ascii="Times New Roman" w:hAnsi="Times New Roman" w:eastAsia="微软雅黑" w:cs="Times New Roman"/>
                <w:b/>
                <w:sz w:val="18"/>
                <w:szCs w:val="18"/>
                <w:highlight w:val="none"/>
              </w:rPr>
              <w:t>曲美替尼</w:t>
            </w:r>
            <w:r>
              <w:rPr>
                <w:rFonts w:hint="eastAsia" w:ascii="Times New Roman" w:hAnsi="Times New Roman" w:eastAsia="微软雅黑" w:cs="Times New Roman"/>
                <w:b/>
                <w:sz w:val="18"/>
                <w:szCs w:val="18"/>
                <w:highlight w:val="none"/>
              </w:rPr>
              <w:t>（</w:t>
            </w:r>
            <w:r>
              <w:rPr>
                <w:rFonts w:ascii="Times New Roman" w:hAnsi="Times New Roman" w:eastAsia="微软雅黑" w:cs="Times New Roman"/>
                <w:b/>
                <w:sz w:val="18"/>
                <w:szCs w:val="18"/>
                <w:highlight w:val="none"/>
              </w:rPr>
              <w:t>Trametinib）</w:t>
            </w:r>
            <w:r>
              <w:rPr>
                <w:rFonts w:ascii="Times New Roman" w:hAnsi="Times New Roman" w:eastAsia="微软雅黑" w:cs="Times New Roman"/>
                <w:sz w:val="18"/>
                <w:szCs w:val="18"/>
                <w:highlight w:val="none"/>
              </w:rPr>
              <w:t>（FDA 批准用于黑色素瘤）；</w:t>
            </w:r>
          </w:p>
          <w:p>
            <w:pPr>
              <w:jc w:val="left"/>
              <w:rPr>
                <w:rFonts w:ascii="Times New Roman" w:hAnsi="Times New Roman" w:eastAsia="微软雅黑" w:cs="Times New Roman"/>
                <w:sz w:val="18"/>
                <w:szCs w:val="18"/>
                <w:highlight w:val="none"/>
              </w:rPr>
            </w:pPr>
            <w:r>
              <w:rPr>
                <w:rFonts w:ascii="Times New Roman" w:hAnsi="Times New Roman" w:eastAsia="微软雅黑" w:cs="Times New Roman"/>
                <w:b/>
                <w:bCs/>
                <w:sz w:val="18"/>
                <w:szCs w:val="18"/>
                <w:highlight w:val="none"/>
              </w:rPr>
              <w:t>司美替尼</w:t>
            </w:r>
            <w:r>
              <w:rPr>
                <w:rFonts w:hint="eastAsia" w:ascii="Times New Roman" w:hAnsi="Times New Roman" w:eastAsia="微软雅黑" w:cs="Times New Roman"/>
                <w:b/>
                <w:bCs/>
                <w:sz w:val="18"/>
                <w:szCs w:val="18"/>
                <w:highlight w:val="none"/>
              </w:rPr>
              <w:t>（Selumetinib）</w:t>
            </w:r>
            <w:r>
              <w:rPr>
                <w:rFonts w:ascii="Times New Roman" w:hAnsi="Times New Roman" w:eastAsia="微软雅黑" w:cs="Times New Roman"/>
                <w:sz w:val="18"/>
                <w:szCs w:val="18"/>
                <w:highlight w:val="none"/>
              </w:rPr>
              <w:t>（FDA批准</w:t>
            </w:r>
            <w:r>
              <w:rPr>
                <w:rFonts w:hint="eastAsia" w:ascii="Times New Roman" w:hAnsi="Times New Roman" w:eastAsia="微软雅黑" w:cs="Times New Roman"/>
                <w:sz w:val="18"/>
                <w:szCs w:val="18"/>
                <w:highlight w:val="none"/>
                <w:lang w:eastAsia="zh-CN"/>
              </w:rPr>
              <w:t>用于神经纤维</w:t>
            </w:r>
            <w:r>
              <w:rPr>
                <w:rFonts w:ascii="Times New Roman" w:hAnsi="Times New Roman" w:eastAsia="微软雅黑" w:cs="Times New Roman"/>
                <w:sz w:val="18"/>
                <w:szCs w:val="18"/>
                <w:highlight w:val="none"/>
              </w:rPr>
              <w:t>瘤）</w:t>
            </w:r>
          </w:p>
        </w:tc>
        <w:tc>
          <w:tcPr>
            <w:tcW w:w="3757" w:type="dxa"/>
            <w:gridSpan w:val="2"/>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z w:val="18"/>
                <w:szCs w:val="18"/>
                <w:highlight w:val="none"/>
                <w:lang w:eastAsia="zh-CN"/>
              </w:rPr>
              <w:t>葡萄膜</w:t>
            </w:r>
            <w:r>
              <w:rPr>
                <w:rFonts w:ascii="Times New Roman" w:hAnsi="Times New Roman" w:eastAsia="微软雅黑" w:cs="Times New Roman"/>
                <w:sz w:val="18"/>
                <w:szCs w:val="18"/>
                <w:highlight w:val="none"/>
                <w:lang w:eastAsia="zh-CN"/>
              </w:rPr>
              <w:t>黑色素瘤中，GNA11 Q209L突变（第9外显子）会导致GNA11持续激活，并增强MAPK信号通路</w:t>
            </w:r>
            <w:r>
              <w:rPr>
                <w:rFonts w:hint="eastAsia" w:ascii="Times New Roman" w:hAnsi="Times New Roman" w:eastAsia="微软雅黑" w:cs="Times New Roman"/>
                <w:sz w:val="18"/>
                <w:szCs w:val="18"/>
                <w:highlight w:val="none"/>
                <w:lang w:eastAsia="zh-CN"/>
              </w:rPr>
              <w:t>。在一项临床前研究中，GNA11 Q209L突变体葡萄膜黑色素瘤细胞系对曲美替尼敏感。另有一项针对葡萄膜黑色素瘤患者的临床试验中，</w:t>
            </w:r>
            <w:r>
              <w:rPr>
                <w:rFonts w:ascii="Times New Roman" w:hAnsi="Times New Roman" w:eastAsia="微软雅黑" w:cs="Times New Roman"/>
                <w:sz w:val="18"/>
                <w:szCs w:val="18"/>
                <w:highlight w:val="none"/>
                <w:lang w:eastAsia="zh-CN"/>
              </w:rPr>
              <w:t>GNA11 Q209</w:t>
            </w:r>
            <w:r>
              <w:rPr>
                <w:rFonts w:hint="eastAsia" w:ascii="Times New Roman" w:hAnsi="Times New Roman" w:eastAsia="微软雅黑" w:cs="Times New Roman"/>
                <w:sz w:val="18"/>
                <w:szCs w:val="18"/>
                <w:highlight w:val="none"/>
                <w:lang w:eastAsia="zh-CN"/>
              </w:rPr>
              <w:t>突变对司美替尼敏感</w:t>
            </w:r>
            <w:r>
              <w:rPr>
                <w:rFonts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vertAlign w:val="superscript"/>
                <w:lang w:eastAsia="zh-CN"/>
              </w:rPr>
              <w:t>6</w:t>
            </w:r>
            <w:r>
              <w:rPr>
                <w:rFonts w:hint="eastAsia" w:ascii="Times New Roman" w:hAnsi="Times New Roman" w:eastAsia="微软雅黑" w:cs="Times New Roman"/>
                <w:sz w:val="18"/>
                <w:szCs w:val="18"/>
                <w:highlight w:val="none"/>
                <w:vertAlign w:val="superscript"/>
                <w:lang w:val="en-US" w:eastAsia="zh-CN"/>
              </w:rPr>
              <w:t>6</w:t>
            </w:r>
            <w:r>
              <w:rPr>
                <w:rFonts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vertAlign w:val="superscript"/>
                <w:lang w:val="en-US" w:eastAsia="zh-CN"/>
              </w:rPr>
              <w:t>71</w:t>
            </w:r>
            <w:r>
              <w:rPr>
                <w:rFonts w:ascii="Times New Roman" w:hAnsi="Times New Roman" w:eastAsia="微软雅黑" w:cs="Times New Roman"/>
                <w:sz w:val="18"/>
                <w:szCs w:val="18"/>
                <w:highlight w:val="none"/>
                <w:vertAlign w:val="superscript"/>
                <w:lang w:eastAsia="zh-CN"/>
              </w:rPr>
              <w:t>]</w:t>
            </w:r>
            <w:r>
              <w:rPr>
                <w:rFonts w:ascii="Times New Roman" w:hAnsi="Times New Roman" w:eastAsia="微软雅黑" w:cs="Times New Roman"/>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Before w:val="1"/>
          <w:gridAfter w:val="1"/>
          <w:wBefore w:w="222" w:type="dxa"/>
          <w:wAfter w:w="275" w:type="dxa"/>
          <w:trHeight w:val="90"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GNAQ</w:t>
            </w:r>
          </w:p>
        </w:tc>
        <w:tc>
          <w:tcPr>
            <w:tcW w:w="672" w:type="dxa"/>
            <w:gridSpan w:val="2"/>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突变</w:t>
            </w:r>
          </w:p>
        </w:tc>
        <w:tc>
          <w:tcPr>
            <w:tcW w:w="4581" w:type="dxa"/>
            <w:vAlign w:val="center"/>
          </w:tcPr>
          <w:p>
            <w:pPr>
              <w:jc w:val="left"/>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MEK抑制剂：</w:t>
            </w:r>
            <w:r>
              <w:rPr>
                <w:rFonts w:ascii="Times New Roman" w:hAnsi="Times New Roman" w:eastAsia="微软雅黑" w:cs="Times New Roman"/>
                <w:b/>
                <w:bCs/>
                <w:sz w:val="18"/>
                <w:szCs w:val="18"/>
                <w:highlight w:val="none"/>
              </w:rPr>
              <w:t>曲美替尼</w:t>
            </w:r>
            <w:r>
              <w:rPr>
                <w:rFonts w:hint="eastAsia" w:ascii="Times New Roman" w:hAnsi="Times New Roman" w:eastAsia="微软雅黑" w:cs="Times New Roman"/>
                <w:b/>
                <w:bCs/>
                <w:sz w:val="18"/>
                <w:szCs w:val="18"/>
                <w:highlight w:val="none"/>
              </w:rPr>
              <w:t>（Trametinib</w:t>
            </w:r>
            <w:r>
              <w:rPr>
                <w:rFonts w:ascii="Times New Roman" w:hAnsi="Times New Roman" w:eastAsia="微软雅黑" w:cs="Times New Roman"/>
                <w:b/>
                <w:bCs/>
                <w:sz w:val="18"/>
                <w:szCs w:val="18"/>
                <w:highlight w:val="none"/>
              </w:rPr>
              <w:t>）</w:t>
            </w:r>
            <w:r>
              <w:rPr>
                <w:rFonts w:ascii="Times New Roman" w:hAnsi="Times New Roman" w:eastAsia="微软雅黑" w:cs="Times New Roman"/>
                <w:sz w:val="18"/>
                <w:szCs w:val="18"/>
                <w:highlight w:val="none"/>
              </w:rPr>
              <w:t>（FDA批准用于黑色素瘤）；</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bCs/>
                <w:sz w:val="18"/>
                <w:szCs w:val="18"/>
                <w:highlight w:val="none"/>
              </w:rPr>
              <w:t>司美替尼</w:t>
            </w:r>
            <w:r>
              <w:rPr>
                <w:rFonts w:hint="eastAsia" w:ascii="Times New Roman" w:hAnsi="Times New Roman" w:eastAsia="微软雅黑" w:cs="Times New Roman"/>
                <w:b/>
                <w:bCs/>
                <w:sz w:val="18"/>
                <w:szCs w:val="18"/>
                <w:highlight w:val="none"/>
              </w:rPr>
              <w:t>（Selumetinib）</w:t>
            </w:r>
            <w:r>
              <w:rPr>
                <w:rFonts w:ascii="Times New Roman" w:hAnsi="Times New Roman" w:eastAsia="微软雅黑" w:cs="Times New Roman"/>
                <w:sz w:val="18"/>
                <w:szCs w:val="18"/>
                <w:highlight w:val="none"/>
              </w:rPr>
              <w:t>（FDA批准</w:t>
            </w:r>
            <w:r>
              <w:rPr>
                <w:rFonts w:hint="eastAsia" w:ascii="Times New Roman" w:hAnsi="Times New Roman" w:eastAsia="微软雅黑" w:cs="Times New Roman"/>
                <w:sz w:val="18"/>
                <w:szCs w:val="18"/>
                <w:highlight w:val="none"/>
                <w:lang w:eastAsia="zh-CN"/>
              </w:rPr>
              <w:t>用于神经纤维</w:t>
            </w:r>
            <w:r>
              <w:rPr>
                <w:rFonts w:ascii="Times New Roman" w:hAnsi="Times New Roman" w:eastAsia="微软雅黑" w:cs="Times New Roman"/>
                <w:sz w:val="18"/>
                <w:szCs w:val="18"/>
                <w:highlight w:val="none"/>
              </w:rPr>
              <w:t>瘤）</w:t>
            </w:r>
          </w:p>
        </w:tc>
        <w:tc>
          <w:tcPr>
            <w:tcW w:w="3757" w:type="dxa"/>
            <w:gridSpan w:val="2"/>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葡萄膜</w:t>
            </w:r>
            <w:r>
              <w:rPr>
                <w:rFonts w:ascii="Times New Roman" w:hAnsi="Times New Roman" w:eastAsia="微软雅黑" w:cs="Times New Roman"/>
                <w:spacing w:val="-1"/>
                <w:sz w:val="18"/>
                <w:szCs w:val="18"/>
                <w:highlight w:val="none"/>
                <w:lang w:eastAsia="zh-CN"/>
              </w:rPr>
              <w:t>黑色素瘤中，GNAQ Q209L突变（第9外显子）会导致GNAQ持续激活，并增强MAPK信号通路。</w:t>
            </w:r>
            <w:r>
              <w:rPr>
                <w:rFonts w:hint="eastAsia" w:ascii="Times New Roman" w:hAnsi="Times New Roman" w:eastAsia="微软雅黑" w:cs="Times New Roman"/>
                <w:sz w:val="18"/>
                <w:szCs w:val="18"/>
                <w:highlight w:val="none"/>
                <w:lang w:eastAsia="zh-CN"/>
              </w:rPr>
              <w:t>有一项针对葡萄膜黑色素瘤患者的临床试验中，</w:t>
            </w:r>
            <w:r>
              <w:rPr>
                <w:rFonts w:ascii="Times New Roman" w:hAnsi="Times New Roman" w:eastAsia="微软雅黑" w:cs="Times New Roman"/>
                <w:sz w:val="18"/>
                <w:szCs w:val="18"/>
                <w:highlight w:val="none"/>
                <w:lang w:eastAsia="zh-CN"/>
              </w:rPr>
              <w:t>GNAQ Q209</w:t>
            </w:r>
            <w:r>
              <w:rPr>
                <w:rFonts w:hint="eastAsia" w:ascii="Times New Roman" w:hAnsi="Times New Roman" w:eastAsia="微软雅黑" w:cs="Times New Roman"/>
                <w:sz w:val="18"/>
                <w:szCs w:val="18"/>
                <w:highlight w:val="none"/>
                <w:lang w:eastAsia="zh-CN"/>
              </w:rPr>
              <w:t>突变对司美替尼敏感</w:t>
            </w:r>
            <w:r>
              <w:rPr>
                <w:rFonts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vertAlign w:val="superscript"/>
                <w:lang w:eastAsia="zh-CN"/>
              </w:rPr>
              <w:t>7</w:t>
            </w:r>
            <w:r>
              <w:rPr>
                <w:rFonts w:hint="eastAsia" w:ascii="Times New Roman" w:hAnsi="Times New Roman" w:eastAsia="微软雅黑" w:cs="Times New Roman"/>
                <w:sz w:val="18"/>
                <w:szCs w:val="18"/>
                <w:highlight w:val="none"/>
                <w:vertAlign w:val="superscript"/>
                <w:lang w:val="en-US" w:eastAsia="zh-CN"/>
              </w:rPr>
              <w:t>2</w:t>
            </w:r>
            <w:r>
              <w:rPr>
                <w:rFonts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Before w:val="1"/>
          <w:gridAfter w:val="1"/>
          <w:wBefore w:w="222" w:type="dxa"/>
          <w:wAfter w:w="275" w:type="dxa"/>
          <w:trHeight w:val="702"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72" w:type="dxa"/>
            <w:gridSpan w:val="2"/>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4581" w:type="dxa"/>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gridSpan w:val="2"/>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Before w:val="1"/>
          <w:gridAfter w:val="1"/>
          <w:wBefore w:w="222" w:type="dxa"/>
          <w:wAfter w:w="275" w:type="dxa"/>
          <w:trHeight w:val="13604"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ERBB2</w:t>
            </w:r>
          </w:p>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（HER2）</w:t>
            </w:r>
          </w:p>
        </w:tc>
        <w:tc>
          <w:tcPr>
            <w:tcW w:w="672" w:type="dxa"/>
            <w:gridSpan w:val="2"/>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spacing w:before="1"/>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扩增</w:t>
            </w:r>
          </w:p>
        </w:tc>
        <w:tc>
          <w:tcPr>
            <w:tcW w:w="458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奈拉替尼*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Neratinib）</w:t>
            </w:r>
            <w:r>
              <w:rPr>
                <w:rFonts w:ascii="Times New Roman" w:hAnsi="Times New Roman" w:eastAsia="微软雅黑" w:cs="Times New Roman"/>
                <w:spacing w:val="-1"/>
                <w:sz w:val="18"/>
                <w:szCs w:val="18"/>
                <w:highlight w:val="none"/>
              </w:rPr>
              <w:t>（FDA/NMPA批准用于乳腺癌）、</w:t>
            </w:r>
            <w:r>
              <w:rPr>
                <w:rFonts w:ascii="Times New Roman" w:hAnsi="Times New Roman" w:eastAsia="微软雅黑" w:cs="Times New Roman"/>
                <w:b w:val="0"/>
                <w:bCs/>
                <w:spacing w:val="-1"/>
                <w:sz w:val="18"/>
                <w:szCs w:val="18"/>
                <w:highlight w:val="none"/>
              </w:rPr>
              <w:t>拉帕替尼（Lapatinib）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NCCN</w:t>
            </w:r>
            <w:r>
              <w:rPr>
                <w:rFonts w:hint="eastAsia" w:ascii="Times New Roman" w:hAnsi="Times New Roman" w:eastAsia="微软雅黑" w:cs="Times New Roman"/>
                <w:spacing w:val="-1"/>
                <w:sz w:val="18"/>
                <w:szCs w:val="18"/>
                <w:highlight w:val="none"/>
                <w:lang w:val="en-US" w:eastAsia="zh-CN"/>
              </w:rPr>
              <w:t>指南推荐</w:t>
            </w:r>
            <w:r>
              <w:rPr>
                <w:rFonts w:ascii="Times New Roman" w:hAnsi="Times New Roman" w:eastAsia="微软雅黑" w:cs="Times New Roman"/>
                <w:spacing w:val="-1"/>
                <w:sz w:val="18"/>
                <w:szCs w:val="18"/>
                <w:highlight w:val="none"/>
              </w:rPr>
              <w:t>用于乳腺癌）；</w:t>
            </w:r>
          </w:p>
          <w:p>
            <w:pPr>
              <w:jc w:val="both"/>
              <w:rPr>
                <w:b w:val="0"/>
                <w:bCs w:val="0"/>
                <w:sz w:val="24"/>
                <w:szCs w:val="24"/>
                <w:highlight w:val="none"/>
                <w:lang w:eastAsia="zh-CN"/>
              </w:rPr>
            </w:pPr>
            <w:r>
              <w:rPr>
                <w:rFonts w:ascii="微软雅黑" w:hAnsi="微软雅黑" w:eastAsia="微软雅黑" w:cs="Times New Roman"/>
                <w:b w:val="0"/>
                <w:bCs w:val="0"/>
                <w:spacing w:val="-1"/>
                <w:sz w:val="18"/>
                <w:szCs w:val="18"/>
                <w:highlight w:val="none"/>
                <w:lang w:eastAsia="zh-CN"/>
              </w:rPr>
              <w:t>曲妥珠单抗</w:t>
            </w:r>
            <w:r>
              <w:rPr>
                <w:rFonts w:ascii="Times New Roman" w:hAnsi="Times New Roman" w:eastAsia="微软雅黑" w:cs="Times New Roman"/>
                <w:b w:val="0"/>
                <w:bCs w:val="0"/>
                <w:spacing w:val="-1"/>
                <w:sz w:val="18"/>
                <w:szCs w:val="18"/>
                <w:highlight w:val="none"/>
                <w:lang w:eastAsia="zh-CN"/>
              </w:rPr>
              <w:t>+</w:t>
            </w:r>
            <w:r>
              <w:rPr>
                <w:rFonts w:ascii="微软雅黑" w:hAnsi="微软雅黑" w:eastAsia="微软雅黑" w:cs="Times New Roman"/>
                <w:b w:val="0"/>
                <w:bCs w:val="0"/>
                <w:spacing w:val="-1"/>
                <w:sz w:val="18"/>
                <w:szCs w:val="18"/>
                <w:highlight w:val="none"/>
                <w:lang w:eastAsia="zh-CN"/>
              </w:rPr>
              <w:t>帕妥珠单抗</w:t>
            </w:r>
            <w:r>
              <w:rPr>
                <w:rFonts w:ascii="Times New Roman" w:hAnsi="Times New Roman" w:eastAsia="微软雅黑" w:cs="Times New Roman"/>
                <w:b w:val="0"/>
                <w:bCs w:val="0"/>
                <w:spacing w:val="-1"/>
                <w:sz w:val="18"/>
                <w:szCs w:val="18"/>
                <w:highlight w:val="none"/>
                <w:lang w:eastAsia="zh-CN"/>
              </w:rPr>
              <w:t>+</w:t>
            </w:r>
            <w:r>
              <w:rPr>
                <w:rFonts w:ascii="微软雅黑" w:hAnsi="微软雅黑" w:eastAsia="微软雅黑" w:cs="Times New Roman"/>
                <w:b w:val="0"/>
                <w:bCs w:val="0"/>
                <w:spacing w:val="-1"/>
                <w:sz w:val="18"/>
                <w:szCs w:val="18"/>
                <w:highlight w:val="none"/>
                <w:lang w:eastAsia="zh-CN"/>
              </w:rPr>
              <w:t>透明质酸酶</w:t>
            </w:r>
          </w:p>
          <w:p>
            <w:pPr>
              <w:jc w:val="both"/>
              <w:rPr>
                <w:highlight w:val="none"/>
              </w:rPr>
            </w:pPr>
            <w:r>
              <w:rPr>
                <w:rFonts w:hint="eastAsia" w:ascii="微软雅黑" w:hAnsi="微软雅黑" w:eastAsia="微软雅黑" w:cs="Times New Roman"/>
                <w:b w:val="0"/>
                <w:bCs w:val="0"/>
                <w:spacing w:val="-1"/>
                <w:sz w:val="18"/>
                <w:szCs w:val="18"/>
                <w:highlight w:val="none"/>
              </w:rPr>
              <w:t>（</w:t>
            </w:r>
            <w:r>
              <w:rPr>
                <w:rFonts w:ascii="Times New Roman" w:hAnsi="Times New Roman" w:eastAsia="微软雅黑" w:cs="Times New Roman"/>
                <w:b w:val="0"/>
                <w:bCs w:val="0"/>
                <w:spacing w:val="-1"/>
                <w:sz w:val="18"/>
                <w:szCs w:val="18"/>
                <w:highlight w:val="none"/>
              </w:rPr>
              <w:t>Trastuzumab+Pertuzumab+Hyaluronidase</w:t>
            </w:r>
            <w:r>
              <w:rPr>
                <w:rFonts w:hint="eastAsia" w:ascii="微软雅黑" w:hAnsi="微软雅黑" w:eastAsia="微软雅黑" w:cs="Times New Roman"/>
                <w:b w:val="0"/>
                <w:bCs w:val="0"/>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bCs/>
                <w:spacing w:val="-1"/>
                <w:sz w:val="18"/>
                <w:szCs w:val="18"/>
                <w:highlight w:val="none"/>
              </w:rPr>
              <w:t>NCCN指南推荐用于乳腺癌</w:t>
            </w:r>
            <w:r>
              <w:rPr>
                <w:rFonts w:hint="eastAsia" w:ascii="微软雅黑" w:hAnsi="微软雅黑" w:eastAsia="微软雅黑" w:cs="Times New Roman"/>
                <w:spacing w:val="-1"/>
                <w:sz w:val="18"/>
                <w:szCs w:val="18"/>
                <w:highlight w:val="none"/>
              </w:rPr>
              <w:t>）；</w:t>
            </w:r>
          </w:p>
          <w:p>
            <w:pPr>
              <w:jc w:val="both"/>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bCs/>
                <w:spacing w:val="-1"/>
                <w:sz w:val="18"/>
                <w:szCs w:val="18"/>
                <w:highlight w:val="none"/>
              </w:rPr>
              <w:t>EGFR抑制剂</w:t>
            </w:r>
            <w:r>
              <w:rPr>
                <w:rFonts w:ascii="Times New Roman" w:hAnsi="Times New Roman" w:eastAsia="微软雅黑" w:cs="Times New Roman"/>
                <w:bCs/>
                <w:spacing w:val="-1"/>
                <w:sz w:val="18"/>
                <w:szCs w:val="18"/>
                <w:highlight w:val="none"/>
              </w:rPr>
              <w:t>：</w:t>
            </w:r>
            <w:r>
              <w:rPr>
                <w:rFonts w:hint="eastAsia" w:ascii="Times New Roman" w:hAnsi="Times New Roman" w:eastAsia="微软雅黑" w:cs="Times New Roman"/>
                <w:b/>
                <w:bCs/>
                <w:spacing w:val="-1"/>
                <w:sz w:val="18"/>
                <w:szCs w:val="18"/>
                <w:highlight w:val="none"/>
              </w:rPr>
              <w:t>埃克替尼*（Icotinib）</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bCs/>
                <w:spacing w:val="-1"/>
                <w:sz w:val="18"/>
                <w:szCs w:val="18"/>
                <w:highlight w:val="none"/>
              </w:rPr>
              <w:t>厄洛替尼*（E</w:t>
            </w:r>
            <w:r>
              <w:rPr>
                <w:rFonts w:ascii="Times New Roman" w:hAnsi="Times New Roman" w:eastAsia="微软雅黑" w:cs="Times New Roman"/>
                <w:b/>
                <w:bCs/>
                <w:spacing w:val="-1"/>
                <w:sz w:val="18"/>
                <w:szCs w:val="18"/>
                <w:highlight w:val="none"/>
              </w:rPr>
              <w:t>rlotinib</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bCs/>
                <w:spacing w:val="-1"/>
                <w:sz w:val="18"/>
                <w:szCs w:val="18"/>
                <w:highlight w:val="none"/>
              </w:rPr>
              <w:t>吉非替尼*（</w:t>
            </w:r>
            <w:r>
              <w:rPr>
                <w:rFonts w:ascii="Times New Roman" w:hAnsi="Times New Roman" w:eastAsia="微软雅黑" w:cs="Times New Roman"/>
                <w:b/>
                <w:bCs/>
                <w:spacing w:val="-1"/>
                <w:sz w:val="18"/>
                <w:szCs w:val="18"/>
                <w:highlight w:val="none"/>
              </w:rPr>
              <w:t>Gefitinib</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hint="eastAsia" w:ascii="微软雅黑" w:hAnsi="微软雅黑" w:eastAsia="微软雅黑" w:cs="Times New Roman"/>
                <w:b/>
                <w:bCs/>
                <w:spacing w:val="-1"/>
                <w:sz w:val="18"/>
                <w:szCs w:val="18"/>
                <w:highlight w:val="none"/>
              </w:rPr>
              <w:t>阿法替尼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Afatinib</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r>
              <w:rPr>
                <w:rFonts w:hint="eastAsia" w:ascii="微软雅黑" w:hAnsi="微软雅黑" w:eastAsia="微软雅黑" w:cs="Times New Roman"/>
                <w:b/>
                <w:bCs/>
                <w:spacing w:val="-1"/>
                <w:sz w:val="18"/>
                <w:szCs w:val="18"/>
                <w:highlight w:val="none"/>
              </w:rPr>
              <w:t>达</w:t>
            </w:r>
            <w:r>
              <w:rPr>
                <w:rFonts w:ascii="微软雅黑" w:hAnsi="微软雅黑" w:eastAsia="微软雅黑" w:cs="Times New Roman"/>
                <w:b/>
                <w:bCs/>
                <w:spacing w:val="-1"/>
                <w:sz w:val="18"/>
                <w:szCs w:val="18"/>
                <w:highlight w:val="none"/>
              </w:rPr>
              <w:t>可</w:t>
            </w:r>
            <w:r>
              <w:rPr>
                <w:rFonts w:hint="eastAsia" w:ascii="微软雅黑" w:hAnsi="微软雅黑" w:eastAsia="微软雅黑" w:cs="Times New Roman"/>
                <w:b/>
                <w:bCs/>
                <w:spacing w:val="-1"/>
                <w:sz w:val="18"/>
                <w:szCs w:val="18"/>
                <w:highlight w:val="none"/>
              </w:rPr>
              <w:t>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Dacomitinib</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r>
              <w:rPr>
                <w:rFonts w:hint="eastAsia" w:ascii="微软雅黑" w:hAnsi="微软雅黑" w:eastAsia="微软雅黑" w:cs="Times New Roman"/>
                <w:b/>
                <w:bCs/>
                <w:spacing w:val="-1"/>
                <w:sz w:val="18"/>
                <w:szCs w:val="18"/>
                <w:highlight w:val="none"/>
              </w:rPr>
              <w:t>奥希替尼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Osimertinib</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p>
          <w:p>
            <w:pPr>
              <w:spacing w:before="19"/>
              <w:ind w:right="-6"/>
              <w:jc w:val="both"/>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w:t>
            </w:r>
            <w:r>
              <w:rPr>
                <w:rFonts w:ascii="微软雅黑" w:hAnsi="微软雅黑" w:eastAsia="微软雅黑" w:cs="Times New Roman"/>
                <w:spacing w:val="-1"/>
                <w:sz w:val="18"/>
                <w:szCs w:val="18"/>
                <w:highlight w:val="none"/>
              </w:rPr>
              <w:t>单抗：</w:t>
            </w:r>
            <w:r>
              <w:rPr>
                <w:rFonts w:ascii="微软雅黑" w:hAnsi="微软雅黑" w:eastAsia="微软雅黑" w:cs="Times New Roman"/>
                <w:b/>
                <w:bCs/>
                <w:spacing w:val="-1"/>
                <w:sz w:val="18"/>
                <w:szCs w:val="18"/>
                <w:highlight w:val="none"/>
              </w:rPr>
              <w:t>西妥昔单抗</w:t>
            </w:r>
            <w:r>
              <w:rPr>
                <w:rFonts w:hint="eastAsia"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Cetuximab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微软雅黑" w:hAnsi="微软雅黑" w:eastAsia="微软雅黑" w:cs="Times New Roman"/>
                <w:spacing w:val="-1"/>
                <w:sz w:val="18"/>
                <w:szCs w:val="18"/>
                <w:highlight w:val="none"/>
              </w:rPr>
              <w:t>批准</w:t>
            </w:r>
            <w:r>
              <w:rPr>
                <w:rFonts w:ascii="微软雅黑" w:hAnsi="微软雅黑" w:eastAsia="微软雅黑" w:cs="Times New Roman"/>
                <w:spacing w:val="-1"/>
                <w:sz w:val="18"/>
                <w:szCs w:val="18"/>
                <w:highlight w:val="none"/>
              </w:rPr>
              <w:t>用于</w:t>
            </w:r>
            <w:r>
              <w:rPr>
                <w:rFonts w:hint="eastAsia" w:ascii="微软雅黑" w:hAnsi="微软雅黑" w:eastAsia="微软雅黑" w:cs="Times New Roman"/>
                <w:spacing w:val="-1"/>
                <w:sz w:val="18"/>
                <w:szCs w:val="18"/>
                <w:highlight w:val="none"/>
              </w:rPr>
              <w:t>结直肠癌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头颈部鳞状细胞癌</w:t>
            </w:r>
            <w:r>
              <w:rPr>
                <w:rFonts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b/>
                <w:bCs/>
                <w:spacing w:val="-1"/>
                <w:sz w:val="18"/>
                <w:szCs w:val="18"/>
                <w:highlight w:val="none"/>
              </w:rPr>
              <w:t>帕尼单抗</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Panitumumab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w:t>
            </w:r>
            <w:r>
              <w:rPr>
                <w:rFonts w:ascii="微软雅黑" w:hAnsi="微软雅黑" w:eastAsia="微软雅黑" w:cs="Times New Roman"/>
                <w:spacing w:val="-1"/>
                <w:sz w:val="18"/>
                <w:szCs w:val="18"/>
                <w:highlight w:val="none"/>
              </w:rPr>
              <w:t>批准用于结直肠癌）</w:t>
            </w:r>
            <w:r>
              <w:rPr>
                <w:rFonts w:hint="eastAsia" w:ascii="微软雅黑" w:hAnsi="微软雅黑" w:eastAsia="微软雅黑" w:cs="Times New Roman"/>
                <w:spacing w:val="-1"/>
                <w:sz w:val="18"/>
                <w:szCs w:val="18"/>
                <w:highlight w:val="none"/>
              </w:rPr>
              <w:t>；</w:t>
            </w:r>
          </w:p>
          <w:p>
            <w:pPr>
              <w:jc w:val="left"/>
              <w:rPr>
                <w:sz w:val="24"/>
                <w:szCs w:val="24"/>
                <w:highlight w:val="none"/>
                <w:lang w:eastAsia="zh-CN"/>
              </w:rPr>
            </w:pPr>
            <w:r>
              <w:rPr>
                <w:rFonts w:ascii="Times New Roman" w:hAnsi="Times New Roman" w:eastAsia="微软雅黑" w:cs="Times New Roman"/>
                <w:b/>
                <w:spacing w:val="-1"/>
                <w:sz w:val="18"/>
                <w:szCs w:val="18"/>
                <w:highlight w:val="none"/>
              </w:rPr>
              <w:t>曲妥珠单抗*（Trastuzumab）</w:t>
            </w:r>
            <w:r>
              <w:rPr>
                <w:rFonts w:ascii="Times New Roman" w:hAnsi="Times New Roman" w:eastAsia="微软雅黑" w:cs="Times New Roman"/>
                <w:spacing w:val="-1"/>
                <w:sz w:val="18"/>
                <w:szCs w:val="18"/>
                <w:highlight w:val="none"/>
              </w:rPr>
              <w:t>（FDA/NMPA批准用于乳腺癌）、</w:t>
            </w:r>
            <w:r>
              <w:rPr>
                <w:rFonts w:hint="eastAsia" w:ascii="Times New Roman" w:hAnsi="Times New Roman" w:eastAsia="微软雅黑" w:cs="Times New Roman"/>
                <w:b/>
                <w:spacing w:val="-1"/>
                <w:sz w:val="18"/>
                <w:szCs w:val="18"/>
                <w:highlight w:val="none"/>
              </w:rPr>
              <w:t>恩美曲妥珠单抗</w:t>
            </w:r>
            <w:r>
              <w:rPr>
                <w:rFonts w:hint="eastAsia" w:ascii="Times New Roman" w:hAnsi="Times New Roman" w:eastAsia="微软雅黑" w:cs="Times New Roman"/>
                <w:b/>
                <w:spacing w:val="-1"/>
                <w:sz w:val="18"/>
                <w:szCs w:val="18"/>
                <w:highlight w:val="none"/>
                <w:lang w:val="en-US" w:eastAsia="zh-CN"/>
              </w:rPr>
              <w:t>*</w:t>
            </w:r>
            <w:r>
              <w:rPr>
                <w:rFonts w:ascii="Times New Roman" w:hAnsi="Times New Roman" w:eastAsia="微软雅黑" w:cs="Times New Roman"/>
                <w:b/>
                <w:spacing w:val="-1"/>
                <w:sz w:val="18"/>
                <w:szCs w:val="18"/>
                <w:highlight w:val="none"/>
              </w:rPr>
              <w:t>（Ado-trastuzumab emtansine）</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用于乳腺癌）</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spacing w:val="-1"/>
                <w:sz w:val="18"/>
                <w:szCs w:val="18"/>
                <w:highlight w:val="none"/>
              </w:rPr>
              <w:t>曲妥珠单抗</w:t>
            </w:r>
            <w:r>
              <w:rPr>
                <w:rFonts w:ascii="Times New Roman" w:hAnsi="Times New Roman" w:eastAsia="微软雅黑" w:cs="Times New Roman"/>
                <w:b/>
                <w:spacing w:val="-1"/>
                <w:sz w:val="18"/>
                <w:szCs w:val="18"/>
                <w:highlight w:val="none"/>
              </w:rPr>
              <w:t>+帕妥珠单抗+多西他赛</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Trastuzumab+Pertuzumab+Docetaxel）</w:t>
            </w:r>
            <w:r>
              <w:rPr>
                <w:rFonts w:hint="eastAsia" w:ascii="Times New Roman" w:hAnsi="Times New Roman" w:eastAsia="微软雅黑" w:cs="Times New Roman"/>
                <w:spacing w:val="-1"/>
                <w:sz w:val="18"/>
                <w:szCs w:val="18"/>
                <w:highlight w:val="none"/>
              </w:rPr>
              <w:t>（FDA批准用于</w:t>
            </w:r>
            <w:r>
              <w:rPr>
                <w:rFonts w:ascii="Times New Roman" w:hAnsi="Times New Roman" w:eastAsia="微软雅黑" w:cs="Times New Roman"/>
                <w:spacing w:val="-1"/>
                <w:sz w:val="18"/>
                <w:szCs w:val="18"/>
                <w:highlight w:val="none"/>
              </w:rPr>
              <w:t>乳腺癌）</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bCs w:val="0"/>
                <w:spacing w:val="-1"/>
                <w:sz w:val="18"/>
                <w:szCs w:val="18"/>
                <w:highlight w:val="none"/>
              </w:rPr>
              <w:t>Trastuzumab deruxtecan</w:t>
            </w:r>
            <w:r>
              <w:rPr>
                <w:rFonts w:ascii="Times New Roman" w:hAnsi="Times New Roman" w:eastAsia="微软雅黑" w:cs="Times New Roman"/>
                <w:bCs/>
                <w:spacing w:val="-1"/>
                <w:sz w:val="18"/>
                <w:szCs w:val="18"/>
                <w:highlight w:val="none"/>
              </w:rPr>
              <w:t>（FDA批准用于乳腺癌</w:t>
            </w:r>
            <w:r>
              <w:rPr>
                <w:rFonts w:hint="eastAsia" w:ascii="Times New Roman" w:hAnsi="Times New Roman" w:eastAsia="微软雅黑" w:cs="Times New Roman"/>
                <w:bCs/>
                <w:spacing w:val="-1"/>
                <w:sz w:val="18"/>
                <w:szCs w:val="18"/>
                <w:highlight w:val="none"/>
                <w:lang w:eastAsia="zh-CN"/>
              </w:rPr>
              <w:t>、胃癌、胃食管结合腺癌</w:t>
            </w:r>
            <w:r>
              <w:rPr>
                <w:rFonts w:ascii="Times New Roman" w:hAnsi="Times New Roman" w:eastAsia="微软雅黑" w:cs="Times New Roman"/>
                <w:bCs/>
                <w:spacing w:val="-1"/>
                <w:sz w:val="18"/>
                <w:szCs w:val="18"/>
                <w:highlight w:val="none"/>
              </w:rPr>
              <w:t>）、</w:t>
            </w:r>
            <w:r>
              <w:rPr>
                <w:rFonts w:ascii="Times New Roman" w:hAnsi="Times New Roman" w:eastAsia="微软雅黑" w:cs="Times New Roman"/>
                <w:b/>
                <w:spacing w:val="-1"/>
                <w:sz w:val="18"/>
                <w:szCs w:val="18"/>
                <w:highlight w:val="none"/>
              </w:rPr>
              <w:t>拉帕替尼+卡培他滨*（Lapatinib+Capecitabine）</w:t>
            </w:r>
            <w:r>
              <w:rPr>
                <w:rFonts w:ascii="Times New Roman" w:hAnsi="Times New Roman" w:eastAsia="微软雅黑" w:cs="Times New Roman"/>
                <w:bCs/>
                <w:spacing w:val="-1"/>
                <w:sz w:val="18"/>
                <w:szCs w:val="18"/>
                <w:highlight w:val="none"/>
              </w:rPr>
              <w:t>（FDA/NMPA批准用于乳腺癌）、</w:t>
            </w:r>
            <w:r>
              <w:rPr>
                <w:rFonts w:ascii="Times New Roman" w:hAnsi="Times New Roman" w:eastAsia="微软雅黑" w:cs="Times New Roman"/>
                <w:b/>
                <w:spacing w:val="-1"/>
                <w:sz w:val="18"/>
                <w:szCs w:val="18"/>
                <w:highlight w:val="none"/>
              </w:rPr>
              <w:t>奈拉替尼+卡培他滨（Neratinib+Capecitabine）</w:t>
            </w:r>
            <w:r>
              <w:rPr>
                <w:rFonts w:ascii="Times New Roman" w:hAnsi="Times New Roman" w:eastAsia="微软雅黑" w:cs="Times New Roman"/>
                <w:bCs/>
                <w:spacing w:val="-1"/>
                <w:sz w:val="18"/>
                <w:szCs w:val="18"/>
                <w:highlight w:val="none"/>
              </w:rPr>
              <w:t>（FDA批准用于乳腺癌）</w:t>
            </w:r>
            <w:r>
              <w:rPr>
                <w:rFonts w:hint="eastAsia" w:ascii="Times New Roman" w:hAnsi="Times New Roman" w:eastAsia="微软雅黑" w:cs="Times New Roman"/>
                <w:bCs/>
                <w:spacing w:val="-1"/>
                <w:sz w:val="18"/>
                <w:szCs w:val="18"/>
                <w:highlight w:val="none"/>
                <w:lang w:eastAsia="zh-CN"/>
              </w:rPr>
              <w:t>、</w:t>
            </w:r>
            <w:r>
              <w:rPr>
                <w:rFonts w:ascii="Times New Roman" w:hAnsi="Times New Roman" w:eastAsia="微软雅黑" w:cs="Times New Roman"/>
                <w:b/>
                <w:spacing w:val="-1"/>
                <w:sz w:val="18"/>
                <w:szCs w:val="18"/>
                <w:highlight w:val="none"/>
              </w:rPr>
              <w:t>Tucatinib+曲妥珠单抗+卡培他滨</w:t>
            </w:r>
            <w:r>
              <w:rPr>
                <w:rFonts w:hint="eastAsia" w:ascii="Times New Roman" w:hAnsi="Times New Roman" w:eastAsia="微软雅黑" w:cs="Times New Roman"/>
                <w:b/>
                <w:spacing w:val="-1"/>
                <w:sz w:val="18"/>
                <w:szCs w:val="18"/>
                <w:highlight w:val="none"/>
              </w:rPr>
              <w:t>（</w:t>
            </w:r>
            <w:r>
              <w:rPr>
                <w:rFonts w:ascii="Arial" w:hAnsi="Arial" w:cs="Arial"/>
                <w:b/>
                <w:color w:val="035551"/>
                <w:sz w:val="18"/>
                <w:szCs w:val="18"/>
                <w:highlight w:val="none"/>
                <w:shd w:val="clear" w:color="auto" w:fill="FFFFFF"/>
              </w:rPr>
              <w:t>T</w:t>
            </w:r>
            <w:r>
              <w:rPr>
                <w:rFonts w:ascii="Times New Roman" w:hAnsi="Times New Roman" w:eastAsia="微软雅黑" w:cs="Times New Roman"/>
                <w:b/>
                <w:spacing w:val="-1"/>
                <w:sz w:val="18"/>
                <w:szCs w:val="18"/>
                <w:highlight w:val="none"/>
              </w:rPr>
              <w:t>ucatinib+Trastuzumab+Capecitabine</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Cs/>
                <w:spacing w:val="-1"/>
                <w:sz w:val="18"/>
                <w:szCs w:val="18"/>
                <w:highlight w:val="none"/>
              </w:rPr>
              <w:t>（FDA批准用于乳腺癌）</w:t>
            </w:r>
            <w:r>
              <w:rPr>
                <w:rFonts w:hint="eastAsia" w:ascii="Times New Roman" w:hAnsi="Times New Roman" w:eastAsia="微软雅黑" w:cs="Times New Roman"/>
                <w:bCs/>
                <w:spacing w:val="-1"/>
                <w:sz w:val="18"/>
                <w:szCs w:val="18"/>
                <w:highlight w:val="none"/>
                <w:lang w:eastAsia="zh-CN"/>
              </w:rPr>
              <w:t>、</w:t>
            </w:r>
            <w:r>
              <w:rPr>
                <w:rFonts w:ascii="Times New Roman" w:hAnsi="Times New Roman" w:eastAsia="微软雅黑" w:cs="Times New Roman"/>
                <w:b/>
                <w:spacing w:val="-1"/>
                <w:sz w:val="18"/>
                <w:szCs w:val="18"/>
                <w:highlight w:val="none"/>
              </w:rPr>
              <w:t>曲妥珠单抗+顺铂+卡培他滨</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b/>
                <w:spacing w:val="-1"/>
                <w:sz w:val="18"/>
                <w:szCs w:val="18"/>
                <w:highlight w:val="none"/>
              </w:rPr>
              <w:t>（Trastuzumab+Cisplatin+Capecitabine）</w:t>
            </w:r>
            <w:r>
              <w:rPr>
                <w:rFonts w:ascii="Times New Roman" w:hAnsi="Times New Roman" w:eastAsia="微软雅黑" w:cs="Times New Roman"/>
                <w:bCs/>
                <w:spacing w:val="-1"/>
                <w:sz w:val="18"/>
                <w:szCs w:val="18"/>
                <w:highlight w:val="none"/>
              </w:rPr>
              <w:t>（FDA/NMPA批准用于</w:t>
            </w:r>
            <w:r>
              <w:rPr>
                <w:rFonts w:hint="eastAsia" w:ascii="Times New Roman" w:hAnsi="Times New Roman" w:eastAsia="微软雅黑" w:cs="Times New Roman"/>
                <w:bCs/>
                <w:spacing w:val="-1"/>
                <w:sz w:val="18"/>
                <w:szCs w:val="18"/>
                <w:highlight w:val="none"/>
                <w:lang w:eastAsia="zh-CN"/>
              </w:rPr>
              <w:t>胃</w:t>
            </w:r>
            <w:r>
              <w:rPr>
                <w:rFonts w:ascii="Times New Roman" w:hAnsi="Times New Roman" w:eastAsia="微软雅黑" w:cs="Times New Roman"/>
                <w:bCs/>
                <w:spacing w:val="-1"/>
                <w:sz w:val="18"/>
                <w:szCs w:val="18"/>
                <w:highlight w:val="none"/>
              </w:rPr>
              <w:t>癌、</w:t>
            </w:r>
            <w:r>
              <w:rPr>
                <w:rFonts w:hint="eastAsia" w:ascii="Times New Roman" w:hAnsi="Times New Roman" w:eastAsia="微软雅黑" w:cs="Times New Roman"/>
                <w:bCs/>
                <w:spacing w:val="-1"/>
                <w:sz w:val="18"/>
                <w:szCs w:val="18"/>
                <w:highlight w:val="none"/>
              </w:rPr>
              <w:t>胃食管结合腺癌</w:t>
            </w:r>
            <w:r>
              <w:rPr>
                <w:rFonts w:ascii="Times New Roman" w:hAnsi="Times New Roman" w:eastAsia="微软雅黑" w:cs="Times New Roman"/>
                <w:bCs/>
                <w:spacing w:val="-1"/>
                <w:sz w:val="18"/>
                <w:szCs w:val="18"/>
                <w:highlight w:val="none"/>
              </w:rPr>
              <w:t>）、</w:t>
            </w:r>
            <w:r>
              <w:rPr>
                <w:rFonts w:ascii="Times New Roman" w:hAnsi="Times New Roman" w:eastAsia="微软雅黑" w:cs="Times New Roman"/>
                <w:b/>
                <w:spacing w:val="-1"/>
                <w:sz w:val="18"/>
                <w:szCs w:val="18"/>
                <w:highlight w:val="none"/>
              </w:rPr>
              <w:t>曲妥珠单抗+顺铂+氟尿嘧啶</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b/>
                <w:spacing w:val="-1"/>
                <w:sz w:val="18"/>
                <w:szCs w:val="18"/>
                <w:highlight w:val="none"/>
              </w:rPr>
              <w:t>（Trastuzumab+Cisplatin+5-Fluorouracil）</w:t>
            </w:r>
            <w:r>
              <w:rPr>
                <w:rFonts w:ascii="Times New Roman" w:hAnsi="Times New Roman" w:eastAsia="微软雅黑" w:cs="Times New Roman"/>
                <w:bCs/>
                <w:spacing w:val="-1"/>
                <w:sz w:val="18"/>
                <w:szCs w:val="18"/>
                <w:highlight w:val="none"/>
              </w:rPr>
              <w:t>（FDA/NMPA批准用于</w:t>
            </w:r>
            <w:r>
              <w:rPr>
                <w:rFonts w:hint="eastAsia" w:ascii="Times New Roman" w:hAnsi="Times New Roman" w:eastAsia="微软雅黑" w:cs="Times New Roman"/>
                <w:bCs/>
                <w:spacing w:val="-1"/>
                <w:sz w:val="18"/>
                <w:szCs w:val="18"/>
                <w:highlight w:val="none"/>
                <w:lang w:eastAsia="zh-CN"/>
              </w:rPr>
              <w:t>胃</w:t>
            </w:r>
            <w:r>
              <w:rPr>
                <w:rFonts w:ascii="Times New Roman" w:hAnsi="Times New Roman" w:eastAsia="微软雅黑" w:cs="Times New Roman"/>
                <w:bCs/>
                <w:spacing w:val="-1"/>
                <w:sz w:val="18"/>
                <w:szCs w:val="18"/>
                <w:highlight w:val="none"/>
              </w:rPr>
              <w:t>癌、</w:t>
            </w:r>
            <w:r>
              <w:rPr>
                <w:rFonts w:hint="eastAsia" w:ascii="Times New Roman" w:hAnsi="Times New Roman" w:eastAsia="微软雅黑" w:cs="Times New Roman"/>
                <w:bCs/>
                <w:spacing w:val="-1"/>
                <w:sz w:val="18"/>
                <w:szCs w:val="18"/>
                <w:highlight w:val="none"/>
              </w:rPr>
              <w:t>胃食管结合腺癌</w:t>
            </w:r>
            <w:r>
              <w:rPr>
                <w:rFonts w:ascii="Times New Roman" w:hAnsi="Times New Roman" w:eastAsia="微软雅黑" w:cs="Times New Roman"/>
                <w:bCs/>
                <w:spacing w:val="-1"/>
                <w:sz w:val="18"/>
                <w:szCs w:val="18"/>
                <w:highlight w:val="none"/>
              </w:rPr>
              <w:t>）、曲妥珠单抗+拉帕替尼（Trastuzumab+Lapatinib）（NCCN指南推荐用于乳腺癌、结直肠癌）、曲妥珠单抗+长春瑞滨（Trastuzumab+Vinorelbine）（NCCN指南推荐用于乳腺癌）、卡铂+紫杉醇+曲妥珠单抗（Carboplatin+Paclitaxel+Trastuzumab）（NCCN指南推荐用于子宫内膜癌、</w:t>
            </w:r>
            <w:r>
              <w:rPr>
                <w:rFonts w:hint="eastAsia" w:ascii="Times New Roman" w:hAnsi="Times New Roman" w:eastAsia="微软雅黑" w:cs="Times New Roman"/>
                <w:bCs/>
                <w:spacing w:val="-1"/>
                <w:sz w:val="18"/>
                <w:szCs w:val="18"/>
                <w:highlight w:val="none"/>
              </w:rPr>
              <w:t>乳腺癌</w:t>
            </w:r>
            <w:r>
              <w:rPr>
                <w:rFonts w:ascii="Times New Roman" w:hAnsi="Times New Roman" w:eastAsia="微软雅黑" w:cs="Times New Roman"/>
                <w:bCs/>
                <w:spacing w:val="-1"/>
                <w:sz w:val="18"/>
                <w:szCs w:val="18"/>
                <w:highlight w:val="none"/>
              </w:rPr>
              <w:t>、</w:t>
            </w:r>
            <w:r>
              <w:rPr>
                <w:rFonts w:hint="eastAsia" w:ascii="Times New Roman" w:hAnsi="Times New Roman" w:eastAsia="微软雅黑" w:cs="Times New Roman"/>
                <w:bCs/>
                <w:spacing w:val="-1"/>
                <w:sz w:val="18"/>
                <w:szCs w:val="18"/>
                <w:highlight w:val="none"/>
              </w:rPr>
              <w:t>子宫癌</w:t>
            </w:r>
            <w:r>
              <w:rPr>
                <w:rFonts w:ascii="Times New Roman" w:hAnsi="Times New Roman" w:eastAsia="微软雅黑" w:cs="Times New Roman"/>
                <w:bCs/>
                <w:spacing w:val="-1"/>
                <w:sz w:val="18"/>
                <w:szCs w:val="18"/>
                <w:highlight w:val="none"/>
              </w:rPr>
              <w:t>）、曲妥珠单抗+卡培他滨（Trastuzumab+Capecitabine）（NCCN指南推荐用于乳腺癌）、</w:t>
            </w:r>
            <w:r>
              <w:rPr>
                <w:rFonts w:hint="eastAsia" w:ascii="Times New Roman" w:hAnsi="Times New Roman" w:eastAsia="微软雅黑" w:cs="Times New Roman"/>
                <w:bCs/>
                <w:spacing w:val="-1"/>
                <w:sz w:val="18"/>
                <w:szCs w:val="18"/>
                <w:highlight w:val="none"/>
              </w:rPr>
              <w:t>他莫昔芬+曲妥珠单抗</w:t>
            </w:r>
            <w:r>
              <w:rPr>
                <w:rFonts w:ascii="Times New Roman" w:hAnsi="Times New Roman" w:eastAsia="微软雅黑" w:cs="Times New Roman"/>
                <w:bCs/>
                <w:spacing w:val="-1"/>
                <w:sz w:val="18"/>
                <w:szCs w:val="18"/>
                <w:highlight w:val="none"/>
              </w:rPr>
              <w:t>（NCCN指南推荐用于乳腺癌）、</w:t>
            </w:r>
            <w:r>
              <w:rPr>
                <w:rFonts w:hint="eastAsia" w:ascii="Times New Roman" w:hAnsi="Times New Roman" w:eastAsia="微软雅黑" w:cs="Times New Roman"/>
                <w:bCs/>
                <w:spacing w:val="-1"/>
                <w:sz w:val="18"/>
                <w:szCs w:val="18"/>
                <w:highlight w:val="none"/>
              </w:rPr>
              <w:t>氟维司群+曲妥珠单抗</w:t>
            </w:r>
            <w:r>
              <w:rPr>
                <w:rFonts w:ascii="Times New Roman" w:hAnsi="Times New Roman" w:eastAsia="微软雅黑" w:cs="Times New Roman"/>
                <w:bCs/>
                <w:spacing w:val="-1"/>
                <w:sz w:val="18"/>
                <w:szCs w:val="18"/>
                <w:highlight w:val="none"/>
              </w:rPr>
              <w:t>（NCCN指南推荐用于乳腺癌）</w:t>
            </w:r>
          </w:p>
        </w:tc>
        <w:tc>
          <w:tcPr>
            <w:tcW w:w="3757" w:type="dxa"/>
            <w:gridSpan w:val="2"/>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在乳腺癌中，HER2扩增对</w:t>
            </w:r>
            <w:r>
              <w:rPr>
                <w:rFonts w:ascii="微软雅黑" w:hAnsi="微软雅黑" w:eastAsia="微软雅黑" w:cs="Times New Roman"/>
                <w:spacing w:val="-1"/>
                <w:sz w:val="18"/>
                <w:szCs w:val="18"/>
                <w:highlight w:val="none"/>
                <w:lang w:eastAsia="zh-CN"/>
              </w:rPr>
              <w:t>曲妥珠单抗</w:t>
            </w:r>
            <w:r>
              <w:rPr>
                <w:rFonts w:ascii="Times New Roman" w:hAnsi="Times New Roman" w:eastAsia="微软雅黑" w:cs="Times New Roman"/>
                <w:spacing w:val="-1"/>
                <w:sz w:val="18"/>
                <w:szCs w:val="18"/>
                <w:highlight w:val="none"/>
                <w:lang w:eastAsia="zh-CN"/>
              </w:rPr>
              <w:t xml:space="preserve"> + </w:t>
            </w:r>
            <w:r>
              <w:rPr>
                <w:rFonts w:ascii="微软雅黑" w:hAnsi="微软雅黑" w:eastAsia="微软雅黑" w:cs="Times New Roman"/>
                <w:spacing w:val="-1"/>
                <w:sz w:val="18"/>
                <w:szCs w:val="18"/>
                <w:highlight w:val="none"/>
                <w:lang w:eastAsia="zh-CN"/>
              </w:rPr>
              <w:t xml:space="preserve">帕妥珠单抗 </w:t>
            </w:r>
            <w:r>
              <w:rPr>
                <w:rFonts w:ascii="Times New Roman" w:hAnsi="Times New Roman" w:eastAsia="微软雅黑" w:cs="Times New Roman"/>
                <w:spacing w:val="-1"/>
                <w:sz w:val="18"/>
                <w:szCs w:val="18"/>
                <w:highlight w:val="none"/>
                <w:lang w:eastAsia="zh-CN"/>
              </w:rPr>
              <w:t xml:space="preserve">+ </w:t>
            </w:r>
            <w:r>
              <w:rPr>
                <w:rFonts w:ascii="微软雅黑" w:hAnsi="微软雅黑" w:eastAsia="微软雅黑" w:cs="Times New Roman"/>
                <w:spacing w:val="-1"/>
                <w:sz w:val="18"/>
                <w:szCs w:val="18"/>
                <w:highlight w:val="none"/>
                <w:lang w:eastAsia="zh-CN"/>
              </w:rPr>
              <w:t>透明质酸酶</w:t>
            </w:r>
            <w:r>
              <w:rPr>
                <w:rFonts w:hint="eastAsia"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b w:val="0"/>
                <w:bCs/>
                <w:spacing w:val="-1"/>
                <w:sz w:val="18"/>
                <w:szCs w:val="18"/>
                <w:highlight w:val="none"/>
              </w:rPr>
              <w:t>曲妥珠单抗</w:t>
            </w:r>
            <w:r>
              <w:rPr>
                <w:rFonts w:ascii="Times New Roman" w:hAnsi="Times New Roman" w:eastAsia="微软雅黑" w:cs="Times New Roman"/>
                <w:b w:val="0"/>
                <w:bCs/>
                <w:spacing w:val="-1"/>
                <w:sz w:val="18"/>
                <w:szCs w:val="18"/>
                <w:highlight w:val="none"/>
              </w:rPr>
              <w:t>+帕妥珠单抗+多西他赛</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曲妥珠单抗、</w:t>
            </w:r>
            <w:r>
              <w:rPr>
                <w:rFonts w:hint="eastAsia" w:ascii="Times New Roman" w:hAnsi="Times New Roman" w:eastAsia="微软雅黑" w:cs="Times New Roman"/>
                <w:b w:val="0"/>
                <w:bCs/>
                <w:spacing w:val="-1"/>
                <w:sz w:val="18"/>
                <w:szCs w:val="18"/>
                <w:highlight w:val="none"/>
              </w:rPr>
              <w:t>恩美曲妥珠单抗</w:t>
            </w:r>
            <w:r>
              <w:rPr>
                <w:rFonts w:ascii="Times New Roman" w:hAnsi="Times New Roman" w:eastAsia="微软雅黑" w:cs="Times New Roman"/>
                <w:spacing w:val="-1"/>
                <w:sz w:val="18"/>
                <w:szCs w:val="18"/>
                <w:highlight w:val="none"/>
                <w:lang w:eastAsia="zh-CN"/>
              </w:rPr>
              <w:t>、曲妥珠单抗+拉帕替尼、</w:t>
            </w:r>
            <w:r>
              <w:rPr>
                <w:rFonts w:hint="eastAsia" w:ascii="Times New Roman" w:hAnsi="Times New Roman" w:eastAsia="微软雅黑" w:cs="Times New Roman"/>
                <w:b w:val="0"/>
                <w:bCs w:val="0"/>
                <w:spacing w:val="-1"/>
                <w:sz w:val="18"/>
                <w:szCs w:val="18"/>
                <w:highlight w:val="none"/>
              </w:rPr>
              <w:t>Trastuzumab deruxtecan</w:t>
            </w:r>
            <w:r>
              <w:rPr>
                <w:rFonts w:ascii="Times New Roman" w:hAnsi="Times New Roman" w:eastAsia="微软雅黑" w:cs="Times New Roman"/>
                <w:b w:val="0"/>
                <w:bCs w:val="0"/>
                <w:spacing w:val="-1"/>
                <w:sz w:val="18"/>
                <w:szCs w:val="18"/>
                <w:highlight w:val="none"/>
                <w:lang w:eastAsia="zh-CN"/>
              </w:rPr>
              <w:t>、奈拉替尼、曲妥珠单抗</w:t>
            </w:r>
            <w:r>
              <w:rPr>
                <w:rFonts w:ascii="Times New Roman" w:hAnsi="Times New Roman" w:eastAsia="微软雅黑" w:cs="Times New Roman"/>
                <w:spacing w:val="-1"/>
                <w:sz w:val="18"/>
                <w:szCs w:val="18"/>
                <w:highlight w:val="none"/>
                <w:lang w:eastAsia="zh-CN"/>
              </w:rPr>
              <w:t>+长春瑞滨、拉帕替尼+卡培他滨、卡铂+紫杉醇+曲妥珠单抗、</w:t>
            </w:r>
            <w:r>
              <w:rPr>
                <w:rFonts w:ascii="Times New Roman" w:hAnsi="Times New Roman" w:eastAsia="微软雅黑" w:cs="Times New Roman"/>
                <w:bCs/>
                <w:spacing w:val="-1"/>
                <w:sz w:val="18"/>
                <w:szCs w:val="18"/>
                <w:highlight w:val="none"/>
                <w:lang w:eastAsia="zh-CN"/>
              </w:rPr>
              <w:t>奈拉替尼</w:t>
            </w:r>
            <w:r>
              <w:rPr>
                <w:rFonts w:ascii="Times New Roman" w:hAnsi="Times New Roman" w:eastAsia="微软雅黑" w:cs="Times New Roman"/>
                <w:spacing w:val="-1"/>
                <w:sz w:val="18"/>
                <w:szCs w:val="18"/>
                <w:highlight w:val="none"/>
                <w:lang w:eastAsia="zh-CN"/>
              </w:rPr>
              <w:t>+卡培他滨、曲妥珠单抗+卡培他滨、曲妥珠单抗+帕妥珠单抗+紫杉醇</w:t>
            </w:r>
            <w:r>
              <w:rPr>
                <w:rFonts w:ascii="Times New Roman" w:hAnsi="Times New Roman" w:eastAsia="微软雅黑" w:cs="Times New Roman"/>
                <w:bCs/>
                <w:spacing w:val="-1"/>
                <w:sz w:val="18"/>
                <w:szCs w:val="18"/>
                <w:highlight w:val="none"/>
              </w:rPr>
              <w:t>、</w:t>
            </w:r>
            <w:r>
              <w:rPr>
                <w:rFonts w:hint="eastAsia" w:ascii="Times New Roman" w:hAnsi="Times New Roman" w:eastAsia="微软雅黑" w:cs="Times New Roman"/>
                <w:bCs/>
                <w:spacing w:val="-1"/>
                <w:sz w:val="18"/>
                <w:szCs w:val="18"/>
                <w:highlight w:val="none"/>
              </w:rPr>
              <w:t>他莫昔芬+曲妥珠单抗</w:t>
            </w:r>
            <w:r>
              <w:rPr>
                <w:rFonts w:ascii="Times New Roman" w:hAnsi="Times New Roman" w:eastAsia="微软雅黑" w:cs="Times New Roman"/>
                <w:bCs/>
                <w:spacing w:val="-1"/>
                <w:sz w:val="18"/>
                <w:szCs w:val="18"/>
                <w:highlight w:val="none"/>
              </w:rPr>
              <w:t>、</w:t>
            </w:r>
            <w:r>
              <w:rPr>
                <w:rFonts w:hint="eastAsia" w:ascii="Times New Roman" w:hAnsi="Times New Roman" w:eastAsia="微软雅黑" w:cs="Times New Roman"/>
                <w:bCs/>
                <w:spacing w:val="-1"/>
                <w:sz w:val="18"/>
                <w:szCs w:val="18"/>
                <w:highlight w:val="none"/>
              </w:rPr>
              <w:t>氟维司群+曲妥珠单抗</w:t>
            </w:r>
            <w:r>
              <w:rPr>
                <w:rFonts w:ascii="Times New Roman" w:hAnsi="Times New Roman" w:eastAsia="微软雅黑" w:cs="Times New Roman"/>
                <w:spacing w:val="-1"/>
                <w:sz w:val="18"/>
                <w:szCs w:val="18"/>
                <w:highlight w:val="none"/>
                <w:lang w:eastAsia="zh-CN"/>
              </w:rPr>
              <w:t>敏感；</w:t>
            </w:r>
            <w:r>
              <w:rPr>
                <w:rFonts w:ascii="微软雅黑" w:hAnsi="微软雅黑" w:eastAsia="微软雅黑" w:cs="Times New Roman"/>
                <w:spacing w:val="-1"/>
                <w:sz w:val="18"/>
                <w:szCs w:val="18"/>
                <w:highlight w:val="none"/>
                <w:lang w:eastAsia="zh-CN"/>
              </w:rPr>
              <w:t>在胃癌中，</w:t>
            </w:r>
            <w:r>
              <w:rPr>
                <w:rFonts w:ascii="Times New Roman" w:hAnsi="Times New Roman" w:eastAsia="微软雅黑" w:cs="Times New Roman"/>
                <w:spacing w:val="-1"/>
                <w:sz w:val="18"/>
                <w:szCs w:val="18"/>
                <w:highlight w:val="none"/>
                <w:lang w:eastAsia="zh-CN"/>
              </w:rPr>
              <w:t>HER2</w:t>
            </w:r>
            <w:r>
              <w:rPr>
                <w:rFonts w:ascii="微软雅黑" w:hAnsi="微软雅黑" w:eastAsia="微软雅黑" w:cs="Times New Roman"/>
                <w:spacing w:val="-1"/>
                <w:sz w:val="18"/>
                <w:szCs w:val="18"/>
                <w:highlight w:val="none"/>
                <w:lang w:eastAsia="zh-CN"/>
              </w:rPr>
              <w:t>扩增对曲妥珠单抗</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化疗敏感</w:t>
            </w:r>
            <w:r>
              <w:rPr>
                <w:rFonts w:hint="eastAsia"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在</w:t>
            </w:r>
            <w:r>
              <w:rPr>
                <w:rFonts w:ascii="Times New Roman" w:hAnsi="Times New Roman" w:eastAsia="微软雅黑" w:cs="Times New Roman"/>
                <w:spacing w:val="-1"/>
                <w:sz w:val="18"/>
                <w:szCs w:val="18"/>
                <w:highlight w:val="none"/>
                <w:lang w:eastAsia="zh-CN"/>
              </w:rPr>
              <w:t>非小细胞肺癌中，</w:t>
            </w:r>
            <w:r>
              <w:rPr>
                <w:rFonts w:hint="eastAsia" w:ascii="Times New Roman" w:hAnsi="Times New Roman" w:eastAsia="微软雅黑" w:cs="Times New Roman"/>
                <w:spacing w:val="-1"/>
                <w:sz w:val="18"/>
                <w:szCs w:val="18"/>
                <w:highlight w:val="none"/>
                <w:lang w:eastAsia="zh-CN"/>
              </w:rPr>
              <w:t>HER2突变对</w:t>
            </w:r>
            <w:r>
              <w:rPr>
                <w:rFonts w:hint="eastAsia" w:ascii="Times New Roman" w:hAnsi="Times New Roman" w:eastAsia="微软雅黑" w:cs="Times New Roman"/>
                <w:b w:val="0"/>
                <w:bCs/>
                <w:spacing w:val="-1"/>
                <w:sz w:val="18"/>
                <w:szCs w:val="18"/>
                <w:highlight w:val="none"/>
              </w:rPr>
              <w:t>恩美曲妥珠单抗</w:t>
            </w:r>
            <w:r>
              <w:rPr>
                <w:rFonts w:ascii="Times New Roman" w:hAnsi="Times New Roman" w:eastAsia="微软雅黑" w:cs="Times New Roman"/>
                <w:spacing w:val="-1"/>
                <w:sz w:val="18"/>
                <w:szCs w:val="18"/>
                <w:highlight w:val="none"/>
                <w:lang w:eastAsia="zh-CN"/>
              </w:rPr>
              <w:t>敏感</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吡咯替尼敏感但对</w:t>
            </w:r>
            <w:r>
              <w:rPr>
                <w:rFonts w:hint="eastAsia" w:ascii="微软雅黑" w:hAnsi="微软雅黑" w:eastAsia="微软雅黑" w:cs="Times New Roman"/>
                <w:spacing w:val="-1"/>
                <w:sz w:val="18"/>
                <w:szCs w:val="18"/>
                <w:highlight w:val="none"/>
                <w:lang w:eastAsia="zh-CN"/>
              </w:rPr>
              <w:t>埃克替尼、厄洛替尼、吉非替尼、阿法替尼、达</w:t>
            </w:r>
            <w:r>
              <w:rPr>
                <w:rFonts w:ascii="微软雅黑" w:hAnsi="微软雅黑" w:eastAsia="微软雅黑" w:cs="Times New Roman"/>
                <w:spacing w:val="-1"/>
                <w:sz w:val="18"/>
                <w:szCs w:val="18"/>
                <w:highlight w:val="none"/>
                <w:lang w:eastAsia="zh-CN"/>
              </w:rPr>
              <w:t>可</w:t>
            </w:r>
            <w:r>
              <w:rPr>
                <w:rFonts w:hint="eastAsia" w:ascii="微软雅黑" w:hAnsi="微软雅黑" w:eastAsia="微软雅黑" w:cs="Times New Roman"/>
                <w:spacing w:val="-1"/>
                <w:sz w:val="18"/>
                <w:szCs w:val="18"/>
                <w:highlight w:val="none"/>
                <w:lang w:eastAsia="zh-CN"/>
              </w:rPr>
              <w:t>替尼、奥希替尼、</w:t>
            </w:r>
            <w:r>
              <w:rPr>
                <w:rFonts w:ascii="微软雅黑" w:hAnsi="微软雅黑" w:eastAsia="微软雅黑" w:cs="Times New Roman"/>
                <w:spacing w:val="-1"/>
                <w:sz w:val="18"/>
                <w:szCs w:val="18"/>
                <w:highlight w:val="none"/>
                <w:lang w:eastAsia="zh-CN"/>
              </w:rPr>
              <w:t>西妥昔单抗</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帕尼单抗耐药</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7</w:t>
            </w:r>
            <w:r>
              <w:rPr>
                <w:rFonts w:hint="eastAsia" w:ascii="Times New Roman" w:hAnsi="Times New Roman" w:eastAsia="微软雅黑" w:cs="Times New Roman"/>
                <w:spacing w:val="-1"/>
                <w:sz w:val="18"/>
                <w:szCs w:val="18"/>
                <w:highlight w:val="none"/>
                <w:vertAlign w:val="superscript"/>
                <w:lang w:val="en-US" w:eastAsia="zh-CN"/>
              </w:rPr>
              <w:t>3</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8</w:t>
            </w:r>
            <w:r>
              <w:rPr>
                <w:rFonts w:hint="eastAsia" w:ascii="Times New Roman" w:hAnsi="Times New Roman" w:eastAsia="微软雅黑" w:cs="Times New Roman"/>
                <w:spacing w:val="-1"/>
                <w:sz w:val="18"/>
                <w:szCs w:val="18"/>
                <w:highlight w:val="none"/>
                <w:vertAlign w:val="superscript"/>
                <w:lang w:val="en-US" w:eastAsia="zh-CN"/>
              </w:rPr>
              <w:t>8</w:t>
            </w:r>
            <w:r>
              <w:rPr>
                <w:rFonts w:ascii="Times New Roman" w:hAnsi="Times New Roman" w:eastAsia="微软雅黑" w:cs="Times New Roman"/>
                <w:spacing w:val="-1"/>
                <w:sz w:val="18"/>
                <w:szCs w:val="18"/>
                <w:highlight w:val="none"/>
                <w:vertAlign w:val="superscript"/>
                <w:lang w:eastAsia="zh-CN"/>
              </w:rPr>
              <w:t>]</w:t>
            </w:r>
            <w:r>
              <w:rPr>
                <w:rFonts w:ascii="微软雅黑" w:hAnsi="微软雅黑"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Before w:val="1"/>
          <w:gridAfter w:val="1"/>
          <w:wBefore w:w="222" w:type="dxa"/>
          <w:wAfter w:w="275" w:type="dxa"/>
          <w:trHeight w:val="775"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72" w:type="dxa"/>
            <w:gridSpan w:val="2"/>
            <w:vAlign w:val="center"/>
          </w:tcPr>
          <w:p>
            <w:pPr>
              <w:ind w:left="-4"/>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581" w:type="dxa"/>
            <w:vAlign w:val="center"/>
          </w:tcPr>
          <w:p>
            <w:pPr>
              <w:ind w:left="-4"/>
              <w:jc w:val="center"/>
              <w:rPr>
                <w:rFonts w:ascii="Times New Roman" w:hAnsi="Times New Roman" w:eastAsia="微软雅黑" w:cs="Times New Roman"/>
                <w:bCs/>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gridSpan w:val="2"/>
            <w:vAlign w:val="center"/>
          </w:tcPr>
          <w:p>
            <w:pPr>
              <w:ind w:left="-4"/>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Before w:val="1"/>
          <w:gridAfter w:val="1"/>
          <w:wBefore w:w="222" w:type="dxa"/>
          <w:wAfter w:w="275" w:type="dxa"/>
          <w:trHeight w:val="3589"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ERBB2</w:t>
            </w:r>
          </w:p>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（HER2）</w:t>
            </w:r>
          </w:p>
        </w:tc>
        <w:tc>
          <w:tcPr>
            <w:tcW w:w="672" w:type="dxa"/>
            <w:gridSpan w:val="2"/>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spacing w:before="1"/>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扩增</w:t>
            </w:r>
          </w:p>
        </w:tc>
        <w:tc>
          <w:tcPr>
            <w:tcW w:w="4581" w:type="dxa"/>
            <w:vAlign w:val="center"/>
          </w:tcPr>
          <w:p>
            <w:pPr>
              <w:jc w:val="left"/>
              <w:rPr>
                <w:rFonts w:ascii="Times New Roman" w:hAnsi="Times New Roman" w:eastAsia="微软雅黑" w:cs="Times New Roman"/>
                <w:bCs/>
                <w:spacing w:val="-1"/>
                <w:sz w:val="18"/>
                <w:szCs w:val="18"/>
                <w:highlight w:val="none"/>
              </w:rPr>
            </w:pPr>
            <w:r>
              <w:rPr>
                <w:rFonts w:ascii="Times New Roman" w:hAnsi="Times New Roman" w:eastAsia="微软雅黑" w:cs="Times New Roman"/>
                <w:bCs/>
                <w:spacing w:val="-1"/>
                <w:sz w:val="18"/>
                <w:szCs w:val="18"/>
                <w:highlight w:val="none"/>
              </w:rPr>
              <w:t>曲妥珠单抗+帕妥珠单抗+紫杉醇（Trastuzumab+Pertuzumab+Paclitaxel）（NCCN指南推荐用于乳腺癌）</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曲妥珠单抗</w:t>
            </w:r>
            <w:r>
              <w:rPr>
                <w:rFonts w:ascii="Times New Roman" w:hAnsi="Times New Roman" w:eastAsia="微软雅黑" w:cs="Times New Roman"/>
                <w:spacing w:val="-1"/>
                <w:sz w:val="18"/>
                <w:szCs w:val="18"/>
                <w:highlight w:val="none"/>
              </w:rPr>
              <w:t>+</w:t>
            </w:r>
            <w:r>
              <w:rPr>
                <w:rFonts w:ascii="微软雅黑" w:hAnsi="微软雅黑" w:eastAsia="微软雅黑" w:cs="Times New Roman"/>
                <w:spacing w:val="-1"/>
                <w:sz w:val="18"/>
                <w:szCs w:val="18"/>
                <w:highlight w:val="none"/>
              </w:rPr>
              <w:t>化疗</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Trastuzumab+Chemotherapy</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NCCN</w:t>
            </w:r>
            <w:r>
              <w:rPr>
                <w:rFonts w:ascii="微软雅黑" w:hAnsi="微软雅黑" w:eastAsia="微软雅黑" w:cs="Times New Roman"/>
                <w:spacing w:val="-1"/>
                <w:sz w:val="18"/>
                <w:szCs w:val="18"/>
                <w:highlight w:val="none"/>
              </w:rPr>
              <w:t>指南推荐用于</w:t>
            </w:r>
            <w:r>
              <w:rPr>
                <w:rFonts w:hint="eastAsia" w:ascii="微软雅黑" w:hAnsi="微软雅黑" w:eastAsia="微软雅黑" w:cs="Times New Roman"/>
                <w:spacing w:val="-1"/>
                <w:sz w:val="18"/>
                <w:szCs w:val="18"/>
                <w:highlight w:val="none"/>
              </w:rPr>
              <w:t>乳腺癌、胃腺癌</w:t>
            </w:r>
            <w:r>
              <w:rPr>
                <w:rFonts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、帕博利珠单抗+曲妥珠单抗+铂类+氟嘧啶</w:t>
            </w:r>
            <w:r>
              <w:rPr>
                <w:rFonts w:hint="eastAsia" w:ascii="微软雅黑" w:hAnsi="微软雅黑"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Pembrolizumab+Trastuzumab+Platinum+</w:t>
            </w:r>
            <w:r>
              <w:rPr>
                <w:rFonts w:hint="eastAsia" w:ascii="Times New Roman" w:hAnsi="Times New Roman" w:eastAsia="微软雅黑" w:cs="Times New Roman"/>
                <w:spacing w:val="-1"/>
                <w:sz w:val="18"/>
                <w:szCs w:val="18"/>
                <w:highlight w:val="none"/>
                <w:lang w:val="en-US" w:eastAsia="zh-CN"/>
              </w:rPr>
              <w:t xml:space="preserve"> </w:t>
            </w:r>
            <w:r>
              <w:rPr>
                <w:rFonts w:hint="default" w:ascii="Times New Roman" w:hAnsi="Times New Roman" w:eastAsia="微软雅黑" w:cs="Times New Roman"/>
                <w:spacing w:val="-1"/>
                <w:sz w:val="18"/>
                <w:szCs w:val="18"/>
                <w:highlight w:val="none"/>
                <w:lang w:eastAsia="zh-CN"/>
              </w:rPr>
              <w:t>Fluoropyrimidine</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NCCN</w:t>
            </w:r>
            <w:r>
              <w:rPr>
                <w:rFonts w:ascii="微软雅黑" w:hAnsi="微软雅黑" w:eastAsia="微软雅黑" w:cs="Times New Roman"/>
                <w:spacing w:val="-1"/>
                <w:sz w:val="18"/>
                <w:szCs w:val="18"/>
                <w:highlight w:val="none"/>
              </w:rPr>
              <w:t>指南推荐用于</w:t>
            </w:r>
            <w:r>
              <w:rPr>
                <w:rFonts w:hint="eastAsia" w:ascii="微软雅黑" w:hAnsi="微软雅黑" w:eastAsia="微软雅黑" w:cs="Times New Roman"/>
                <w:spacing w:val="-1"/>
                <w:sz w:val="18"/>
                <w:szCs w:val="18"/>
                <w:highlight w:val="none"/>
              </w:rPr>
              <w:t>胃腺癌</w:t>
            </w:r>
            <w:r>
              <w:rPr>
                <w:rFonts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bCs/>
                <w:spacing w:val="-1"/>
                <w:sz w:val="18"/>
                <w:szCs w:val="18"/>
                <w:highlight w:val="none"/>
              </w:rPr>
              <w:t>紫杉醇+曲妥珠单抗+多柔比星+环磷酰胺（Paclitaxel+Trastuzumab+Doxorubicin+ Cyclophosphamide）（临床III期）、拉帕替尼+卡培他滨+奥沙利铂（Lapatinib+Capecitabine+Oxaliplatin）</w:t>
            </w:r>
            <w:r>
              <w:rPr>
                <w:rFonts w:ascii="Times New Roman" w:hAnsi="Times New Roman" w:eastAsia="微软雅黑" w:cs="Times New Roman"/>
                <w:bCs/>
                <w:spacing w:val="-1"/>
                <w:sz w:val="18"/>
                <w:szCs w:val="18"/>
                <w:highlight w:val="none"/>
                <w:lang w:eastAsia="zh-CN"/>
              </w:rPr>
              <w:t>（临床III期）</w:t>
            </w:r>
            <w:r>
              <w:rPr>
                <w:rFonts w:hint="eastAsia" w:ascii="Times New Roman" w:hAnsi="Times New Roman" w:eastAsia="微软雅黑" w:cs="Times New Roman"/>
                <w:bCs/>
                <w:spacing w:val="-1"/>
                <w:sz w:val="18"/>
                <w:szCs w:val="18"/>
                <w:highlight w:val="none"/>
                <w:lang w:eastAsia="zh-CN"/>
              </w:rPr>
              <w:t>、</w:t>
            </w:r>
            <w:r>
              <w:rPr>
                <w:rFonts w:ascii="微软雅黑" w:hAnsi="微软雅黑" w:eastAsia="微软雅黑" w:cs="Times New Roman"/>
                <w:spacing w:val="-1"/>
                <w:sz w:val="18"/>
                <w:szCs w:val="18"/>
                <w:highlight w:val="none"/>
                <w:lang w:eastAsia="zh-CN"/>
              </w:rPr>
              <w:t>多西他赛</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环磷酰胺</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曲妥珠单抗</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Docetaxel+Cyclophosphamide+Trastuzumab</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ascii="微软雅黑" w:hAnsi="微软雅黑" w:eastAsia="微软雅黑" w:cs="Times New Roman"/>
                <w:spacing w:val="-1"/>
                <w:sz w:val="18"/>
                <w:szCs w:val="18"/>
                <w:highlight w:val="none"/>
              </w:rPr>
              <w:t>期）</w:t>
            </w:r>
            <w:r>
              <w:rPr>
                <w:rFonts w:hint="eastAsia" w:ascii="Times New Roman" w:hAnsi="Times New Roman" w:eastAsia="微软雅黑" w:cs="Times New Roman"/>
                <w:bCs/>
                <w:spacing w:val="-1"/>
                <w:sz w:val="18"/>
                <w:szCs w:val="18"/>
                <w:highlight w:val="none"/>
                <w:lang w:eastAsia="zh-CN"/>
              </w:rPr>
              <w:t>、</w:t>
            </w:r>
            <w:r>
              <w:rPr>
                <w:rFonts w:ascii="微软雅黑" w:hAnsi="微软雅黑" w:eastAsia="微软雅黑" w:cs="Times New Roman"/>
                <w:b w:val="0"/>
                <w:bCs w:val="0"/>
                <w:spacing w:val="-1"/>
                <w:sz w:val="18"/>
                <w:szCs w:val="18"/>
                <w:highlight w:val="none"/>
              </w:rPr>
              <w:t>吡咯替尼</w:t>
            </w:r>
            <w:r>
              <w:rPr>
                <w:rFonts w:hint="eastAsia" w:ascii="微软雅黑" w:hAnsi="微软雅黑" w:eastAsia="微软雅黑" w:cs="Times New Roman"/>
                <w:b w:val="0"/>
                <w:bCs w:val="0"/>
                <w:spacing w:val="-1"/>
                <w:sz w:val="18"/>
                <w:szCs w:val="18"/>
                <w:highlight w:val="none"/>
              </w:rPr>
              <w:t>（</w:t>
            </w:r>
            <w:r>
              <w:rPr>
                <w:rFonts w:ascii="Times New Roman" w:hAnsi="Times New Roman" w:eastAsia="微软雅黑" w:cs="Times New Roman"/>
                <w:b w:val="0"/>
                <w:bCs w:val="0"/>
                <w:spacing w:val="-1"/>
                <w:sz w:val="18"/>
                <w:szCs w:val="18"/>
                <w:highlight w:val="none"/>
              </w:rPr>
              <w:t>Pyrotinib</w:t>
            </w:r>
            <w:r>
              <w:rPr>
                <w:rFonts w:hint="eastAsia" w:ascii="微软雅黑" w:hAnsi="微软雅黑" w:eastAsia="微软雅黑" w:cs="Times New Roman"/>
                <w:b w:val="0"/>
                <w:bCs w:val="0"/>
                <w:spacing w:val="-1"/>
                <w:sz w:val="18"/>
                <w:szCs w:val="18"/>
                <w:highlight w:val="none"/>
              </w:rPr>
              <w:t>）</w:t>
            </w:r>
            <w:r>
              <w:rPr>
                <w:rFonts w:hint="default" w:ascii="Times New Roman" w:hAnsi="Times New Roman" w:eastAsia="微软雅黑" w:cs="Times New Roman"/>
                <w:b w:val="0"/>
                <w:bCs w:val="0"/>
                <w:spacing w:val="-1"/>
                <w:sz w:val="18"/>
                <w:szCs w:val="18"/>
                <w:highlight w:val="none"/>
              </w:rPr>
              <w:t>（</w:t>
            </w:r>
            <w:r>
              <w:rPr>
                <w:rFonts w:hint="default" w:ascii="Times New Roman" w:hAnsi="Times New Roman" w:eastAsia="微软雅黑" w:cs="Times New Roman"/>
                <w:b w:val="0"/>
                <w:bCs w:val="0"/>
                <w:spacing w:val="-1"/>
                <w:sz w:val="18"/>
                <w:szCs w:val="18"/>
                <w:highlight w:val="none"/>
                <w:lang w:val="en-US" w:eastAsia="zh-CN"/>
              </w:rPr>
              <w:t>临床II期</w:t>
            </w:r>
            <w:r>
              <w:rPr>
                <w:rFonts w:hint="default" w:ascii="Times New Roman" w:hAnsi="Times New Roman" w:eastAsia="微软雅黑" w:cs="Times New Roman"/>
                <w:b w:val="0"/>
                <w:bCs w:val="0"/>
                <w:spacing w:val="-1"/>
                <w:sz w:val="18"/>
                <w:szCs w:val="18"/>
                <w:highlight w:val="none"/>
              </w:rPr>
              <w:t>）</w:t>
            </w:r>
          </w:p>
        </w:tc>
        <w:tc>
          <w:tcPr>
            <w:tcW w:w="3757" w:type="dxa"/>
            <w:gridSpan w:val="2"/>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在乳腺癌中，HER2扩增对紫杉醇+曲妥珠单抗+多柔比星+环磷酰胺</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多西他赛</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环磷酰胺</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曲妥珠单抗</w:t>
            </w:r>
            <w:r>
              <w:rPr>
                <w:rFonts w:ascii="Times New Roman" w:hAnsi="Times New Roman" w:eastAsia="微软雅黑" w:cs="Times New Roman"/>
                <w:spacing w:val="-1"/>
                <w:sz w:val="18"/>
                <w:szCs w:val="18"/>
                <w:highlight w:val="none"/>
                <w:lang w:eastAsia="zh-CN"/>
              </w:rPr>
              <w:t>敏感；在胃癌中，HER2扩增对</w:t>
            </w:r>
            <w:r>
              <w:rPr>
                <w:rFonts w:hint="eastAsia" w:ascii="Times New Roman" w:hAnsi="Times New Roman" w:eastAsia="微软雅黑" w:cs="Times New Roman"/>
                <w:bCs/>
                <w:spacing w:val="-1"/>
                <w:sz w:val="18"/>
                <w:szCs w:val="18"/>
                <w:highlight w:val="none"/>
                <w:lang w:eastAsia="zh-CN"/>
              </w:rPr>
              <w:t>曲妥珠单抗+顺铂+卡培他滨、曲妥珠单抗+顺铂+氟尿嘧啶、</w:t>
            </w:r>
            <w:bookmarkStart w:id="91" w:name="OLE_LINK2"/>
            <w:r>
              <w:rPr>
                <w:rFonts w:hint="eastAsia" w:ascii="微软雅黑" w:hAnsi="微软雅黑" w:eastAsia="微软雅黑" w:cs="Times New Roman"/>
                <w:spacing w:val="-1"/>
                <w:sz w:val="18"/>
                <w:szCs w:val="18"/>
                <w:highlight w:val="none"/>
              </w:rPr>
              <w:t>帕博利珠单抗+曲妥珠单抗+铂类+氟嘧啶</w:t>
            </w:r>
            <w:r>
              <w:rPr>
                <w:rFonts w:hint="eastAsia" w:ascii="微软雅黑" w:hAnsi="微软雅黑" w:eastAsia="微软雅黑" w:cs="Times New Roman"/>
                <w:spacing w:val="-1"/>
                <w:sz w:val="18"/>
                <w:szCs w:val="18"/>
                <w:highlight w:val="none"/>
                <w:lang w:eastAsia="zh-CN"/>
              </w:rPr>
              <w:t>、</w:t>
            </w:r>
            <w:bookmarkEnd w:id="91"/>
            <w:r>
              <w:rPr>
                <w:rFonts w:hint="eastAsia" w:ascii="Times New Roman" w:hAnsi="Times New Roman" w:eastAsia="微软雅黑" w:cs="Times New Roman"/>
                <w:bCs/>
                <w:spacing w:val="-1"/>
                <w:sz w:val="18"/>
                <w:szCs w:val="18"/>
                <w:highlight w:val="none"/>
                <w:lang w:eastAsia="zh-CN"/>
              </w:rPr>
              <w:t>拉帕替尼+卡培他滨+奥沙利铂</w:t>
            </w:r>
            <w:r>
              <w:rPr>
                <w:rFonts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vertAlign w:val="superscript"/>
                <w:lang w:eastAsia="zh-CN"/>
              </w:rPr>
              <w:t>[8</w:t>
            </w:r>
            <w:r>
              <w:rPr>
                <w:rFonts w:hint="eastAsia" w:ascii="Times New Roman" w:hAnsi="Times New Roman" w:eastAsia="微软雅黑" w:cs="Times New Roman"/>
                <w:spacing w:val="-1"/>
                <w:sz w:val="18"/>
                <w:szCs w:val="18"/>
                <w:highlight w:val="none"/>
                <w:vertAlign w:val="superscript"/>
                <w:lang w:val="en-US" w:eastAsia="zh-CN"/>
              </w:rPr>
              <w:t>9</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9</w:t>
            </w:r>
            <w:r>
              <w:rPr>
                <w:rFonts w:hint="eastAsia" w:ascii="Times New Roman" w:hAnsi="Times New Roman" w:eastAsia="微软雅黑" w:cs="Times New Roman"/>
                <w:spacing w:val="-1"/>
                <w:sz w:val="18"/>
                <w:szCs w:val="18"/>
                <w:highlight w:val="none"/>
                <w:vertAlign w:val="superscript"/>
                <w:lang w:val="en-US" w:eastAsia="zh-CN"/>
              </w:rPr>
              <w:t>3</w:t>
            </w:r>
            <w:bookmarkStart w:id="92" w:name="OLE_LINK3"/>
            <w:r>
              <w:rPr>
                <w:rFonts w:hint="eastAsia" w:ascii="Times New Roman" w:hAnsi="Times New Roman" w:eastAsia="微软雅黑" w:cs="Times New Roman"/>
                <w:spacing w:val="-1"/>
                <w:sz w:val="18"/>
                <w:szCs w:val="18"/>
                <w:highlight w:val="none"/>
                <w:vertAlign w:val="superscript"/>
                <w:lang w:val="en-US" w:eastAsia="zh-CN"/>
              </w:rPr>
              <w:t>, 289</w:t>
            </w:r>
            <w:bookmarkEnd w:id="92"/>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Before w:val="1"/>
          <w:gridAfter w:val="1"/>
          <w:wBefore w:w="222" w:type="dxa"/>
          <w:wAfter w:w="275" w:type="dxa"/>
          <w:trHeight w:val="967" w:hRule="exac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HRAS</w:t>
            </w:r>
          </w:p>
        </w:tc>
        <w:tc>
          <w:tcPr>
            <w:tcW w:w="672" w:type="dxa"/>
            <w:gridSpan w:val="2"/>
            <w:vAlign w:val="center"/>
          </w:tcPr>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z w:val="18"/>
                <w:szCs w:val="18"/>
                <w:highlight w:val="none"/>
              </w:rPr>
              <w:t>突变</w:t>
            </w:r>
          </w:p>
        </w:tc>
        <w:tc>
          <w:tcPr>
            <w:tcW w:w="458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索拉非尼*（Sorafenib）</w:t>
            </w:r>
            <w:r>
              <w:rPr>
                <w:rFonts w:ascii="Times New Roman" w:hAnsi="Times New Roman" w:eastAsia="微软雅黑" w:cs="Times New Roman"/>
                <w:spacing w:val="-1"/>
                <w:sz w:val="18"/>
                <w:szCs w:val="18"/>
                <w:highlight w:val="none"/>
              </w:rPr>
              <w:t>（FDA/NMPA批准用于肝细胞癌、肾癌、甲状腺癌）</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bCs/>
                <w:sz w:val="18"/>
                <w:szCs w:val="18"/>
                <w:highlight w:val="none"/>
              </w:rPr>
              <w:t>司美替尼</w:t>
            </w:r>
            <w:r>
              <w:rPr>
                <w:rFonts w:hint="eastAsia" w:ascii="Times New Roman" w:hAnsi="Times New Roman" w:eastAsia="微软雅黑" w:cs="Times New Roman"/>
                <w:b/>
                <w:bCs/>
                <w:sz w:val="18"/>
                <w:szCs w:val="18"/>
                <w:highlight w:val="none"/>
              </w:rPr>
              <w:t>（Selumetinib）</w:t>
            </w:r>
            <w:r>
              <w:rPr>
                <w:rFonts w:ascii="Times New Roman" w:hAnsi="Times New Roman" w:eastAsia="微软雅黑" w:cs="Times New Roman"/>
                <w:sz w:val="18"/>
                <w:szCs w:val="18"/>
                <w:highlight w:val="none"/>
              </w:rPr>
              <w:t>（FDA批准</w:t>
            </w:r>
            <w:r>
              <w:rPr>
                <w:rFonts w:hint="eastAsia" w:ascii="Times New Roman" w:hAnsi="Times New Roman" w:eastAsia="微软雅黑" w:cs="Times New Roman"/>
                <w:sz w:val="18"/>
                <w:szCs w:val="18"/>
                <w:highlight w:val="none"/>
                <w:lang w:eastAsia="zh-CN"/>
              </w:rPr>
              <w:t>用于神经纤维</w:t>
            </w:r>
            <w:r>
              <w:rPr>
                <w:rFonts w:ascii="Times New Roman" w:hAnsi="Times New Roman" w:eastAsia="微软雅黑" w:cs="Times New Roman"/>
                <w:sz w:val="18"/>
                <w:szCs w:val="18"/>
                <w:highlight w:val="none"/>
              </w:rPr>
              <w:t>瘤）</w:t>
            </w:r>
          </w:p>
        </w:tc>
        <w:tc>
          <w:tcPr>
            <w:tcW w:w="3757" w:type="dxa"/>
            <w:gridSpan w:val="2"/>
            <w:vAlign w:val="center"/>
          </w:tcPr>
          <w:p>
            <w:pPr>
              <w:jc w:val="left"/>
              <w:rPr>
                <w:sz w:val="24"/>
                <w:szCs w:val="24"/>
                <w:highlight w:val="none"/>
                <w:lang w:eastAsia="zh-CN"/>
              </w:rPr>
            </w:pPr>
            <w:r>
              <w:rPr>
                <w:rFonts w:hint="eastAsia" w:ascii="微软雅黑" w:hAnsi="微软雅黑" w:eastAsia="微软雅黑" w:cs="Times New Roman"/>
                <w:spacing w:val="-1"/>
                <w:sz w:val="18"/>
                <w:szCs w:val="18"/>
                <w:highlight w:val="none"/>
                <w:lang w:eastAsia="zh-CN"/>
              </w:rPr>
              <w:t>肺癌中，</w:t>
            </w:r>
            <w:r>
              <w:rPr>
                <w:rFonts w:ascii="Times New Roman" w:hAnsi="Times New Roman" w:eastAsia="微软雅黑" w:cs="Times New Roman"/>
                <w:spacing w:val="-1"/>
                <w:sz w:val="18"/>
                <w:szCs w:val="18"/>
                <w:highlight w:val="none"/>
                <w:lang w:eastAsia="zh-CN"/>
              </w:rPr>
              <w:t>HRAS</w:t>
            </w:r>
            <w:r>
              <w:rPr>
                <w:rFonts w:ascii="微软雅黑" w:hAnsi="微软雅黑" w:eastAsia="微软雅黑" w:cs="Times New Roman"/>
                <w:spacing w:val="-1"/>
                <w:sz w:val="18"/>
                <w:szCs w:val="18"/>
                <w:highlight w:val="none"/>
                <w:lang w:eastAsia="zh-CN"/>
              </w:rPr>
              <w:t>突变对</w:t>
            </w:r>
            <w:r>
              <w:rPr>
                <w:rFonts w:hint="eastAsia" w:ascii="微软雅黑" w:hAnsi="微软雅黑" w:eastAsia="微软雅黑" w:cs="Times New Roman"/>
                <w:spacing w:val="-1"/>
                <w:sz w:val="18"/>
                <w:szCs w:val="18"/>
                <w:highlight w:val="none"/>
                <w:lang w:eastAsia="zh-CN"/>
              </w:rPr>
              <w:t>司美替尼</w:t>
            </w:r>
            <w:r>
              <w:rPr>
                <w:rFonts w:ascii="微软雅黑" w:hAnsi="微软雅黑" w:eastAsia="微软雅黑" w:cs="Times New Roman"/>
                <w:spacing w:val="-1"/>
                <w:sz w:val="18"/>
                <w:szCs w:val="18"/>
                <w:highlight w:val="none"/>
                <w:lang w:eastAsia="zh-CN"/>
              </w:rPr>
              <w:t>敏感</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甲状腺癌中，HRAS突变对索拉非尼敏感</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9</w:t>
            </w:r>
            <w:r>
              <w:rPr>
                <w:rFonts w:hint="eastAsia" w:ascii="Times New Roman" w:hAnsi="Times New Roman" w:eastAsia="微软雅黑" w:cs="Times New Roman"/>
                <w:spacing w:val="-1"/>
                <w:sz w:val="18"/>
                <w:szCs w:val="18"/>
                <w:highlight w:val="none"/>
                <w:vertAlign w:val="superscript"/>
                <w:lang w:val="en-US" w:eastAsia="zh-CN"/>
              </w:rPr>
              <w:t>4</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Before w:val="1"/>
          <w:gridAfter w:val="1"/>
          <w:wBefore w:w="222" w:type="dxa"/>
          <w:wAfter w:w="275" w:type="dxa"/>
          <w:trHeight w:val="2398"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KIT</w:t>
            </w:r>
          </w:p>
        </w:tc>
        <w:tc>
          <w:tcPr>
            <w:tcW w:w="672"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58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伊马替尼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Imatinib）</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/N</w:t>
            </w:r>
            <w:r>
              <w:rPr>
                <w:rFonts w:ascii="Times New Roman" w:hAnsi="Times New Roman" w:eastAsia="微软雅黑" w:cs="Times New Roman"/>
                <w:spacing w:val="-1"/>
                <w:sz w:val="18"/>
                <w:szCs w:val="18"/>
                <w:highlight w:val="none"/>
              </w:rPr>
              <w:t>M</w:t>
            </w:r>
            <w:r>
              <w:rPr>
                <w:rFonts w:hint="eastAsia" w:ascii="Times New Roman" w:hAnsi="Times New Roman" w:eastAsia="微软雅黑" w:cs="Times New Roman"/>
                <w:spacing w:val="-1"/>
                <w:sz w:val="18"/>
                <w:szCs w:val="18"/>
                <w:highlight w:val="none"/>
              </w:rPr>
              <w:t>PA</w:t>
            </w:r>
            <w:r>
              <w:rPr>
                <w:rFonts w:ascii="Times New Roman" w:hAnsi="Times New Roman" w:eastAsia="微软雅黑" w:cs="Times New Roman"/>
                <w:spacing w:val="-1"/>
                <w:sz w:val="18"/>
                <w:szCs w:val="18"/>
                <w:highlight w:val="none"/>
              </w:rPr>
              <w:t>批准用于胃肠道间质瘤</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系统性肥大细胞增多症等）、</w:t>
            </w:r>
            <w:r>
              <w:rPr>
                <w:rFonts w:ascii="Times New Roman" w:hAnsi="Times New Roman" w:eastAsia="微软雅黑" w:cs="Times New Roman"/>
                <w:b/>
                <w:spacing w:val="-1"/>
                <w:sz w:val="18"/>
                <w:szCs w:val="18"/>
                <w:highlight w:val="none"/>
              </w:rPr>
              <w:t>培唑帕尼*（Pazopanib）</w:t>
            </w:r>
            <w:r>
              <w:rPr>
                <w:rFonts w:ascii="Times New Roman" w:hAnsi="Times New Roman" w:eastAsia="微软雅黑" w:cs="Times New Roman"/>
                <w:spacing w:val="-1"/>
                <w:sz w:val="18"/>
                <w:szCs w:val="18"/>
                <w:highlight w:val="none"/>
              </w:rPr>
              <w:t>（FDA/NMPA批准用于肾细胞癌</w:t>
            </w:r>
            <w:r>
              <w:rPr>
                <w:rFonts w:hint="eastAsia" w:ascii="Times New Roman" w:hAnsi="Times New Roman" w:eastAsia="微软雅黑" w:cs="Times New Roman"/>
                <w:spacing w:val="-1"/>
                <w:sz w:val="18"/>
                <w:szCs w:val="18"/>
                <w:highlight w:val="none"/>
              </w:rPr>
              <w:t>；FDA批准用于软组织肉瘤</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普纳替尼（Ponatinib）</w:t>
            </w:r>
            <w:r>
              <w:rPr>
                <w:rFonts w:ascii="Times New Roman" w:hAnsi="Times New Roman" w:eastAsia="微软雅黑" w:cs="Times New Roman"/>
                <w:spacing w:val="-1"/>
                <w:sz w:val="18"/>
                <w:szCs w:val="18"/>
                <w:highlight w:val="none"/>
              </w:rPr>
              <w:t>（FDA批准用于慢性</w:t>
            </w:r>
            <w:r>
              <w:rPr>
                <w:rFonts w:hint="eastAsia" w:ascii="Times New Roman" w:hAnsi="Times New Roman" w:eastAsia="微软雅黑" w:cs="Times New Roman"/>
                <w:spacing w:val="-1"/>
                <w:sz w:val="18"/>
                <w:szCs w:val="18"/>
                <w:highlight w:val="none"/>
                <w:lang w:val="en-US" w:eastAsia="zh-CN"/>
              </w:rPr>
              <w:t>髓</w:t>
            </w:r>
            <w:r>
              <w:rPr>
                <w:rFonts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急性淋巴细胞白血病</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瑞戈非尼*（Regorafenib）</w:t>
            </w:r>
            <w:r>
              <w:rPr>
                <w:rFonts w:ascii="Times New Roman" w:hAnsi="Times New Roman" w:eastAsia="微软雅黑" w:cs="Times New Roman"/>
                <w:spacing w:val="-1"/>
                <w:sz w:val="18"/>
                <w:szCs w:val="18"/>
                <w:highlight w:val="none"/>
              </w:rPr>
              <w:t>（FDA/NMPA批准用于肝细胞癌、结直肠癌、胃肠道间质瘤）</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spacing w:val="-1"/>
                <w:sz w:val="18"/>
                <w:szCs w:val="18"/>
                <w:highlight w:val="none"/>
              </w:rPr>
              <w:t>尼洛替尼*</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rPr>
              <w:t>Nilotinib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rPr>
              <w:t>（FDA/NMPA批准用于慢性</w:t>
            </w:r>
            <w:r>
              <w:rPr>
                <w:rFonts w:hint="eastAsia" w:ascii="Times New Roman" w:hAnsi="Times New Roman" w:eastAsia="微软雅黑" w:cs="Times New Roman"/>
                <w:spacing w:val="-1"/>
                <w:sz w:val="18"/>
                <w:szCs w:val="18"/>
                <w:highlight w:val="none"/>
                <w:lang w:val="en-US" w:eastAsia="zh-CN"/>
              </w:rPr>
              <w:t>髓</w:t>
            </w:r>
            <w:r>
              <w:rPr>
                <w:rFonts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spacing w:val="-1"/>
                <w:sz w:val="18"/>
                <w:szCs w:val="18"/>
                <w:highlight w:val="none"/>
              </w:rPr>
              <w:t>达沙替尼*</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lang w:eastAsia="zh-CN"/>
              </w:rPr>
              <w:t>Dasatinib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rPr>
              <w:t>（FDA/NMPA批准用于慢性</w:t>
            </w:r>
            <w:r>
              <w:rPr>
                <w:rFonts w:hint="eastAsia" w:ascii="Times New Roman" w:hAnsi="Times New Roman" w:eastAsia="微软雅黑" w:cs="Times New Roman"/>
                <w:spacing w:val="-1"/>
                <w:sz w:val="18"/>
                <w:szCs w:val="18"/>
                <w:highlight w:val="none"/>
                <w:lang w:val="en-US" w:eastAsia="zh-CN"/>
              </w:rPr>
              <w:t>髓</w:t>
            </w:r>
            <w:r>
              <w:rPr>
                <w:rFonts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z w:val="18"/>
                <w:szCs w:val="18"/>
                <w:highlight w:val="none"/>
              </w:rPr>
              <w:t>FDA批准</w:t>
            </w:r>
            <w:r>
              <w:rPr>
                <w:rFonts w:hint="eastAsia" w:ascii="Times New Roman" w:hAnsi="Times New Roman" w:eastAsia="微软雅黑" w:cs="Times New Roman"/>
                <w:sz w:val="18"/>
                <w:szCs w:val="18"/>
                <w:highlight w:val="none"/>
                <w:lang w:eastAsia="zh-CN"/>
              </w:rPr>
              <w:t>用于</w:t>
            </w:r>
            <w:r>
              <w:rPr>
                <w:rFonts w:hint="eastAsia" w:ascii="Times New Roman" w:hAnsi="Times New Roman" w:eastAsia="微软雅黑" w:cs="Times New Roman"/>
                <w:spacing w:val="-1"/>
                <w:sz w:val="18"/>
                <w:szCs w:val="18"/>
                <w:highlight w:val="none"/>
              </w:rPr>
              <w:t>急性淋巴细胞白血病</w:t>
            </w:r>
            <w:r>
              <w:rPr>
                <w:rFonts w:hint="eastAsia" w:ascii="Times New Roman" w:hAnsi="Times New Roman" w:eastAsia="微软雅黑" w:cs="Times New Roman"/>
                <w:spacing w:val="-1"/>
                <w:sz w:val="18"/>
                <w:szCs w:val="18"/>
                <w:highlight w:val="none"/>
                <w:lang w:eastAsia="zh-CN"/>
              </w:rPr>
              <w:t>）</w:t>
            </w:r>
          </w:p>
        </w:tc>
        <w:tc>
          <w:tcPr>
            <w:tcW w:w="3757" w:type="dxa"/>
            <w:gridSpan w:val="2"/>
            <w:vAlign w:val="center"/>
          </w:tcPr>
          <w:p>
            <w:pPr>
              <w:spacing w:before="19"/>
              <w:ind w:right="62"/>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胃肠道间质瘤中，KIT</w:t>
            </w:r>
            <w:r>
              <w:rPr>
                <w:rFonts w:hint="eastAsia" w:ascii="Times New Roman" w:hAnsi="Times New Roman" w:eastAsia="微软雅黑" w:cs="Times New Roman"/>
                <w:spacing w:val="-1"/>
                <w:sz w:val="18"/>
                <w:szCs w:val="18"/>
                <w:highlight w:val="none"/>
                <w:lang w:eastAsia="zh-CN"/>
              </w:rPr>
              <w:t>激活突变</w:t>
            </w:r>
            <w:r>
              <w:rPr>
                <w:rFonts w:ascii="Times New Roman" w:hAnsi="Times New Roman" w:eastAsia="微软雅黑" w:cs="Times New Roman"/>
                <w:spacing w:val="-1"/>
                <w:sz w:val="18"/>
                <w:szCs w:val="18"/>
                <w:highlight w:val="none"/>
                <w:lang w:eastAsia="zh-CN"/>
              </w:rPr>
              <w:t>对伊马替尼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瑞戈非尼、普纳替尼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尼洛替尼敏感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第11外显子突变对伊马替尼敏感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第9外显子突变对伊马替尼敏感性中等</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黑色素瘤中，KIT W557R、V559A、V559D、L576P、K642E对KIT抑制剂敏感性增加，D816H对KIT抑制剂敏感性降低</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9</w:t>
            </w:r>
            <w:r>
              <w:rPr>
                <w:rFonts w:hint="eastAsia" w:ascii="Times New Roman" w:hAnsi="Times New Roman" w:eastAsia="微软雅黑" w:cs="Times New Roman"/>
                <w:spacing w:val="-1"/>
                <w:sz w:val="18"/>
                <w:szCs w:val="18"/>
                <w:highlight w:val="none"/>
                <w:vertAlign w:val="superscript"/>
                <w:lang w:val="en-US" w:eastAsia="zh-CN"/>
              </w:rPr>
              <w:t>5</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val="en-US" w:eastAsia="zh-CN"/>
              </w:rPr>
              <w:t>10</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Before w:val="1"/>
          <w:gridAfter w:val="1"/>
          <w:wBefore w:w="222" w:type="dxa"/>
          <w:wAfter w:w="275" w:type="dxa"/>
          <w:trHeight w:val="4337"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KRAS</w:t>
            </w:r>
          </w:p>
        </w:tc>
        <w:tc>
          <w:tcPr>
            <w:tcW w:w="672"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lang w:eastAsia="zh-CN"/>
              </w:rPr>
              <w:t>扩增</w:t>
            </w:r>
          </w:p>
        </w:tc>
        <w:tc>
          <w:tcPr>
            <w:tcW w:w="4581" w:type="dxa"/>
            <w:vAlign w:val="center"/>
          </w:tcPr>
          <w:p>
            <w:pPr>
              <w:spacing w:before="19"/>
              <w:ind w:right="-8"/>
              <w:jc w:val="left"/>
              <w:rPr>
                <w:rFonts w:hint="eastAsia"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p>
          <w:p>
            <w:pPr>
              <w:spacing w:before="19"/>
              <w:ind w:right="-8"/>
              <w:jc w:val="left"/>
              <w:rPr>
                <w:rFonts w:hint="eastAsia" w:ascii="Times New Roman" w:hAnsi="Times New Roman" w:eastAsia="微软雅黑" w:cs="Times New Roman"/>
                <w:spacing w:val="-1"/>
                <w:sz w:val="18"/>
                <w:szCs w:val="18"/>
                <w:highlight w:val="none"/>
              </w:rPr>
            </w:pPr>
            <w:r>
              <w:rPr>
                <w:rFonts w:hint="eastAsia" w:ascii="Times New Roman" w:hAnsi="Times New Roman" w:eastAsia="微软雅黑" w:cs="Times New Roman"/>
                <w:b/>
                <w:bCs/>
                <w:spacing w:val="-1"/>
                <w:sz w:val="18"/>
                <w:szCs w:val="18"/>
                <w:highlight w:val="none"/>
              </w:rPr>
              <w:t>Sotorasib</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spacing w:val="-1"/>
                <w:sz w:val="18"/>
                <w:szCs w:val="18"/>
                <w:highlight w:val="none"/>
                <w:lang w:eastAsia="zh-CN"/>
              </w:rPr>
              <w:t>；</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索拉非尼+卡铂+紫杉醇（</w:t>
            </w:r>
            <w:r>
              <w:rPr>
                <w:rFonts w:ascii="Times New Roman" w:hAnsi="Times New Roman" w:eastAsia="微软雅黑" w:cs="Times New Roman"/>
                <w:spacing w:val="-1"/>
                <w:sz w:val="18"/>
                <w:szCs w:val="18"/>
                <w:highlight w:val="none"/>
              </w:rPr>
              <w:t>Sorafenib+Carboplatin+Paclitaxel）</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III期）；</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EGFR单抗：</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头颈部鳞状细胞癌</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帕尼单抗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Panitumumab）</w:t>
            </w:r>
            <w:r>
              <w:rPr>
                <w:rFonts w:ascii="Times New Roman" w:hAnsi="Times New Roman" w:eastAsia="微软雅黑" w:cs="Times New Roman"/>
                <w:spacing w:val="-1"/>
                <w:sz w:val="18"/>
                <w:szCs w:val="18"/>
                <w:highlight w:val="none"/>
              </w:rPr>
              <w:t>（FDA批准用于结直肠癌）</w:t>
            </w:r>
          </w:p>
        </w:tc>
        <w:tc>
          <w:tcPr>
            <w:tcW w:w="3757" w:type="dxa"/>
            <w:gridSpan w:val="2"/>
            <w:vAlign w:val="center"/>
          </w:tcPr>
          <w:p>
            <w:pPr>
              <w:spacing w:before="19"/>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结直肠癌中，KRAS野生型对EGFR抗体类药物西妥昔单抗</w:t>
            </w:r>
            <w:r>
              <w:rPr>
                <w:rFonts w:hint="eastAsia" w:ascii="Times New Roman" w:hAnsi="Times New Roman" w:eastAsia="微软雅黑" w:cs="Times New Roman"/>
                <w:spacing w:val="-1"/>
                <w:sz w:val="18"/>
                <w:szCs w:val="18"/>
                <w:highlight w:val="none"/>
                <w:lang w:eastAsia="zh-CN"/>
              </w:rPr>
              <w:t>和</w:t>
            </w:r>
            <w:r>
              <w:rPr>
                <w:rFonts w:ascii="Times New Roman" w:hAnsi="Times New Roman" w:eastAsia="微软雅黑" w:cs="Times New Roman"/>
                <w:spacing w:val="-1"/>
                <w:sz w:val="18"/>
                <w:szCs w:val="18"/>
                <w:highlight w:val="none"/>
                <w:lang w:eastAsia="zh-CN"/>
              </w:rPr>
              <w:t>帕尼单抗敏感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12、13、61密码子突变导致KRAS信号通路持续激活，可能无法从EGFR抗体类药物获益；肺癌中，12、13、61密码子突变对EGFR TKI（吉非替尼、厄洛替尼、埃克替尼、阿法替尼等）的敏感性降低</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val="en-US" w:eastAsia="zh-CN"/>
              </w:rPr>
              <w:t>非小细胞肺癌中，KRAS G12C突变的患者对</w:t>
            </w:r>
            <w:r>
              <w:rPr>
                <w:rFonts w:hint="eastAsia" w:ascii="Times New Roman" w:hAnsi="Times New Roman" w:eastAsia="微软雅黑" w:cs="Times New Roman"/>
                <w:b w:val="0"/>
                <w:bCs w:val="0"/>
                <w:spacing w:val="-1"/>
                <w:sz w:val="18"/>
                <w:szCs w:val="18"/>
                <w:highlight w:val="none"/>
              </w:rPr>
              <w:t>Sotorasib</w:t>
            </w:r>
            <w:r>
              <w:rPr>
                <w:rFonts w:hint="eastAsia" w:ascii="Times New Roman" w:hAnsi="Times New Roman" w:eastAsia="微软雅黑" w:cs="Times New Roman"/>
                <w:b w:val="0"/>
                <w:bCs w:val="0"/>
                <w:spacing w:val="-1"/>
                <w:sz w:val="18"/>
                <w:szCs w:val="18"/>
                <w:highlight w:val="none"/>
                <w:lang w:val="en-US" w:eastAsia="zh-CN"/>
              </w:rPr>
              <w:t>敏感</w:t>
            </w:r>
            <w:r>
              <w:rPr>
                <w:rFonts w:hint="eastAsia" w:ascii="Times New Roman" w:hAnsi="Times New Roman" w:eastAsia="微软雅黑" w:cs="Times New Roman"/>
                <w:b w:val="0"/>
                <w:bCs w:val="0"/>
                <w:spacing w:val="-1"/>
                <w:sz w:val="18"/>
                <w:szCs w:val="18"/>
                <w:highlight w:val="none"/>
                <w:vertAlign w:val="superscript"/>
                <w:lang w:val="en-US" w:eastAsia="zh-CN"/>
              </w:rPr>
              <w:t>[286]</w:t>
            </w:r>
            <w:r>
              <w:rPr>
                <w:rFonts w:hint="eastAsia" w:ascii="Times New Roman" w:hAnsi="Times New Roman" w:eastAsia="微软雅黑" w:cs="Times New Roman"/>
                <w:b w:val="0"/>
                <w:bCs w:val="0"/>
                <w:spacing w:val="-1"/>
                <w:sz w:val="18"/>
                <w:szCs w:val="18"/>
                <w:highlight w:val="none"/>
                <w:lang w:val="en-US" w:eastAsia="zh-CN"/>
              </w:rPr>
              <w:t>；</w:t>
            </w:r>
            <w:r>
              <w:rPr>
                <w:rFonts w:hint="eastAsia" w:ascii="Times New Roman" w:hAnsi="Times New Roman" w:eastAsia="微软雅黑" w:cs="Times New Roman"/>
                <w:spacing w:val="-1"/>
                <w:sz w:val="18"/>
                <w:szCs w:val="18"/>
                <w:highlight w:val="none"/>
                <w:lang w:eastAsia="zh-CN"/>
              </w:rPr>
              <w:t>黑色素瘤中，KRAS扩增的患者对索拉非尼+卡铂+紫杉醇敏感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val="en-US" w:eastAsia="zh-CN"/>
              </w:rPr>
              <w:t>11</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val="en-US" w:eastAsia="zh-CN"/>
              </w:rPr>
              <w:t>5</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Before w:val="1"/>
          <w:gridAfter w:val="1"/>
          <w:wBefore w:w="222" w:type="dxa"/>
          <w:wAfter w:w="275" w:type="dxa"/>
          <w:trHeight w:val="1046"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MAP2K1</w:t>
            </w:r>
          </w:p>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（MEK1）</w:t>
            </w:r>
          </w:p>
        </w:tc>
        <w:tc>
          <w:tcPr>
            <w:tcW w:w="672" w:type="dxa"/>
            <w:gridSpan w:val="2"/>
            <w:vAlign w:val="center"/>
          </w:tcPr>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z w:val="18"/>
                <w:szCs w:val="18"/>
                <w:highlight w:val="none"/>
              </w:rPr>
              <w:t>突变</w:t>
            </w:r>
          </w:p>
        </w:tc>
        <w:tc>
          <w:tcPr>
            <w:tcW w:w="4581" w:type="dxa"/>
            <w:vAlign w:val="center"/>
          </w:tcPr>
          <w:p>
            <w:pPr>
              <w:jc w:val="left"/>
              <w:rPr>
                <w:sz w:val="24"/>
                <w:szCs w:val="24"/>
                <w:highlight w:val="none"/>
                <w:lang w:eastAsia="zh-CN"/>
              </w:rPr>
            </w:pPr>
            <w:r>
              <w:rPr>
                <w:rFonts w:ascii="Times New Roman" w:hAnsi="Times New Roman" w:eastAsia="微软雅黑" w:cs="Times New Roman"/>
                <w:b/>
                <w:bCs/>
                <w:sz w:val="18"/>
                <w:szCs w:val="18"/>
                <w:highlight w:val="none"/>
              </w:rPr>
              <w:t>司美替尼</w:t>
            </w:r>
            <w:r>
              <w:rPr>
                <w:rFonts w:hint="eastAsia" w:ascii="Times New Roman" w:hAnsi="Times New Roman" w:eastAsia="微软雅黑" w:cs="Times New Roman"/>
                <w:b/>
                <w:bCs/>
                <w:sz w:val="18"/>
                <w:szCs w:val="18"/>
                <w:highlight w:val="none"/>
              </w:rPr>
              <w:t>（Selumetinib）</w:t>
            </w:r>
            <w:r>
              <w:rPr>
                <w:rFonts w:ascii="Times New Roman" w:hAnsi="Times New Roman" w:eastAsia="微软雅黑" w:cs="Times New Roman"/>
                <w:sz w:val="18"/>
                <w:szCs w:val="18"/>
                <w:highlight w:val="none"/>
              </w:rPr>
              <w:t>（FDA批准</w:t>
            </w:r>
            <w:r>
              <w:rPr>
                <w:rFonts w:hint="eastAsia" w:ascii="Times New Roman" w:hAnsi="Times New Roman" w:eastAsia="微软雅黑" w:cs="Times New Roman"/>
                <w:sz w:val="18"/>
                <w:szCs w:val="18"/>
                <w:highlight w:val="none"/>
                <w:lang w:eastAsia="zh-CN"/>
              </w:rPr>
              <w:t>用于神经纤维</w:t>
            </w:r>
            <w:r>
              <w:rPr>
                <w:rFonts w:ascii="Times New Roman" w:hAnsi="Times New Roman" w:eastAsia="微软雅黑" w:cs="Times New Roman"/>
                <w:sz w:val="18"/>
                <w:szCs w:val="18"/>
                <w:highlight w:val="none"/>
              </w:rPr>
              <w:t>瘤）</w:t>
            </w:r>
          </w:p>
        </w:tc>
        <w:tc>
          <w:tcPr>
            <w:tcW w:w="3757" w:type="dxa"/>
            <w:gridSpan w:val="2"/>
            <w:vAlign w:val="center"/>
          </w:tcPr>
          <w:p>
            <w:pPr>
              <w:jc w:val="left"/>
              <w:rPr>
                <w:sz w:val="24"/>
                <w:szCs w:val="24"/>
                <w:highlight w:val="none"/>
                <w:lang w:eastAsia="zh-CN"/>
              </w:rPr>
            </w:pPr>
            <w:r>
              <w:rPr>
                <w:rFonts w:hint="eastAsia" w:ascii="微软雅黑" w:hAnsi="微软雅黑" w:eastAsia="微软雅黑" w:cs="Times New Roman"/>
                <w:spacing w:val="-1"/>
                <w:sz w:val="18"/>
                <w:szCs w:val="18"/>
                <w:highlight w:val="none"/>
                <w:lang w:eastAsia="zh-CN"/>
              </w:rPr>
              <w:t>结直肠癌中，</w:t>
            </w:r>
            <w:r>
              <w:rPr>
                <w:rFonts w:ascii="Times New Roman" w:hAnsi="Times New Roman" w:eastAsia="微软雅黑" w:cs="Times New Roman"/>
                <w:spacing w:val="-1"/>
                <w:sz w:val="18"/>
                <w:szCs w:val="18"/>
                <w:highlight w:val="none"/>
                <w:lang w:eastAsia="zh-CN"/>
              </w:rPr>
              <w:t xml:space="preserve">MAP2K1 </w:t>
            </w:r>
            <w:r>
              <w:rPr>
                <w:rFonts w:hint="eastAsia" w:ascii="微软雅黑" w:hAnsi="微软雅黑" w:eastAsia="微软雅黑" w:cs="Times New Roman"/>
                <w:spacing w:val="-1"/>
                <w:sz w:val="18"/>
                <w:szCs w:val="18"/>
                <w:highlight w:val="none"/>
                <w:lang w:eastAsia="zh-CN"/>
              </w:rPr>
              <w:t>激活突变对司美替尼</w:t>
            </w:r>
            <w:r>
              <w:rPr>
                <w:rFonts w:ascii="微软雅黑" w:hAnsi="微软雅黑"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val="en-US" w:eastAsia="zh-CN"/>
              </w:rPr>
              <w:t>6</w:t>
            </w:r>
            <w:r>
              <w:rPr>
                <w:rFonts w:ascii="Times New Roman" w:hAnsi="Times New Roman" w:eastAsia="微软雅黑" w:cs="Times New Roman"/>
                <w:spacing w:val="-1"/>
                <w:sz w:val="18"/>
                <w:szCs w:val="18"/>
                <w:highlight w:val="none"/>
                <w:vertAlign w:val="superscript"/>
                <w:lang w:eastAsia="zh-CN"/>
              </w:rPr>
              <w:t>]</w:t>
            </w:r>
            <w:r>
              <w:rPr>
                <w:rFonts w:ascii="微软雅黑" w:hAnsi="微软雅黑"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Before w:val="1"/>
          <w:gridAfter w:val="1"/>
          <w:wBefore w:w="222" w:type="dxa"/>
          <w:wAfter w:w="275" w:type="dxa"/>
          <w:trHeight w:val="699"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72"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581" w:type="dxa"/>
            <w:vAlign w:val="center"/>
          </w:tcPr>
          <w:p>
            <w:pPr>
              <w:jc w:val="center"/>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gridSpan w:val="2"/>
            <w:vAlign w:val="center"/>
          </w:tcPr>
          <w:p>
            <w:pPr>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Before w:val="1"/>
          <w:gridAfter w:val="1"/>
          <w:wBefore w:w="222" w:type="dxa"/>
          <w:wAfter w:w="275" w:type="dxa"/>
          <w:trHeight w:val="3930"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MET</w:t>
            </w:r>
          </w:p>
        </w:tc>
        <w:tc>
          <w:tcPr>
            <w:tcW w:w="672"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扩增</w:t>
            </w:r>
          </w:p>
        </w:tc>
        <w:tc>
          <w:tcPr>
            <w:tcW w:w="4581" w:type="dxa"/>
            <w:vAlign w:val="center"/>
          </w:tcPr>
          <w:p>
            <w:pPr>
              <w:jc w:val="left"/>
              <w:rPr>
                <w:sz w:val="24"/>
                <w:szCs w:val="24"/>
                <w:highlight w:val="none"/>
                <w:lang w:eastAsia="zh-CN"/>
              </w:rPr>
            </w:pPr>
            <w:r>
              <w:rPr>
                <w:rFonts w:hint="eastAsia" w:ascii="Times New Roman" w:hAnsi="Times New Roman" w:eastAsia="微软雅黑" w:cs="Times New Roman"/>
                <w:b/>
                <w:spacing w:val="-1"/>
                <w:sz w:val="18"/>
                <w:szCs w:val="18"/>
                <w:highlight w:val="none"/>
              </w:rPr>
              <w:t>克唑替尼*（Crizotinib）</w:t>
            </w:r>
            <w:r>
              <w:rPr>
                <w:rFonts w:hint="eastAsia" w:ascii="Times New Roman" w:hAnsi="Times New Roman" w:eastAsia="微软雅黑" w:cs="Times New Roman"/>
                <w:spacing w:val="-1"/>
                <w:sz w:val="18"/>
                <w:szCs w:val="18"/>
                <w:highlight w:val="none"/>
              </w:rPr>
              <w:t>（FDA/NMPA批准用于非小细胞肺癌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间变性大细胞淋巴瘤）、</w:t>
            </w:r>
            <w:r>
              <w:rPr>
                <w:rFonts w:hint="eastAsia" w:ascii="Times New Roman" w:hAnsi="Times New Roman" w:eastAsia="微软雅黑" w:cs="Times New Roman"/>
                <w:b/>
                <w:spacing w:val="-1"/>
                <w:sz w:val="18"/>
                <w:szCs w:val="18"/>
                <w:highlight w:val="none"/>
              </w:rPr>
              <w:t>Capmatinib</w:t>
            </w:r>
            <w:r>
              <w:rPr>
                <w:rFonts w:hint="eastAsia" w:ascii="Times New Roman" w:hAnsi="Times New Roman" w:eastAsia="微软雅黑" w:cs="Times New Roman"/>
                <w:spacing w:val="-1"/>
                <w:sz w:val="18"/>
                <w:szCs w:val="18"/>
                <w:highlight w:val="none"/>
              </w:rPr>
              <w:t>（FDA批准用于非小细胞肺癌）</w:t>
            </w:r>
            <w:r>
              <w:rPr>
                <w:rFonts w:hint="eastAsia" w:ascii="微软雅黑" w:hAnsi="微软雅黑" w:eastAsia="微软雅黑" w:cs="Times New Roman"/>
                <w:spacing w:val="-1"/>
                <w:sz w:val="18"/>
                <w:szCs w:val="18"/>
                <w:highlight w:val="none"/>
              </w:rPr>
              <w:t>、</w:t>
            </w:r>
            <w:r>
              <w:rPr>
                <w:rFonts w:hint="eastAsia" w:ascii="微软雅黑" w:hAnsi="微软雅黑" w:eastAsia="微软雅黑" w:cs="Times New Roman"/>
                <w:b/>
                <w:bCs/>
                <w:spacing w:val="-1"/>
                <w:sz w:val="18"/>
                <w:szCs w:val="18"/>
                <w:highlight w:val="none"/>
              </w:rPr>
              <w:t>赛沃替尼</w:t>
            </w:r>
            <w:r>
              <w:rPr>
                <w:rFonts w:hint="eastAsia" w:ascii="微软雅黑" w:hAnsi="微软雅黑" w:eastAsia="微软雅黑" w:cs="Times New Roman"/>
                <w:spacing w:val="-1"/>
                <w:sz w:val="18"/>
                <w:szCs w:val="18"/>
                <w:highlight w:val="none"/>
              </w:rPr>
              <w:t>（</w:t>
            </w:r>
            <w:r>
              <w:rPr>
                <w:rFonts w:ascii="Times New Roman" w:hAnsi="Times New Roman" w:eastAsia="宋体" w:cs="Times New Roman"/>
                <w:b/>
                <w:bCs/>
                <w:i w:val="0"/>
                <w:caps w:val="0"/>
                <w:color w:val="auto"/>
                <w:spacing w:val="0"/>
                <w:sz w:val="18"/>
                <w:szCs w:val="18"/>
                <w:highlight w:val="none"/>
                <w:shd w:val="clear" w:fill="FFFFFF"/>
              </w:rPr>
              <w:t>Savolitinib</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lang w:val="en-US" w:eastAsia="zh-CN"/>
              </w:rPr>
              <w:t>NMP</w:t>
            </w:r>
            <w:r>
              <w:rPr>
                <w:rFonts w:hint="eastAsia" w:ascii="Times New Roman" w:hAnsi="Times New Roman" w:eastAsia="微软雅黑" w:cs="Times New Roman"/>
                <w:spacing w:val="-1"/>
                <w:sz w:val="18"/>
                <w:szCs w:val="18"/>
                <w:highlight w:val="none"/>
              </w:rPr>
              <w:t>A批准用于非小细胞肺癌）</w:t>
            </w:r>
            <w:r>
              <w:rPr>
                <w:rFonts w:hint="default" w:ascii="Times New Roman" w:hAnsi="Times New Roman" w:eastAsia="微软雅黑" w:cs="Times New Roman"/>
                <w:spacing w:val="-1"/>
                <w:sz w:val="18"/>
                <w:szCs w:val="18"/>
                <w:highlight w:val="none"/>
              </w:rPr>
              <w:t>、</w:t>
            </w:r>
            <w:r>
              <w:rPr>
                <w:rFonts w:ascii="Times New Roman" w:hAnsi="Times New Roman" w:eastAsia="微软雅黑" w:cs="Times New Roman"/>
                <w:b/>
                <w:bCs/>
                <w:spacing w:val="-1"/>
                <w:sz w:val="18"/>
                <w:szCs w:val="18"/>
                <w:highlight w:val="none"/>
                <w:lang w:eastAsia="zh-CN"/>
              </w:rPr>
              <w:t>Tepotinib</w:t>
            </w:r>
            <w:r>
              <w:rPr>
                <w:rFonts w:hint="default"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FDA批准用于非小细胞肺癌</w:t>
            </w:r>
            <w:r>
              <w:rPr>
                <w:rFonts w:hint="default" w:ascii="Times New Roman" w:hAnsi="Times New Roman" w:eastAsia="微软雅黑" w:cs="Times New Roman"/>
                <w:spacing w:val="-1"/>
                <w:sz w:val="18"/>
                <w:szCs w:val="18"/>
                <w:highlight w:val="none"/>
                <w:lang w:eastAsia="zh-CN"/>
              </w:rPr>
              <w:t>）</w:t>
            </w:r>
            <w:r>
              <w:rPr>
                <w:rFonts w:hint="eastAsia" w:ascii="微软雅黑" w:hAnsi="微软雅黑" w:eastAsia="微软雅黑" w:cs="Times New Roman"/>
                <w:spacing w:val="-1"/>
                <w:sz w:val="18"/>
                <w:szCs w:val="18"/>
                <w:highlight w:val="none"/>
              </w:rPr>
              <w:t>；</w:t>
            </w:r>
          </w:p>
          <w:p>
            <w:pPr>
              <w:spacing w:before="19"/>
              <w:ind w:right="-8"/>
              <w:jc w:val="left"/>
              <w:rPr>
                <w:rFonts w:ascii="Times New Roman" w:hAnsi="Times New Roman" w:eastAsia="微软雅黑" w:cs="Times New Roman"/>
                <w:sz w:val="18"/>
                <w:szCs w:val="18"/>
                <w:highlight w:val="none"/>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NMPA批准用于非小细胞肺癌）</w:t>
            </w:r>
          </w:p>
        </w:tc>
        <w:tc>
          <w:tcPr>
            <w:tcW w:w="3757" w:type="dxa"/>
            <w:gridSpan w:val="2"/>
            <w:vAlign w:val="center"/>
          </w:tcPr>
          <w:p>
            <w:pPr>
              <w:jc w:val="left"/>
              <w:rPr>
                <w:sz w:val="24"/>
                <w:szCs w:val="24"/>
                <w:highlight w:val="none"/>
                <w:lang w:eastAsia="zh-CN"/>
              </w:rPr>
            </w:pPr>
            <w:r>
              <w:rPr>
                <w:rFonts w:hint="eastAsia" w:ascii="Times New Roman" w:hAnsi="Times New Roman" w:eastAsia="微软雅黑" w:cs="Times New Roman"/>
                <w:spacing w:val="-1"/>
                <w:sz w:val="18"/>
                <w:szCs w:val="18"/>
                <w:highlight w:val="none"/>
                <w:lang w:eastAsia="zh-CN"/>
              </w:rPr>
              <w:t>非小细胞肺癌中，</w:t>
            </w:r>
            <w:r>
              <w:rPr>
                <w:rFonts w:ascii="Times New Roman" w:hAnsi="Times New Roman" w:eastAsia="微软雅黑" w:cs="Times New Roman"/>
                <w:spacing w:val="-1"/>
                <w:sz w:val="18"/>
                <w:szCs w:val="18"/>
                <w:highlight w:val="none"/>
                <w:lang w:eastAsia="zh-CN"/>
              </w:rPr>
              <w:t>MET扩增对克唑替尼敏感</w:t>
            </w:r>
            <w:r>
              <w:rPr>
                <w:rFonts w:hint="eastAsia" w:ascii="Times New Roman" w:hAnsi="Times New Roman" w:eastAsia="微软雅黑" w:cs="Times New Roman"/>
                <w:spacing w:val="-1"/>
                <w:sz w:val="18"/>
                <w:szCs w:val="18"/>
                <w:highlight w:val="none"/>
                <w:lang w:eastAsia="zh-CN"/>
              </w:rPr>
              <w:t>，MET外显子14跳跃突变对Capmatinib</w:t>
            </w:r>
            <w:r>
              <w:rPr>
                <w:rFonts w:hint="eastAsia" w:ascii="微软雅黑" w:hAnsi="微软雅黑" w:eastAsia="微软雅黑" w:cs="Times New Roman"/>
                <w:spacing w:val="-1"/>
                <w:sz w:val="18"/>
                <w:szCs w:val="18"/>
                <w:highlight w:val="none"/>
                <w:lang w:eastAsia="zh-CN"/>
              </w:rPr>
              <w:t>、赛沃替尼</w:t>
            </w:r>
            <w:r>
              <w:rPr>
                <w:rFonts w:hint="default"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lang w:eastAsia="zh-CN"/>
              </w:rPr>
              <w:t>克唑替尼、</w:t>
            </w:r>
            <w:r>
              <w:rPr>
                <w:rFonts w:hint="default" w:ascii="Times New Roman" w:hAnsi="Times New Roman" w:eastAsia="微软雅黑" w:cs="Times New Roman"/>
                <w:spacing w:val="-1"/>
                <w:sz w:val="18"/>
                <w:szCs w:val="18"/>
                <w:highlight w:val="none"/>
                <w:lang w:eastAsia="zh-CN"/>
              </w:rPr>
              <w:t>Tepotinib</w:t>
            </w:r>
            <w:r>
              <w:rPr>
                <w:rFonts w:hint="eastAsia" w:ascii="Times New Roman" w:hAnsi="Times New Roman" w:eastAsia="微软雅黑" w:cs="Times New Roman"/>
                <w:spacing w:val="-1"/>
                <w:sz w:val="18"/>
                <w:szCs w:val="18"/>
                <w:highlight w:val="none"/>
                <w:lang w:eastAsia="zh-CN"/>
              </w:rPr>
              <w:t>敏感；并且</w:t>
            </w:r>
            <w:r>
              <w:rPr>
                <w:rFonts w:ascii="Times New Roman" w:hAnsi="Times New Roman" w:eastAsia="微软雅黑" w:cs="Times New Roman"/>
                <w:spacing w:val="-1"/>
                <w:sz w:val="18"/>
                <w:szCs w:val="18"/>
                <w:highlight w:val="none"/>
                <w:lang w:eastAsia="zh-CN"/>
              </w:rPr>
              <w:t>MET扩增与EGFR突变的非小细胞</w:t>
            </w:r>
            <w:r>
              <w:rPr>
                <w:rFonts w:hint="eastAsia" w:ascii="Times New Roman" w:hAnsi="Times New Roman" w:eastAsia="微软雅黑" w:cs="Times New Roman"/>
                <w:spacing w:val="-1"/>
                <w:sz w:val="18"/>
                <w:szCs w:val="18"/>
                <w:highlight w:val="none"/>
                <w:lang w:eastAsia="zh-CN"/>
              </w:rPr>
              <w:t>肺癌</w:t>
            </w:r>
            <w:r>
              <w:rPr>
                <w:rFonts w:ascii="Times New Roman" w:hAnsi="Times New Roman" w:eastAsia="微软雅黑" w:cs="Times New Roman"/>
                <w:spacing w:val="-1"/>
                <w:sz w:val="18"/>
                <w:szCs w:val="18"/>
                <w:highlight w:val="none"/>
                <w:lang w:eastAsia="zh-CN"/>
              </w:rPr>
              <w:t>患者</w:t>
            </w:r>
            <w:r>
              <w:rPr>
                <w:rFonts w:hint="eastAsia" w:ascii="Times New Roman" w:hAnsi="Times New Roman" w:eastAsia="微软雅黑" w:cs="Times New Roman"/>
                <w:spacing w:val="-1"/>
                <w:sz w:val="18"/>
                <w:szCs w:val="18"/>
                <w:highlight w:val="none"/>
                <w:lang w:eastAsia="zh-CN"/>
              </w:rPr>
              <w:t>的</w:t>
            </w:r>
            <w:r>
              <w:rPr>
                <w:rFonts w:ascii="Times New Roman" w:hAnsi="Times New Roman" w:eastAsia="微软雅黑" w:cs="Times New Roman"/>
                <w:spacing w:val="-1"/>
                <w:sz w:val="18"/>
                <w:szCs w:val="18"/>
                <w:highlight w:val="none"/>
                <w:lang w:eastAsia="zh-CN"/>
              </w:rPr>
              <w:t>EGFR抑制剂（吉非替尼、厄洛替尼、埃克替尼、阿法替尼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奥希替尼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耐药相关</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val="en-US" w:eastAsia="zh-CN"/>
              </w:rPr>
              <w:t>59,</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val="en-US" w:eastAsia="zh-CN"/>
              </w:rPr>
              <w:t>7</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3</w:t>
            </w:r>
            <w:r>
              <w:rPr>
                <w:rFonts w:hint="eastAsia" w:ascii="Times New Roman" w:hAnsi="Times New Roman" w:eastAsia="微软雅黑" w:cs="Times New Roman"/>
                <w:spacing w:val="-1"/>
                <w:sz w:val="18"/>
                <w:szCs w:val="18"/>
                <w:highlight w:val="none"/>
                <w:vertAlign w:val="superscript"/>
                <w:lang w:val="en-US" w:eastAsia="zh-CN"/>
              </w:rPr>
              <w:t>5</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Before w:val="1"/>
          <w:gridAfter w:val="1"/>
          <w:wBefore w:w="222" w:type="dxa"/>
          <w:wAfter w:w="275" w:type="dxa"/>
          <w:trHeight w:val="1775"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NRAS</w:t>
            </w:r>
          </w:p>
        </w:tc>
        <w:tc>
          <w:tcPr>
            <w:tcW w:w="672"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581" w:type="dxa"/>
            <w:vAlign w:val="center"/>
          </w:tcPr>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贝美替尼</w:t>
            </w:r>
            <w:r>
              <w:rPr>
                <w:rFonts w:hint="eastAsia" w:ascii="Times New Roman" w:hAnsi="Times New Roman" w:eastAsia="微软雅黑" w:cs="Times New Roman"/>
                <w:spacing w:val="-1"/>
                <w:sz w:val="18"/>
                <w:szCs w:val="18"/>
                <w:highlight w:val="none"/>
                <w:lang w:eastAsia="zh-CN"/>
              </w:rPr>
              <w:t>（Binimetinib）（</w:t>
            </w:r>
            <w:r>
              <w:rPr>
                <w:rFonts w:hint="eastAsia" w:ascii="Times New Roman" w:hAnsi="Times New Roman" w:eastAsia="微软雅黑" w:cs="Times New Roman"/>
                <w:spacing w:val="-1"/>
                <w:sz w:val="18"/>
                <w:szCs w:val="18"/>
                <w:highlight w:val="none"/>
                <w:lang w:val="en-US" w:eastAsia="zh-CN"/>
              </w:rPr>
              <w:t>NCCN指南推荐用于皮肤黑色素瘤</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z w:val="18"/>
                <w:szCs w:val="18"/>
                <w:highlight w:val="none"/>
              </w:rPr>
            </w:pPr>
            <w:r>
              <w:rPr>
                <w:rFonts w:ascii="Times New Roman" w:hAnsi="Times New Roman" w:eastAsia="微软雅黑" w:cs="Times New Roman"/>
                <w:spacing w:val="-1"/>
                <w:sz w:val="18"/>
                <w:szCs w:val="18"/>
                <w:highlight w:val="none"/>
              </w:rPr>
              <w:t>EGFR单抗：</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头颈部鳞状细胞癌</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帕尼单抗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Panitumumab）</w:t>
            </w:r>
            <w:r>
              <w:rPr>
                <w:rFonts w:ascii="Times New Roman" w:hAnsi="Times New Roman" w:eastAsia="微软雅黑" w:cs="Times New Roman"/>
                <w:spacing w:val="-1"/>
                <w:sz w:val="18"/>
                <w:szCs w:val="18"/>
                <w:highlight w:val="none"/>
              </w:rPr>
              <w:t>（FDA批准用于结直肠癌）</w:t>
            </w:r>
          </w:p>
        </w:tc>
        <w:tc>
          <w:tcPr>
            <w:tcW w:w="3757" w:type="dxa"/>
            <w:gridSpan w:val="2"/>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结直肠癌中，NRAS野生型对西妥昔单抗、帕尼单抗（EGFR单抗）敏感性增加；黑色素瘤中，</w:t>
            </w:r>
            <w:r>
              <w:rPr>
                <w:rFonts w:hint="eastAsia" w:ascii="Times New Roman" w:hAnsi="Times New Roman" w:eastAsia="微软雅黑" w:cs="Times New Roman"/>
                <w:spacing w:val="-1"/>
                <w:sz w:val="18"/>
                <w:szCs w:val="18"/>
                <w:highlight w:val="none"/>
                <w:lang w:eastAsia="zh-CN"/>
              </w:rPr>
              <w:t>NRAS突变</w:t>
            </w:r>
            <w:r>
              <w:rPr>
                <w:rFonts w:ascii="Times New Roman" w:hAnsi="Times New Roman" w:eastAsia="微软雅黑" w:cs="Times New Roman"/>
                <w:spacing w:val="-1"/>
                <w:sz w:val="18"/>
                <w:szCs w:val="18"/>
                <w:highlight w:val="none"/>
                <w:lang w:eastAsia="zh-CN"/>
              </w:rPr>
              <w:t>的患者</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贝美替尼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3</w:t>
            </w:r>
            <w:r>
              <w:rPr>
                <w:rFonts w:hint="eastAsia" w:ascii="Times New Roman" w:hAnsi="Times New Roman" w:eastAsia="微软雅黑" w:cs="Times New Roman"/>
                <w:spacing w:val="-1"/>
                <w:sz w:val="18"/>
                <w:szCs w:val="18"/>
                <w:highlight w:val="none"/>
                <w:vertAlign w:val="superscript"/>
                <w:lang w:val="en-US" w:eastAsia="zh-CN"/>
              </w:rPr>
              <w:t>6</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val="en-US" w:eastAsia="zh-CN"/>
              </w:rPr>
              <w:t>42</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Before w:val="1"/>
          <w:gridAfter w:val="1"/>
          <w:wBefore w:w="222" w:type="dxa"/>
          <w:wAfter w:w="275" w:type="dxa"/>
          <w:trHeight w:val="1571"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NTRK</w:t>
            </w:r>
          </w:p>
        </w:tc>
        <w:tc>
          <w:tcPr>
            <w:tcW w:w="672"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融合</w:t>
            </w:r>
          </w:p>
        </w:tc>
        <w:tc>
          <w:tcPr>
            <w:tcW w:w="458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bCs/>
                <w:spacing w:val="-1"/>
                <w:sz w:val="18"/>
                <w:szCs w:val="18"/>
                <w:highlight w:val="none"/>
              </w:rPr>
              <w:t>恩曲替尼</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Entrectinib）</w:t>
            </w:r>
            <w:r>
              <w:rPr>
                <w:rFonts w:ascii="Times New Roman" w:hAnsi="Times New Roman" w:eastAsia="微软雅黑" w:cs="Times New Roman"/>
                <w:spacing w:val="-1"/>
                <w:sz w:val="18"/>
                <w:szCs w:val="18"/>
                <w:highlight w:val="none"/>
              </w:rPr>
              <w:t>（FDA批准用于实体瘤</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非小细胞肺癌）；</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拉罗替尼</w:t>
            </w:r>
            <w:r>
              <w:rPr>
                <w:rFonts w:hint="eastAsia" w:ascii="Times New Roman" w:hAnsi="Times New Roman" w:eastAsia="微软雅黑" w:cs="Times New Roman"/>
                <w:b/>
                <w:spacing w:val="-1"/>
                <w:sz w:val="18"/>
                <w:szCs w:val="18"/>
                <w:highlight w:val="none"/>
              </w:rPr>
              <w:t>（Larotrectinib</w:t>
            </w:r>
            <w:r>
              <w:rPr>
                <w:rFonts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（FDA批准用于实体瘤）</w:t>
            </w:r>
          </w:p>
        </w:tc>
        <w:tc>
          <w:tcPr>
            <w:tcW w:w="3757" w:type="dxa"/>
            <w:gridSpan w:val="2"/>
            <w:vAlign w:val="center"/>
          </w:tcPr>
          <w:p>
            <w:pPr>
              <w:spacing w:before="19"/>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局部晚期或转移性实体瘤中，NTRK融合的成人或者儿童患者对恩曲替尼和拉罗替尼敏感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4</w:t>
            </w:r>
            <w:r>
              <w:rPr>
                <w:rFonts w:hint="eastAsia" w:ascii="Times New Roman" w:hAnsi="Times New Roman" w:eastAsia="微软雅黑" w:cs="Times New Roman"/>
                <w:spacing w:val="-1"/>
                <w:sz w:val="18"/>
                <w:szCs w:val="18"/>
                <w:highlight w:val="none"/>
                <w:vertAlign w:val="superscript"/>
                <w:lang w:val="en-US" w:eastAsia="zh-CN"/>
              </w:rPr>
              <w:t>3</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Before w:val="1"/>
          <w:gridAfter w:val="1"/>
          <w:wBefore w:w="222" w:type="dxa"/>
          <w:wAfter w:w="275" w:type="dxa"/>
          <w:trHeight w:val="2119"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PDGFRA</w:t>
            </w:r>
          </w:p>
        </w:tc>
        <w:tc>
          <w:tcPr>
            <w:tcW w:w="672" w:type="dxa"/>
            <w:gridSpan w:val="2"/>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8"/>
                <w:szCs w:val="18"/>
                <w:highlight w:val="none"/>
              </w:rPr>
              <w:t>突变</w:t>
            </w:r>
          </w:p>
        </w:tc>
        <w:tc>
          <w:tcPr>
            <w:tcW w:w="458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伊马替尼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Imatinib）</w:t>
            </w:r>
            <w:r>
              <w:rPr>
                <w:rFonts w:ascii="Times New Roman" w:hAnsi="Times New Roman" w:eastAsia="微软雅黑" w:cs="Times New Roman"/>
                <w:spacing w:val="-1"/>
                <w:sz w:val="18"/>
                <w:szCs w:val="18"/>
                <w:highlight w:val="none"/>
              </w:rPr>
              <w:t>（FDA/NMPA批准用于胃肠道间质瘤</w:t>
            </w:r>
            <w:r>
              <w:rPr>
                <w:rFonts w:hint="eastAsia" w:ascii="Times New Roman" w:hAnsi="Times New Roman" w:eastAsia="微软雅黑" w:cs="Times New Roman"/>
                <w:spacing w:val="-1"/>
                <w:sz w:val="18"/>
                <w:szCs w:val="18"/>
                <w:highlight w:val="none"/>
              </w:rPr>
              <w:t>、慢性</w:t>
            </w:r>
            <w:r>
              <w:rPr>
                <w:rFonts w:hint="eastAsia" w:ascii="Times New Roman" w:hAnsi="Times New Roman" w:eastAsia="微软雅黑" w:cs="Times New Roman"/>
                <w:spacing w:val="-1"/>
                <w:sz w:val="18"/>
                <w:szCs w:val="18"/>
                <w:highlight w:val="none"/>
                <w:lang w:val="en-US" w:eastAsia="zh-CN"/>
              </w:rPr>
              <w:t>髓</w:t>
            </w:r>
            <w:r>
              <w:rPr>
                <w:rFonts w:hint="eastAsia"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val="en-US" w:eastAsia="zh-CN"/>
              </w:rPr>
              <w:t>等</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b/>
                <w:spacing w:val="-1"/>
                <w:sz w:val="18"/>
                <w:szCs w:val="18"/>
                <w:highlight w:val="none"/>
              </w:rPr>
              <w:t>达沙替尼*（</w:t>
            </w:r>
            <w:r>
              <w:rPr>
                <w:rFonts w:ascii="Times New Roman" w:hAnsi="Times New Roman" w:eastAsia="微软雅黑" w:cs="Times New Roman"/>
                <w:b/>
                <w:spacing w:val="-1"/>
                <w:sz w:val="18"/>
                <w:szCs w:val="18"/>
                <w:highlight w:val="none"/>
              </w:rPr>
              <w:t>Dasatinib）</w:t>
            </w:r>
            <w:r>
              <w:rPr>
                <w:rFonts w:ascii="Times New Roman" w:hAnsi="Times New Roman" w:eastAsia="微软雅黑" w:cs="Times New Roman"/>
                <w:spacing w:val="-1"/>
                <w:sz w:val="18"/>
                <w:szCs w:val="18"/>
                <w:highlight w:val="none"/>
              </w:rPr>
              <w:t>（FDA/NMPA批准用于慢性</w:t>
            </w:r>
            <w:r>
              <w:rPr>
                <w:rFonts w:hint="eastAsia" w:ascii="Times New Roman" w:hAnsi="Times New Roman" w:eastAsia="微软雅黑" w:cs="Times New Roman"/>
                <w:spacing w:val="-1"/>
                <w:sz w:val="18"/>
                <w:szCs w:val="18"/>
                <w:highlight w:val="none"/>
                <w:lang w:val="en-US" w:eastAsia="zh-CN"/>
              </w:rPr>
              <w:t>髓</w:t>
            </w:r>
            <w:r>
              <w:rPr>
                <w:rFonts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rPr>
              <w:t>急性淋巴细胞白血病</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b/>
                <w:spacing w:val="-1"/>
                <w:sz w:val="18"/>
                <w:szCs w:val="18"/>
                <w:highlight w:val="none"/>
                <w:lang w:eastAsia="zh-CN"/>
              </w:rPr>
              <w:t>阿伐替尼</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lang w:eastAsia="zh-CN"/>
              </w:rPr>
              <w:t>（</w:t>
            </w:r>
            <w:r>
              <w:rPr>
                <w:rFonts w:hint="eastAsia" w:ascii="Times New Roman" w:hAnsi="Times New Roman" w:eastAsia="微软雅黑" w:cs="Times New Roman"/>
                <w:b/>
                <w:spacing w:val="-1"/>
                <w:sz w:val="18"/>
                <w:szCs w:val="18"/>
                <w:highlight w:val="none"/>
              </w:rPr>
              <w:t>Avapritinib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rPr>
              <w:t>（FDA/NMPA批准用于胃肠道间质瘤</w:t>
            </w:r>
            <w:bookmarkStart w:id="93" w:name="OLE_LINK1"/>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lang w:eastAsia="zh-CN"/>
              </w:rPr>
              <w:t>系统性肥大细胞增多症</w:t>
            </w:r>
            <w:bookmarkEnd w:id="93"/>
            <w:r>
              <w:rPr>
                <w:rFonts w:ascii="Times New Roman" w:hAnsi="Times New Roman" w:eastAsia="微软雅黑" w:cs="Times New Roman"/>
                <w:spacing w:val="-1"/>
                <w:sz w:val="18"/>
                <w:szCs w:val="18"/>
                <w:highlight w:val="none"/>
              </w:rPr>
              <w:t>）</w:t>
            </w:r>
          </w:p>
        </w:tc>
        <w:tc>
          <w:tcPr>
            <w:tcW w:w="3757" w:type="dxa"/>
            <w:gridSpan w:val="2"/>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胃肠道间质瘤中，PDGFRA</w:t>
            </w:r>
            <w:r>
              <w:rPr>
                <w:rFonts w:hint="eastAsia" w:ascii="Times New Roman" w:hAnsi="Times New Roman" w:eastAsia="微软雅黑" w:cs="Times New Roman"/>
                <w:spacing w:val="-1"/>
                <w:sz w:val="18"/>
                <w:szCs w:val="18"/>
                <w:highlight w:val="none"/>
                <w:lang w:eastAsia="zh-CN"/>
              </w:rPr>
              <w:t>突变（除</w:t>
            </w:r>
            <w:r>
              <w:rPr>
                <w:rFonts w:ascii="Times New Roman" w:hAnsi="Times New Roman" w:eastAsia="微软雅黑" w:cs="Times New Roman"/>
                <w:spacing w:val="-1"/>
                <w:sz w:val="18"/>
                <w:szCs w:val="18"/>
                <w:highlight w:val="none"/>
                <w:lang w:eastAsia="zh-CN"/>
              </w:rPr>
              <w:t>D842V</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对伊马替尼敏感，PDGFRA D842V</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达沙替尼敏感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第12、14、18外显子突变（除D842V）对伊马替尼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PDGFRA D842V对伊马替尼</w:t>
            </w:r>
            <w:r>
              <w:rPr>
                <w:rFonts w:hint="eastAsia" w:ascii="Times New Roman" w:hAnsi="Times New Roman" w:eastAsia="微软雅黑" w:cs="Times New Roman"/>
                <w:spacing w:val="-1"/>
                <w:sz w:val="18"/>
                <w:szCs w:val="18"/>
                <w:highlight w:val="none"/>
                <w:lang w:eastAsia="zh-CN"/>
              </w:rPr>
              <w:t>产生耐药</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4</w:t>
            </w:r>
            <w:r>
              <w:rPr>
                <w:rFonts w:hint="eastAsia" w:ascii="Times New Roman" w:hAnsi="Times New Roman" w:eastAsia="微软雅黑" w:cs="Times New Roman"/>
                <w:spacing w:val="-1"/>
                <w:sz w:val="18"/>
                <w:szCs w:val="18"/>
                <w:highlight w:val="none"/>
                <w:vertAlign w:val="superscript"/>
                <w:lang w:val="en-US" w:eastAsia="zh-CN"/>
              </w:rPr>
              <w:t>4</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val="en-US" w:eastAsia="zh-CN"/>
              </w:rPr>
              <w:t>51</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Before w:val="1"/>
          <w:gridAfter w:val="1"/>
          <w:wBefore w:w="222" w:type="dxa"/>
          <w:wAfter w:w="275" w:type="dxa"/>
          <w:trHeight w:val="1895"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PIK3CA</w:t>
            </w:r>
          </w:p>
        </w:tc>
        <w:tc>
          <w:tcPr>
            <w:tcW w:w="672" w:type="dxa"/>
            <w:gridSpan w:val="2"/>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突变</w:t>
            </w:r>
          </w:p>
        </w:tc>
        <w:tc>
          <w:tcPr>
            <w:tcW w:w="4581" w:type="dxa"/>
            <w:vAlign w:val="center"/>
          </w:tcPr>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bCs/>
                <w:spacing w:val="-1"/>
                <w:sz w:val="18"/>
                <w:szCs w:val="18"/>
                <w:highlight w:val="none"/>
              </w:rPr>
              <w:t>Alpelisib+</w:t>
            </w:r>
            <w:r>
              <w:rPr>
                <w:rFonts w:hint="eastAsia" w:ascii="微软雅黑" w:hAnsi="微软雅黑" w:eastAsia="微软雅黑" w:cs="Times New Roman"/>
                <w:b/>
                <w:bCs/>
                <w:spacing w:val="-1"/>
                <w:sz w:val="18"/>
                <w:szCs w:val="18"/>
                <w:highlight w:val="none"/>
              </w:rPr>
              <w:t>氟维司群（</w:t>
            </w:r>
            <w:r>
              <w:rPr>
                <w:rFonts w:hint="eastAsia" w:ascii="Times New Roman" w:hAnsi="Times New Roman" w:eastAsia="微软雅黑" w:cs="Times New Roman"/>
                <w:b/>
                <w:bCs/>
                <w:spacing w:val="-1"/>
                <w:sz w:val="18"/>
                <w:szCs w:val="18"/>
                <w:highlight w:val="none"/>
              </w:rPr>
              <w:t>Alpelisib+Fulvestrant</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hint="eastAsia" w:ascii="微软雅黑" w:hAnsi="微软雅黑" w:eastAsia="微软雅黑" w:cs="Times New Roman"/>
                <w:spacing w:val="-1"/>
                <w:sz w:val="18"/>
                <w:szCs w:val="18"/>
                <w:highlight w:val="none"/>
              </w:rPr>
              <w:t>批准用于乳腺癌）</w:t>
            </w:r>
          </w:p>
        </w:tc>
        <w:tc>
          <w:tcPr>
            <w:tcW w:w="3757" w:type="dxa"/>
            <w:gridSpan w:val="2"/>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研究报告，PIK3CA激活性突变（E542K、E545K、E545Q、H1047L、H1047R等）可能对PI3K或mTOR抑制剂敏感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val="en-US" w:eastAsia="zh-CN"/>
              </w:rPr>
              <w:t>52</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Before w:val="1"/>
          <w:gridAfter w:val="1"/>
          <w:wBefore w:w="222" w:type="dxa"/>
          <w:wAfter w:w="275" w:type="dxa"/>
          <w:trHeight w:val="2129"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PTEN</w:t>
            </w:r>
          </w:p>
        </w:tc>
        <w:tc>
          <w:tcPr>
            <w:tcW w:w="672" w:type="dxa"/>
            <w:gridSpan w:val="2"/>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58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mTOR抑制剂：</w:t>
            </w:r>
            <w:r>
              <w:rPr>
                <w:rFonts w:ascii="Times New Roman" w:hAnsi="Times New Roman" w:eastAsia="微软雅黑" w:cs="Times New Roman"/>
                <w:b/>
                <w:spacing w:val="-1"/>
                <w:sz w:val="18"/>
                <w:szCs w:val="18"/>
                <w:highlight w:val="none"/>
              </w:rPr>
              <w:t>依维莫司</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Everolimus）</w:t>
            </w:r>
            <w:r>
              <w:rPr>
                <w:rFonts w:ascii="Times New Roman" w:hAnsi="Times New Roman" w:eastAsia="微软雅黑" w:cs="Times New Roman"/>
                <w:spacing w:val="-1"/>
                <w:sz w:val="18"/>
                <w:szCs w:val="18"/>
                <w:highlight w:val="none"/>
              </w:rPr>
              <w:t>（FDA/NMPA批准用于肾癌</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脂肪肉瘤等）、</w:t>
            </w:r>
            <w:r>
              <w:rPr>
                <w:rFonts w:ascii="Times New Roman" w:hAnsi="Times New Roman" w:eastAsia="微软雅黑" w:cs="Times New Roman"/>
                <w:b/>
                <w:spacing w:val="-1"/>
                <w:sz w:val="18"/>
                <w:szCs w:val="18"/>
                <w:highlight w:val="none"/>
              </w:rPr>
              <w:t>替西罗莫司</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Temsirolimus）</w:t>
            </w:r>
            <w:r>
              <w:rPr>
                <w:rFonts w:ascii="Times New Roman" w:hAnsi="Times New Roman" w:eastAsia="微软雅黑" w:cs="Times New Roman"/>
                <w:spacing w:val="-1"/>
                <w:sz w:val="18"/>
                <w:szCs w:val="18"/>
                <w:highlight w:val="none"/>
              </w:rPr>
              <w:t>（FDA批准用于肾细胞腺癌）</w:t>
            </w:r>
          </w:p>
        </w:tc>
        <w:tc>
          <w:tcPr>
            <w:tcW w:w="3757" w:type="dxa"/>
            <w:gridSpan w:val="2"/>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胶质瘤中，PTEN失活突变对依维莫司敏感；非霍奇金淋巴瘤和多发性骨髓瘤中，</w:t>
            </w:r>
            <w:r>
              <w:rPr>
                <w:rFonts w:ascii="Times New Roman" w:hAnsi="Times New Roman" w:eastAsia="微软雅黑" w:cs="Times New Roman"/>
                <w:spacing w:val="-1"/>
                <w:sz w:val="18"/>
                <w:szCs w:val="18"/>
                <w:highlight w:val="none"/>
                <w:lang w:eastAsia="zh-CN"/>
              </w:rPr>
              <w:t>PTEN</w:t>
            </w:r>
            <w:r>
              <w:rPr>
                <w:rFonts w:hint="eastAsia" w:ascii="Times New Roman" w:hAnsi="Times New Roman" w:eastAsia="微软雅黑" w:cs="Times New Roman"/>
                <w:spacing w:val="-1"/>
                <w:sz w:val="18"/>
                <w:szCs w:val="18"/>
                <w:highlight w:val="none"/>
                <w:lang w:eastAsia="zh-CN"/>
              </w:rPr>
              <w:t>失活突变对替西罗莫司敏感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5</w:t>
            </w:r>
            <w:r>
              <w:rPr>
                <w:rFonts w:hint="eastAsia" w:ascii="Times New Roman" w:hAnsi="Times New Roman" w:eastAsia="微软雅黑" w:cs="Times New Roman"/>
                <w:spacing w:val="-1"/>
                <w:sz w:val="18"/>
                <w:szCs w:val="18"/>
                <w:highlight w:val="none"/>
                <w:vertAlign w:val="superscript"/>
                <w:lang w:val="en-US" w:eastAsia="zh-CN"/>
              </w:rPr>
              <w:t>3</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val="en-US" w:eastAsia="zh-CN"/>
              </w:rPr>
              <w:t>62</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Before w:val="1"/>
          <w:gridAfter w:val="1"/>
          <w:wBefore w:w="222" w:type="dxa"/>
          <w:wAfter w:w="275" w:type="dxa"/>
          <w:trHeight w:val="702"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72"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581" w:type="dxa"/>
            <w:vAlign w:val="center"/>
          </w:tcPr>
          <w:p>
            <w:pPr>
              <w:spacing w:before="19"/>
              <w:ind w:right="-8"/>
              <w:jc w:val="center"/>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gridSpan w:val="2"/>
            <w:vAlign w:val="center"/>
          </w:tcPr>
          <w:p>
            <w:pPr>
              <w:spacing w:before="19"/>
              <w:ind w:right="-8"/>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Before w:val="1"/>
          <w:gridAfter w:val="1"/>
          <w:wBefore w:w="222" w:type="dxa"/>
          <w:wAfter w:w="275" w:type="dxa"/>
          <w:trHeight w:val="2513"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RET</w:t>
            </w:r>
          </w:p>
        </w:tc>
        <w:tc>
          <w:tcPr>
            <w:tcW w:w="672"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融合</w:t>
            </w:r>
          </w:p>
        </w:tc>
        <w:tc>
          <w:tcPr>
            <w:tcW w:w="4581" w:type="dxa"/>
            <w:vAlign w:val="center"/>
          </w:tcPr>
          <w:p>
            <w:pPr>
              <w:spacing w:before="19"/>
              <w:ind w:right="-8"/>
              <w:jc w:val="both"/>
              <w:rPr>
                <w:rFonts w:ascii="Times New Roman" w:hAnsi="Times New Roman" w:eastAsia="微软雅黑" w:cs="Times New Roman"/>
                <w:b/>
                <w:spacing w:val="-1"/>
                <w:sz w:val="18"/>
                <w:szCs w:val="18"/>
                <w:highlight w:val="none"/>
                <w:lang w:eastAsia="zh-CN"/>
              </w:rPr>
            </w:pPr>
            <w:r>
              <w:rPr>
                <w:rFonts w:hint="eastAsia" w:ascii="Times New Roman" w:hAnsi="Times New Roman" w:eastAsia="微软雅黑" w:cs="Times New Roman"/>
                <w:b/>
                <w:spacing w:val="-1"/>
                <w:sz w:val="18"/>
                <w:szCs w:val="18"/>
                <w:highlight w:val="none"/>
                <w:lang w:eastAsia="zh-CN"/>
              </w:rPr>
              <w:t>普拉替尼</w:t>
            </w:r>
            <w:r>
              <w:rPr>
                <w:rFonts w:hint="eastAsia" w:ascii="Times New Roman" w:hAnsi="Times New Roman" w:eastAsia="微软雅黑" w:cs="Times New Roman"/>
                <w:b/>
                <w:spacing w:val="-1"/>
                <w:sz w:val="18"/>
                <w:szCs w:val="18"/>
                <w:highlight w:val="none"/>
                <w:lang w:val="en-US" w:eastAsia="zh-CN"/>
              </w:rPr>
              <w:t>*</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lang w:eastAsia="zh-CN"/>
              </w:rPr>
              <w:t>Pralsetinib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（FDA/NMPA批准用于非小细胞肺癌</w:t>
            </w:r>
            <w:r>
              <w:rPr>
                <w:rFonts w:hint="eastAsia" w:ascii="Times New Roman" w:hAnsi="Times New Roman" w:eastAsia="微软雅黑" w:cs="Times New Roman"/>
                <w:spacing w:val="-1"/>
                <w:sz w:val="18"/>
                <w:szCs w:val="18"/>
                <w:highlight w:val="none"/>
                <w:lang w:eastAsia="zh-CN"/>
              </w:rPr>
              <w:t>，F</w:t>
            </w:r>
            <w:r>
              <w:rPr>
                <w:rFonts w:ascii="Times New Roman" w:hAnsi="Times New Roman" w:eastAsia="微软雅黑" w:cs="Times New Roman"/>
                <w:spacing w:val="-1"/>
                <w:sz w:val="18"/>
                <w:szCs w:val="18"/>
                <w:highlight w:val="none"/>
                <w:lang w:eastAsia="zh-CN"/>
              </w:rPr>
              <w:t>DA</w:t>
            </w:r>
            <w:r>
              <w:rPr>
                <w:rFonts w:hint="eastAsia" w:ascii="Times New Roman" w:hAnsi="Times New Roman" w:eastAsia="微软雅黑" w:cs="Times New Roman"/>
                <w:spacing w:val="-1"/>
                <w:sz w:val="18"/>
                <w:szCs w:val="18"/>
                <w:highlight w:val="none"/>
                <w:lang w:eastAsia="zh-CN"/>
              </w:rPr>
              <w:t>批准用于甲状腺癌、甲状腺髓样癌</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Selpercatinib</w:t>
            </w:r>
            <w:r>
              <w:rPr>
                <w:rFonts w:ascii="Times New Roman" w:hAnsi="Times New Roman" w:eastAsia="微软雅黑" w:cs="Times New Roman"/>
                <w:spacing w:val="-1"/>
                <w:sz w:val="18"/>
                <w:szCs w:val="18"/>
                <w:highlight w:val="none"/>
              </w:rPr>
              <w:t>（FDA批准用于甲状腺癌、非小细胞肺癌</w:t>
            </w:r>
            <w:r>
              <w:rPr>
                <w:rFonts w:hint="eastAsia" w:ascii="Times New Roman" w:hAnsi="Times New Roman" w:eastAsia="微软雅黑" w:cs="Times New Roman"/>
                <w:spacing w:val="-1"/>
                <w:sz w:val="18"/>
                <w:szCs w:val="18"/>
                <w:highlight w:val="none"/>
                <w:lang w:eastAsia="zh-CN"/>
              </w:rPr>
              <w:t>、甲状腺髓样癌</w:t>
            </w:r>
            <w:r>
              <w:rPr>
                <w:rFonts w:ascii="Times New Roman" w:hAnsi="Times New Roman" w:eastAsia="微软雅黑" w:cs="Times New Roman"/>
                <w:spacing w:val="-1"/>
                <w:sz w:val="18"/>
                <w:szCs w:val="18"/>
                <w:highlight w:val="none"/>
              </w:rPr>
              <w:t>）；</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凡德他尼（</w:t>
            </w:r>
            <w:r>
              <w:rPr>
                <w:rFonts w:ascii="Times New Roman" w:hAnsi="Times New Roman" w:eastAsia="微软雅黑" w:cs="Times New Roman"/>
                <w:b/>
                <w:spacing w:val="-1"/>
                <w:sz w:val="18"/>
                <w:szCs w:val="18"/>
                <w:highlight w:val="none"/>
              </w:rPr>
              <w:t>Vandetanib）</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rPr>
              <w:t>甲状腺髓样癌</w:t>
            </w:r>
            <w:r>
              <w:rPr>
                <w:rFonts w:ascii="Times New Roman" w:hAnsi="Times New Roman" w:eastAsia="微软雅黑" w:cs="Times New Roman"/>
                <w:spacing w:val="-1"/>
                <w:sz w:val="18"/>
                <w:szCs w:val="18"/>
                <w:highlight w:val="none"/>
              </w:rPr>
              <w:t>）；</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卡博替尼（</w:t>
            </w:r>
            <w:r>
              <w:rPr>
                <w:rFonts w:ascii="Times New Roman" w:hAnsi="Times New Roman" w:eastAsia="微软雅黑" w:cs="Times New Roman"/>
                <w:b/>
                <w:spacing w:val="-1"/>
                <w:sz w:val="18"/>
                <w:szCs w:val="18"/>
                <w:highlight w:val="none"/>
              </w:rPr>
              <w:t>Cabozantinib）</w:t>
            </w:r>
            <w:r>
              <w:rPr>
                <w:rFonts w:ascii="Times New Roman" w:hAnsi="Times New Roman" w:eastAsia="微软雅黑" w:cs="Times New Roman"/>
                <w:spacing w:val="-1"/>
                <w:sz w:val="18"/>
                <w:szCs w:val="18"/>
                <w:highlight w:val="none"/>
              </w:rPr>
              <w:t>（FDA批准用于甲状腺髓样癌</w:t>
            </w:r>
            <w:r>
              <w:rPr>
                <w:rFonts w:hint="eastAsia" w:ascii="Times New Roman" w:hAnsi="Times New Roman" w:eastAsia="微软雅黑" w:cs="Times New Roman"/>
                <w:spacing w:val="-1"/>
                <w:sz w:val="18"/>
                <w:szCs w:val="18"/>
                <w:highlight w:val="none"/>
              </w:rPr>
              <w:t>、肾癌、</w:t>
            </w:r>
            <w:r>
              <w:rPr>
                <w:rFonts w:ascii="Times New Roman" w:hAnsi="Times New Roman" w:eastAsia="微软雅黑" w:cs="Times New Roman"/>
                <w:spacing w:val="-1"/>
                <w:sz w:val="18"/>
                <w:szCs w:val="18"/>
                <w:highlight w:val="none"/>
              </w:rPr>
              <w:t>肝细胞癌）；</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仑伐替尼*（</w:t>
            </w:r>
            <w:r>
              <w:rPr>
                <w:rFonts w:ascii="Times New Roman" w:hAnsi="Times New Roman" w:eastAsia="微软雅黑" w:cs="Times New Roman"/>
                <w:b/>
                <w:spacing w:val="-1"/>
                <w:sz w:val="18"/>
                <w:szCs w:val="18"/>
                <w:highlight w:val="none"/>
              </w:rPr>
              <w:t>Lenvatinib）</w:t>
            </w:r>
            <w:r>
              <w:rPr>
                <w:rFonts w:hint="eastAsia" w:ascii="Times New Roman" w:hAnsi="Times New Roman" w:eastAsia="微软雅黑" w:cs="Times New Roman"/>
                <w:spacing w:val="-1"/>
                <w:sz w:val="18"/>
                <w:szCs w:val="18"/>
                <w:highlight w:val="none"/>
              </w:rPr>
              <w:t>（FD</w:t>
            </w:r>
            <w:r>
              <w:rPr>
                <w:rFonts w:ascii="Times New Roman" w:hAnsi="Times New Roman" w:eastAsia="微软雅黑" w:cs="Times New Roman"/>
                <w:spacing w:val="-1"/>
                <w:sz w:val="18"/>
                <w:szCs w:val="18"/>
                <w:highlight w:val="none"/>
              </w:rPr>
              <w:t>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用于肝细胞癌</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甲状腺癌）</w:t>
            </w:r>
          </w:p>
        </w:tc>
        <w:tc>
          <w:tcPr>
            <w:tcW w:w="3757" w:type="dxa"/>
            <w:gridSpan w:val="2"/>
            <w:vAlign w:val="center"/>
          </w:tcPr>
          <w:p>
            <w:pPr>
              <w:spacing w:before="19"/>
              <w:ind w:right="-8"/>
              <w:jc w:val="left"/>
              <w:rPr>
                <w:rFonts w:ascii="Times New Roman" w:hAnsi="Times New Roman" w:eastAsia="微软雅黑" w:cs="Times New Roman"/>
                <w:sz w:val="18"/>
                <w:szCs w:val="18"/>
                <w:highlight w:val="none"/>
                <w:lang w:eastAsia="zh-CN"/>
              </w:rPr>
            </w:pPr>
            <w:r>
              <w:rPr>
                <w:rFonts w:ascii="Times New Roman" w:hAnsi="Times New Roman" w:eastAsia="微软雅黑" w:cs="Times New Roman"/>
                <w:spacing w:val="-1"/>
                <w:sz w:val="18"/>
                <w:szCs w:val="18"/>
                <w:highlight w:val="none"/>
              </w:rPr>
              <w:t>甲状腺癌中，RET融合和突变对Selpercatinib敏感，RET C634、M918T突变</w:t>
            </w:r>
            <w:r>
              <w:rPr>
                <w:rFonts w:hint="eastAsia" w:ascii="Times New Roman" w:hAnsi="Times New Roman" w:eastAsia="微软雅黑" w:cs="Times New Roman"/>
                <w:spacing w:val="-1"/>
                <w:sz w:val="18"/>
                <w:szCs w:val="18"/>
                <w:highlight w:val="none"/>
              </w:rPr>
              <w:t>对</w:t>
            </w:r>
            <w:r>
              <w:rPr>
                <w:rFonts w:ascii="Times New Roman" w:hAnsi="Times New Roman" w:eastAsia="微软雅黑" w:cs="Times New Roman"/>
                <w:spacing w:val="-1"/>
                <w:sz w:val="18"/>
                <w:szCs w:val="18"/>
                <w:highlight w:val="none"/>
              </w:rPr>
              <w:t>凡德他尼</w:t>
            </w:r>
            <w:r>
              <w:rPr>
                <w:rFonts w:hint="eastAsia" w:ascii="Times New Roman" w:hAnsi="Times New Roman" w:eastAsia="微软雅黑" w:cs="Times New Roman"/>
                <w:spacing w:val="-1"/>
                <w:sz w:val="18"/>
                <w:szCs w:val="18"/>
                <w:highlight w:val="none"/>
              </w:rPr>
              <w:t>敏感，</w:t>
            </w:r>
            <w:r>
              <w:rPr>
                <w:rFonts w:ascii="Times New Roman" w:hAnsi="Times New Roman" w:eastAsia="微软雅黑" w:cs="Times New Roman"/>
                <w:spacing w:val="-1"/>
                <w:sz w:val="18"/>
                <w:szCs w:val="18"/>
                <w:highlight w:val="none"/>
              </w:rPr>
              <w:t>RET M918T</w:t>
            </w:r>
            <w:r>
              <w:rPr>
                <w:rFonts w:hint="eastAsia" w:ascii="Times New Roman" w:hAnsi="Times New Roman" w:eastAsia="微软雅黑" w:cs="Times New Roman"/>
                <w:spacing w:val="-1"/>
                <w:sz w:val="18"/>
                <w:szCs w:val="18"/>
                <w:highlight w:val="none"/>
              </w:rPr>
              <w:t>对</w:t>
            </w:r>
            <w:r>
              <w:rPr>
                <w:rFonts w:ascii="Times New Roman" w:hAnsi="Times New Roman" w:eastAsia="微软雅黑" w:cs="Times New Roman"/>
                <w:spacing w:val="-1"/>
                <w:sz w:val="18"/>
                <w:szCs w:val="18"/>
                <w:highlight w:val="none"/>
              </w:rPr>
              <w:t>卡博替尼敏感；非小细胞肺癌中，RET融合和突变对Selpercatinib敏感，临床试验研究表明，RET融合对卡博替尼和凡德他尼敏感；凡德他尼是多靶点激酶抑制剂，RET是靶点之一</w:t>
            </w:r>
            <w:r>
              <w:rPr>
                <w:rFonts w:ascii="Times New Roman" w:hAnsi="Times New Roman" w:eastAsia="微软雅黑" w:cs="Times New Roman"/>
                <w:spacing w:val="-1"/>
                <w:sz w:val="18"/>
                <w:szCs w:val="18"/>
                <w:highlight w:val="none"/>
                <w:vertAlign w:val="superscript"/>
              </w:rPr>
              <w:t>[1</w:t>
            </w:r>
            <w:r>
              <w:rPr>
                <w:rFonts w:hint="eastAsia" w:ascii="Times New Roman" w:hAnsi="Times New Roman" w:eastAsia="微软雅黑" w:cs="Times New Roman"/>
                <w:spacing w:val="-1"/>
                <w:sz w:val="18"/>
                <w:szCs w:val="18"/>
                <w:highlight w:val="none"/>
                <w:vertAlign w:val="superscript"/>
                <w:lang w:eastAsia="zh-CN"/>
              </w:rPr>
              <w:t>6</w:t>
            </w:r>
            <w:r>
              <w:rPr>
                <w:rFonts w:hint="eastAsia" w:ascii="Times New Roman" w:hAnsi="Times New Roman" w:eastAsia="微软雅黑" w:cs="Times New Roman"/>
                <w:spacing w:val="-1"/>
                <w:sz w:val="18"/>
                <w:szCs w:val="18"/>
                <w:highlight w:val="none"/>
                <w:vertAlign w:val="superscript"/>
                <w:lang w:val="en-US" w:eastAsia="zh-CN"/>
              </w:rPr>
              <w:t>3</w:t>
            </w:r>
            <w:r>
              <w:rPr>
                <w:rFonts w:ascii="Times New Roman" w:hAnsi="Times New Roman" w:eastAsia="微软雅黑" w:cs="Times New Roman"/>
                <w:spacing w:val="-1"/>
                <w:sz w:val="18"/>
                <w:szCs w:val="18"/>
                <w:highlight w:val="none"/>
                <w:vertAlign w:val="superscript"/>
              </w:rPr>
              <w:t>-1</w:t>
            </w:r>
            <w:r>
              <w:rPr>
                <w:rFonts w:hint="eastAsia" w:ascii="Times New Roman" w:hAnsi="Times New Roman" w:eastAsia="微软雅黑" w:cs="Times New Roman"/>
                <w:spacing w:val="-1"/>
                <w:sz w:val="18"/>
                <w:szCs w:val="18"/>
                <w:highlight w:val="none"/>
                <w:vertAlign w:val="superscript"/>
                <w:lang w:eastAsia="zh-CN"/>
              </w:rPr>
              <w:t>6</w:t>
            </w:r>
            <w:r>
              <w:rPr>
                <w:rFonts w:hint="eastAsia" w:ascii="Times New Roman" w:hAnsi="Times New Roman" w:eastAsia="微软雅黑" w:cs="Times New Roman"/>
                <w:spacing w:val="-1"/>
                <w:sz w:val="18"/>
                <w:szCs w:val="18"/>
                <w:highlight w:val="none"/>
                <w:vertAlign w:val="superscript"/>
                <w:lang w:val="en-US" w:eastAsia="zh-CN"/>
              </w:rPr>
              <w:t>6</w:t>
            </w:r>
            <w:r>
              <w:rPr>
                <w:rFonts w:ascii="Times New Roman" w:hAnsi="Times New Roman" w:eastAsia="微软雅黑" w:cs="Times New Roman"/>
                <w:spacing w:val="-1"/>
                <w:sz w:val="18"/>
                <w:szCs w:val="18"/>
                <w:highlight w:val="none"/>
                <w:vertAlign w:val="superscript"/>
              </w:rPr>
              <w:t>]</w:t>
            </w:r>
            <w:r>
              <w:rPr>
                <w:rFonts w:ascii="Times New Roman" w:hAnsi="Times New Roman" w:eastAsia="微软雅黑" w:cs="Times New Roman"/>
                <w:spacing w:val="-1"/>
                <w:sz w:val="18"/>
                <w:szCs w:val="18"/>
                <w:highlight w:val="none"/>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Before w:val="1"/>
          <w:gridAfter w:val="1"/>
          <w:wBefore w:w="222" w:type="dxa"/>
          <w:wAfter w:w="275" w:type="dxa"/>
          <w:trHeight w:val="2671"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ROS1</w:t>
            </w:r>
          </w:p>
        </w:tc>
        <w:tc>
          <w:tcPr>
            <w:tcW w:w="672"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融合</w:t>
            </w:r>
          </w:p>
        </w:tc>
        <w:tc>
          <w:tcPr>
            <w:tcW w:w="458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克唑替尼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Crizotinib）</w:t>
            </w:r>
            <w:r>
              <w:rPr>
                <w:rFonts w:ascii="Times New Roman" w:hAnsi="Times New Roman" w:eastAsia="微软雅黑" w:cs="Times New Roman"/>
                <w:spacing w:val="-1"/>
                <w:sz w:val="18"/>
                <w:szCs w:val="18"/>
                <w:highlight w:val="none"/>
              </w:rPr>
              <w:t>（FDA/NMPA批准用于非小细胞肺癌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间变性大细胞淋巴瘤</w:t>
            </w:r>
            <w:r>
              <w:rPr>
                <w:rFonts w:ascii="Times New Roman" w:hAnsi="Times New Roman" w:eastAsia="微软雅黑" w:cs="Times New Roman"/>
                <w:spacing w:val="-1"/>
                <w:sz w:val="18"/>
                <w:szCs w:val="18"/>
                <w:highlight w:val="none"/>
              </w:rPr>
              <w:t>）；</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塞瑞替尼*（</w:t>
            </w:r>
            <w:r>
              <w:rPr>
                <w:rFonts w:ascii="Times New Roman" w:hAnsi="Times New Roman" w:eastAsia="微软雅黑" w:cs="Times New Roman"/>
                <w:b/>
                <w:spacing w:val="-1"/>
                <w:sz w:val="18"/>
                <w:szCs w:val="18"/>
                <w:highlight w:val="none"/>
              </w:rPr>
              <w:t>Ceritinib）</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NMPA批准用于非小细胞肺癌）；</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bCs/>
                <w:spacing w:val="-1"/>
                <w:sz w:val="18"/>
                <w:szCs w:val="18"/>
                <w:highlight w:val="none"/>
              </w:rPr>
              <w:t>恩曲替尼</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Entrectinib）</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rPr>
              <w:t>实体瘤</w:t>
            </w:r>
            <w:r>
              <w:rPr>
                <w:rFonts w:ascii="Times New Roman" w:hAnsi="Times New Roman" w:eastAsia="微软雅黑" w:cs="Times New Roman"/>
                <w:spacing w:val="-1"/>
                <w:sz w:val="18"/>
                <w:szCs w:val="18"/>
                <w:highlight w:val="none"/>
              </w:rPr>
              <w:t>、非小细胞肺癌）；</w:t>
            </w:r>
          </w:p>
          <w:p>
            <w:pPr>
              <w:spacing w:before="19"/>
              <w:ind w:right="-8"/>
              <w:jc w:val="both"/>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spacing w:val="-1"/>
                <w:sz w:val="18"/>
                <w:szCs w:val="18"/>
                <w:highlight w:val="none"/>
              </w:rPr>
              <w:t>劳拉替尼（Lorlatinib）</w:t>
            </w:r>
            <w:r>
              <w:rPr>
                <w:rFonts w:ascii="Times New Roman" w:hAnsi="Times New Roman" w:eastAsia="微软雅黑" w:cs="Times New Roman"/>
                <w:spacing w:val="-1"/>
                <w:sz w:val="18"/>
                <w:szCs w:val="18"/>
                <w:highlight w:val="none"/>
              </w:rPr>
              <w:t>（FDA批准用于非小细胞肺癌）</w:t>
            </w:r>
          </w:p>
        </w:tc>
        <w:tc>
          <w:tcPr>
            <w:tcW w:w="3757" w:type="dxa"/>
            <w:gridSpan w:val="2"/>
            <w:vAlign w:val="center"/>
          </w:tcPr>
          <w:p>
            <w:pPr>
              <w:spacing w:before="19"/>
              <w:ind w:right="-8"/>
              <w:jc w:val="both"/>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rPr>
              <w:t>非小细胞肺</w:t>
            </w:r>
            <w:r>
              <w:rPr>
                <w:rFonts w:ascii="Times New Roman" w:hAnsi="Times New Roman" w:eastAsia="微软雅黑" w:cs="Times New Roman"/>
                <w:spacing w:val="-1"/>
                <w:sz w:val="18"/>
                <w:szCs w:val="18"/>
                <w:highlight w:val="none"/>
              </w:rPr>
              <w:t>癌中，ROS1融合对克唑替尼（ALK/MET/ROS1抑制剂）</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塞瑞替尼、劳拉替尼敏感</w:t>
            </w:r>
            <w:r>
              <w:rPr>
                <w:rFonts w:hint="eastAsia" w:ascii="Times New Roman" w:hAnsi="Times New Roman" w:eastAsia="微软雅黑" w:cs="Times New Roman"/>
                <w:spacing w:val="-1"/>
                <w:sz w:val="18"/>
                <w:szCs w:val="18"/>
                <w:highlight w:val="none"/>
              </w:rPr>
              <w:t>，ROS1融合与</w:t>
            </w:r>
            <w:r>
              <w:rPr>
                <w:rFonts w:ascii="Times New Roman" w:hAnsi="Times New Roman" w:eastAsia="微软雅黑" w:cs="Times New Roman"/>
                <w:spacing w:val="-1"/>
                <w:sz w:val="18"/>
                <w:szCs w:val="18"/>
                <w:highlight w:val="none"/>
              </w:rPr>
              <w:t>EGFR TKI</w:t>
            </w:r>
            <w:r>
              <w:rPr>
                <w:rFonts w:hint="eastAsia" w:ascii="Times New Roman" w:hAnsi="Times New Roman" w:eastAsia="微软雅黑" w:cs="Times New Roman"/>
                <w:spacing w:val="-1"/>
                <w:sz w:val="18"/>
                <w:szCs w:val="18"/>
                <w:highlight w:val="none"/>
              </w:rPr>
              <w:t>的原发性耐药有关</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lang w:eastAsia="zh-CN"/>
              </w:rPr>
              <w:t>FDA批准恩曲替尼用于携带ROS1融合的转移性非小细胞肺癌患者的治疗</w:t>
            </w:r>
            <w:r>
              <w:rPr>
                <w:rFonts w:ascii="Times New Roman" w:hAnsi="Times New Roman" w:eastAsia="微软雅黑" w:cs="Times New Roman"/>
                <w:spacing w:val="-1"/>
                <w:sz w:val="18"/>
                <w:szCs w:val="18"/>
                <w:highlight w:val="none"/>
                <w:vertAlign w:val="superscript"/>
                <w:lang w:eastAsia="zh-CN"/>
              </w:rPr>
              <w:t>[16</w:t>
            </w:r>
            <w:r>
              <w:rPr>
                <w:rFonts w:hint="eastAsia" w:ascii="Times New Roman" w:hAnsi="Times New Roman" w:eastAsia="微软雅黑" w:cs="Times New Roman"/>
                <w:spacing w:val="-1"/>
                <w:sz w:val="18"/>
                <w:szCs w:val="18"/>
                <w:highlight w:val="none"/>
                <w:vertAlign w:val="superscript"/>
                <w:lang w:val="en-US" w:eastAsia="zh-CN"/>
              </w:rPr>
              <w:t>7</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val="en-US" w:eastAsia="zh-CN"/>
              </w:rPr>
              <w:t>72</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Before w:val="1"/>
          <w:gridAfter w:val="1"/>
          <w:wBefore w:w="222" w:type="dxa"/>
          <w:wAfter w:w="275" w:type="dxa"/>
          <w:trHeight w:val="1278"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SMO</w:t>
            </w:r>
          </w:p>
        </w:tc>
        <w:tc>
          <w:tcPr>
            <w:tcW w:w="672"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581" w:type="dxa"/>
            <w:vAlign w:val="center"/>
          </w:tcPr>
          <w:p>
            <w:pPr>
              <w:spacing w:before="19"/>
              <w:ind w:right="-8"/>
              <w:jc w:val="both"/>
              <w:rPr>
                <w:rFonts w:ascii="Times New Roman" w:hAnsi="Times New Roman" w:eastAsia="微软雅黑" w:cs="Times New Roman"/>
                <w:b/>
                <w:spacing w:val="-1"/>
                <w:sz w:val="18"/>
                <w:szCs w:val="18"/>
                <w:highlight w:val="none"/>
              </w:rPr>
            </w:pPr>
            <w:r>
              <w:rPr>
                <w:rFonts w:ascii="Times New Roman" w:hAnsi="Times New Roman" w:eastAsia="微软雅黑" w:cs="Times New Roman"/>
                <w:b/>
                <w:spacing w:val="-1"/>
                <w:sz w:val="18"/>
                <w:szCs w:val="18"/>
                <w:highlight w:val="none"/>
              </w:rPr>
              <w:t>维莫德吉</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Vismodegib）</w:t>
            </w:r>
            <w:r>
              <w:rPr>
                <w:rFonts w:ascii="Times New Roman" w:hAnsi="Times New Roman" w:eastAsia="微软雅黑" w:cs="Times New Roman"/>
                <w:spacing w:val="-1"/>
                <w:sz w:val="18"/>
                <w:szCs w:val="18"/>
                <w:highlight w:val="none"/>
              </w:rPr>
              <w:t>（FDA批准用于基底细胞癌）</w:t>
            </w:r>
          </w:p>
        </w:tc>
        <w:tc>
          <w:tcPr>
            <w:tcW w:w="3757" w:type="dxa"/>
            <w:gridSpan w:val="2"/>
            <w:vAlign w:val="center"/>
          </w:tcPr>
          <w:p>
            <w:pPr>
              <w:spacing w:before="19"/>
              <w:ind w:right="-8"/>
              <w:jc w:val="both"/>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髓母细胞瘤中，SMO D473H突变对维莫德吉</w:t>
            </w:r>
            <w:r>
              <w:rPr>
                <w:rFonts w:hint="eastAsia" w:ascii="Times New Roman" w:hAnsi="Times New Roman" w:eastAsia="微软雅黑" w:cs="Times New Roman"/>
                <w:spacing w:val="-1"/>
                <w:sz w:val="18"/>
                <w:szCs w:val="18"/>
                <w:highlight w:val="none"/>
                <w:lang w:eastAsia="zh-CN"/>
              </w:rPr>
              <w:t>发生继发性耐药；</w:t>
            </w:r>
            <w:r>
              <w:rPr>
                <w:rFonts w:ascii="Times New Roman" w:hAnsi="Times New Roman" w:eastAsia="微软雅黑" w:cs="Times New Roman"/>
                <w:spacing w:val="-1"/>
                <w:sz w:val="18"/>
                <w:szCs w:val="18"/>
                <w:highlight w:val="none"/>
                <w:lang w:eastAsia="zh-CN"/>
              </w:rPr>
              <w:t>基底细胞癌</w:t>
            </w:r>
            <w:r>
              <w:rPr>
                <w:rFonts w:hint="eastAsia" w:ascii="Times New Roman" w:hAnsi="Times New Roman" w:eastAsia="微软雅黑" w:cs="Times New Roman"/>
                <w:spacing w:val="-1"/>
                <w:sz w:val="18"/>
                <w:szCs w:val="18"/>
                <w:highlight w:val="none"/>
                <w:lang w:eastAsia="zh-CN"/>
              </w:rPr>
              <w:t>中，</w:t>
            </w:r>
            <w:r>
              <w:rPr>
                <w:rFonts w:ascii="Times New Roman" w:hAnsi="Times New Roman" w:eastAsia="微软雅黑" w:cs="Times New Roman"/>
                <w:spacing w:val="-1"/>
                <w:sz w:val="18"/>
                <w:szCs w:val="18"/>
                <w:highlight w:val="none"/>
                <w:lang w:eastAsia="zh-CN"/>
              </w:rPr>
              <w:t>SMO D473H突变对维莫德吉</w:t>
            </w:r>
            <w:r>
              <w:rPr>
                <w:rFonts w:hint="eastAsia" w:ascii="Times New Roman" w:hAnsi="Times New Roman" w:eastAsia="微软雅黑" w:cs="Times New Roman"/>
                <w:spacing w:val="-1"/>
                <w:sz w:val="18"/>
                <w:szCs w:val="18"/>
                <w:highlight w:val="none"/>
                <w:lang w:eastAsia="zh-CN"/>
              </w:rPr>
              <w:t>不敏感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val="en-US" w:eastAsia="zh-CN"/>
              </w:rPr>
              <w:t>73</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7</w:t>
            </w:r>
            <w:r>
              <w:rPr>
                <w:rFonts w:hint="eastAsia" w:ascii="Times New Roman" w:hAnsi="Times New Roman" w:eastAsia="微软雅黑" w:cs="Times New Roman"/>
                <w:spacing w:val="-1"/>
                <w:sz w:val="18"/>
                <w:szCs w:val="18"/>
                <w:highlight w:val="none"/>
                <w:vertAlign w:val="superscript"/>
                <w:lang w:val="en-US" w:eastAsia="zh-CN"/>
              </w:rPr>
              <w:t>4</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gridBefore w:val="1"/>
          <w:gridAfter w:val="1"/>
          <w:wBefore w:w="222" w:type="dxa"/>
          <w:wAfter w:w="275" w:type="dxa"/>
          <w:trHeight w:val="984" w:hRule="atLeast"/>
          <w:tblHeader/>
          <w:jc w:val="center"/>
        </w:trPr>
        <w:tc>
          <w:tcPr>
            <w:tcW w:w="1007" w:type="dxa"/>
            <w:gridSpan w:val="2"/>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TSC1</w:t>
            </w:r>
          </w:p>
        </w:tc>
        <w:tc>
          <w:tcPr>
            <w:tcW w:w="672" w:type="dxa"/>
            <w:gridSpan w:val="2"/>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7"/>
                <w:szCs w:val="17"/>
                <w:highlight w:val="none"/>
              </w:rPr>
              <w:t>突变</w:t>
            </w:r>
          </w:p>
        </w:tc>
        <w:tc>
          <w:tcPr>
            <w:tcW w:w="4581" w:type="dxa"/>
            <w:vAlign w:val="center"/>
          </w:tcPr>
          <w:p>
            <w:pPr>
              <w:spacing w:before="19"/>
              <w:ind w:right="-8"/>
              <w:jc w:val="both"/>
              <w:rPr>
                <w:rFonts w:ascii="Times New Roman" w:hAnsi="Times New Roman" w:eastAsia="微软雅黑" w:cs="Times New Roman"/>
                <w:b/>
                <w:spacing w:val="-1"/>
                <w:sz w:val="18"/>
                <w:szCs w:val="18"/>
                <w:highlight w:val="none"/>
              </w:rPr>
            </w:pPr>
            <w:r>
              <w:rPr>
                <w:rFonts w:ascii="Times New Roman" w:hAnsi="Times New Roman" w:eastAsia="微软雅黑" w:cs="Times New Roman"/>
                <w:spacing w:val="-1"/>
                <w:sz w:val="18"/>
                <w:szCs w:val="18"/>
                <w:highlight w:val="none"/>
              </w:rPr>
              <w:t>mTOR抑制剂：</w:t>
            </w:r>
            <w:r>
              <w:rPr>
                <w:rFonts w:ascii="Times New Roman" w:hAnsi="Times New Roman" w:eastAsia="微软雅黑" w:cs="Times New Roman"/>
                <w:b/>
                <w:spacing w:val="-1"/>
                <w:sz w:val="18"/>
                <w:szCs w:val="18"/>
                <w:highlight w:val="none"/>
              </w:rPr>
              <w:t>依维莫司</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Everolimus）</w:t>
            </w:r>
            <w:r>
              <w:rPr>
                <w:rFonts w:ascii="Times New Roman" w:hAnsi="Times New Roman" w:eastAsia="微软雅黑" w:cs="Times New Roman"/>
                <w:spacing w:val="-1"/>
                <w:sz w:val="18"/>
                <w:szCs w:val="18"/>
                <w:highlight w:val="none"/>
              </w:rPr>
              <w:t>（FDA/NMPA批准用于肾癌</w:t>
            </w:r>
            <w:r>
              <w:rPr>
                <w:rFonts w:hint="eastAsia" w:ascii="Times New Roman" w:hAnsi="Times New Roman" w:eastAsia="微软雅黑" w:cs="Times New Roman"/>
                <w:spacing w:val="-1"/>
                <w:sz w:val="18"/>
                <w:szCs w:val="18"/>
                <w:highlight w:val="none"/>
              </w:rPr>
              <w:t>、神经内分泌癌、</w:t>
            </w:r>
            <w:r>
              <w:rPr>
                <w:rFonts w:ascii="Times New Roman" w:hAnsi="Times New Roman" w:eastAsia="微软雅黑" w:cs="Times New Roman"/>
                <w:spacing w:val="-1"/>
                <w:sz w:val="18"/>
                <w:szCs w:val="18"/>
                <w:highlight w:val="none"/>
              </w:rPr>
              <w:t>脂肪肉瘤</w:t>
            </w:r>
            <w:r>
              <w:rPr>
                <w:rFonts w:hint="eastAsia" w:ascii="Times New Roman" w:hAnsi="Times New Roman" w:eastAsia="微软雅黑" w:cs="Times New Roman"/>
                <w:spacing w:val="-1"/>
                <w:sz w:val="18"/>
                <w:szCs w:val="18"/>
                <w:highlight w:val="none"/>
                <w:lang w:val="en-US" w:eastAsia="zh-CN"/>
              </w:rPr>
              <w:t>等</w:t>
            </w:r>
            <w:r>
              <w:rPr>
                <w:rFonts w:ascii="Times New Roman" w:hAnsi="Times New Roman" w:eastAsia="微软雅黑" w:cs="Times New Roman"/>
                <w:spacing w:val="-1"/>
                <w:sz w:val="18"/>
                <w:szCs w:val="18"/>
                <w:highlight w:val="none"/>
              </w:rPr>
              <w:t>）</w:t>
            </w:r>
          </w:p>
        </w:tc>
        <w:tc>
          <w:tcPr>
            <w:tcW w:w="3757" w:type="dxa"/>
            <w:gridSpan w:val="2"/>
            <w:vAlign w:val="center"/>
          </w:tcPr>
          <w:p>
            <w:pPr>
              <w:spacing w:before="19"/>
              <w:ind w:right="-8"/>
              <w:jc w:val="both"/>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膀胱癌中，TSC1 E636移码突变对mTOR抑制剂依维莫司、替西罗莫司敏感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7</w:t>
            </w:r>
            <w:r>
              <w:rPr>
                <w:rFonts w:hint="eastAsia" w:ascii="Times New Roman" w:hAnsi="Times New Roman" w:eastAsia="微软雅黑" w:cs="Times New Roman"/>
                <w:spacing w:val="-1"/>
                <w:sz w:val="18"/>
                <w:szCs w:val="18"/>
                <w:highlight w:val="none"/>
                <w:vertAlign w:val="superscript"/>
                <w:lang w:val="en-US" w:eastAsia="zh-CN"/>
              </w:rPr>
              <w:t>5-176</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bl>
    <w:p>
      <w:pPr>
        <w:rPr>
          <w:rFonts w:ascii="Times New Roman" w:hAnsi="Times New Roman" w:eastAsia="微软雅黑" w:cs="Times New Roman"/>
          <w:highlight w:val="none"/>
          <w:lang w:eastAsia="zh-CN"/>
        </w:rPr>
      </w:pPr>
    </w:p>
    <w:p>
      <w:pPr>
        <w:rPr>
          <w:rFonts w:ascii="Times New Roman" w:hAnsi="Times New Roman" w:eastAsia="微软雅黑" w:cs="Times New Roman"/>
          <w:highlight w:val="none"/>
          <w:lang w:eastAsia="zh-CN"/>
        </w:rPr>
      </w:pPr>
      <w:r>
        <w:rPr>
          <w:rFonts w:ascii="Times New Roman" w:hAnsi="Times New Roman" w:eastAsia="微软雅黑" w:cs="Times New Roman"/>
          <w:highlight w:val="none"/>
          <w:lang w:eastAsia="zh-CN"/>
        </w:rPr>
        <w:br w:type="page"/>
      </w:r>
    </w:p>
    <w:p>
      <w:pPr>
        <w:pStyle w:val="24"/>
        <w:spacing w:after="240" w:afterLines="100"/>
        <w:rPr>
          <w:highlight w:val="none"/>
        </w:rPr>
      </w:pPr>
      <w:bookmarkStart w:id="94" w:name="_Toc13557_WPSOffice_Level1"/>
      <w:bookmarkStart w:id="95" w:name="_Toc32730"/>
      <w:bookmarkStart w:id="96" w:name="_Toc22466"/>
      <w:bookmarkStart w:id="97" w:name="_Toc14645_WPSOffice_Level1"/>
      <w:bookmarkStart w:id="98" w:name="_Toc25415_WPSOffice_Level1"/>
      <w:r>
        <w:rPr>
          <w:highlight w:val="none"/>
        </w:rPr>
        <w:t>靶向</w:t>
      </w:r>
      <w:r>
        <w:rPr>
          <w:rFonts w:hint="eastAsia"/>
          <w:highlight w:val="none"/>
        </w:rPr>
        <w:t>突变</w:t>
      </w:r>
      <w:r>
        <w:rPr>
          <w:highlight w:val="none"/>
        </w:rPr>
        <w:t>基因信号通路解析</w:t>
      </w:r>
      <w:bookmarkEnd w:id="94"/>
      <w:bookmarkEnd w:id="95"/>
      <w:bookmarkEnd w:id="96"/>
      <w:bookmarkEnd w:id="97"/>
      <w:bookmarkEnd w:id="98"/>
    </w:p>
    <w:p>
      <w:pPr>
        <w:spacing w:line="276" w:lineRule="auto"/>
        <w:ind w:right="448"/>
        <w:rPr>
          <w:rFonts w:ascii="Times New Roman" w:hAnsi="Times New Roman" w:eastAsia="微软雅黑" w:cs="Times New Roman"/>
          <w:b/>
          <w:bCs/>
          <w:color w:val="416AAB"/>
          <w:sz w:val="24"/>
          <w:szCs w:val="24"/>
          <w:highlight w:val="none"/>
          <w:lang w:eastAsia="zh-CN"/>
        </w:rPr>
      </w:pPr>
      <w:bookmarkStart w:id="99" w:name="_Toc11554_WPSOffice_Level1"/>
      <w:bookmarkStart w:id="100" w:name="_Toc17314_WPSOffice_Level1"/>
      <w:bookmarkStart w:id="101" w:name="_Toc3819_WPSOffice_Level1"/>
      <w:bookmarkStart w:id="102" w:name="_Toc18696_WPSOffice_Level1"/>
      <w:bookmarkStart w:id="103" w:name="_Toc23388_WPSOffice_Level1"/>
      <w:bookmarkStart w:id="104" w:name="_Toc23221_WPSOffice_Level1"/>
      <w:r>
        <w:rPr>
          <w:rFonts w:ascii="Times New Roman" w:hAnsi="Times New Roman" w:eastAsia="微软雅黑" w:cs="Times New Roman"/>
          <w:b/>
          <w:bCs/>
          <w:color w:val="416AAB"/>
          <w:sz w:val="24"/>
          <w:szCs w:val="24"/>
          <w:highlight w:val="none"/>
          <w:lang w:eastAsia="zh-CN"/>
        </w:rPr>
        <w:t>细胞增殖通路</w:t>
      </w:r>
      <w:bookmarkEnd w:id="99"/>
      <w:bookmarkEnd w:id="100"/>
      <w:bookmarkEnd w:id="101"/>
      <w:bookmarkEnd w:id="102"/>
      <w:bookmarkEnd w:id="103"/>
      <w:bookmarkEnd w:id="104"/>
    </w:p>
    <w:tbl>
      <w:tblPr>
        <w:tblStyle w:val="12"/>
        <w:tblW w:w="9870" w:type="dxa"/>
        <w:tblInd w:w="0" w:type="dxa"/>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ind w:right="446"/>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trHeight w:val="1372" w:hRule="atLeast"/>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MAP kinase signaling</w:t>
            </w:r>
            <w:r>
              <w:rPr>
                <w:rFonts w:ascii="Times New Roman" w:hAnsi="Times New Roman" w:eastAsia="微软雅黑" w:cs="Times New Roman"/>
                <w:bCs/>
                <w:sz w:val="16"/>
                <w:szCs w:val="16"/>
                <w:highlight w:val="none"/>
                <w:lang w:eastAsia="zh-CN"/>
              </w:rPr>
              <w:t xml:space="preserve"> </w:t>
            </w:r>
            <w:r>
              <w:rPr>
                <w:rFonts w:ascii="Times New Roman" w:hAnsi="Times New Roman" w:eastAsia="微软雅黑" w:cs="Times New Roman"/>
                <w:bCs/>
                <w:sz w:val="16"/>
                <w:szCs w:val="16"/>
                <w:highlight w:val="none"/>
              </w:rPr>
              <w:t>pathway</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丝裂原活化蛋白激酶</w:t>
            </w:r>
          </w:p>
          <w:p>
            <w:pPr>
              <w:spacing w:before="12"/>
              <w:ind w:right="-135"/>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信号通路</w:t>
            </w:r>
          </w:p>
        </w:tc>
        <w:tc>
          <w:tcPr>
            <w:tcW w:w="7885" w:type="dxa"/>
          </w:tcPr>
          <w:p>
            <w:pPr>
              <w:spacing w:before="12"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PARP4,MAP3K1,FGF6,ACVR1B,AKT1,AKT2,AKT3,ARAF,AXL,BRAF,CEBPA,CRKL,CXCR4,DAXX,EGFR,EPHA7,ESR1/ER,ETV1,FAS,FGF10,FGF14,FGF19,FGF23,FGF3,FGF4,FGFR1,FGFR2,FGFR3,FGFR4,FUBP1,GNA11,GNA13,GNAQ,GNAS,ADGRA2,GRIN2A,H3F3A,HNF1A,HRAS,IGF2R,JUN,KRAS,LRP1B,MAP2K1,MAP2K2,MAP2K4,MAPK1,MAPK14,MITF,MTOR,MYC,MYCL,NF1,NRAS,NTRK1,NTRK2,PARP1,PARP2,PARP3,PDGFRA,PDGFRB,RAC1,RAF1,RANK,RANKL,RARA,RB1,SRC,TGFBR2,TNF/TNF-alpha,TNFRSF14,TSC2,MAX”</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before="12"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spacing w:before="12"/>
              <w:ind w:right="446"/>
              <w:jc w:val="both"/>
              <w:rPr>
                <w:rFonts w:ascii="Times New Roman" w:hAnsi="Times New Roman" w:eastAsia="微软雅黑" w:cs="Times New Roman"/>
                <w:b/>
                <w:bCs/>
                <w:sz w:val="16"/>
                <w:szCs w:val="16"/>
                <w:highlight w:val="none"/>
                <w:lang w:eastAsia="zh-CN"/>
              </w:rPr>
            </w:pPr>
          </w:p>
        </w:tc>
        <w:tc>
          <w:tcPr>
            <w:tcW w:w="7885" w:type="dxa"/>
          </w:tcPr>
          <w:p>
            <w:pPr>
              <w:spacing w:before="12"/>
              <w:ind w:right="-22" w:rightChars="-10"/>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MAPK（丝裂原活化蛋白激酶）是细胞内的一类丝氨酸/苏氨酸蛋白激酶，将细胞外刺激信号转导至细胞及其核内，在细胞的增殖、分化和迁移过程中具有至关重要的作用。在哺乳动物机体中至少有5个亚族：胞外信号调节激酶（ERK1/2），JUN 氨基末端激酶（JNK1/2/3），p38 激酶同工酶（p38α/β/δ），ERK3/4，ERK5。MAPK通路的基本组成是一种从酵母到人类都保守的三级激酶模式，通过MAPKKK（促丝裂原活化蛋白激酶激酶激酶）、MAPKK（促丝裂原活化蛋白激酶激酶）和MAPK依次激活实现的。MAPK信号通路通过这些激酶的激活或失活调节细胞内的生物反应，参与肿瘤生长、增殖和转移。与正常组织相比，p38 MAPK信号通路在许多肿瘤中（如结直肠癌、食管癌和乳腺癌等）持续激活表达。BRAF抑制剂维莫非尼（Vemurafenib）、达拉非尼（Dabrafenib）及MEK抑制剂曲美替尼（Trametinib）、考比替尼已被FDA批准用于相关疾病的治疗；此外，部分生长因子受体抑制剂也可用于该通路相关疾病的治疗</w:t>
            </w:r>
            <w:r>
              <w:rPr>
                <w:rFonts w:ascii="Times New Roman" w:hAnsi="Times New Roman" w:eastAsia="微软雅黑" w:cs="Times New Roman"/>
                <w:sz w:val="16"/>
                <w:szCs w:val="16"/>
                <w:highlight w:val="none"/>
                <w:vertAlign w:val="superscript"/>
                <w:lang w:eastAsia="zh-CN"/>
              </w:rPr>
              <w:t>[1</w:t>
            </w:r>
            <w:r>
              <w:rPr>
                <w:rFonts w:hint="eastAsia" w:ascii="Times New Roman" w:hAnsi="Times New Roman" w:eastAsia="微软雅黑" w:cs="Times New Roman"/>
                <w:sz w:val="16"/>
                <w:szCs w:val="16"/>
                <w:highlight w:val="none"/>
                <w:vertAlign w:val="superscript"/>
                <w:lang w:val="en-US" w:eastAsia="zh-CN"/>
              </w:rPr>
              <w:t>77</w:t>
            </w:r>
            <w:r>
              <w:rPr>
                <w:rFonts w:ascii="Times New Roman" w:hAnsi="Times New Roman" w:eastAsia="微软雅黑" w:cs="Times New Roman"/>
                <w:sz w:val="16"/>
                <w:szCs w:val="16"/>
                <w:highlight w:val="none"/>
                <w:vertAlign w:val="superscript"/>
                <w:lang w:eastAsia="zh-CN"/>
              </w:rPr>
              <w:t>-1</w:t>
            </w:r>
            <w:r>
              <w:rPr>
                <w:rFonts w:hint="eastAsia" w:ascii="Times New Roman" w:hAnsi="Times New Roman" w:eastAsia="微软雅黑" w:cs="Times New Roman"/>
                <w:sz w:val="16"/>
                <w:szCs w:val="16"/>
                <w:highlight w:val="none"/>
                <w:vertAlign w:val="superscript"/>
                <w:lang w:val="en-US" w:eastAsia="zh-CN"/>
              </w:rPr>
              <w:t>80</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PI3K/AKT/mTOR</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signaling pathway</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PI3K/AKT/mTOR信</w:t>
            </w:r>
          </w:p>
          <w:p>
            <w:pPr>
              <w:jc w:val="center"/>
              <w:rPr>
                <w:rFonts w:ascii="Times New Roman" w:hAnsi="Times New Roman" w:eastAsia="微软雅黑" w:cs="Times New Roman"/>
                <w:sz w:val="16"/>
                <w:szCs w:val="16"/>
                <w:highlight w:val="none"/>
                <w:lang w:eastAsia="zh-CN"/>
              </w:rPr>
            </w:pPr>
            <w:r>
              <w:rPr>
                <w:rFonts w:ascii="Times New Roman" w:hAnsi="Times New Roman" w:eastAsia="微软雅黑" w:cs="Times New Roman"/>
                <w:bCs/>
                <w:sz w:val="16"/>
                <w:szCs w:val="16"/>
                <w:highlight w:val="none"/>
                <w:lang w:eastAsia="zh-CN"/>
              </w:rPr>
              <w:t>号通路</w:t>
            </w:r>
          </w:p>
        </w:tc>
        <w:tc>
          <w:tcPr>
            <w:tcW w:w="7885" w:type="dxa"/>
          </w:tcPr>
          <w:p>
            <w:pPr>
              <w:spacing w:before="12"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RNF43,MET,KDR/VEGFR,IGF2,FGF6,CCND3,BRCA1,AKT1,AKT2,AKT3,AXL,BCL2,BCL2L1,BRAF,CBL,CCND1,CCND2,CCNE1,CDK4,CDK6,CDKN1A,CDKN1B,CRKL,CSF1R,EGFR,EPHA7,FGF10,FGF14,FGF19,FGF23,FGF3,FGF4,FGFR1,FGFR2,FGFR3,FGFR4,FLT1,FLT4,FRS2,FUBP1,GABRA6,ADGRA2,GRIN2A,GSK3B,HGF,HRAS,HSP90AA1/HSP90,IGF1R/IGFR,IGF2R,IL7R,INPP4B,IRS2,JAK1,JAK2,JAK3,KIT,KRAS,LYN,MAGI2,MAP2K1,MAP2K2,MCL1,MDM2,MTOR,MYB,MYC,MYCL,NRAS,PDGFRA,PDGFRB,PDK1,PIK3C2B,PIK3CA,PIK3CB,PIK3CG,PIK3R1,PIK3R2,PPP2R1A,PTEN,RAC1,RAF1,RICTOR,RPTOR,STK11,SYK,TEK,TNF/TNF-alpha,TSC1,TSC2,VEGFA,WEE1,TMEM127,FANCI”</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before="12" w:line="276" w:lineRule="auto"/>
              <w:jc w:val="both"/>
              <w:rPr>
                <w:rStyle w:val="16"/>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spacing w:before="12"/>
              <w:ind w:right="446"/>
              <w:jc w:val="both"/>
              <w:rPr>
                <w:rFonts w:ascii="Times New Roman" w:hAnsi="Times New Roman" w:eastAsia="微软雅黑" w:cs="Times New Roman"/>
                <w:b/>
                <w:bCs/>
                <w:sz w:val="30"/>
                <w:szCs w:val="30"/>
                <w:highlight w:val="none"/>
                <w:lang w:eastAsia="zh-CN"/>
              </w:rPr>
            </w:pPr>
          </w:p>
        </w:tc>
        <w:tc>
          <w:tcPr>
            <w:tcW w:w="7885" w:type="dxa"/>
          </w:tcPr>
          <w:p>
            <w:pPr>
              <w:spacing w:before="12"/>
              <w:jc w:val="both"/>
              <w:rPr>
                <w:rFonts w:ascii="Times New Roman" w:hAnsi="Times New Roman" w:eastAsia="微软雅黑" w:cs="Times New Roman"/>
                <w:b/>
                <w:bCs/>
                <w:sz w:val="30"/>
                <w:szCs w:val="30"/>
                <w:highlight w:val="none"/>
                <w:lang w:eastAsia="zh-CN"/>
              </w:rPr>
            </w:pPr>
            <w:r>
              <w:rPr>
                <w:rFonts w:ascii="Times New Roman" w:hAnsi="Times New Roman" w:eastAsia="微软雅黑" w:cs="Times New Roman"/>
                <w:sz w:val="16"/>
                <w:szCs w:val="16"/>
                <w:highlight w:val="none"/>
                <w:lang w:eastAsia="zh-CN"/>
              </w:rPr>
              <w:t>PI3K/AKT/mTOR信号通路在细胞生长、增殖，细胞周期及细胞凋亡的调控中起重要作用。多种生长因子激活磷脂酸肌醇3-激酶（PI3K），在质膜上产生第二信使PIP3，然后PIP3与细胞内含有PH结构域的信号蛋白Akt和PDK1结合，促使Akt的活化，后者作用于TSC复合体，并最终激活mTORCl复合体，使其下游靶蛋白磷酸化，调节蛋白翻译合成和细胞生长等。mTOR信号通路与肿瘤的发生密切相关，在多种肿瘤如膀胱癌、前列腺癌、乳腺癌、胃肠道间质瘤、肝癌、结肠癌、肺癌及卵巢癌等癌症中均可发现此通路的异常激活。mTOR信号通路目前已成为肿瘤治疗的重要药物靶点之一，相关的治疗药物依维莫司(Everolimus) 及替西罗莫司(Temsirolimus) 已被FDA批准用于晚期肾细胞癌的治疗</w:t>
            </w:r>
            <w:r>
              <w:rPr>
                <w:rFonts w:ascii="Times New Roman" w:hAnsi="Times New Roman" w:eastAsia="微软雅黑" w:cs="Times New Roman"/>
                <w:sz w:val="16"/>
                <w:szCs w:val="16"/>
                <w:highlight w:val="none"/>
                <w:vertAlign w:val="superscript"/>
                <w:lang w:eastAsia="zh-CN"/>
              </w:rPr>
              <w:t>[1</w:t>
            </w:r>
            <w:r>
              <w:rPr>
                <w:rFonts w:hint="eastAsia" w:ascii="Times New Roman" w:hAnsi="Times New Roman" w:eastAsia="微软雅黑" w:cs="Times New Roman"/>
                <w:sz w:val="16"/>
                <w:szCs w:val="16"/>
                <w:highlight w:val="none"/>
                <w:vertAlign w:val="superscript"/>
                <w:lang w:val="en-US" w:eastAsia="zh-CN"/>
              </w:rPr>
              <w:t>81</w:t>
            </w:r>
            <w:r>
              <w:rPr>
                <w:rFonts w:ascii="Times New Roman" w:hAnsi="Times New Roman" w:eastAsia="微软雅黑" w:cs="Times New Roman"/>
                <w:sz w:val="16"/>
                <w:szCs w:val="16"/>
                <w:highlight w:val="none"/>
                <w:vertAlign w:val="superscript"/>
                <w:lang w:eastAsia="zh-CN"/>
              </w:rPr>
              <w:t>-1</w:t>
            </w:r>
            <w:r>
              <w:rPr>
                <w:rFonts w:hint="eastAsia" w:ascii="Times New Roman" w:hAnsi="Times New Roman" w:eastAsia="微软雅黑" w:cs="Times New Roman"/>
                <w:sz w:val="16"/>
                <w:szCs w:val="16"/>
                <w:highlight w:val="none"/>
                <w:vertAlign w:val="superscript"/>
                <w:lang w:val="en-US" w:eastAsia="zh-CN"/>
              </w:rPr>
              <w:t>85</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Regulation of eIF4E</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and p70 S6 Kinase</w:t>
            </w:r>
          </w:p>
          <w:p>
            <w:pPr>
              <w:jc w:val="center"/>
              <w:rPr>
                <w:rFonts w:ascii="Times New Roman" w:hAnsi="Times New Roman" w:eastAsia="微软雅黑" w:cs="Times New Roman"/>
                <w:b/>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eIF4E</w:t>
            </w: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 xml:space="preserve"> </w:t>
            </w:r>
            <w:r>
              <w:rPr>
                <w:rFonts w:ascii="Times New Roman" w:hAnsi="Times New Roman" w:eastAsia="微软雅黑" w:cs="Times New Roman"/>
                <w:bCs/>
                <w:color w:val="000000" w:themeColor="text1"/>
                <w:sz w:val="16"/>
                <w:szCs w:val="16"/>
                <w:highlight w:val="none"/>
                <w14:textFill>
                  <w14:solidFill>
                    <w14:schemeClr w14:val="tx1"/>
                  </w14:solidFill>
                </w14:textFill>
              </w:rPr>
              <w:t>and p70 S6激酶调节信号通路</w:t>
            </w:r>
          </w:p>
        </w:tc>
        <w:tc>
          <w:tcPr>
            <w:tcW w:w="7885" w:type="dxa"/>
          </w:tcPr>
          <w:p>
            <w:pPr>
              <w:widowControl/>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“GNA11,GNA13,GNAS,IGF2R,MTOR,PDK1,PTEN,RICTOR,TSC1,TSC2”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widowControl/>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rPr>
                <w:rFonts w:ascii="Times New Roman" w:hAnsi="Times New Roman" w:eastAsia="微软雅黑" w:cs="Times New Roman"/>
                <w:b/>
                <w:sz w:val="16"/>
                <w:szCs w:val="16"/>
                <w:highlight w:val="none"/>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rPr>
              <w:t>真核起始因子4E（eIF4E）可以与eIF4A和eIF4G共同组成eIF4F复合物，P70 S6K是核糖体40S小亚基S6蛋白激酶, 在真核蛋白翻译和合成过程中起重要作用。</w:t>
            </w:r>
            <w:r>
              <w:rPr>
                <w:rFonts w:ascii="Times New Roman" w:hAnsi="Times New Roman" w:eastAsia="微软雅黑" w:cs="Times New Roman"/>
                <w:sz w:val="16"/>
                <w:szCs w:val="16"/>
                <w:highlight w:val="none"/>
                <w:lang w:eastAsia="zh-CN"/>
              </w:rPr>
              <w:t>生长因子及细胞因子等信号分子，通过对PI3K、PDK1/2、Akt/PKB及FRAP/mTOR激酶连续性激活，可启动对eIF4复合体及p70S6K的调控；此外，Erk及p38 MAPK通过激活MNK1/2，对eIF4E进行调控。eIF4E是原癌基因，可影响细胞的生长和分化，其表达与多种肿瘤的发生、浸润和转移有关，相关疾病包括结肠癌、前列腺癌和乳腺癌等。p70 S6K与蛋白质的合成、mRNA的加工以及细胞的生长和凋亡等进程密切相关，过度激活会导致肿瘤的发生。</w:t>
            </w:r>
            <w:r>
              <w:rPr>
                <w:rFonts w:ascii="Times New Roman" w:hAnsi="Times New Roman" w:eastAsia="微软雅黑" w:cs="Times New Roman"/>
                <w:sz w:val="16"/>
                <w:szCs w:val="16"/>
                <w:highlight w:val="none"/>
              </w:rPr>
              <w:t>该通路的靶向药物主要有mTOR抑制剂，如FDA批准的替西罗莫司（Temsirolimus）、依维莫司（Everolimus）等</w:t>
            </w:r>
            <w:r>
              <w:rPr>
                <w:rFonts w:ascii="Times New Roman" w:hAnsi="Times New Roman" w:eastAsia="微软雅黑" w:cs="Times New Roman"/>
                <w:sz w:val="16"/>
                <w:szCs w:val="16"/>
                <w:highlight w:val="none"/>
                <w:vertAlign w:val="superscript"/>
              </w:rPr>
              <w:t>[1</w:t>
            </w:r>
            <w:r>
              <w:rPr>
                <w:rFonts w:hint="eastAsia" w:ascii="Times New Roman" w:hAnsi="Times New Roman" w:eastAsia="微软雅黑" w:cs="Times New Roman"/>
                <w:sz w:val="16"/>
                <w:szCs w:val="16"/>
                <w:highlight w:val="none"/>
                <w:vertAlign w:val="superscript"/>
                <w:lang w:val="en-US" w:eastAsia="zh-CN"/>
              </w:rPr>
              <w:t>86</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rPr>
              <w:t>1</w:t>
            </w:r>
            <w:r>
              <w:rPr>
                <w:rFonts w:hint="eastAsia" w:ascii="Times New Roman" w:hAnsi="Times New Roman" w:eastAsia="微软雅黑" w:cs="Times New Roman"/>
                <w:sz w:val="16"/>
                <w:szCs w:val="16"/>
                <w:highlight w:val="none"/>
                <w:vertAlign w:val="superscript"/>
                <w:lang w:val="en-US" w:eastAsia="zh-CN"/>
              </w:rPr>
              <w:t>89</w:t>
            </w:r>
            <w:r>
              <w:rPr>
                <w:rFonts w:ascii="Times New Roman" w:hAnsi="Times New Roman" w:eastAsia="微软雅黑" w:cs="Times New Roman"/>
                <w:sz w:val="16"/>
                <w:szCs w:val="16"/>
                <w:highlight w:val="none"/>
                <w:vertAlign w:val="superscript"/>
              </w:rPr>
              <w:t>]</w:t>
            </w:r>
            <w:r>
              <w:rPr>
                <w:rFonts w:ascii="Times New Roman" w:hAnsi="Times New Roman" w:eastAsia="微软雅黑" w:cs="Times New Roman"/>
                <w:sz w:val="16"/>
                <w:szCs w:val="16"/>
                <w:highlight w:val="none"/>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G-Protein-Coupled</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receptors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G蛋白偶联受体信号通路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“ARFRP1,AXL,CXCR4,EPHA7,GNA11,GNA13,GNAQ,GNAS,GRM3,NFE2L2,PTCH1,NCAIP,SOX10,SRC,TSHR”</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G蛋白偶联受体（GPCRs）是细胞表面蛋白中最大的一个家族，目前已知成员1200多个，在胞外信号向胞内转导过程中起到重要作用。GPCRs信号通路在正常生理功能中发挥着多种作用，调控激素、神经递质、生长因子、气味和光等介导的生理行为，部分通路已被证明是原癌基因信号通路的关键调控者。GPCRs活化可引起G蛋白的</w:t>
            </w:r>
            <w:r>
              <w:rPr>
                <w:rFonts w:ascii="Times New Roman" w:hAnsi="Times New Roman" w:eastAsia="微软雅黑" w:cs="Times New Roman"/>
                <w:color w:val="000000" w:themeColor="text1"/>
                <w:sz w:val="16"/>
                <w:szCs w:val="16"/>
                <w:highlight w:val="none"/>
                <w14:textFill>
                  <w14:solidFill>
                    <w14:schemeClr w14:val="tx1"/>
                  </w14:solidFill>
                </w14:textFill>
              </w:rPr>
              <w:t>α</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和</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亚基分离并触发信号通路，其中两个主要的通路分别涉及第二信使环腺苷酸(cAMP) 和磷脂酰肌醇。G蛋白中癌症关键基因G</w:t>
            </w:r>
            <w:r>
              <w:rPr>
                <w:rFonts w:ascii="Times New Roman" w:hAnsi="Times New Roman" w:eastAsia="微软雅黑" w:cs="Times New Roman"/>
                <w:color w:val="000000" w:themeColor="text1"/>
                <w:sz w:val="16"/>
                <w:szCs w:val="16"/>
                <w:highlight w:val="none"/>
                <w14:textFill>
                  <w14:solidFill>
                    <w14:schemeClr w14:val="tx1"/>
                  </w14:solidFill>
                </w14:textFill>
              </w:rPr>
              <w:t>α</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12/13调控细胞骨架，与细胞迁移有关，同时能募集Src家族或PLC</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，从而介导PKC和CaMKII的活化，进一步激活MAPK通路和小G蛋白（Ras，Rac，Rho）等细胞信号, 推进细胞周期进程，促进细胞增殖，引发肿瘤发生。目前已在卵巢癌、乳腺癌、结直肠癌、前列腺癌等中发现GPCRs的高表达。基于GPCR在生理病理过程中的重要生物学作用，这一蛋白家族也是目前最重要的药物作用靶点，超过50%的临床药物以及正在研发的药物均以GPCRs作为靶点</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[1</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90</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-1</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92</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SAPK/JNK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cascades</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SAPK/JNK信号级联通路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“AXL,CRKL,DAXX,EPHA7,GNA11,GNA13,GNAQ,HNF1A,JUN,RAC1,SMAD4,STAT3”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14:textFill>
                  <w14:solidFill>
                    <w14:schemeClr w14:val="tx1"/>
                  </w14:solidFill>
                </w14:textFill>
              </w:rPr>
              <w:t>JNK是c-Jun氨基末端激酶（c-Jun N terminal kinase, JNK），由于JNK信号通路在细胞反应中起重要作用，并被多种细胞外应激信号激活，因而JNK也被称为应激活化蛋白激酶（stress</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r>
              <w:rPr>
                <w:rFonts w:ascii="Times New Roman" w:hAnsi="Times New Roman" w:eastAsia="微软雅黑" w:cs="Times New Roman"/>
                <w:color w:val="000000" w:themeColor="text1"/>
                <w:sz w:val="16"/>
                <w:szCs w:val="16"/>
                <w:highlight w:val="none"/>
                <w14:textFill>
                  <w14:solidFill>
                    <w14:schemeClr w14:val="tx1"/>
                  </w14:solidFill>
                </w14:textFill>
              </w:rPr>
              <w:t>activated protein kinase, SAPK）。</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JNK有JNK1（SAPK）、JNK2（SAPK）、JNK3（SAPL）三种同工酶。JNK信号通路在细胞分化、细胞凋亡、应激反应以及多种人类疾病的发生发展中起着至关重要的作用。JNK/p38MAPK信号通路的激活参与了不同刺激所致的一些常见的恶性肿瘤细胞凋亡的启动，包括胃癌、肺癌、乳腺癌等</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[1</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93</w:t>
            </w:r>
            <w:r>
              <w:rPr>
                <w:rFonts w:ascii="Times New Roman" w:hAnsi="Times New Roman" w:eastAsia="微软雅黑" w:cs="Times New Roman"/>
                <w:i/>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1</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96</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Receptor Tyrosine</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kinase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受体酪氨酸激酶信号通路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RET,MET,FLT3,FGF6,EGF,ABL1,ABL2,AKT1,AKT2,AKT3,ALK,ARAF,BCR,BRAF,BRD4,CBL,CDKN1A,CDKN1B,CRKL,CSF1R,DDR2,EGFR,EPHA3,EPHA5,EPHB1,ERBB2,ERBB3,ERBB4,ERRFI1,ESR1/ER,ETV4,FGF10,FGF14,FGF19,FGF23,FGF3,FGF4,FGFR1,FGFR2,FGFR3,FGFR4,FLT1,FLT4,FRS2,FUBP1,GSK3B,HGF,HRAS,IGF-1,IGF1R/IGFR,IRS2,JUN,KIT,KRAS,LRP1B,MAP2K1,MAP2K2,MAP2K4,MAPK1,MAPK14,MTOR,MYC,NF1,NRAS,NTRK1,NTRK2,NTRK3,PAK3,PTPRD,PDGFRA,PDGFRB,PDK1,PIK3CA,PIK3CB,PIK3CG,PIK3R1,PIK3R2,PLCG2,PRKAR1A,PRKCI,PRSS8,PTEN,PTPN11,RAC1,RAF1,REL,RICTOR,ROS1,RPTOR,SLC19A1,SOCS1,SRC,SYK,TNF/TNF-alpha,TSC1,TSC2,SPINK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rPr>
                <w:rFonts w:ascii="Times New Roman" w:hAnsi="Times New Roman" w:eastAsia="微软雅黑" w:cs="Times New Roman"/>
                <w:b/>
                <w:sz w:val="16"/>
                <w:szCs w:val="16"/>
                <w:highlight w:val="none"/>
              </w:rPr>
            </w:pPr>
          </w:p>
        </w:tc>
        <w:tc>
          <w:tcPr>
            <w:tcW w:w="7885" w:type="dxa"/>
          </w:tcPr>
          <w:p>
            <w:pPr>
              <w:widowControl/>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受体酪氨酸激酶（RTKs）是一类催化ATP的γ-磷酸转移到蛋白质酪氨酸残基上的激酶，参与多种底物蛋白酪氨酸残基磷酸化。受体酪氨酸激酶细胞信号通路可以调控细胞生长、增殖、分化、生存、基因转录、代谢调节等一系列的活动，并与PI3K/AKT、MAPK、AMPK等信号通路交互作用。EGFR、IR、PDGFR、FGFR是不同类型的RTKs，结构相似但引起的最终细胞生物学效应各不相同。配体如EGF与受体结合触发受体的同源或异源二聚体复合物形成而激活下游的信号分子；同时机体也能通过负反馈机制抑制受体激活信号。RTKs的结构异常导致细胞发生恶变，Fms基因和ErbB家族基因突变，其表达的受体不依赖配体而持续激活下游通路，是细胞恶变的常见机制之一。许多上皮来源的肿瘤细胞，如乳腺癌、头颈癌、非小细胞肺癌、肾癌、卵巢癌、结肠癌、膀胱癌、肝癌及脑胶质瘤中都存在EGFR 高表达。目前，以酪氨酸激酶为靶点的药物研究是癌症治疗中十分活跃的领域之一，尤其多靶点受体酪氨酸激酶抑制剂，索拉非尼（Sorafenib）、舒尼替尼（Sunitinib）及凡德他尼（Vandetanib）等药物已被FDA批准用于相关肿瘤治疗</w:t>
            </w:r>
            <w:r>
              <w:rPr>
                <w:rFonts w:ascii="Times New Roman" w:hAnsi="Times New Roman" w:eastAsia="微软雅黑" w:cs="Times New Roman"/>
                <w:sz w:val="16"/>
                <w:szCs w:val="16"/>
                <w:highlight w:val="none"/>
                <w:vertAlign w:val="superscript"/>
                <w:lang w:eastAsia="zh-CN"/>
              </w:rPr>
              <w:t>[1</w:t>
            </w:r>
            <w:r>
              <w:rPr>
                <w:rFonts w:hint="eastAsia" w:ascii="Times New Roman" w:hAnsi="Times New Roman" w:eastAsia="微软雅黑" w:cs="Times New Roman"/>
                <w:sz w:val="16"/>
                <w:szCs w:val="16"/>
                <w:highlight w:val="none"/>
                <w:vertAlign w:val="superscript"/>
                <w:lang w:val="en-US" w:eastAsia="zh-CN"/>
              </w:rPr>
              <w:t>97</w:t>
            </w:r>
            <w:r>
              <w:rPr>
                <w:rFonts w:ascii="Times New Roman" w:hAnsi="Times New Roman" w:eastAsia="微软雅黑" w:cs="Times New Roman"/>
                <w:sz w:val="16"/>
                <w:szCs w:val="16"/>
                <w:highlight w:val="none"/>
                <w:vertAlign w:val="superscript"/>
                <w:lang w:eastAsia="zh-CN"/>
              </w:rPr>
              <w:t>-1</w:t>
            </w:r>
            <w:r>
              <w:rPr>
                <w:rFonts w:hint="eastAsia" w:ascii="Times New Roman" w:hAnsi="Times New Roman" w:eastAsia="微软雅黑" w:cs="Times New Roman"/>
                <w:sz w:val="16"/>
                <w:szCs w:val="16"/>
                <w:highlight w:val="none"/>
                <w:vertAlign w:val="superscript"/>
                <w:lang w:val="en-US" w:eastAsia="zh-CN"/>
              </w:rPr>
              <w:t>99</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bl>
    <w:p>
      <w:pPr>
        <w:spacing w:before="12"/>
        <w:ind w:right="448" w:firstLine="240" w:firstLineChars="100"/>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r>
        <w:rPr>
          <w:rFonts w:ascii="Times New Roman" w:hAnsi="Times New Roman" w:eastAsia="微软雅黑" w:cs="Times New Roman"/>
          <w:b/>
          <w:bCs/>
          <w:color w:val="416AAB"/>
          <w:sz w:val="24"/>
          <w:szCs w:val="24"/>
          <w:highlight w:val="none"/>
          <w:lang w:eastAsia="zh-CN"/>
        </w:rPr>
        <w:t>细胞周期相关通路</w:t>
      </w:r>
      <w:bookmarkEnd w:id="84"/>
      <w:bookmarkEnd w:id="85"/>
      <w:bookmarkEnd w:id="86"/>
      <w:bookmarkEnd w:id="87"/>
      <w:bookmarkEnd w:id="88"/>
    </w:p>
    <w:tbl>
      <w:tblPr>
        <w:tblStyle w:val="12"/>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trHeight w:val="283" w:hRule="atLeast"/>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Phosphatidylinositol</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signaling pathway</w:t>
            </w:r>
          </w:p>
          <w:p>
            <w:pPr>
              <w:spacing w:before="12"/>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磷脂酰肌醇信号通路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“HDAC6,EGFR,GNA11,GNAS,IGF2R”</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磷脂酰肌醇途径是G蛋白偶联受体的信号转导通路中的一种途径，在磷脂酰肌醇信号通路中胞外信号分子与细胞表面G蛋白耦联型受体结合，激活质膜上的磷脂酶C（PLC-</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），使质膜上4，5-二磷酸磷脂酰肌醇（PIP2）水解成1，4，5-三磷酸肌醇（IP3）和二酰基甘油（DG）两个第二信使，胞外信号转换为胞内信号。IP3与内质网上的IP3配体门钙通道结合，开启钙通道，使胞内Ca</w:t>
            </w:r>
            <w:r>
              <w:rPr>
                <w:rFonts w:ascii="Times New Roman" w:hAnsi="Times New Roman" w:eastAsia="微软雅黑" w:cs="Times New Roman"/>
                <w:sz w:val="16"/>
                <w:szCs w:val="16"/>
                <w:highlight w:val="none"/>
                <w:vertAlign w:val="superscript"/>
                <w:lang w:eastAsia="zh-CN"/>
              </w:rPr>
              <w:t>2+</w:t>
            </w:r>
            <w:r>
              <w:rPr>
                <w:rFonts w:ascii="Times New Roman" w:hAnsi="Times New Roman" w:eastAsia="微软雅黑" w:cs="Times New Roman"/>
                <w:sz w:val="16"/>
                <w:szCs w:val="16"/>
                <w:highlight w:val="none"/>
                <w:lang w:eastAsia="zh-CN"/>
              </w:rPr>
              <w:t>浓度升高。激活各类依赖钙离子的蛋白。DG结合于质膜上，可活化与质膜结合的蛋白激酶C（PKC），PKC可以使蛋白质的丝氨酸/苏氨酸残基磷酸化是不同的细胞产生不同的反应，如细胞分泌、肌肉收缩、细胞增殖和分化等。PKC的活化不仅与正常细胞的生长、分化、凋亡等多种生物学效应有关，更在肺癌、结直肠癌等肿瘤的发生、发展、转移等方面发挥重要作用。靶向PKC的肿瘤药物目前处于临床研发阶段</w:t>
            </w:r>
            <w:r>
              <w:rPr>
                <w:rFonts w:ascii="Times New Roman" w:hAnsi="Times New Roman" w:eastAsia="微软雅黑" w:cs="Times New Roman"/>
                <w:sz w:val="16"/>
                <w:szCs w:val="16"/>
                <w:highlight w:val="none"/>
                <w:vertAlign w:val="superscript"/>
                <w:lang w:eastAsia="zh-CN"/>
              </w:rPr>
              <w:t>[</w:t>
            </w:r>
            <w:r>
              <w:rPr>
                <w:rFonts w:hint="eastAsia" w:ascii="Times New Roman" w:hAnsi="Times New Roman" w:eastAsia="微软雅黑" w:cs="Times New Roman"/>
                <w:sz w:val="16"/>
                <w:szCs w:val="16"/>
                <w:highlight w:val="none"/>
                <w:vertAlign w:val="superscript"/>
                <w:lang w:val="en-US" w:eastAsia="zh-CN"/>
              </w:rPr>
              <w:t>200</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Cell cycle signaling</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pathway</w:t>
            </w:r>
          </w:p>
          <w:p>
            <w:pPr>
              <w:spacing w:before="12"/>
              <w:ind w:right="-38"/>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细胞周期信号</w:t>
            </w:r>
            <w:r>
              <w:rPr>
                <w:rFonts w:ascii="Times New Roman" w:hAnsi="Times New Roman" w:eastAsia="微软雅黑" w:cs="Times New Roman"/>
                <w:bCs/>
                <w:sz w:val="16"/>
                <w:szCs w:val="16"/>
                <w:highlight w:val="none"/>
                <w:lang w:eastAsia="zh-CN"/>
              </w:rPr>
              <w:t>通</w:t>
            </w:r>
            <w:r>
              <w:rPr>
                <w:rFonts w:ascii="Times New Roman" w:hAnsi="Times New Roman" w:eastAsia="微软雅黑" w:cs="Times New Roman"/>
                <w:bCs/>
                <w:sz w:val="16"/>
                <w:szCs w:val="16"/>
                <w:highlight w:val="none"/>
              </w:rPr>
              <w:t>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XPC,TP53,POLE,POLD1,NUP93,MSH2,HDAC6,EP300,CCND3,BRCA1,ABL1,ATM,ATR,AURKA,AURKB,BARD1,BLM,BTG1,C11orf30,CCND1,CCND2,CCNE1,CDC73,CDK12,CDK4,CDK6,CDK8,CDKN1A,CDKN1B,CDKN2A,CDKN2B,CDKN2C,CHEK1,CHEK2,CREBBP,ERCC1,ERCC2,ERCC4,ESR1/ER,FBXW7,GSK3B,GSTP1,H3F3A,HDAC1,HDAC2,MDM2,MEN1,MRE11A,MSH6,MYC,NBN,PLK1,PRKDC,RAD50,RAD51,RANBP2,RB1,REL,SLC19A1,SMAD2,SMAD3,SMAD4,STAG2,TERT,TOP1,TOP2A,TYMS,XPO1,XRCC1,MAX”</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细胞周期信号通路参与调控细胞的生长、增殖及分化。细胞周期由四个时期组成：G1期、S期、G2期及M期，各个时期依次进行且受到严格而精细的调控。细胞周期检验点是决定细胞能否进入下一时期的监控点，是细胞周期中的一种反馈调节机制。在异常事件发生时（DNA 损伤、复制阻滞、纺锤体组装异常等），细胞周期检验点即被激活阻断细胞进程，获得修复时间并诱导一系列修复基因表达。其功能异常可导致细胞异常增殖，产生肿瘤。其中细胞周期蛋白依赖性激酶CDK及细胞周期蛋白Cyclin是肿瘤药物的有效潜在靶标。CDK4/6抑制剂哌柏西利已被FDA批准用于转移性乳腺癌的治疗。此外，目前最常用的抗肿瘤药物是直接损伤细胞DNA的化疗药物，而细胞中存在的细胞周期检验点及DNA修复机制是影响化疗药物疗效及造成耐药的主要因素</w:t>
            </w:r>
            <w:r>
              <w:rPr>
                <w:rFonts w:ascii="Times New Roman" w:hAnsi="Times New Roman" w:eastAsia="微软雅黑" w:cs="Times New Roman"/>
                <w:i w:val="0"/>
                <w:iCs w:val="0"/>
                <w:sz w:val="16"/>
                <w:szCs w:val="16"/>
                <w:highlight w:val="none"/>
                <w:vertAlign w:val="superscript"/>
                <w:lang w:eastAsia="zh-CN"/>
              </w:rPr>
              <w:t>[</w:t>
            </w:r>
            <w:r>
              <w:rPr>
                <w:rFonts w:hint="eastAsia" w:ascii="Times New Roman" w:hAnsi="Times New Roman" w:eastAsia="微软雅黑" w:cs="Times New Roman"/>
                <w:i w:val="0"/>
                <w:iCs w:val="0"/>
                <w:sz w:val="16"/>
                <w:szCs w:val="16"/>
                <w:highlight w:val="none"/>
                <w:vertAlign w:val="superscript"/>
                <w:lang w:val="en-US" w:eastAsia="zh-CN"/>
              </w:rPr>
              <w:t>201</w:t>
            </w:r>
            <w:r>
              <w:rPr>
                <w:rFonts w:ascii="Times New Roman" w:hAnsi="Times New Roman" w:eastAsia="微软雅黑" w:cs="Times New Roman"/>
                <w:i w:val="0"/>
                <w:iCs w:val="0"/>
                <w:sz w:val="16"/>
                <w:szCs w:val="16"/>
                <w:highlight w:val="none"/>
                <w:vertAlign w:val="superscript"/>
                <w:lang w:eastAsia="zh-CN"/>
              </w:rPr>
              <w:t>-</w:t>
            </w:r>
            <w:r>
              <w:rPr>
                <w:rFonts w:hint="eastAsia" w:ascii="Times New Roman" w:hAnsi="Times New Roman" w:eastAsia="微软雅黑" w:cs="Times New Roman"/>
                <w:i w:val="0"/>
                <w:iCs w:val="0"/>
                <w:sz w:val="16"/>
                <w:szCs w:val="16"/>
                <w:highlight w:val="none"/>
                <w:vertAlign w:val="superscript"/>
                <w:lang w:val="en-US" w:eastAsia="zh-CN"/>
              </w:rPr>
              <w:t>206</w:t>
            </w:r>
            <w:r>
              <w:rPr>
                <w:rFonts w:ascii="Times New Roman" w:hAnsi="Times New Roman" w:eastAsia="微软雅黑" w:cs="Times New Roman"/>
                <w:i w:val="0"/>
                <w:iCs w:val="0"/>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bl>
    <w:p>
      <w:pPr>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05" w:name="_Toc16027_WPSOffice_Level1"/>
      <w:bookmarkStart w:id="106" w:name="_Toc31650_WPSOffice_Level1"/>
      <w:bookmarkStart w:id="107" w:name="_Toc12493_WPSOffice_Level1"/>
      <w:r>
        <w:rPr>
          <w:rFonts w:ascii="Times New Roman" w:hAnsi="Times New Roman" w:eastAsia="微软雅黑" w:cs="Times New Roman"/>
          <w:b/>
          <w:bCs/>
          <w:color w:val="416AAB"/>
          <w:sz w:val="24"/>
          <w:szCs w:val="24"/>
          <w:highlight w:val="none"/>
          <w:lang w:eastAsia="zh-CN"/>
        </w:rPr>
        <w:t>免疫相关通路</w:t>
      </w:r>
      <w:bookmarkEnd w:id="89"/>
      <w:bookmarkEnd w:id="90"/>
      <w:bookmarkEnd w:id="105"/>
      <w:bookmarkEnd w:id="106"/>
      <w:bookmarkEnd w:id="107"/>
    </w:p>
    <w:tbl>
      <w:tblPr>
        <w:tblStyle w:val="12"/>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Immunology</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spacing w:before="12"/>
              <w:ind w:right="-70"/>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免疫相关信号通路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PDCD1,MAP3K1,AKT1,AKT2,AKT3,BCL6,BTK,CARD11,CBL,CD22,CD274,CD74,CD79A,CD79B,CDK4,FAM46C,FCGR3A,FRS2,GSK3B,HRAS,IKBKE,IKZF1,IL7R,INHBA,IRF4,JUN,KLHL6,KRAS,LMO1,LYN,MAP2K1,MAP2K2,MAP2K4,MPL,MYD88,NFKBIA,NRAS,PAK3,PARK2,PDCD1LG2,PIK3C2B,PIK3CA,PIK3CB,PIK3CG,PIK3R1,PIK3R2,PLCG2,RAC1,RAF1,REL,SYK,TNF/TNF-alpha,TNFAIP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Style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机体免疫包括先天性免疫和后天性免疫，参与机体免疫的免疫细胞主要包括T 淋巴细胞、B淋巴细胞树突状细胞、单核/巨噬细胞等。免疫调节过程包含T细胞和B细胞的活化、增殖、外源性抗原的清除及肿瘤细胞死亡感应等相关的信号通路的相互作用。免疫检查点是指免疫系统中存在的一些抑制性信号通路，调节外周组织中免疫反应的持续性和强度以避免组织损伤，并参与维持对于自身抗原的耐受。利用免疫检查点的抑制性信号通路抑制T细胞活化是肿瘤逃避免疫杀伤的重要机制之一。对于免疫检查点抑制分子如CTLA4及PD-1进行阻断也是肿瘤免疫治疗的有效策略之一，免疫检查点抑制剂伊匹单抗、纳武利尤单抗已被FDA批准用于相关疾病的治疗</w:t>
            </w:r>
            <w:r>
              <w:rPr>
                <w:rFonts w:ascii="Times New Roman" w:hAnsi="Times New Roman" w:eastAsia="微软雅黑" w:cs="Times New Roman"/>
                <w:i w:val="0"/>
                <w:iCs w:val="0"/>
                <w:sz w:val="16"/>
                <w:szCs w:val="16"/>
                <w:highlight w:val="none"/>
                <w:vertAlign w:val="superscript"/>
                <w:lang w:eastAsia="zh-CN"/>
              </w:rPr>
              <w:t>[</w:t>
            </w:r>
            <w:r>
              <w:rPr>
                <w:rFonts w:hint="eastAsia" w:ascii="Times New Roman" w:hAnsi="Times New Roman" w:eastAsia="微软雅黑" w:cs="Times New Roman"/>
                <w:i w:val="0"/>
                <w:iCs w:val="0"/>
                <w:sz w:val="16"/>
                <w:szCs w:val="16"/>
                <w:highlight w:val="none"/>
                <w:vertAlign w:val="superscript"/>
                <w:lang w:val="en-US" w:eastAsia="zh-CN"/>
              </w:rPr>
              <w:t>207</w:t>
            </w:r>
            <w:r>
              <w:rPr>
                <w:rFonts w:ascii="Times New Roman" w:hAnsi="Times New Roman" w:eastAsia="微软雅黑" w:cs="Times New Roman"/>
                <w:i w:val="0"/>
                <w:iCs w:val="0"/>
                <w:sz w:val="16"/>
                <w:szCs w:val="16"/>
                <w:highlight w:val="none"/>
                <w:vertAlign w:val="superscript"/>
                <w:lang w:eastAsia="zh-CN"/>
              </w:rPr>
              <w:t>-</w:t>
            </w:r>
            <w:r>
              <w:rPr>
                <w:rFonts w:hint="eastAsia" w:ascii="Times New Roman" w:hAnsi="Times New Roman" w:eastAsia="微软雅黑" w:cs="Times New Roman"/>
                <w:i w:val="0"/>
                <w:iCs w:val="0"/>
                <w:sz w:val="16"/>
                <w:szCs w:val="16"/>
                <w:highlight w:val="none"/>
                <w:vertAlign w:val="superscript"/>
                <w:lang w:val="en-US" w:eastAsia="zh-CN"/>
              </w:rPr>
              <w:t>214</w:t>
            </w:r>
            <w:r>
              <w:rPr>
                <w:rFonts w:ascii="Times New Roman" w:hAnsi="Times New Roman" w:eastAsia="微软雅黑" w:cs="Times New Roman"/>
                <w:i w:val="0"/>
                <w:iCs w:val="0"/>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08" w:name="_Toc28312_WPSOffice_Level1"/>
      <w:bookmarkStart w:id="109" w:name="_Toc2683_WPSOffice_Level1"/>
      <w:bookmarkStart w:id="110" w:name="_Toc20571_WPSOffice_Level1"/>
      <w:bookmarkStart w:id="111" w:name="_Toc11689_WPSOffice_Level1"/>
      <w:bookmarkStart w:id="112" w:name="_Toc31447_WPSOffice_Level1"/>
      <w:bookmarkStart w:id="113" w:name="_Toc19289_WPSOffice_Level1"/>
      <w:bookmarkStart w:id="114" w:name="_Toc6863_WPSOffice_Level1"/>
      <w:bookmarkStart w:id="115" w:name="_Toc20217_WPSOffice_Level1"/>
      <w:r>
        <w:rPr>
          <w:rFonts w:ascii="Times New Roman" w:hAnsi="Times New Roman" w:eastAsia="微软雅黑" w:cs="Times New Roman"/>
          <w:b/>
          <w:bCs/>
          <w:color w:val="416AAB"/>
          <w:sz w:val="24"/>
          <w:szCs w:val="24"/>
          <w:highlight w:val="none"/>
          <w:lang w:eastAsia="zh-CN"/>
        </w:rPr>
        <w:t>炎症相关通路</w:t>
      </w:r>
      <w:bookmarkEnd w:id="108"/>
      <w:bookmarkEnd w:id="109"/>
      <w:bookmarkEnd w:id="110"/>
      <w:bookmarkEnd w:id="111"/>
      <w:bookmarkEnd w:id="112"/>
      <w:bookmarkEnd w:id="113"/>
      <w:bookmarkEnd w:id="114"/>
      <w:bookmarkEnd w:id="115"/>
    </w:p>
    <w:tbl>
      <w:tblPr>
        <w:tblStyle w:val="12"/>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TGF-β signaling</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spacing w:before="12"/>
              <w:ind w:right="-68" w:rightChars="-31"/>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TGF-β 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“EP300,AR,ACVR1B,BMPR1A,CBFB,CDKN2B,CREBBP,ESR1/ER,INHBA,MYC,PIK3C2B,PPP2R1A,REL,RUNX1,SMAD2,SMAD3,SMAD4,TGFBR2,TNF/TNF-alpha”</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spacing w:before="12"/>
              <w:ind w:right="-23"/>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信号通路是一个包含众多成员的多功能细胞因子大家族，通过调节细胞的生长、增殖、分化、迁移和凋亡等过程，在组织与器官的发生和形成（胚胎发育、骨骼等器官形成）、机体的免疫反应等生物过程中发挥重要的功能。信号通路的激活首先是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s配体分子与受体结合，从而使受体T</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Rs磷酸化，磷酸化的T</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R-I直接作用于底物Smads蛋白，活化的Smads就将配体与受体作用的信号从细胞膜、胞浆传递到细胞核内，再与其他核内因子协同激活或者抑制靶基因的转录。Smads是细胞内重要的TGF-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信号转导和调节分子，其功能发生异常会影响TGF-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信号的传导，从而导致肿瘤的发生。研究显示肝癌、结肠癌、胃癌、肾癌、胰腺癌、头颈部肿瘤等肿瘤中都发现有Smad基因的突变，其中以Smad2、Smad4基因突变较为常见。TGF-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在肿瘤组织中起复杂的双向作用，在肿瘤早期，TGF-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作为上皮细胞生长负调节剂抑制肿瘤生长，而在肿瘤进展期或晚期，则起到促进肿瘤生长作用</w:t>
            </w:r>
            <w:r>
              <w:rPr>
                <w:rFonts w:ascii="Times New Roman" w:hAnsi="Times New Roman" w:eastAsia="微软雅黑" w:cs="Times New Roman"/>
                <w:sz w:val="16"/>
                <w:szCs w:val="16"/>
                <w:highlight w:val="none"/>
                <w:vertAlign w:val="superscript"/>
                <w:lang w:eastAsia="zh-CN"/>
              </w:rPr>
              <w:t>[</w:t>
            </w:r>
            <w:r>
              <w:rPr>
                <w:rFonts w:hint="eastAsia" w:ascii="Times New Roman" w:hAnsi="Times New Roman" w:eastAsia="微软雅黑" w:cs="Times New Roman"/>
                <w:sz w:val="16"/>
                <w:szCs w:val="16"/>
                <w:highlight w:val="none"/>
                <w:vertAlign w:val="superscript"/>
                <w:lang w:val="en-US" w:eastAsia="zh-CN"/>
              </w:rPr>
              <w:t>218</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21</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NF-κB signaling</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spacing w:before="12"/>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NF-κB信号通路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“TP53,MAP3K1,AKT1,AKT2,AKT3,ATM,BCL2,BCL2L1,FAS,MYD88,NFKBIA,NTRK1,PIK3CA,PIK3CB,PIK3CG,PIK3R1,PIK3R2,PRKAR1A,RANK,RANKL,REL,SMARCA4,SMARCB1,TNF/TNF-alpha”</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spacing w:before="12"/>
              <w:ind w:right="-23"/>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经典NF-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B信号通路的传导是发生在细胞质中的级联反应。当外界信号作用于细胞后会启动细胞质中NF-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B信号通路的传导，促进NF-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B从细胞质转移到细胞核，行使其转录因子的功能，调控靶基因的表达。NF-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B参与包括免疫、炎症、细胞凋亡及增殖等多种细胞生物学过程。NF-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B信号通路具有双向效应，NF-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B促进细胞调亡能抑制肿瘤发生，而异常活化则能推进细胞周期演进并抑制凋亡，从而促进细胞癌变。p53和NF-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B通路是损伤诱导凋亡的主要途径。目前发现，Burkitt淋巴瘤、急性淋巴细胞白血病、多发性骨髓瘤、乳腺癌、前列腺癌、肺癌、结肠癌、胰腺癌、头颈癌、食管癌及宫颈癌等都与NF-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B的组成性激活有关。硼替佐米是用于抑制NF-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B活化的蛋白酶抑制剂，被FDA批准用于多发性骨髓瘤的治疗</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22</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24</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Jak-STAT signaling</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ind w:right="-68" w:rightChars="-31"/>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Jak-STAT信号通路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“EP300,CCND3,AKT1,AKT2,AKT3,AXL,BCL2,BCL2L1,CBL,CCND1,CCND2,CREBBP,CRLF2,CXCR4,EGFR,EPHA7,ETV5,IL7R,JAK1,JAK2,JAK3,MPL,MTOR,MYC,PIK3CA,PIK3CB,PIK3CG,PIK3R1,PIK3R2,PTPN11,SOCS1,SRC,STAT3,STAT4,HOXB13”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Jak是胞质酪氨酸激酶，包括Tyk2、Jak1、Jak2、Jak3四个成员，在细胞因子信号转导的初始步骤中起着至重要的作用。Jak与细胞因子结合而被激活，激活后可使底物蛋白Stat磷酸化，磷酸化的Stat形成同源和异源二聚体，进入细胞核，激活靶基因的转录。Jak-STAT信号通路参与细胞的增殖、分化、凋亡、炎症以及免疫调节等许多重要的生物学过程，且细胞中存在MAPK-STAT信号转导的旁路或调节方式。PIAS、SH-PTPs、SOCS等蛋白分子的协同作用可以对Jak-STAT信号通路进行负调控。该信号通路的异常激活，可导致基因组稳定性下降、细胞周期出现异常，最终导致肿瘤的形成。其中Stat1、Stat3 和Stat5 的表达与肿瘤形成的关系最为密切，在子宫平滑肌肉瘤、白血病、乳腺癌、肺癌、结肠癌、黑色素瘤、前列腺癌、骨髓瘤等疾病中均发现相关基因的突变或高表达。目前有大量针对JAK/STAT通路的靶向研究，主要以JAKs和STATs为治疗靶点。JAK抑制剂Ruxolitinib、Tofacitinib已被FDA批准用于相关疾病的治疗</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215</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217</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bl>
    <w:p>
      <w:pPr>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16" w:name="_Toc6645_WPSOffice_Level1"/>
      <w:bookmarkStart w:id="117" w:name="_Toc6170_WPSOffice_Level1"/>
      <w:bookmarkStart w:id="118" w:name="_Toc5164_WPSOffice_Level1"/>
      <w:bookmarkStart w:id="119" w:name="_Toc13817_WPSOffice_Level1"/>
      <w:bookmarkStart w:id="120" w:name="_Toc24628_WPSOffice_Level1"/>
      <w:bookmarkStart w:id="121" w:name="_Toc27568_WPSOffice_Level1"/>
      <w:bookmarkStart w:id="122" w:name="_Toc5423_WPSOffice_Level1"/>
      <w:bookmarkStart w:id="123" w:name="_Toc13225_WPSOffice_Level1"/>
      <w:r>
        <w:rPr>
          <w:rFonts w:ascii="Times New Roman" w:hAnsi="Times New Roman" w:eastAsia="微软雅黑" w:cs="Times New Roman"/>
          <w:b/>
          <w:bCs/>
          <w:color w:val="416AAB"/>
          <w:sz w:val="24"/>
          <w:szCs w:val="24"/>
          <w:highlight w:val="none"/>
          <w:lang w:eastAsia="zh-CN"/>
        </w:rPr>
        <w:t>侵袭和转移相关通路</w:t>
      </w:r>
      <w:bookmarkEnd w:id="116"/>
      <w:bookmarkEnd w:id="117"/>
      <w:bookmarkEnd w:id="118"/>
      <w:bookmarkEnd w:id="119"/>
      <w:bookmarkEnd w:id="120"/>
      <w:bookmarkEnd w:id="121"/>
      <w:bookmarkEnd w:id="122"/>
      <w:bookmarkEnd w:id="123"/>
    </w:p>
    <w:tbl>
      <w:tblPr>
        <w:tblStyle w:val="12"/>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Cytoskeletal</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regulation and vesicle</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trafficking signaling</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细胞骨架调节及</w:t>
            </w:r>
            <w:r>
              <w:rPr>
                <w:rFonts w:hint="eastAsia" w:ascii="Times New Roman" w:hAnsi="Times New Roman" w:eastAsia="微软雅黑" w:cs="Times New Roman"/>
                <w:bCs/>
                <w:color w:val="000000" w:themeColor="text1"/>
                <w:sz w:val="16"/>
                <w:szCs w:val="16"/>
                <w:highlight w:val="none"/>
                <w:lang w:eastAsia="zh-CN"/>
                <w14:textFill>
                  <w14:solidFill>
                    <w14:schemeClr w14:val="tx1"/>
                  </w14:solidFill>
                </w14:textFill>
              </w:rPr>
              <w:t>囊</w:t>
            </w: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泡</w:t>
            </w:r>
          </w:p>
          <w:p>
            <w:pPr>
              <w:spacing w:before="12"/>
              <w:ind w:right="-59"/>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运输信号通路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“APC,BAP1,EPCAM,GNA13,GSK3B,KEAP1,PIK3C2B,PTEN,RAC1,SLIT2,SPTA1,SRC,STAT3”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细胞骨架通常指的是细胞质骨架，包括微管、微丝、中间纤维等，与鞭毛的运动、胞浆运输、细胞增殖、迁移和侵袭密切相关。其中Ezrin 蛋白作为膜与细胞骨架的连接分子，其在细胞内的表达和活性与细胞骨架的重排密切相关，一些研究发现转移能力较强的肿瘤细胞系均伴有Ezrin过表达。Rho蛋白主要通过其效应物ROCK调节细胞骨架蛋白，介导信号传导，连接胞外刺激和肌动蛋白骨架的组装，其中以Rho、Rac、Cdc42家族成员在细胞运动及肿瘤侵袭中的作用研究最为广泛。在黑色素瘤、肝癌、结肠癌、肺癌、睾丸生殖细胞癌、头颈部鳞状上皮细胞癌、胰导管腺癌及炎性乳腺癌中，发现有Rho蛋白的表达异常，与预后不良密切相关。在以细胞骨架为靶点的抗肿瘤药物的研究中，主要针对微丝及微管，通过抑制其蛋白活性，进而影响其生物学功能</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25</w:t>
            </w:r>
            <w:r>
              <w:rPr>
                <w:rFonts w:ascii="Times New Roman" w:hAnsi="Times New Roman" w:eastAsia="微软雅黑" w:cs="Times New Roman"/>
                <w:i/>
                <w:color w:val="000000" w:themeColor="text1"/>
                <w:sz w:val="16"/>
                <w:szCs w:val="16"/>
                <w:highlight w:val="none"/>
                <w:vertAlign w:val="superscript"/>
                <w:lang w:eastAsia="zh-CN"/>
                <w14:textFill>
                  <w14:solidFill>
                    <w14:schemeClr w14:val="tx1"/>
                  </w14:solidFill>
                </w14:textFill>
              </w:rPr>
              <w:t>-</w:t>
            </w:r>
            <w:r>
              <w:rPr>
                <w:rFonts w:hint="eastAsia" w:ascii="Times New Roman" w:hAnsi="Times New Roman" w:eastAsia="微软雅黑" w:cs="Times New Roman"/>
                <w:i/>
                <w:color w:val="000000" w:themeColor="text1"/>
                <w:sz w:val="16"/>
                <w:szCs w:val="16"/>
                <w:highlight w:val="none"/>
                <w:vertAlign w:val="superscript"/>
                <w:lang w:val="en-US" w:eastAsia="zh-CN"/>
                <w14:textFill>
                  <w14:solidFill>
                    <w14:schemeClr w14:val="tx1"/>
                  </w14:solidFill>
                </w14:textFill>
              </w:rPr>
              <w:t>229</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cellular architecture</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and</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microenvironment</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signaling pathway</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细胞结构及微环境信号通路</w:t>
            </w:r>
          </w:p>
        </w:tc>
        <w:tc>
          <w:tcPr>
            <w:tcW w:w="7885" w:type="dxa"/>
          </w:tcPr>
          <w:p>
            <w:pPr>
              <w:widowControl/>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“CDH1,EPCAM,FLCN,KEAP1,KEL,MAGI2,PREX2,SLIT2”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widowControl/>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肿瘤微环境包括许多基质细胞及与肿瘤细胞传递微环境信息的细胞因子。在肿瘤微环境中，肿瘤细胞与免疫细胞，以及肿瘤细胞与细胞因子之间相互作用共同促进或者抑制肿瘤的进展，迁移，侵袭等。其中可以通过VEGF诱导血管的形成，通过分泌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 xml:space="preserve"> 而抑制免疫细胞的增殖，通过表达相应的受体如CCR5等趋化位于其他器官中的趋化因子，从而引起肿瘤的转移，通过合成并分泌金属基质蛋白酶（MMPs），使得肿瘤更具有侵袭性，通过CDH1基因的失活而低表达或者不表达E-cadherin，降低细胞黏附性，使得细胞更具有运动性。目前，靶向VEGF的单克隆抗体贝伐珠单抗被批准用于多种实体瘤的治疗</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84</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24" w:name="_Toc11082_WPSOffice_Level1"/>
      <w:bookmarkStart w:id="125" w:name="_Toc5860_WPSOffice_Level1"/>
      <w:bookmarkStart w:id="126" w:name="_Toc3387_WPSOffice_Level1"/>
      <w:bookmarkStart w:id="127" w:name="_Toc13244_WPSOffice_Level1"/>
      <w:bookmarkStart w:id="128" w:name="_Toc6323_WPSOffice_Level1"/>
      <w:bookmarkStart w:id="129" w:name="_Toc12046_WPSOffice_Level1"/>
      <w:bookmarkStart w:id="130" w:name="_Toc2788_WPSOffice_Level1"/>
      <w:bookmarkStart w:id="131" w:name="_Toc29762_WPSOffice_Level1"/>
      <w:r>
        <w:rPr>
          <w:rFonts w:ascii="Times New Roman" w:hAnsi="Times New Roman" w:eastAsia="微软雅黑" w:cs="Times New Roman"/>
          <w:b/>
          <w:bCs/>
          <w:color w:val="416AAB"/>
          <w:sz w:val="24"/>
          <w:szCs w:val="24"/>
          <w:highlight w:val="none"/>
          <w:lang w:eastAsia="zh-CN"/>
        </w:rPr>
        <w:t>血管生成相关通路</w:t>
      </w:r>
      <w:bookmarkEnd w:id="124"/>
      <w:bookmarkEnd w:id="125"/>
      <w:bookmarkEnd w:id="126"/>
      <w:bookmarkEnd w:id="127"/>
      <w:bookmarkEnd w:id="128"/>
      <w:bookmarkEnd w:id="129"/>
      <w:bookmarkEnd w:id="130"/>
      <w:bookmarkEnd w:id="131"/>
    </w:p>
    <w:tbl>
      <w:tblPr>
        <w:tblStyle w:val="12"/>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VEGF and</w:t>
            </w:r>
            <w:r>
              <w:rPr>
                <w:rFonts w:ascii="Times New Roman" w:hAnsi="Times New Roman" w:eastAsia="微软雅黑" w:cs="Times New Roman"/>
                <w:bCs/>
                <w:sz w:val="16"/>
                <w:szCs w:val="16"/>
                <w:highlight w:val="none"/>
                <w:lang w:eastAsia="zh-CN"/>
              </w:rPr>
              <w:t xml:space="preserve"> </w:t>
            </w:r>
            <w:r>
              <w:rPr>
                <w:rFonts w:ascii="Times New Roman" w:hAnsi="Times New Roman" w:eastAsia="微软雅黑" w:cs="Times New Roman"/>
                <w:bCs/>
                <w:sz w:val="16"/>
                <w:szCs w:val="16"/>
                <w:highlight w:val="none"/>
              </w:rPr>
              <w:t>angiogenesis signaling</w:t>
            </w:r>
            <w:r>
              <w:rPr>
                <w:rFonts w:ascii="Times New Roman" w:hAnsi="Times New Roman" w:eastAsia="微软雅黑" w:cs="Times New Roman"/>
                <w:bCs/>
                <w:sz w:val="16"/>
                <w:szCs w:val="16"/>
                <w:highlight w:val="none"/>
                <w:lang w:eastAsia="zh-CN"/>
              </w:rPr>
              <w:t xml:space="preserve"> </w:t>
            </w:r>
            <w:r>
              <w:rPr>
                <w:rFonts w:ascii="Times New Roman" w:hAnsi="Times New Roman" w:eastAsia="微软雅黑" w:cs="Times New Roman"/>
                <w:bCs/>
                <w:sz w:val="16"/>
                <w:szCs w:val="16"/>
                <w:highlight w:val="none"/>
              </w:rPr>
              <w:t>pathway</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VEGF和血管生成信号通路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“KDR/VEGFR,AKT1,AKT2,AKT3,CBL,EGFR,ESR1/ER,ETV6,HGF,HRAS,KRAS,MAP2K1,MAP2K2,MTOR,NRAS,PIK3C2B,PIK3CA,PIK3CB,PIK3R1,PIK3R2,RAF1,REL,SMAD2,SMAD3,SRC,VEGFA,VHL”</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血管内皮生长因子受体(VEGFR)与其配体结合后激活下游的信号级联反应，包括PI3K-Akt通路、p38-MAPK通路及Raf通路，进而控制血管内皮细胞的存活，增殖和迁移，促进血管新生并提高血管通透性。血管生成是肿瘤发生发展的重要因素，新生血管不仅为病变组织提供养分，保证其生长繁殖，同时使得肿瘤细胞与个体的血液循环系统直接相通，是恶性肿瘤发生远处转移播散的必要条件。在乳腺癌、非小细胞肺癌、大肠癌、前列腺癌等肿瘤中发现VEGF及其受体、MMP、HIF的过表达。因此，血管内皮生长因子及相关信号转导通路是许多抗肿瘤靶向药物的靶标。一些抗体类药物如抗VEGF抗体-贝伐珠单抗（Bevacizumab)，VEGFR2酪氨酸激酶抑制剂如仑伐替尼（Lenvatinib）、阿帕替尼（Apatinib），及小分子抑制剂如舒尼替尼(Sunitinib)、索拉非尼（Sorafenib）等已被FDA批准用于相关癌症的治疗</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30</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33</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bl>
    <w:p>
      <w:pPr>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32" w:name="_Toc708_WPSOffice_Level1"/>
      <w:bookmarkStart w:id="133" w:name="_Toc31905_WPSOffice_Level1"/>
      <w:bookmarkStart w:id="134" w:name="_Toc23443_WPSOffice_Level1"/>
      <w:bookmarkStart w:id="135" w:name="_Toc22500_WPSOffice_Level1"/>
      <w:bookmarkStart w:id="136" w:name="_Toc21615_WPSOffice_Level1"/>
      <w:bookmarkStart w:id="137" w:name="_Toc15619_WPSOffice_Level1"/>
      <w:bookmarkStart w:id="138" w:name="_Toc21560_WPSOffice_Level1"/>
      <w:bookmarkStart w:id="139" w:name="_Toc6004_WPSOffice_Level1"/>
      <w:r>
        <w:rPr>
          <w:rFonts w:ascii="Times New Roman" w:hAnsi="Times New Roman" w:eastAsia="微软雅黑" w:cs="Times New Roman"/>
          <w:b/>
          <w:bCs/>
          <w:color w:val="416AAB"/>
          <w:sz w:val="24"/>
          <w:szCs w:val="24"/>
          <w:highlight w:val="none"/>
          <w:lang w:eastAsia="zh-CN"/>
        </w:rPr>
        <w:t>基因组不稳定相关通路</w:t>
      </w:r>
      <w:bookmarkEnd w:id="132"/>
      <w:bookmarkEnd w:id="133"/>
      <w:bookmarkEnd w:id="134"/>
      <w:bookmarkEnd w:id="135"/>
      <w:bookmarkEnd w:id="136"/>
      <w:bookmarkEnd w:id="137"/>
      <w:bookmarkEnd w:id="138"/>
      <w:bookmarkEnd w:id="139"/>
    </w:p>
    <w:tbl>
      <w:tblPr>
        <w:tblStyle w:val="12"/>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DNA damage/repair</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DNA损伤修复信号通路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MSH3,FANCM,XPC,TP53,SF3B1,POLD1,MSH2,DOT1L,CHD4,CCND3,BRCA2,BRCA1,ATRX,ATM,ATR,BARD1,BCL6,BLM,BRIP1,C11orf30,CCND1,CCND2,CCNE1,CDK12,CDK4,CDK6,CDKN1A,CDKN2A,CHD2,CHEK1,CHEK2,DPYD,ERCC1,ERCC2,ERCC4,ETV6,EWSR1,EZH2,FANCA,FANCC,FANCD2,FANCE,FANCF,FANCG,FANCL,FAS,KDM5C,KDM6A,KMT2C,MDM2,MDM4,MLH1,MRE11,MSH6,MUTYH,NBN,NPM1,NSD1,PALB2,PARP1,PMS2,PRDM1,PRKDC,PTEN,RAD50,RAD51,RAD51C,RAD51D,RANBP2,REL,RUNX1T1,SLC19A1,SMARCA4,SOD2,STAG2,TMPRSS2,TSC2,TYMS,U2AF1,XRCC1,ZNF703,WRN,ERCC3,FANCI”</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多种因素可导致细胞DNA损伤，如紫外照射、药物作用等外源因素和DNA复制错误、自由基氧化等内源作用。p53基因通过参与诱导细胞周期阻滞、促进细胞凋亡和DNA的修复等过程，发挥着避免受损DNA累积、维持基因组的稳定及调节细胞的分化与衰老等功能活动。DNA发生损伤后，ATM/ATR基因激活p53，轻度DNA损伤时，p53诱导CDK抑制剂引起细胞周期G1期阻滞，同时还可诱导DNA修复基因活化，进行DNA修复。活化的MDM2、Bax、DR5、Fas等基因参与p53介导的DNA修复过程。p53突变的细胞中，DNA损伤后不能通过p53的介导进入G1停滞和DNA修复，因此DNA受损的细胞可进入增殖阶段，最终导致恶性肿瘤发生。目前，在多种肿瘤中发现有p53基因变异，针对p53与DNA损伤修复信号通路的相关药物正在研究之中</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34</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37</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178" w:rightChars="-8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Nuclear receptor</w:t>
            </w:r>
          </w:p>
          <w:p>
            <w:pPr>
              <w:ind w:right="-178" w:rightChars="-8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spacing w:before="12"/>
              <w:ind w:right="-180"/>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核受体信号通路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“TAF1,NUP93,CIC,AR,ABCB1,ABCC2,ARID1B,ASXL1,CTCF,CYP2B6,CYP3A4,ESR1/ER,FOXL2,GID4,H3F3A,IGF2R,LZTR1,NCOR1,PBRM1,PPARG,SRC,ZBTB2,ZNF217”</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核受体（NR）超家族由甾体激素、甲状腺激素、维甲酸、维生素D等化学信号的受体及配体未明的多种孤儿受体组成。该家族成员的主要功能是作为配体激活的转录因子，调控代谢、发育、生殖相关基因的表达与多种癌症相关。核受体相关的肿瘤多为雌激素受体（ER）异常所引起，正常状态下ER与热休克蛋白（HSP）、Myc 蛋白形成复合物，被限制在胞质中，当与雌激素结合时，ER形成同源二聚体进入细胞核，刺激目的基因表达，使细胞从G1期进入S期，由于雌激素这种刺激作用，增加了DNA复制过程中产生错误的机会，积累基因突变，从而导致肿瘤的发生。在乳腺癌、前列腺癌、结肠癌等多种肿瘤中发现高水平的NR。核受体作为调控基因表达的关键因素，可作为药物的作用靶点</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38</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42</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40" w:name="_Toc7586_WPSOffice_Level1"/>
      <w:bookmarkStart w:id="141" w:name="_Toc11464_WPSOffice_Level1"/>
      <w:bookmarkStart w:id="142" w:name="_Toc5629_WPSOffice_Level1"/>
      <w:bookmarkStart w:id="143" w:name="_Toc4042_WPSOffice_Level1"/>
      <w:bookmarkStart w:id="144" w:name="_Toc15479_WPSOffice_Level1"/>
      <w:bookmarkStart w:id="145" w:name="_Toc13664_WPSOffice_Level1"/>
      <w:bookmarkStart w:id="146" w:name="_Toc23537_WPSOffice_Level1"/>
      <w:bookmarkStart w:id="147" w:name="_Toc11254_WPSOffice_Level1"/>
    </w:p>
    <w:p>
      <w:pPr>
        <w:spacing w:before="12" w:line="276" w:lineRule="auto"/>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r>
        <w:rPr>
          <w:rFonts w:ascii="Times New Roman" w:hAnsi="Times New Roman" w:eastAsia="微软雅黑" w:cs="Times New Roman"/>
          <w:b/>
          <w:bCs/>
          <w:color w:val="416AAB"/>
          <w:sz w:val="24"/>
          <w:szCs w:val="24"/>
          <w:highlight w:val="none"/>
          <w:lang w:eastAsia="zh-CN"/>
        </w:rPr>
        <w:t>凋亡抑制相关通路</w:t>
      </w:r>
      <w:bookmarkEnd w:id="140"/>
      <w:bookmarkEnd w:id="141"/>
      <w:bookmarkEnd w:id="142"/>
      <w:bookmarkEnd w:id="143"/>
      <w:bookmarkEnd w:id="144"/>
      <w:bookmarkEnd w:id="145"/>
      <w:bookmarkEnd w:id="146"/>
      <w:bookmarkEnd w:id="147"/>
    </w:p>
    <w:tbl>
      <w:tblPr>
        <w:tblStyle w:val="12"/>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Apoptosis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细胞凋亡信号通路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“TP53,PARP4,MAP3K1,AKT1,AKT2,AKT3,ATM,ATR,BCL2,BCL2L1,BCL2L2,CASP8,CYLD,ERG,FAS,IGF2R,IRF2,JUN,MYD88,NFKBIA,NTRK1,PARP1,PARP2,PARP3,PDK1,PIK3CA,PIK3CB,PIK3CG,PIK3R1,PIK3R2,PRKAR1A,PTEN,SRC,STAT3,TNF/TNF-alpha,TOP1”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spacing w:before="12"/>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细胞凋亡又称程序性细胞死亡，主要的凋亡途径为由膜死亡受体介导的外源性通路和线粒体介导的内源性通路。外源性通路是一个由FAS配体/FAS受体介导的通路，通过细胞外的一些因素来引发；内源性通路由线粒体控制且由细胞内的一些因素来引发。两条通路都可以触发凋亡蛋白酶的级联反应，启动细胞的死亡。凋亡相关基因如TNF受体家族（如FAS 等）、caspase家族及BCL-2家族（如BAK1、BAX 等）等的突变或表达异常可阻断细胞凋亡，促使肿瘤发生。在淋巴瘤、黑色素瘤、胃癌、肺癌、卵巢癌、乳腺癌和结肠癌等多种肿瘤中，均发现相关基因的突变、甲基化或表达异常。靶向抑制剂如Bcl-2抑制剂Navitoclax和Obatoclaxs等已进入II-III期临床试验，Oblimersen也被广泛用于肺癌、黑色素瘤等相关临床试验研究</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43</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46</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Death receptor</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死亡受体信号通路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“BCL2L2,CASP8,CYLD,DAXX,FAS,PARP1,PARP3,TNF/TNF-alpha,TNFRSF141”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细胞表面的死亡受体是肿瘤坏死因子受体（TNFR）超家族的成员，特点是胞外具有富含Cys的结构域，胞质区有一具有蛋白水解功能的“死亡区域”，使得死亡信号进一步传递，从而启动凋亡。死亡受体介导细胞凋亡的途径主要是通过TNFR、TRAIL、Fas/FasL 诱导的，各途径主要是通过跨膜受体将信号由胞外传递到胞内，衔接蛋白与受体结合后，再与执行蛋白结合，进而诱导细胞凋亡</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47</w:t>
            </w:r>
            <w:r>
              <w:rPr>
                <w:rFonts w:ascii="Times New Roman" w:hAnsi="Times New Roman" w:eastAsia="微软雅黑" w:cs="Times New Roman"/>
                <w:i/>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51</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Autophagy signaling</w:t>
            </w:r>
          </w:p>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pathway</w:t>
            </w:r>
          </w:p>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自噬信号通路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“BCL2L2,KMT2A,MTOR,MYCN,PARP1”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spacing w:before="12"/>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自噬是一个保守的分解代谢过程，存在于大部分真核细胞中，是细胞内的再循环系统。自噬在各种生命活动中发挥着重要的作用，比如在应激条件下，如饥饿、低氧、热应激和药物处理，可诱导自噬，从而加速细胞内的新陈代谢。该通路在代谢废物清除、结构重建、细胞生长发育、蛋白代谢平衡维持和细胞内环境稳定中起重要作用。研究发现，mTOR、PI3K-Akt、MAPK、NF-</w:t>
            </w:r>
            <w:r>
              <w:rPr>
                <w:rFonts w:ascii="Times New Roman" w:hAnsi="Times New Roman" w:eastAsia="微软雅黑" w:cs="Times New Roman"/>
                <w:color w:val="000000" w:themeColor="text1"/>
                <w:sz w:val="16"/>
                <w:szCs w:val="16"/>
                <w:highlight w:val="none"/>
                <w14:textFill>
                  <w14:solidFill>
                    <w14:schemeClr w14:val="tx1"/>
                  </w14:solidFill>
                </w14:textFill>
              </w:rPr>
              <w:t>κ</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B等信号通路均参与自噬信号通路调控。其中mTOR在自噬调控中扮演非常重要的角色，是自噬调节的主要分子，其为负调节分子，p53在体内也发挥抑制自噬作用；而Beclin-1与III类PI3K形成复合物则促进自噬。自噬对肿瘤生长是一把双刃剑，随着肿瘤进展阶段的不同，自噬所扮演的角色也不尽相同。在肿瘤发生早期，自噬发挥肿瘤抑制作用；肿瘤中晚期，自噬则发挥促进肿瘤细胞生长、存活的作用</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52</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53</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48" w:name="_Toc22039_WPSOffice_Level1"/>
      <w:bookmarkStart w:id="149" w:name="_Toc2337_WPSOffice_Level1"/>
      <w:bookmarkStart w:id="150" w:name="_Toc28498_WPSOffice_Level1"/>
      <w:bookmarkStart w:id="151" w:name="_Toc8519_WPSOffice_Level1"/>
      <w:bookmarkStart w:id="152" w:name="_Toc29193_WPSOffice_Level1"/>
      <w:bookmarkStart w:id="153" w:name="_Toc10575_WPSOffice_Level1"/>
      <w:bookmarkStart w:id="154" w:name="_Toc17793_WPSOffice_Level1"/>
      <w:bookmarkStart w:id="155" w:name="_Toc18866_WPSOffice_Level1"/>
      <w:r>
        <w:rPr>
          <w:rFonts w:ascii="Times New Roman" w:hAnsi="Times New Roman" w:eastAsia="微软雅黑" w:cs="Times New Roman"/>
          <w:b/>
          <w:bCs/>
          <w:color w:val="416AAB"/>
          <w:sz w:val="24"/>
          <w:szCs w:val="24"/>
          <w:highlight w:val="none"/>
          <w:lang w:eastAsia="zh-CN"/>
        </w:rPr>
        <w:t>能量代谢相关通路</w:t>
      </w:r>
      <w:bookmarkEnd w:id="148"/>
      <w:bookmarkEnd w:id="149"/>
      <w:bookmarkEnd w:id="150"/>
      <w:bookmarkEnd w:id="151"/>
      <w:bookmarkEnd w:id="152"/>
      <w:bookmarkEnd w:id="153"/>
      <w:bookmarkEnd w:id="154"/>
      <w:bookmarkEnd w:id="155"/>
    </w:p>
    <w:tbl>
      <w:tblPr>
        <w:tblStyle w:val="12"/>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Cellular metabolism</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jc w:val="center"/>
              <w:rPr>
                <w:rFonts w:ascii="Times New Roman" w:hAnsi="Times New Roman" w:eastAsia="微软雅黑" w:cs="Times New Roman"/>
                <w:b/>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细胞代谢信号通路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PRSS1,SLC22A16,SDHA,POLE,POLD1,PARP4,NUP93,FAT1,CYP2D6,CYP2A6,ATIC,ABCC1,ABCC2,ABCC4,ABCG2,AKT1,AKT2,AKT3,ARID1A,CCND1,CDK8,CEBPA,CXCR4,CYP1A2,CYP1B1,CYP2C19,CYP2C8,CYP3A4,CYP3A5,DHFR,DNMT3A,DPYD,ERCC2,FBXW7,FH,GATA2,GATA4,GNA11,GNA13,GNAQ,GNAS,GSTP1,HNF1A,HSD3B1,IDH1,IDH2,IGF1R/IGFR,IGF2R,INPP4B,IRS2,KDM5A,MED12,MEF2B,MTHFR,MTOR,MYC,NFE2L2,NKX2-1,PARP1,PARP2,PARP3,PIK3C2B,PIK3CA,PIK3CB,PIK3CG,PIK3R1,PIK3R2,PPP2R1A,RANBP2,RPTOR,SDHB,SDHC,SDHD,SETD2,SLC19A1,SLCO1B3,SMARCA4,SMARCB1,SMARCD1,STK11,TET2,TPMT,TSC1,TSC2,TYMS,UGT1A1,UMPS,SDHAF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PrEx>
        <w:trPr>
          <w:jc w:val="center"/>
        </w:trPr>
        <w:tc>
          <w:tcPr>
            <w:tcW w:w="1985" w:type="dxa"/>
            <w:vMerge w:val="continue"/>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根据Warburg理论，肿瘤发生有且仅有一个最初原因，即正常细胞的氧化呼吸被糖类物质发酵所取代。肿瘤细胞用糖酵解替代正常组织细胞的氧化磷酸化，以维持细胞内正常的ATP和NADH水平。ATP和NADH是生物大分子合成、生物膜整合、离子浓度维持和DNA合成所必需的。肿瘤细胞除了对糖酵解的依赖外，也需要谷氨酰胺，它可以为三羧酸循环提供草酰乙酸等能源性前体物质，从而激活磷酸戊糖途径。基因突变可能是代谢和能量失衡的结果或补偿性反应。HIF1-</w:t>
            </w:r>
            <w:r>
              <w:rPr>
                <w:rFonts w:ascii="Times New Roman" w:hAnsi="Times New Roman" w:eastAsia="微软雅黑" w:cs="Times New Roman"/>
                <w:sz w:val="16"/>
                <w:szCs w:val="16"/>
                <w:highlight w:val="none"/>
              </w:rPr>
              <w:t>α</w:t>
            </w:r>
            <w:r>
              <w:rPr>
                <w:rFonts w:ascii="Times New Roman" w:hAnsi="Times New Roman" w:eastAsia="微软雅黑" w:cs="Times New Roman"/>
                <w:sz w:val="16"/>
                <w:szCs w:val="16"/>
                <w:highlight w:val="none"/>
                <w:lang w:eastAsia="zh-CN"/>
              </w:rPr>
              <w:t>、c-myc、ras、IGF-1和PI3K/Akt/mTOR，IDH1/2等信号分子在糖酵解代谢中发挥了重要作用。针对能量代谢相关信号及分子的靶向药物正广泛应用于临床。经典的致瘤信号通路常常和能量代谢通路交联，如PI3K/AKT和mTOR通路，信号通路抑制和能量限制联合治疗已成为热门治疗方案</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54</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59</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56" w:name="_Toc13246_WPSOffice_Level1"/>
      <w:bookmarkStart w:id="157" w:name="_Toc17668_WPSOffice_Level1"/>
      <w:bookmarkStart w:id="158" w:name="_Toc8985_WPSOffice_Level1"/>
      <w:bookmarkStart w:id="159" w:name="_Toc23413_WPSOffice_Level1"/>
      <w:bookmarkStart w:id="160" w:name="_Toc17621_WPSOffice_Level1"/>
      <w:bookmarkStart w:id="161" w:name="_Toc5106_WPSOffice_Level1"/>
      <w:bookmarkStart w:id="162" w:name="_Toc2613_WPSOffice_Level1"/>
      <w:bookmarkStart w:id="163" w:name="_Toc12118_WPSOffice_Level1"/>
      <w:r>
        <w:rPr>
          <w:rFonts w:ascii="Times New Roman" w:hAnsi="Times New Roman" w:eastAsia="微软雅黑" w:cs="Times New Roman"/>
          <w:b/>
          <w:bCs/>
          <w:color w:val="416AAB"/>
          <w:sz w:val="24"/>
          <w:szCs w:val="24"/>
          <w:highlight w:val="none"/>
          <w:lang w:eastAsia="zh-CN"/>
        </w:rPr>
        <w:t>肿瘤干细胞相关通路</w:t>
      </w:r>
      <w:bookmarkEnd w:id="156"/>
      <w:bookmarkEnd w:id="157"/>
      <w:bookmarkEnd w:id="158"/>
      <w:bookmarkEnd w:id="159"/>
      <w:bookmarkEnd w:id="160"/>
      <w:bookmarkEnd w:id="161"/>
      <w:bookmarkEnd w:id="162"/>
      <w:bookmarkEnd w:id="163"/>
    </w:p>
    <w:tbl>
      <w:tblPr>
        <w:tblStyle w:val="12"/>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Hippo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Hippo信号通路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“TP53,GLI2,CCND3,AXIN1,AXIN2,BMPR1A,CCND1,CCND2,CDH1,CTNNA1,CTNNB1,GSK3B,MYC,NF2,PPP2R1A,PRKCI,SMAD2,SMAD3,SMAD4,SOX2,TGFBR2”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Hippo是一种丝氨酸/苏氨酸激酶，属于Step20样激酶家族，在进化过程中高度保守。Hippo信号通路成员包括其哺乳动物中同源物MST1/2，辅因子salvador以及激酶LATS1/2在细胞浓度过高时，Hippo信号通路经过磷酸级联反应使转录辅助因子YAP与TAZ的作用受到抑制，导致促进细胞增殖和抑制细胞凋亡的基因不能转录。Hippo信号通路在胚胎发育中对细胞的生长分化、组织器官大小和体积以及成体干细胞特性的维持和自稳态的保持等方面具有重要作用。同时，Hippo信号通路与Wnt信号通路、Notch信号通路等密切相关，在肿瘤（如肺癌、结直肠癌、乳腺癌、肝癌等）的发生、发展过程中也起到关键作用</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60</w:t>
            </w:r>
            <w:r>
              <w:rPr>
                <w:rFonts w:ascii="Times New Roman" w:hAnsi="Times New Roman" w:eastAsia="微软雅黑" w:cs="Times New Roman"/>
                <w:i/>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63</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Stem cell markers</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and differentiation</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干细胞标</w:t>
            </w:r>
            <w:r>
              <w:rPr>
                <w:rFonts w:ascii="Times New Roman" w:hAnsi="Times New Roman" w:eastAsia="微软雅黑" w:cs="Times New Roman"/>
                <w:bCs/>
                <w:sz w:val="16"/>
                <w:szCs w:val="16"/>
                <w:highlight w:val="none"/>
                <w:lang w:eastAsia="zh-CN"/>
              </w:rPr>
              <w:t>记</w:t>
            </w:r>
            <w:r>
              <w:rPr>
                <w:rFonts w:ascii="Times New Roman" w:hAnsi="Times New Roman" w:eastAsia="微软雅黑" w:cs="Times New Roman"/>
                <w:bCs/>
                <w:sz w:val="16"/>
                <w:szCs w:val="16"/>
                <w:highlight w:val="none"/>
              </w:rPr>
              <w:t>和分化信号通路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“APC,AXL,BCOR,BCORL1,CBL,EPHA7,EZH2,GATA4,GATA6,GNA11,GNA13,GNAS,HNF1A,KAT6A,KDM6A,MITF,PIK3C2B,SMAD2,SMAD3,SMAD4,SOX2,TBX3”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rPr>
            </w:pPr>
            <w:r>
              <w:rPr>
                <w:rFonts w:ascii="Times New Roman" w:hAnsi="Times New Roman" w:eastAsia="微软雅黑" w:cs="Times New Roman"/>
                <w:sz w:val="16"/>
                <w:szCs w:val="16"/>
                <w:highlight w:val="none"/>
                <w:lang w:eastAsia="zh-CN"/>
              </w:rPr>
              <w:t>干细胞是一类具有自我更新能力及多向分化潜能的细胞群体，根据干细胞发生来源可分为胚胎干细胞和成体干细胞。胚胎干细胞具有发育全能性，理论上可以诱导分化为机体中所有类型的细胞。Oct4、Sox2及Nanog转录因子及PcG蛋白家族成员EZH2在程序性控制胚胎干细胞基因表达及保持多潜能性过程中起着关键的作用。通过SMAD2/3/4介导的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信号通路和FGFR介导的MAPK、Akt信号通路与人胚胎干细胞的多分化潜能及自我更新能力有关。</w:t>
            </w:r>
            <w:r>
              <w:rPr>
                <w:rFonts w:ascii="Times New Roman" w:hAnsi="Times New Roman" w:eastAsia="微软雅黑" w:cs="Times New Roman"/>
                <w:sz w:val="16"/>
                <w:szCs w:val="16"/>
                <w:highlight w:val="none"/>
              </w:rPr>
              <w:t>研究表明，LIF/JAK/STAT3和Wnt/β-catenin信号通路与胚胎干细胞的自我更新和多潜能性以及肿瘤的发生有密切关系，在多种肿瘤中发现与胚胎发育相关的Wnt、Notch和Hedgehog等信号途径的异常活化</w:t>
            </w:r>
            <w:r>
              <w:rPr>
                <w:rFonts w:ascii="Times New Roman" w:hAnsi="Times New Roman" w:eastAsia="微软雅黑" w:cs="Times New Roman"/>
                <w:sz w:val="16"/>
                <w:szCs w:val="16"/>
                <w:highlight w:val="none"/>
                <w:vertAlign w:val="superscript"/>
              </w:rPr>
              <w:t>[2</w:t>
            </w:r>
            <w:r>
              <w:rPr>
                <w:rFonts w:hint="eastAsia" w:ascii="Times New Roman" w:hAnsi="Times New Roman" w:eastAsia="微软雅黑" w:cs="Times New Roman"/>
                <w:sz w:val="16"/>
                <w:szCs w:val="16"/>
                <w:highlight w:val="none"/>
                <w:vertAlign w:val="superscript"/>
                <w:lang w:val="en-US" w:eastAsia="zh-CN"/>
              </w:rPr>
              <w:t>64</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rPr>
              <w:t>2</w:t>
            </w:r>
            <w:r>
              <w:rPr>
                <w:rFonts w:hint="eastAsia" w:ascii="Times New Roman" w:hAnsi="Times New Roman" w:eastAsia="微软雅黑" w:cs="Times New Roman"/>
                <w:sz w:val="16"/>
                <w:szCs w:val="16"/>
                <w:highlight w:val="none"/>
                <w:vertAlign w:val="superscript"/>
                <w:lang w:val="en-US" w:eastAsia="zh-CN"/>
              </w:rPr>
              <w:t>67</w:t>
            </w:r>
            <w:r>
              <w:rPr>
                <w:rFonts w:ascii="Times New Roman" w:hAnsi="Times New Roman" w:eastAsia="微软雅黑" w:cs="Times New Roman"/>
                <w:sz w:val="16"/>
                <w:szCs w:val="16"/>
                <w:highlight w:val="none"/>
                <w:vertAlign w:val="superscript"/>
              </w:rPr>
              <w:t>]</w:t>
            </w:r>
            <w:r>
              <w:rPr>
                <w:rFonts w:ascii="Times New Roman" w:hAnsi="Times New Roman" w:eastAsia="微软雅黑" w:cs="Times New Roman"/>
                <w:sz w:val="16"/>
                <w:szCs w:val="16"/>
                <w:highlight w:val="none"/>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sz w:val="16"/>
                <w:szCs w:val="16"/>
                <w:highlight w:val="none"/>
              </w:rPr>
            </w:pPr>
            <w:r>
              <w:rPr>
                <w:rFonts w:ascii="Times New Roman" w:hAnsi="Times New Roman" w:eastAsia="微软雅黑" w:cs="Times New Roman"/>
                <w:sz w:val="16"/>
                <w:szCs w:val="16"/>
                <w:highlight w:val="none"/>
              </w:rPr>
              <w:t>Wnt signaling</w:t>
            </w:r>
          </w:p>
          <w:p>
            <w:pPr>
              <w:jc w:val="center"/>
              <w:rPr>
                <w:rFonts w:ascii="Times New Roman" w:hAnsi="Times New Roman" w:eastAsia="微软雅黑" w:cs="Times New Roman"/>
                <w:sz w:val="16"/>
                <w:szCs w:val="16"/>
                <w:highlight w:val="none"/>
              </w:rPr>
            </w:pPr>
            <w:r>
              <w:rPr>
                <w:rFonts w:ascii="Times New Roman" w:hAnsi="Times New Roman" w:eastAsia="微软雅黑" w:cs="Times New Roman"/>
                <w:sz w:val="16"/>
                <w:szCs w:val="16"/>
                <w:highlight w:val="none"/>
              </w:rPr>
              <w:t>pathway</w:t>
            </w:r>
          </w:p>
          <w:p>
            <w:pPr>
              <w:jc w:val="center"/>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rPr>
              <w:t>Wnt 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“TP53,EP300,CCND3,AR,AMER1,APC,AXIN1,AXIN2,CCND1,CCND2,CDC73,CDK8,CREBBP,CTNNA1,CTNNB1,CUL3,CYLD,FOXP1,GATA6,GNA11,GNA13,GNAS,GSK3B,HNF1A,JUN,KMT2D,MED12,MITF,MYC,PAX5,PPP2R1A,PTCH1,RAC1,SMAD2,SMAD3,SMAD4,SMARCA4,SOX9,SRC,TERT,WISP3,WT1,XPO1”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spacing w:before="12"/>
              <w:jc w:val="both"/>
              <w:rPr>
                <w:rFonts w:ascii="Times New Roman" w:hAnsi="Times New Roman" w:eastAsia="微软雅黑" w:cs="Times New Roman"/>
                <w:color w:val="000000" w:themeColor="text1"/>
                <w:sz w:val="16"/>
                <w:szCs w:val="16"/>
                <w:highlight w:val="none"/>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nt信号通路是一种在进化上保守的信号转导途径，在动物胚胎早期发育、器官形成、组织再生和其它生理过程中具有至关重要的作用。Wnt是一类分泌型糖蛋白，分泌后能与细胞表面特异性受体相互作用，通过下游一系列蛋白的磷酸化与去磷酸化，能引起胞内</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-catenin 积累，然后</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-catenin可进入细胞核调节靶基因表达。Wnt在正常成熟的细胞中处于关闭状态，但在人类肿瘤特别是消化系统肿瘤中常发现Wnt信号的异常激活。Wnt与受体Frz作用产生的信号可通过经典Wnt途径、PCP途径及Wnt/Ca</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途径传递到细胞核。在Wnt信号通路中，Wnt、Frz及</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-catenin是正调控因素，Axin、APC、GSK-3</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、泛素等则是负调控因素。与该通路相关的疾病包括家族性腺瘤样息肉病、结直肠癌、乳腺癌、胰腺癌、非小细胞肺癌、黑色素瘤、肝细胞癌、脊髓母细胞瘤等。</w:t>
            </w:r>
            <w:r>
              <w:rPr>
                <w:rFonts w:ascii="Times New Roman" w:hAnsi="Times New Roman" w:eastAsia="微软雅黑" w:cs="Times New Roman"/>
                <w:color w:val="000000" w:themeColor="text1"/>
                <w:sz w:val="16"/>
                <w:szCs w:val="16"/>
                <w:highlight w:val="none"/>
                <w14:textFill>
                  <w14:solidFill>
                    <w14:schemeClr w14:val="tx1"/>
                  </w14:solidFill>
                </w14:textFill>
              </w:rPr>
              <w:t>目前靶向Wnt信号通路的药物如LGK-974、Vantictumab等大多处于早期临床试验阶段</w:t>
            </w:r>
            <w:r>
              <w:rPr>
                <w:rFonts w:ascii="Times New Roman" w:hAnsi="Times New Roman" w:eastAsia="微软雅黑" w:cs="Times New Roman"/>
                <w:color w:val="000000" w:themeColor="text1"/>
                <w:sz w:val="16"/>
                <w:szCs w:val="16"/>
                <w:highlight w:val="none"/>
                <w:vertAlign w:val="superscript"/>
                <w14:textFill>
                  <w14:solidFill>
                    <w14:schemeClr w14:val="tx1"/>
                  </w14:solidFill>
                </w14:textFill>
              </w:rPr>
              <w:t>[2</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68</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vertAlign w:val="superscript"/>
                <w14:textFill>
                  <w14:solidFill>
                    <w14:schemeClr w14:val="tx1"/>
                  </w14:solidFill>
                </w14:textFill>
              </w:rPr>
              <w:t>2</w:t>
            </w:r>
            <w:r>
              <w:rPr>
                <w:rFonts w:hint="eastAsia" w:ascii="Times New Roman" w:hAnsi="Times New Roman" w:eastAsia="微软雅黑" w:cs="Times New Roman"/>
                <w:color w:val="000000" w:themeColor="text1"/>
                <w:sz w:val="16"/>
                <w:szCs w:val="16"/>
                <w:highlight w:val="none"/>
                <w:vertAlign w:val="superscript"/>
                <w:lang w:val="en-US" w:eastAsia="zh-CN"/>
                <w14:textFill>
                  <w14:solidFill>
                    <w14:schemeClr w14:val="tx1"/>
                  </w14:solidFill>
                </w14:textFill>
              </w:rPr>
              <w:t>72</w:t>
            </w:r>
            <w:r>
              <w:rPr>
                <w:rFonts w:ascii="Times New Roman" w:hAnsi="Times New Roman" w:eastAsia="微软雅黑" w:cs="Times New Roman"/>
                <w:color w:val="000000" w:themeColor="text1"/>
                <w:sz w:val="16"/>
                <w:szCs w:val="16"/>
                <w:highlight w:val="none"/>
                <w:vertAlign w:val="superscript"/>
                <w14:textFill>
                  <w14:solidFill>
                    <w14:schemeClr w14:val="tx1"/>
                  </w14:solidFill>
                </w14:textFill>
              </w:rPr>
              <w:t>]</w:t>
            </w:r>
            <w:r>
              <w:rPr>
                <w:rFonts w:ascii="Times New Roman" w:hAnsi="Times New Roman" w:eastAsia="微软雅黑" w:cs="Times New Roman"/>
                <w:color w:val="000000" w:themeColor="text1"/>
                <w:sz w:val="16"/>
                <w:szCs w:val="16"/>
                <w:highlight w:val="none"/>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Notch signaling</w:t>
            </w:r>
          </w:p>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pathway</w:t>
            </w:r>
          </w:p>
          <w:p>
            <w:pPr>
              <w:spacing w:before="12"/>
              <w:ind w:right="-148"/>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Notch信号通路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“NOTCH1,GATA3,EP300,AR,AMER1,BCL6,CBL,CDC73,CDK8,CREBBP,FBXW7,FOXP1,GATA1,GATA4,GATA6,H3F3A,HDAC1,HDAC2,HNF1A,MYCN,NOTCH2,NOTCH3,NOTCH4,PARP1,PAX5,PTCH1,REL,SNAI1,SPEN”</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Notch信号通路是一个进化过程中高度保守的信号通路，介导细胞和细胞之间的直接接触，具有调控细胞增殖、分化和凋亡的功能，且在维持肿瘤的干细胞特性方面发挥重要作用。该通路由Notch受体、Notch配体、细胞内效应分子、DNA结合蛋白及Notch的调节分子等组成。当Notch配体与受体结合后，受体相继发生两次蛋白水解，受体胞内区域(NICD)被水解下并转移至细胞核内，并与下游的转录因子CSL结合，构成转录活化复合体从而启动转录。该通路在干细胞中与Wnt、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Her-2等多个信号通路存在交互作用。研究发现，皮肤癌、肝癌、脑肿瘤、乳腺癌、子宫内膜癌、卵巢癌、肺癌、胰腺癌、前列腺癌等肿瘤都与Notch信号通路活性的改变相关，但表现形式不一。Notch信号通路对皮肤癌、肝癌表现为抑癌作用，而对脑肿瘤、乳腺癌则起促癌作用。靶向Notch信号通路的药物包括针对Notch受体及配体的单抗类药物及针对转录活化复合体的抑制剂等</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73</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76</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Hedgehog signaling</w:t>
            </w:r>
          </w:p>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pathway</w:t>
            </w:r>
          </w:p>
          <w:p>
            <w:pPr>
              <w:spacing w:before="12"/>
              <w:ind w:right="-147" w:rightChars="-67"/>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Hedgehog信号通路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“PTCH2,GLI2,AMER1,CDC73,FOXP1,GATA6,GLI1,GNA11,GNA13,GNAQ,GNAS,GSK3B,PAX5,PTCH1,SMO,SPOP,SUFU,XPO1”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rPr>
              <w:t>Hedgehog(Hh)信号通路主要由分泌型糖蛋白配体Hedgehog、跨膜蛋白受体Ptched(Ptch)、跨膜蛋白Smoothened(Smo)、核转录因子Gli蛋白及下游靶基因组成，在胚胎时期的血管生成，干细胞分化，免疫细胞以及胚胎发育、器官形成等过程中扮演重要角色。</w:t>
            </w:r>
            <w:r>
              <w:rPr>
                <w:rFonts w:ascii="Times New Roman" w:hAnsi="Times New Roman" w:eastAsia="微软雅黑" w:cs="Times New Roman"/>
                <w:sz w:val="16"/>
                <w:szCs w:val="16"/>
                <w:highlight w:val="none"/>
                <w:lang w:eastAsia="zh-CN"/>
              </w:rPr>
              <w:t>Hh、Smo、Gli作为激动因子，发挥正调控作用；Ptch作为抑制因子，发挥负调控作用。研究发现，Hh信号通路在皮肤基底细胞癌、髓母细胞瘤、肺癌、消化道肿瘤、乳腺癌、前列腺癌、卵巢癌、子宫内膜癌等多种肿瘤组织中都存在着异常激活，并与肿瘤的增殖分化、细胞凋亡、血管新生、侵袭转移等密切相关，提示异常激活的Hh 信号通路与肿瘤发生、发展过密切相关。靶向Hh 信号通路的药物包括Shh 抑制剂、Smo 抑制剂、乙醇脱氢酶7(Adh7) 及Gli 转录抑制剂等。靶向SMO的抑制剂是研究的热点，其中Vismodegib已被FDA批准用于转移皮肤基底细胞癌的治疗</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77</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80</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bl>
    <w:p>
      <w:pPr>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64" w:name="_Toc25338_WPSOffice_Level1"/>
      <w:bookmarkStart w:id="165" w:name="_Toc6654_WPSOffice_Level1"/>
      <w:bookmarkStart w:id="166" w:name="_Toc2334_WPSOffice_Level1"/>
      <w:bookmarkStart w:id="167" w:name="_Toc5840_WPSOffice_Level1"/>
      <w:bookmarkStart w:id="168" w:name="_Toc6074_WPSOffice_Level1"/>
      <w:bookmarkStart w:id="169" w:name="_Toc9468_WPSOffice_Level1"/>
      <w:bookmarkStart w:id="170" w:name="_Toc12027_WPSOffice_Level1"/>
      <w:bookmarkStart w:id="171" w:name="_Toc24337_WPSOffice_Level1"/>
      <w:r>
        <w:rPr>
          <w:rFonts w:ascii="Times New Roman" w:hAnsi="Times New Roman" w:eastAsia="微软雅黑" w:cs="Times New Roman"/>
          <w:b/>
          <w:bCs/>
          <w:color w:val="416AAB"/>
          <w:sz w:val="24"/>
          <w:szCs w:val="24"/>
          <w:highlight w:val="none"/>
          <w:lang w:eastAsia="zh-CN"/>
        </w:rPr>
        <w:t>表观遗传相关通路</w:t>
      </w:r>
      <w:bookmarkEnd w:id="164"/>
      <w:bookmarkEnd w:id="165"/>
      <w:bookmarkEnd w:id="166"/>
      <w:bookmarkEnd w:id="167"/>
      <w:bookmarkEnd w:id="168"/>
      <w:bookmarkEnd w:id="169"/>
      <w:bookmarkEnd w:id="170"/>
      <w:bookmarkEnd w:id="171"/>
    </w:p>
    <w:tbl>
      <w:tblPr>
        <w:tblStyle w:val="12"/>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trHeight w:val="671" w:hRule="atLeast"/>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Epigenetic</w:t>
            </w:r>
            <w:r>
              <w:rPr>
                <w:rFonts w:ascii="Times New Roman" w:hAnsi="Times New Roman" w:eastAsia="微软雅黑" w:cs="Times New Roman"/>
                <w:bCs/>
                <w:sz w:val="16"/>
                <w:szCs w:val="16"/>
                <w:highlight w:val="none"/>
                <w:lang w:eastAsia="zh-CN"/>
              </w:rPr>
              <w:t xml:space="preserve"> </w:t>
            </w:r>
            <w:r>
              <w:rPr>
                <w:rFonts w:ascii="Times New Roman" w:hAnsi="Times New Roman" w:eastAsia="微软雅黑" w:cs="Times New Roman"/>
                <w:bCs/>
                <w:sz w:val="16"/>
                <w:szCs w:val="16"/>
                <w:highlight w:val="none"/>
              </w:rPr>
              <w:t>changes</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signaling pathway</w:t>
            </w:r>
          </w:p>
          <w:p>
            <w:pPr>
              <w:jc w:val="center"/>
              <w:rPr>
                <w:rFonts w:ascii="Times New Roman" w:hAnsi="Times New Roman" w:eastAsia="微软雅黑" w:cs="Times New Roman"/>
                <w:b/>
                <w:sz w:val="16"/>
                <w:szCs w:val="16"/>
                <w:highlight w:val="none"/>
                <w:lang w:eastAsia="zh-CN"/>
              </w:rPr>
            </w:pPr>
            <w:r>
              <w:rPr>
                <w:rFonts w:ascii="Times New Roman" w:hAnsi="Times New Roman" w:eastAsia="微软雅黑" w:cs="Times New Roman"/>
                <w:bCs/>
                <w:sz w:val="16"/>
                <w:szCs w:val="16"/>
                <w:highlight w:val="none"/>
              </w:rPr>
              <w:t>表观遗传变化信号通路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“TAF1,EP300,CHD4,ARID1A,ARID2,BRD4,C8orf34,CHD2,DICER1,DNMT3A,ERCC2,EWSR1,EZH2,HDAC1,HDAC2,KAT6A/MYST3,KDM5A,KDM5C,KDM6A,KMT2A,KMT2C,KMT2D,MED12,MEN1,QKI,SMARCA4,SMARCB1,SMARCD1,TOP2A”</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表观遗传学是一门研究基因表达的学科，它是指基因表达的改变不依赖于基因序列的改变，而是依赖于DNA和组蛋白的化学修饰，包括乙酰化、甲基化、磷酸化、泛素化、ADP核糖基化等可影响基因的转录活性的修饰，目前表观遗传学概念还包括了非编码RNA(ncRNA)的范畴。肿瘤发生过程最常见的表观遗传学改变为抑癌基因启动子区CpG岛的甲基化，甲基化沉默相关基因表达可以影响相关肿瘤信号通路。表观遗传组学已成为肿瘤个体化治疗的新靶标，很多表观遗传学改变也可作为化疗药的敏感性标志物。表观遗传药物也已用于临床治疗，如DNA甲基转移酶抑制剂Decitabine和组蛋白去乙酰化酶抑制剂Vorinostat(SAHA)已用于肿瘤的治疗。目前，许多针对表观遗传调控关键分子的靶向药物正在进行临床试验</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81</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w:t>
            </w:r>
            <w:r>
              <w:rPr>
                <w:rFonts w:hint="eastAsia" w:ascii="Times New Roman" w:hAnsi="Times New Roman" w:eastAsia="微软雅黑" w:cs="Times New Roman"/>
                <w:sz w:val="16"/>
                <w:szCs w:val="16"/>
                <w:highlight w:val="none"/>
                <w:vertAlign w:val="superscript"/>
                <w:lang w:val="en-US" w:eastAsia="zh-CN"/>
              </w:rPr>
              <w:t>83</w:t>
            </w:r>
            <w:r>
              <w:rPr>
                <w:rFonts w:ascii="Times New Roman" w:hAnsi="Times New Roman" w:eastAsia="微软雅黑" w:cs="Times New Roman"/>
                <w:sz w:val="16"/>
                <w:szCs w:val="16"/>
                <w:highlight w:val="none"/>
                <w:vertAlign w:val="superscript"/>
                <w:lang w:eastAsia="zh-CN"/>
              </w:rPr>
              <w:t>]</w:t>
            </w:r>
            <w:r>
              <w:rPr>
                <w:rFonts w:ascii="Times New Roman" w:hAnsi="Times New Roman" w:eastAsia="微软雅黑" w:cs="Times New Roman"/>
                <w:sz w:val="16"/>
                <w:szCs w:val="16"/>
                <w:highlight w:val="none"/>
                <w:lang w:eastAsia="zh-CN"/>
              </w:rPr>
              <w:t>。</w:t>
            </w:r>
          </w:p>
        </w:tc>
      </w:tr>
    </w:tbl>
    <w:p>
      <w:pPr>
        <w:rPr>
          <w:rFonts w:ascii="Times New Roman" w:hAnsi="Times New Roman" w:eastAsia="微软雅黑" w:cs="Times New Roman"/>
          <w:sz w:val="24"/>
          <w:highlight w:val="none"/>
          <w:lang w:eastAsia="zh-CN"/>
        </w:rPr>
      </w:pPr>
      <w:r>
        <w:rPr>
          <w:rFonts w:ascii="Times New Roman" w:hAnsi="Times New Roman" w:eastAsia="微软雅黑" w:cs="Times New Roman"/>
          <w:sz w:val="24"/>
          <w:highlight w:val="none"/>
          <w:lang w:eastAsia="zh-CN"/>
        </w:rPr>
        <w:br w:type="page"/>
      </w:r>
    </w:p>
    <w:p>
      <w:pPr>
        <w:pStyle w:val="24"/>
        <w:rPr>
          <w:highlight w:val="none"/>
        </w:rPr>
      </w:pPr>
      <w:bookmarkStart w:id="172" w:name="_Toc22623_WPSOffice_Level1"/>
      <w:bookmarkStart w:id="173" w:name="_Toc3901626"/>
      <w:bookmarkStart w:id="174" w:name="_Toc17711_WPSOffice_Level1"/>
      <w:bookmarkStart w:id="175" w:name="_Toc20736_WPSOffice_Level1"/>
      <w:bookmarkStart w:id="176" w:name="_Toc26031_WPSOffice_Level1"/>
      <w:bookmarkStart w:id="177" w:name="_Toc27192_WPSOffice_Level1"/>
      <w:bookmarkStart w:id="178" w:name="_Toc17254_WPSOffice_Level1"/>
      <w:bookmarkStart w:id="179" w:name="_Toc3462"/>
      <w:bookmarkStart w:id="180" w:name="_Toc28807_WPSOffice_Level1"/>
      <w:r>
        <w:rPr>
          <w:highlight w:val="none"/>
        </w:rPr>
        <w:t>癌症相关的基因背景介绍</w:t>
      </w:r>
      <w:bookmarkEnd w:id="172"/>
      <w:bookmarkEnd w:id="173"/>
      <w:bookmarkEnd w:id="174"/>
      <w:bookmarkEnd w:id="175"/>
      <w:bookmarkEnd w:id="176"/>
      <w:bookmarkEnd w:id="177"/>
      <w:bookmarkEnd w:id="178"/>
      <w:bookmarkEnd w:id="179"/>
      <w:bookmarkEnd w:id="180"/>
    </w:p>
    <w:p>
      <w:pPr>
        <w:widowControl/>
        <w:rPr>
          <w:rFonts w:ascii="Times New Roman" w:hAnsi="Times New Roman" w:eastAsia="微软雅黑" w:cs="Times New Roman"/>
          <w:b/>
          <w:bCs/>
          <w:color w:val="416AAB"/>
          <w:sz w:val="24"/>
          <w:szCs w:val="24"/>
          <w:highlight w:val="none"/>
          <w:lang w:eastAsia="zh-CN"/>
        </w:rPr>
      </w:pPr>
    </w:p>
    <w:p>
      <w:pPr>
        <w:widowControl/>
        <w:rPr>
          <w:rFonts w:ascii="Times New Roman" w:hAnsi="Times New Roman" w:eastAsia="微软雅黑" w:cs="Times New Roman"/>
          <w:b/>
          <w:bCs/>
          <w:color w:val="416AAB"/>
          <w:sz w:val="24"/>
          <w:szCs w:val="24"/>
          <w:highlight w:val="none"/>
          <w:lang w:eastAsia="zh-CN"/>
        </w:rPr>
      </w:pPr>
      <w:bookmarkStart w:id="181" w:name="_Toc31683_WPSOffice_Level1"/>
      <w:bookmarkStart w:id="182" w:name="_Toc10534_WPSOffice_Level1"/>
      <w:bookmarkStart w:id="183" w:name="_Toc24586_WPSOffice_Level1"/>
      <w:bookmarkStart w:id="184" w:name="_Toc11576_WPSOffice_Level1"/>
      <w:bookmarkStart w:id="185" w:name="_Toc18295_WPSOffice_Level1"/>
      <w:bookmarkStart w:id="186" w:name="_Toc25837_WPSOffice_Level1"/>
      <w:bookmarkStart w:id="187" w:name="_Toc18813_WPSOffice_Level1"/>
      <w:bookmarkStart w:id="188" w:name="_Toc18784_WPSOffice_Level1"/>
      <w:r>
        <w:rPr>
          <w:rFonts w:ascii="Times New Roman" w:hAnsi="Times New Roman" w:eastAsia="微软雅黑" w:cs="Times New Roman"/>
          <w:b/>
          <w:bCs/>
          <w:color w:val="416AAB"/>
          <w:sz w:val="24"/>
          <w:szCs w:val="24"/>
          <w:highlight w:val="none"/>
          <w:lang w:eastAsia="zh-CN"/>
        </w:rPr>
        <w:t>AKT1</w:t>
      </w:r>
      <w:bookmarkEnd w:id="181"/>
      <w:bookmarkEnd w:id="182"/>
      <w:bookmarkEnd w:id="183"/>
      <w:bookmarkEnd w:id="184"/>
      <w:bookmarkEnd w:id="185"/>
      <w:bookmarkEnd w:id="186"/>
      <w:bookmarkEnd w:id="187"/>
      <w:bookmarkEnd w:id="188"/>
      <w:r>
        <w:rPr>
          <w:rFonts w:ascii="Times New Roman" w:hAnsi="Times New Roman" w:eastAsia="微软雅黑" w:cs="Times New Roman"/>
          <w:b/>
          <w:bCs/>
          <w:color w:val="416AAB"/>
          <w:sz w:val="24"/>
          <w:szCs w:val="24"/>
          <w:highlight w:val="none"/>
          <w:lang w:eastAsia="zh-CN"/>
        </w:rPr>
        <w:t xml:space="preserve"> </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AKT1是丝氨酸-苏氨酸蛋白激酶家族的一个成员，该家族也包括AKT2和AKT3。AKT1在多个细胞生理流程中起关键作用，如生长、增殖、存活和血管形成。AKT1是磷脂酰肌醇3-激酶的下游媒介者（图示）。所有非小细胞肺癌患者（组织学观察为腺癌或鳞状细胞癌）中，1%携带有AKT1基因体细胞突变</w:t>
      </w:r>
      <w:r>
        <w:rPr>
          <w:rFonts w:ascii="Times New Roman" w:hAnsi="Times New Roman" w:eastAsia="微软雅黑" w:cs="Times New Roman"/>
          <w:bCs/>
          <w:sz w:val="18"/>
          <w:szCs w:val="18"/>
          <w:highlight w:val="none"/>
          <w:shd w:val="clear" w:color="auto" w:fill="FFFFFF"/>
          <w:vertAlign w:val="superscript"/>
          <w:lang w:eastAsia="zh-CN"/>
        </w:rPr>
        <w:t>[1-3]</w:t>
      </w:r>
      <w:r>
        <w:rPr>
          <w:rFonts w:ascii="Times New Roman" w:hAnsi="Times New Roman" w:eastAsia="微软雅黑" w:cs="Times New Roman"/>
          <w:bCs/>
          <w:sz w:val="18"/>
          <w:szCs w:val="18"/>
          <w:highlight w:val="none"/>
          <w:shd w:val="clear" w:color="auto" w:fill="FFFFFF"/>
          <w:lang w:eastAsia="zh-CN"/>
        </w:rPr>
        <w:t>。临床前的体外和体内研究表明，细胞中存在AKT1基因突变将导致细胞发生转化</w:t>
      </w:r>
      <w:r>
        <w:rPr>
          <w:rFonts w:ascii="Times New Roman" w:hAnsi="Times New Roman" w:eastAsia="微软雅黑" w:cs="Times New Roman"/>
          <w:bCs/>
          <w:sz w:val="18"/>
          <w:szCs w:val="18"/>
          <w:highlight w:val="none"/>
          <w:shd w:val="clear" w:color="auto" w:fill="FFFFFF"/>
          <w:vertAlign w:val="superscript"/>
          <w:lang w:eastAsia="zh-CN"/>
        </w:rPr>
        <w:t>[4]</w:t>
      </w:r>
      <w:r>
        <w:rPr>
          <w:rFonts w:ascii="Times New Roman" w:hAnsi="Times New Roman" w:eastAsia="微软雅黑" w:cs="Times New Roman"/>
          <w:bCs/>
          <w:sz w:val="18"/>
          <w:szCs w:val="18"/>
          <w:highlight w:val="none"/>
          <w:shd w:val="clear" w:color="auto" w:fill="FFFFFF"/>
          <w:lang w:eastAsia="zh-CN"/>
        </w:rPr>
        <w:t>。存在AKT1基因突变的肺癌患者的临床特征还有待详细阐述。绝大多数情况AKT1基因突变并不与其它原癌基因突变如EGFR突变、ALK重排等同时出现。</w:t>
      </w:r>
    </w:p>
    <w:p>
      <w:pPr>
        <w:spacing w:line="276" w:lineRule="auto"/>
        <w:ind w:firstLine="44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highlight w:val="none"/>
          <w:lang w:eastAsia="zh-CN"/>
        </w:rPr>
        <w:drawing>
          <wp:anchor distT="0" distB="0" distL="114300" distR="114300" simplePos="0" relativeHeight="251673600" behindDoc="0" locked="0" layoutInCell="1" allowOverlap="0">
            <wp:simplePos x="0" y="0"/>
            <wp:positionH relativeFrom="margin">
              <wp:posOffset>2098040</wp:posOffset>
            </wp:positionH>
            <wp:positionV relativeFrom="paragraph">
              <wp:posOffset>61595</wp:posOffset>
            </wp:positionV>
            <wp:extent cx="2084705" cy="2858135"/>
            <wp:effectExtent l="0" t="0" r="3175" b="6985"/>
            <wp:wrapNone/>
            <wp:docPr id="14580" name="Picture 14580"/>
            <wp:cNvGraphicFramePr/>
            <a:graphic xmlns:a="http://schemas.openxmlformats.org/drawingml/2006/main">
              <a:graphicData uri="http://schemas.openxmlformats.org/drawingml/2006/picture">
                <pic:pic xmlns:pic="http://schemas.openxmlformats.org/drawingml/2006/picture">
                  <pic:nvPicPr>
                    <pic:cNvPr id="14580" name="Picture 14580"/>
                    <pic:cNvPicPr/>
                  </pic:nvPicPr>
                  <pic:blipFill>
                    <a:blip r:embed="rId9">
                      <a:extLst>
                        <a:ext uri="{28A0092B-C50C-407E-A947-70E740481C1C}">
                          <a14:useLocalDpi xmlns:a14="http://schemas.microsoft.com/office/drawing/2010/main" val="0"/>
                        </a:ext>
                      </a:extLst>
                    </a:blip>
                    <a:stretch>
                      <a:fillRect/>
                    </a:stretch>
                  </pic:blipFill>
                  <pic:spPr>
                    <a:xfrm>
                      <a:off x="0" y="0"/>
                      <a:ext cx="2084400" cy="2858400"/>
                    </a:xfrm>
                    <a:prstGeom prst="rect">
                      <a:avLst/>
                    </a:prstGeom>
                  </pic:spPr>
                </pic:pic>
              </a:graphicData>
            </a:graphic>
          </wp:anchor>
        </w:drawing>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59" w:lineRule="auto"/>
        <w:ind w:left="992" w:leftChars="451" w:right="1683" w:rightChars="765" w:firstLine="140" w:firstLineChars="64"/>
        <w:jc w:val="center"/>
        <w:rPr>
          <w:rFonts w:ascii="Times New Roman" w:hAnsi="Times New Roman" w:eastAsia="微软雅黑" w:cs="Times New Roman"/>
          <w:highlight w:val="none"/>
          <w:lang w:eastAsia="zh-CN"/>
        </w:rPr>
      </w:pPr>
    </w:p>
    <w:p>
      <w:pPr>
        <w:spacing w:line="400" w:lineRule="exact"/>
        <w:ind w:left="992" w:leftChars="451" w:right="1683" w:rightChars="765" w:firstLine="115" w:firstLineChars="64"/>
        <w:jc w:val="center"/>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spacing w:line="276" w:lineRule="auto"/>
        <w:ind w:firstLine="360" w:firstLineChars="200"/>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图示： AKT参与的MAPK和PI3K信号通路。生长因子与酪氨酸激酶受体的结合导致MAPK（RAS-RAF-MEK-ERK）和PI3K（PI3K-AKT-mTOR）信号通路的激活。</w:t>
      </w:r>
    </w:p>
    <w:p>
      <w:pPr>
        <w:spacing w:line="276" w:lineRule="auto"/>
        <w:ind w:firstLine="360" w:firstLineChars="200"/>
        <w:jc w:val="both"/>
        <w:rPr>
          <w:rFonts w:ascii="Times New Roman" w:hAnsi="Times New Roman" w:eastAsia="微软雅黑" w:cs="Times New Roman"/>
          <w:sz w:val="18"/>
          <w:szCs w:val="18"/>
          <w:highlight w:val="none"/>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16"/>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Bleeker FE, Felicioni L, Buttitta F, Lamba S, Cardone L, Rodolfo M, Scarpa A, Leenstra S, Frattini M, Barbareschi M, Grammastro MD, Sciarrotta MG, Zanon C, Marchetti A, Bardelli A. AKT1(E17K) in human solid tumours. Oncogene. 2008, 27(42):5648-50.</w:t>
      </w:r>
    </w:p>
    <w:p>
      <w:pPr>
        <w:widowControl/>
        <w:numPr>
          <w:ilvl w:val="0"/>
          <w:numId w:val="16"/>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Do H, et al. Detection of the transforming AKT1 mutation E17K in non-small cell lung cancer by high resolution melting. BMC Res Notes. 2008, 1:14.</w:t>
      </w:r>
    </w:p>
    <w:p>
      <w:pPr>
        <w:widowControl/>
        <w:numPr>
          <w:ilvl w:val="0"/>
          <w:numId w:val="16"/>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Malanga D, et al. Activating E17K mutation in the gene encoding the protein kinase AKT1 in a subset of squamous cell carcinoma of the lung. Cell Cycle. 2008, 7(5):665-9.</w:t>
      </w:r>
    </w:p>
    <w:p>
      <w:pPr>
        <w:widowControl/>
        <w:numPr>
          <w:ilvl w:val="0"/>
          <w:numId w:val="16"/>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Carpten JD, et al. A transforming mutation in the pleckstrin homology domain of AKT1 in cancer. Nature. 2007, 448(7152):439-44.</w:t>
      </w:r>
    </w:p>
    <w:p>
      <w:pPr>
        <w:widowControl/>
        <w:ind w:left="992" w:leftChars="451" w:right="1683" w:rightChars="765" w:firstLine="140" w:firstLineChars="64"/>
        <w:jc w:val="center"/>
        <w:rPr>
          <w:rFonts w:ascii="Times New Roman" w:hAnsi="Times New Roman" w:eastAsia="微软雅黑" w:cs="Times New Roman"/>
          <w:highlight w:val="none"/>
        </w:rPr>
      </w:pPr>
      <w:r>
        <w:rPr>
          <w:rFonts w:ascii="Times New Roman" w:hAnsi="Times New Roman" w:eastAsia="微软雅黑" w:cs="Times New Roman"/>
          <w:highlight w:val="none"/>
        </w:rPr>
        <w:br w:type="page"/>
      </w:r>
    </w:p>
    <w:p>
      <w:pPr>
        <w:widowControl/>
        <w:rPr>
          <w:rFonts w:ascii="Times New Roman" w:hAnsi="Times New Roman" w:eastAsia="微软雅黑" w:cs="Times New Roman"/>
          <w:b/>
          <w:bCs/>
          <w:color w:val="416AAB"/>
          <w:sz w:val="24"/>
          <w:szCs w:val="24"/>
          <w:highlight w:val="none"/>
          <w:lang w:eastAsia="zh-CN"/>
        </w:rPr>
      </w:pPr>
      <w:bookmarkStart w:id="189" w:name="_Toc22167_WPSOffice_Level1"/>
      <w:bookmarkStart w:id="190" w:name="_Toc30144_WPSOffice_Level1"/>
      <w:bookmarkStart w:id="191" w:name="_Toc6504_WPSOffice_Level1"/>
      <w:bookmarkStart w:id="192" w:name="_Toc31152_WPSOffice_Level1"/>
      <w:bookmarkStart w:id="193" w:name="_Toc15930_WPSOffice_Level1"/>
      <w:bookmarkStart w:id="194" w:name="_Toc2455_WPSOffice_Level1"/>
      <w:bookmarkStart w:id="195" w:name="_Toc21844_WPSOffice_Level1"/>
      <w:bookmarkStart w:id="196" w:name="_Toc24581_WPSOffice_Level1"/>
      <w:r>
        <w:rPr>
          <w:rFonts w:ascii="Times New Roman" w:hAnsi="Times New Roman" w:eastAsia="微软雅黑" w:cs="Times New Roman"/>
          <w:b/>
          <w:bCs/>
          <w:color w:val="416AAB"/>
          <w:sz w:val="24"/>
          <w:szCs w:val="24"/>
          <w:highlight w:val="none"/>
          <w:lang w:eastAsia="zh-CN"/>
        </w:rPr>
        <w:t>BRAF</w:t>
      </w:r>
      <w:bookmarkEnd w:id="189"/>
      <w:bookmarkEnd w:id="190"/>
      <w:bookmarkEnd w:id="191"/>
      <w:bookmarkEnd w:id="192"/>
      <w:bookmarkEnd w:id="193"/>
      <w:bookmarkEnd w:id="194"/>
      <w:bookmarkEnd w:id="195"/>
      <w:bookmarkEnd w:id="196"/>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BRAF是丝氨酸-苏氨酸蛋白激酶家族的一员，其它成员包括 ARAF、BRAF和CRAF (RAF1)。</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RAF激酶是MAP激酶信号通路级联中的中心调节者，主要通过磷酸化和激活MEK起作用，这通常需要同源或异源RAF分子构成双体。作为MAP激酶通路的部分，RAF参与众多细胞生理过程，包括增殖、分化和转录调控。临床研究表明，BRAF突变体出现于多种癌症的发病过程，如黑色素瘤、非小细胞肺癌、结直肠癌、乳头状甲状腺癌和卵巢癌等。</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drawing>
          <wp:inline distT="0" distB="0" distL="0" distR="0">
            <wp:extent cx="2809875" cy="2476500"/>
            <wp:effectExtent l="0" t="0" r="9525" b="7620"/>
            <wp:docPr id="14949" name="Picture 14949"/>
            <wp:cNvGraphicFramePr/>
            <a:graphic xmlns:a="http://schemas.openxmlformats.org/drawingml/2006/main">
              <a:graphicData uri="http://schemas.openxmlformats.org/drawingml/2006/picture">
                <pic:pic xmlns:pic="http://schemas.openxmlformats.org/drawingml/2006/picture">
                  <pic:nvPicPr>
                    <pic:cNvPr id="14949" name="Picture 14949"/>
                    <pic:cNvPicPr/>
                  </pic:nvPicPr>
                  <pic:blipFill>
                    <a:blip r:embed="rId10"/>
                    <a:stretch>
                      <a:fillRect/>
                    </a:stretch>
                  </pic:blipFill>
                  <pic:spPr>
                    <a:xfrm>
                      <a:off x="0" y="0"/>
                      <a:ext cx="2809875" cy="2476500"/>
                    </a:xfrm>
                    <a:prstGeom prst="rect">
                      <a:avLst/>
                    </a:prstGeom>
                  </pic:spPr>
                </pic:pic>
              </a:graphicData>
            </a:graphic>
          </wp:inline>
        </w:drawing>
      </w:r>
    </w:p>
    <w:p>
      <w:pPr>
        <w:spacing w:line="276" w:lineRule="auto"/>
        <w:ind w:firstLine="360" w:firstLineChars="200"/>
        <w:jc w:val="center"/>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图示：甲状腺癌有丝分裂原活性蛋白激酶MAPK通路的活化。图中显示，BRAF突变体（BRAF*）可直接刺激MEK。BRAF的化学抑制剂如索拉非尼等可抑制其下游信号通路传递。</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spacing w:after="84" w:line="259" w:lineRule="auto"/>
        <w:rPr>
          <w:rFonts w:ascii="Times New Roman" w:hAnsi="Times New Roman" w:cs="Times New Roman"/>
          <w:sz w:val="15"/>
          <w:szCs w:val="15"/>
          <w:highlight w:val="none"/>
          <w:lang w:eastAsia="zh-CN"/>
        </w:rPr>
      </w:pPr>
      <w:r>
        <w:rPr>
          <w:rFonts w:ascii="Times New Roman" w:hAnsi="Times New Roman" w:cs="Times New Roman"/>
          <w:sz w:val="15"/>
          <w:szCs w:val="15"/>
          <w:highlight w:val="none"/>
        </w:rPr>
        <w:t xml:space="preserve">1. Davies H, et al. Mutations of the BRAF gene in human cancer. </w:t>
      </w:r>
      <w:r>
        <w:rPr>
          <w:rFonts w:ascii="Times New Roman" w:hAnsi="Times New Roman" w:cs="Times New Roman"/>
          <w:sz w:val="15"/>
          <w:szCs w:val="15"/>
          <w:highlight w:val="none"/>
          <w:lang w:eastAsia="zh-CN"/>
        </w:rPr>
        <w:t>Nature. 2002, 417(6892):949-54.</w:t>
      </w:r>
    </w:p>
    <w:p>
      <w:pPr>
        <w:rPr>
          <w:rFonts w:ascii="Times New Roman" w:hAnsi="Times New Roman" w:eastAsia="微软雅黑" w:cs="Times New Roman"/>
          <w:b/>
          <w:bCs/>
          <w:color w:val="416AAB"/>
          <w:sz w:val="24"/>
          <w:szCs w:val="24"/>
          <w:highlight w:val="none"/>
          <w:lang w:eastAsia="zh-CN"/>
        </w:rPr>
      </w:pPr>
      <w:r>
        <w:rPr>
          <w:rFonts w:ascii="Times New Roman" w:hAnsi="Times New Roman" w:eastAsia="微软雅黑" w:cs="Times New Roman"/>
          <w:b/>
          <w:bCs/>
          <w:color w:val="416AAB"/>
          <w:sz w:val="24"/>
          <w:szCs w:val="24"/>
          <w:highlight w:val="none"/>
          <w:lang w:eastAsia="zh-CN"/>
        </w:rPr>
        <w:br w:type="page"/>
      </w:r>
    </w:p>
    <w:p>
      <w:pPr>
        <w:widowControl/>
        <w:rPr>
          <w:rFonts w:ascii="Times New Roman" w:hAnsi="Times New Roman" w:eastAsia="微软雅黑" w:cs="Times New Roman"/>
          <w:b/>
          <w:bCs/>
          <w:color w:val="416AAB"/>
          <w:sz w:val="24"/>
          <w:szCs w:val="24"/>
          <w:highlight w:val="none"/>
          <w:lang w:eastAsia="zh-CN"/>
        </w:rPr>
      </w:pPr>
      <w:bookmarkStart w:id="197" w:name="_Toc26632_WPSOffice_Level1"/>
      <w:bookmarkStart w:id="198" w:name="_Toc6105_WPSOffice_Level1"/>
      <w:bookmarkStart w:id="199" w:name="_Toc10927_WPSOffice_Level1"/>
      <w:bookmarkStart w:id="200" w:name="_Toc21218_WPSOffice_Level1"/>
      <w:bookmarkStart w:id="201" w:name="_Toc30383_WPSOffice_Level1"/>
      <w:bookmarkStart w:id="202" w:name="_Toc18298_WPSOffice_Level1"/>
      <w:bookmarkStart w:id="203" w:name="_Toc17817_WPSOffice_Level1"/>
      <w:bookmarkStart w:id="204" w:name="_Toc3881_WPSOffice_Level1"/>
      <w:r>
        <w:rPr>
          <w:rFonts w:ascii="Times New Roman" w:hAnsi="Times New Roman" w:eastAsia="微软雅黑" w:cs="Times New Roman"/>
          <w:b/>
          <w:bCs/>
          <w:color w:val="416AAB"/>
          <w:sz w:val="24"/>
          <w:szCs w:val="24"/>
          <w:highlight w:val="none"/>
          <w:lang w:eastAsia="zh-CN"/>
        </w:rPr>
        <w:t>DDR2</w:t>
      </w:r>
      <w:bookmarkEnd w:id="197"/>
      <w:bookmarkEnd w:id="198"/>
      <w:bookmarkEnd w:id="199"/>
      <w:bookmarkEnd w:id="200"/>
      <w:bookmarkEnd w:id="201"/>
      <w:bookmarkEnd w:id="202"/>
      <w:bookmarkEnd w:id="203"/>
      <w:bookmarkEnd w:id="204"/>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盘状死亡受体(DDR2)是DDR酪氨酸激酶受体家族的成员，这类激酶被胶原蛋白而非肽生长因子激活（图示）；其在癌症细胞中的下游信号通路并不清晰，但可能通过SRC 和STAT信号通路。与整合受体相似，DDR2可能在调节细胞与胞外基质反应中起作用。</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临床研究表明，DDR2突变低频出现于一些癌症，如肾细胞癌、胶质母细胞瘤、子宫癌、结直肠癌；被报道出现频率最高是在鳞状细胞肺癌</w:t>
      </w:r>
      <w:r>
        <w:rPr>
          <w:rFonts w:ascii="Times New Roman" w:hAnsi="Times New Roman" w:eastAsia="微软雅黑" w:cs="Times New Roman"/>
          <w:bCs/>
          <w:sz w:val="18"/>
          <w:szCs w:val="18"/>
          <w:highlight w:val="none"/>
          <w:shd w:val="clear" w:color="auto" w:fill="FFFFFF"/>
          <w:vertAlign w:val="superscript"/>
          <w:lang w:eastAsia="zh-CN"/>
        </w:rPr>
        <w:t>[1]</w:t>
      </w:r>
      <w:r>
        <w:rPr>
          <w:rFonts w:ascii="Times New Roman" w:hAnsi="Times New Roman" w:eastAsia="微软雅黑" w:cs="Times New Roman"/>
          <w:bCs/>
          <w:sz w:val="18"/>
          <w:szCs w:val="18"/>
          <w:highlight w:val="none"/>
          <w:shd w:val="clear" w:color="auto" w:fill="FFFFFF"/>
          <w:lang w:eastAsia="zh-CN"/>
        </w:rPr>
        <w:t>。</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drawing>
          <wp:anchor distT="0" distB="0" distL="114300" distR="114300" simplePos="0" relativeHeight="251674624" behindDoc="0" locked="0" layoutInCell="1" allowOverlap="1">
            <wp:simplePos x="0" y="0"/>
            <wp:positionH relativeFrom="margin">
              <wp:align>center</wp:align>
            </wp:positionH>
            <wp:positionV relativeFrom="paragraph">
              <wp:posOffset>133985</wp:posOffset>
            </wp:positionV>
            <wp:extent cx="3924300" cy="2876550"/>
            <wp:effectExtent l="0" t="0" r="7620" b="3810"/>
            <wp:wrapNone/>
            <wp:docPr id="15278" name="Picture 15278"/>
            <wp:cNvGraphicFramePr/>
            <a:graphic xmlns:a="http://schemas.openxmlformats.org/drawingml/2006/main">
              <a:graphicData uri="http://schemas.openxmlformats.org/drawingml/2006/picture">
                <pic:pic xmlns:pic="http://schemas.openxmlformats.org/drawingml/2006/picture">
                  <pic:nvPicPr>
                    <pic:cNvPr id="15278" name="Picture 15278"/>
                    <pic:cNvPicPr/>
                  </pic:nvPicPr>
                  <pic:blipFill>
                    <a:blip r:embed="rId11">
                      <a:extLst>
                        <a:ext uri="{28A0092B-C50C-407E-A947-70E740481C1C}">
                          <a14:useLocalDpi xmlns:a14="http://schemas.microsoft.com/office/drawing/2010/main" val="0"/>
                        </a:ext>
                      </a:extLst>
                    </a:blip>
                    <a:stretch>
                      <a:fillRect/>
                    </a:stretch>
                  </pic:blipFill>
                  <pic:spPr>
                    <a:xfrm>
                      <a:off x="0" y="0"/>
                      <a:ext cx="3924300" cy="2876550"/>
                    </a:xfrm>
                    <a:prstGeom prst="rect">
                      <a:avLst/>
                    </a:prstGeom>
                  </pic:spPr>
                </pic:pic>
              </a:graphicData>
            </a:graphic>
          </wp:anchor>
        </w:drawing>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 DDR2的信号通路。胶原蛋白与DDR2的结合激活了下游的信号通路。</w:t>
      </w:r>
    </w:p>
    <w:p>
      <w:pPr>
        <w:rPr>
          <w:rFonts w:ascii="Times New Roman" w:hAnsi="Times New Roman" w:eastAsia="微软雅黑" w:cs="Times New Roman"/>
          <w:b/>
          <w:sz w:val="18"/>
          <w:highlight w:val="none"/>
          <w:shd w:val="clear" w:color="auto" w:fill="FFFFFF"/>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Hammerman, et al. Mutations in the DDR2 kinase gene identify a novel therapeutic target in squamous cell lung cancer. Cancer Discov. 2011, 1(1):78-89.</w:t>
      </w:r>
    </w:p>
    <w:p>
      <w:pPr>
        <w:widowControl/>
        <w:rPr>
          <w:rFonts w:ascii="Times New Roman" w:hAnsi="Times New Roman" w:eastAsia="微软雅黑" w:cs="Times New Roman"/>
          <w:b/>
          <w:bCs/>
          <w:color w:val="416AAB"/>
          <w:sz w:val="24"/>
          <w:szCs w:val="24"/>
          <w:highlight w:val="none"/>
          <w:lang w:eastAsia="zh-CN"/>
        </w:rPr>
      </w:pPr>
      <w:r>
        <w:rPr>
          <w:rFonts w:ascii="Times New Roman" w:hAnsi="Times New Roman" w:eastAsia="微软雅黑" w:cs="Times New Roman"/>
          <w:bCs/>
          <w:sz w:val="18"/>
          <w:szCs w:val="18"/>
          <w:highlight w:val="none"/>
          <w:shd w:val="clear" w:color="auto" w:fill="FFFFFF"/>
          <w:lang w:eastAsia="zh-CN"/>
        </w:rPr>
        <w:br w:type="page"/>
      </w:r>
    </w:p>
    <w:p>
      <w:pPr>
        <w:widowControl/>
        <w:rPr>
          <w:rFonts w:ascii="Times New Roman" w:hAnsi="Times New Roman" w:eastAsia="微软雅黑" w:cs="Times New Roman"/>
          <w:b/>
          <w:bCs/>
          <w:color w:val="416AAB"/>
          <w:sz w:val="24"/>
          <w:szCs w:val="24"/>
          <w:highlight w:val="none"/>
          <w:lang w:eastAsia="zh-CN"/>
        </w:rPr>
      </w:pPr>
      <w:bookmarkStart w:id="205" w:name="_Toc5805_WPSOffice_Level1"/>
      <w:bookmarkStart w:id="206" w:name="_Toc32618_WPSOffice_Level1"/>
      <w:bookmarkStart w:id="207" w:name="_Toc29986_WPSOffice_Level1"/>
      <w:bookmarkStart w:id="208" w:name="_Toc22629_WPSOffice_Level1"/>
      <w:bookmarkStart w:id="209" w:name="_Toc22953_WPSOffice_Level1"/>
      <w:bookmarkStart w:id="210" w:name="_Toc14661_WPSOffice_Level1"/>
      <w:bookmarkStart w:id="211" w:name="_Toc20673_WPSOffice_Level1"/>
      <w:bookmarkStart w:id="212" w:name="_Toc7518_WPSOffice_Level1"/>
      <w:r>
        <w:rPr>
          <w:rFonts w:ascii="Times New Roman" w:hAnsi="Times New Roman" w:eastAsia="微软雅黑" w:cs="Times New Roman"/>
          <w:b/>
          <w:bCs/>
          <w:color w:val="416AAB"/>
          <w:sz w:val="24"/>
          <w:szCs w:val="24"/>
          <w:highlight w:val="none"/>
          <w:lang w:eastAsia="zh-CN"/>
        </w:rPr>
        <w:t>ERBB2 (HER2)</w:t>
      </w:r>
      <w:bookmarkEnd w:id="205"/>
      <w:bookmarkEnd w:id="206"/>
      <w:bookmarkEnd w:id="207"/>
      <w:bookmarkEnd w:id="208"/>
      <w:bookmarkEnd w:id="209"/>
      <w:bookmarkEnd w:id="210"/>
      <w:bookmarkEnd w:id="211"/>
      <w:bookmarkEnd w:id="212"/>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HER2 属于受体酪氨酸激酶（RTK）家族，包括EGFR/ERBB1， HER2/ERBB2/NEU， HER3/ERBB3，和HER4/ERBB4。HER2的编码基因位于人类17号染色体上。有研究报道，在多种癌症鉴定到基因拷贝数增加</w:t>
      </w:r>
      <w:r>
        <w:rPr>
          <w:rFonts w:ascii="Times New Roman" w:hAnsi="Times New Roman" w:eastAsia="微软雅黑" w:cs="Times New Roman"/>
          <w:bCs/>
          <w:sz w:val="18"/>
          <w:szCs w:val="18"/>
          <w:highlight w:val="none"/>
          <w:shd w:val="clear" w:color="auto" w:fill="FFFFFF"/>
          <w:vertAlign w:val="superscript"/>
          <w:lang w:eastAsia="zh-CN"/>
        </w:rPr>
        <w:t>[1]</w:t>
      </w:r>
      <w:r>
        <w:rPr>
          <w:rFonts w:ascii="Times New Roman" w:hAnsi="Times New Roman" w:eastAsia="微软雅黑" w:cs="Times New Roman"/>
          <w:bCs/>
          <w:sz w:val="18"/>
          <w:szCs w:val="18"/>
          <w:highlight w:val="none"/>
          <w:shd w:val="clear" w:color="auto" w:fill="FFFFFF"/>
          <w:lang w:eastAsia="zh-CN"/>
        </w:rPr>
        <w:t>（图示）。HER2基因扩增被认为促进了肿瘤发生进程，参与几种癌症的发病机制</w:t>
      </w:r>
      <w:r>
        <w:rPr>
          <w:rFonts w:ascii="Times New Roman" w:hAnsi="Times New Roman" w:eastAsia="微软雅黑" w:cs="Times New Roman"/>
          <w:bCs/>
          <w:sz w:val="18"/>
          <w:szCs w:val="18"/>
          <w:highlight w:val="none"/>
          <w:shd w:val="clear" w:color="auto" w:fill="FFFFFF"/>
          <w:vertAlign w:val="superscript"/>
          <w:lang w:eastAsia="zh-CN"/>
        </w:rPr>
        <w:t>[2]</w:t>
      </w:r>
      <w:r>
        <w:rPr>
          <w:rFonts w:ascii="Times New Roman" w:hAnsi="Times New Roman" w:eastAsia="微软雅黑" w:cs="Times New Roman"/>
          <w:bCs/>
          <w:sz w:val="18"/>
          <w:szCs w:val="18"/>
          <w:highlight w:val="none"/>
          <w:shd w:val="clear" w:color="auto" w:fill="FFFFFF"/>
          <w:lang w:eastAsia="zh-CN"/>
        </w:rPr>
        <w:t>。</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迄今为止，还没有鉴定到HER2的配体。HER2似乎适合与ErbB家族所有成员形成二聚体</w:t>
      </w:r>
      <w:r>
        <w:rPr>
          <w:rFonts w:ascii="Times New Roman" w:hAnsi="Times New Roman" w:eastAsia="微软雅黑" w:cs="Times New Roman"/>
          <w:bCs/>
          <w:sz w:val="18"/>
          <w:szCs w:val="18"/>
          <w:highlight w:val="none"/>
          <w:shd w:val="clear" w:color="auto" w:fill="FFFFFF"/>
          <w:vertAlign w:val="superscript"/>
          <w:lang w:eastAsia="zh-CN"/>
        </w:rPr>
        <w:t>[3]</w:t>
      </w:r>
      <w:r>
        <w:rPr>
          <w:rFonts w:ascii="Times New Roman" w:hAnsi="Times New Roman" w:eastAsia="微软雅黑" w:cs="Times New Roman"/>
          <w:bCs/>
          <w:sz w:val="18"/>
          <w:szCs w:val="18"/>
          <w:highlight w:val="none"/>
          <w:shd w:val="clear" w:color="auto" w:fill="FFFFFF"/>
          <w:lang w:eastAsia="zh-CN"/>
        </w:rPr>
        <w:t>。配体结合及随后的异源二聚体化可激活HER2的酪氨酸激酶活性。活化的HER2然后磷酸化它的底物，以至于激活下游多个细胞内通路，如决定细胞存活的PI3K-AKT-mTOR 通路，参与细胞增殖的RAS-RAF-MEK-ERK通路。</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drawing>
          <wp:inline distT="0" distB="0" distL="0" distR="0">
            <wp:extent cx="3838575" cy="2171700"/>
            <wp:effectExtent l="0" t="0" r="1905" b="7620"/>
            <wp:docPr id="15660" name="Picture 15660"/>
            <wp:cNvGraphicFramePr/>
            <a:graphic xmlns:a="http://schemas.openxmlformats.org/drawingml/2006/main">
              <a:graphicData uri="http://schemas.openxmlformats.org/drawingml/2006/picture">
                <pic:pic xmlns:pic="http://schemas.openxmlformats.org/drawingml/2006/picture">
                  <pic:nvPicPr>
                    <pic:cNvPr id="15660" name="Picture 15660"/>
                    <pic:cNvPicPr/>
                  </pic:nvPicPr>
                  <pic:blipFill>
                    <a:blip r:embed="rId12"/>
                    <a:stretch>
                      <a:fillRect/>
                    </a:stretch>
                  </pic:blipFill>
                  <pic:spPr>
                    <a:xfrm>
                      <a:off x="0" y="0"/>
                      <a:ext cx="3838575" cy="2171700"/>
                    </a:xfrm>
                    <a:prstGeom prst="rect">
                      <a:avLst/>
                    </a:prstGeom>
                  </pic:spPr>
                </pic:pic>
              </a:graphicData>
            </a:graphic>
          </wp:inline>
        </w:drawing>
      </w:r>
    </w:p>
    <w:p>
      <w:pPr>
        <w:spacing w:line="276" w:lineRule="auto"/>
        <w:jc w:val="center"/>
        <w:rPr>
          <w:rFonts w:ascii="Times New Roman" w:hAnsi="Times New Roman" w:eastAsia="微软雅黑" w:cs="Times New Roman"/>
          <w:bCs/>
          <w:sz w:val="18"/>
          <w:szCs w:val="18"/>
          <w:highlight w:val="none"/>
          <w:shd w:val="clear" w:color="auto" w:fill="FFFFFF"/>
          <w:lang w:eastAsia="zh-CN"/>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图示：癌症细胞内由于HER2基因拷贝数增加导致过表达</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18"/>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"http://www.ncbi.nlm.nih.gov/pubmed?term=J%C3%B8rgensen%20JT%5BAuthor%5D&amp;cauthor=true&amp;cauthor_uid=20185938" \h </w:instrText>
      </w:r>
      <w:r>
        <w:rPr>
          <w:highlight w:val="none"/>
        </w:rPr>
        <w:fldChar w:fldCharType="separate"/>
      </w:r>
      <w:r>
        <w:rPr>
          <w:rFonts w:ascii="Times New Roman" w:hAnsi="Times New Roman" w:cs="Times New Roman"/>
          <w:sz w:val="15"/>
          <w:szCs w:val="15"/>
          <w:highlight w:val="none"/>
        </w:rPr>
        <w:t>Jorgensen JT.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Targeted HER2 treatment in advanced gastric cancer. Oncology. 2010, 78(1):26-33.</w:t>
      </w:r>
    </w:p>
    <w:p>
      <w:pPr>
        <w:widowControl/>
        <w:numPr>
          <w:ilvl w:val="0"/>
          <w:numId w:val="18"/>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"http://www.ncbi.nlm.nih.gov/pubmed?term=Moasser%20MM%5BAuthor%5D&amp;cauthor=true&amp;cauthor_uid=17471238" \h </w:instrText>
      </w:r>
      <w:r>
        <w:rPr>
          <w:highlight w:val="none"/>
        </w:rPr>
        <w:fldChar w:fldCharType="separate"/>
      </w:r>
      <w:r>
        <w:rPr>
          <w:rFonts w:ascii="Times New Roman" w:hAnsi="Times New Roman" w:cs="Times New Roman"/>
          <w:sz w:val="15"/>
          <w:szCs w:val="15"/>
          <w:highlight w:val="none"/>
        </w:rPr>
        <w:t>Moasser MM.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The oncogene HER2: its signaling and transforming functions and its role in human cancer pathogenesis. Oncology. 2007, 26(45):6469-87.</w:t>
      </w:r>
    </w:p>
    <w:p>
      <w:pPr>
        <w:widowControl/>
        <w:numPr>
          <w:ilvl w:val="0"/>
          <w:numId w:val="18"/>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"http://www.ncbi.nlm.nih.gov/pubmed?term=Graus-Porta%20D%5BAuthor%5D&amp;cauthor=true&amp;cauthor_uid=9130710" \h </w:instrText>
      </w:r>
      <w:r>
        <w:rPr>
          <w:highlight w:val="none"/>
        </w:rPr>
        <w:fldChar w:fldCharType="separate"/>
      </w:r>
      <w:r>
        <w:rPr>
          <w:rFonts w:ascii="Times New Roman" w:hAnsi="Times New Roman" w:cs="Times New Roman"/>
          <w:sz w:val="15"/>
          <w:szCs w:val="15"/>
          <w:highlight w:val="none"/>
        </w:rPr>
        <w:t>Graus</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"http://www.ncbi.nlm.nih.gov/pubmed?term=Graus-Porta%20D%5BAuthor%5D&amp;cauthor=true&amp;cauthor_uid=9130710" \h </w:instrText>
      </w:r>
      <w:r>
        <w:rPr>
          <w:highlight w:val="none"/>
        </w:rPr>
        <w:fldChar w:fldCharType="separate"/>
      </w:r>
      <w:r>
        <w:rPr>
          <w:rFonts w:ascii="Times New Roman" w:hAnsi="Times New Roman" w:cs="Times New Roman"/>
          <w:sz w:val="15"/>
          <w:szCs w:val="15"/>
          <w:highlight w:val="none"/>
        </w:rPr>
        <w:t>-</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"http://www.ncbi.nlm.nih.gov/pubmed?term=Graus-Porta%20D%5BAuthor%5D&amp;cauthor=true&amp;cauthor_uid=9130710" \h </w:instrText>
      </w:r>
      <w:r>
        <w:rPr>
          <w:highlight w:val="none"/>
        </w:rPr>
        <w:fldChar w:fldCharType="separate"/>
      </w:r>
      <w:r>
        <w:rPr>
          <w:rFonts w:ascii="Times New Roman" w:hAnsi="Times New Roman" w:cs="Times New Roman"/>
          <w:sz w:val="15"/>
          <w:szCs w:val="15"/>
          <w:highlight w:val="none"/>
        </w:rPr>
        <w:t>Porta e</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t al. ErbB-2, the preferred heterodimerization partner of all ErbB receptors, is a mediator of lateral signaling. EMBO J. 1997, 16(7):1647-55.</w:t>
      </w:r>
    </w:p>
    <w:p>
      <w:pPr>
        <w:rPr>
          <w:rFonts w:ascii="Times New Roman" w:hAnsi="Times New Roman" w:eastAsia="微软雅黑" w:cs="Times New Roman"/>
          <w:b/>
          <w:bCs/>
          <w:color w:val="416AAB"/>
          <w:sz w:val="24"/>
          <w:szCs w:val="24"/>
          <w:highlight w:val="none"/>
          <w:lang w:eastAsia="zh-CN"/>
        </w:rPr>
      </w:pPr>
      <w:bookmarkStart w:id="213" w:name="_Toc4328_WPSOffice_Level1"/>
      <w:r>
        <w:rPr>
          <w:rFonts w:ascii="Times New Roman" w:hAnsi="Times New Roman" w:eastAsia="微软雅黑" w:cs="Times New Roman"/>
          <w:b/>
          <w:bCs/>
          <w:color w:val="416AAB"/>
          <w:sz w:val="24"/>
          <w:szCs w:val="24"/>
          <w:highlight w:val="none"/>
          <w:lang w:eastAsia="zh-CN"/>
        </w:rPr>
        <w:br w:type="page"/>
      </w:r>
    </w:p>
    <w:p>
      <w:pPr>
        <w:widowControl/>
        <w:rPr>
          <w:rFonts w:ascii="Times New Roman" w:hAnsi="Times New Roman" w:eastAsia="微软雅黑" w:cs="Times New Roman"/>
          <w:b/>
          <w:bCs/>
          <w:color w:val="416AAB"/>
          <w:sz w:val="24"/>
          <w:szCs w:val="24"/>
          <w:highlight w:val="none"/>
          <w:lang w:eastAsia="zh-CN"/>
        </w:rPr>
      </w:pPr>
      <w:bookmarkStart w:id="214" w:name="_Toc25299_WPSOffice_Level1"/>
      <w:bookmarkStart w:id="215" w:name="_Toc9505_WPSOffice_Level1"/>
      <w:bookmarkStart w:id="216" w:name="_Toc5539_WPSOffice_Level1"/>
      <w:bookmarkStart w:id="217" w:name="_Toc31722_WPSOffice_Level1"/>
      <w:bookmarkStart w:id="218" w:name="_Toc27188_WPSOffice_Level1"/>
      <w:bookmarkStart w:id="219" w:name="_Toc22431_WPSOffice_Level1"/>
      <w:bookmarkStart w:id="220" w:name="_Toc15940_WPSOffice_Level1"/>
      <w:r>
        <w:rPr>
          <w:rFonts w:ascii="Times New Roman" w:hAnsi="Times New Roman" w:eastAsia="微软雅黑" w:cs="Times New Roman"/>
          <w:b/>
          <w:bCs/>
          <w:color w:val="416AAB"/>
          <w:sz w:val="24"/>
          <w:szCs w:val="24"/>
          <w:highlight w:val="none"/>
          <w:lang w:eastAsia="zh-CN"/>
        </w:rPr>
        <w:t>GNA11</w:t>
      </w:r>
      <w:bookmarkEnd w:id="213"/>
      <w:bookmarkEnd w:id="214"/>
      <w:bookmarkEnd w:id="215"/>
      <w:bookmarkEnd w:id="216"/>
      <w:bookmarkEnd w:id="217"/>
      <w:bookmarkEnd w:id="218"/>
      <w:bookmarkEnd w:id="219"/>
      <w:bookmarkEnd w:id="220"/>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鸟嘌呤核苷酸结合蛋白（G蛋白）是一类异源三聚体蛋白，可偶联七次跨膜结构域受体与细胞内的级联反应因子，如神经递质，生长因子和激素信号通路</w:t>
      </w:r>
      <w:r>
        <w:rPr>
          <w:rFonts w:ascii="Times New Roman" w:hAnsi="Times New Roman" w:eastAsia="微软雅黑" w:cs="Times New Roman"/>
          <w:bCs/>
          <w:sz w:val="18"/>
          <w:szCs w:val="18"/>
          <w:highlight w:val="none"/>
          <w:shd w:val="clear" w:color="auto" w:fill="FFFFFF"/>
          <w:vertAlign w:val="superscript"/>
          <w:lang w:eastAsia="zh-CN"/>
        </w:rPr>
        <w:t>[1]</w:t>
      </w:r>
      <w:r>
        <w:rPr>
          <w:rFonts w:ascii="Times New Roman" w:hAnsi="Times New Roman" w:eastAsia="微软雅黑" w:cs="Times New Roman"/>
          <w:bCs/>
          <w:sz w:val="18"/>
          <w:szCs w:val="18"/>
          <w:highlight w:val="none"/>
          <w:shd w:val="clear" w:color="auto" w:fill="FFFFFF"/>
          <w:lang w:eastAsia="zh-CN"/>
        </w:rPr>
        <w:t>。异源三聚体G蛋白由三个亚基组成，Gα、Gβ和Gγ（图示），每个亚基又包含不同的成员。GNA11基因编码α-11亚基（Gα11）。受体活化可催化Gα 亚基上GDP（鸟苷二磷酸）置换为 GTP（三磷酸鸟苷），导致Gα亚基从Gßγ上解离。Gα或Gßγ均可激活下游的细胞信号传导通路；Gα亚基自身的GTPase活性将GTP水解为GDP后，该信号传导即被终止。GNA11基因突变多是位于第5外显子的密码子209，所在区域正好是具有GTPase 催化活性的。因此，在该区域的突变会导致基因的构成型激活，从而保持GTP结合的状态</w:t>
      </w:r>
      <w:r>
        <w:rPr>
          <w:rFonts w:ascii="Times New Roman" w:hAnsi="Times New Roman" w:eastAsia="微软雅黑" w:cs="Times New Roman"/>
          <w:bCs/>
          <w:sz w:val="18"/>
          <w:szCs w:val="18"/>
          <w:highlight w:val="none"/>
          <w:shd w:val="clear" w:color="auto" w:fill="FFFFFF"/>
          <w:vertAlign w:val="superscript"/>
          <w:lang w:eastAsia="zh-CN"/>
        </w:rPr>
        <w:t>[2，3]</w:t>
      </w:r>
      <w:r>
        <w:rPr>
          <w:rFonts w:ascii="Times New Roman" w:hAnsi="Times New Roman" w:eastAsia="微软雅黑" w:cs="Times New Roman"/>
          <w:bCs/>
          <w:sz w:val="18"/>
          <w:szCs w:val="18"/>
          <w:highlight w:val="none"/>
          <w:shd w:val="clear" w:color="auto" w:fill="FFFFFF"/>
          <w:lang w:eastAsia="zh-CN"/>
        </w:rPr>
        <w:t>。在小鼠体内表达GNA11 Q209L 直接导致黑素细胞癌化，并通过 MAPK 通路增加信号传导活性</w:t>
      </w:r>
      <w:r>
        <w:rPr>
          <w:rFonts w:ascii="Times New Roman" w:hAnsi="Times New Roman" w:eastAsia="微软雅黑" w:cs="Times New Roman"/>
          <w:bCs/>
          <w:sz w:val="18"/>
          <w:szCs w:val="18"/>
          <w:highlight w:val="none"/>
          <w:shd w:val="clear" w:color="auto" w:fill="FFFFFF"/>
          <w:vertAlign w:val="superscript"/>
          <w:lang w:eastAsia="zh-CN"/>
        </w:rPr>
        <w:t>[4]</w:t>
      </w:r>
      <w:r>
        <w:rPr>
          <w:rFonts w:ascii="Times New Roman" w:hAnsi="Times New Roman" w:eastAsia="微软雅黑" w:cs="Times New Roman"/>
          <w:bCs/>
          <w:sz w:val="18"/>
          <w:szCs w:val="18"/>
          <w:highlight w:val="none"/>
          <w:shd w:val="clear" w:color="auto" w:fill="FFFFFF"/>
          <w:lang w:eastAsia="zh-CN"/>
        </w:rPr>
        <w:t>。可在34％的原发性葡萄膜黑色素瘤患者检测到GNA11体细胞突变，在高达63％的葡萄膜黑色素瘤转移患者发现有该基因体细胞突变。以恶性黑色素瘤总体而言，约2％的样本可见GNA11突变；但尚未在眼黑色素瘤患者检测到该基因突变</w:t>
      </w:r>
      <w:r>
        <w:rPr>
          <w:rFonts w:ascii="Times New Roman" w:hAnsi="Times New Roman" w:eastAsia="微软雅黑" w:cs="Times New Roman"/>
          <w:bCs/>
          <w:sz w:val="18"/>
          <w:szCs w:val="18"/>
          <w:highlight w:val="none"/>
          <w:shd w:val="clear" w:color="auto" w:fill="FFFFFF"/>
          <w:vertAlign w:val="superscript"/>
          <w:lang w:eastAsia="zh-CN"/>
        </w:rPr>
        <w:t>[4]</w:t>
      </w:r>
      <w:r>
        <w:rPr>
          <w:rFonts w:ascii="Times New Roman" w:hAnsi="Times New Roman" w:eastAsia="微软雅黑" w:cs="Times New Roman"/>
          <w:bCs/>
          <w:sz w:val="18"/>
          <w:szCs w:val="18"/>
          <w:highlight w:val="none"/>
          <w:shd w:val="clear" w:color="auto" w:fill="FFFFFF"/>
          <w:lang w:eastAsia="zh-CN"/>
        </w:rPr>
        <w:t>。绝大多数情况下，GNA11基因突变并不与黑色素瘤其它原癌基因突变如 BRAF 突变，KIT突变等共存；目前也缺乏抗GNA11的靶向药物。</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drawing>
          <wp:inline distT="0" distB="0" distL="0" distR="0">
            <wp:extent cx="2981325" cy="2488565"/>
            <wp:effectExtent l="0" t="0" r="5715" b="10795"/>
            <wp:docPr id="16332" name="Picture 16332"/>
            <wp:cNvGraphicFramePr/>
            <a:graphic xmlns:a="http://schemas.openxmlformats.org/drawingml/2006/main">
              <a:graphicData uri="http://schemas.openxmlformats.org/drawingml/2006/picture">
                <pic:pic xmlns:pic="http://schemas.openxmlformats.org/drawingml/2006/picture">
                  <pic:nvPicPr>
                    <pic:cNvPr id="16332" name="Picture 16332"/>
                    <pic:cNvPicPr/>
                  </pic:nvPicPr>
                  <pic:blipFill>
                    <a:blip r:embed="rId13"/>
                    <a:stretch>
                      <a:fillRect/>
                    </a:stretch>
                  </pic:blipFill>
                  <pic:spPr>
                    <a:xfrm>
                      <a:off x="0" y="0"/>
                      <a:ext cx="2992689" cy="2497897"/>
                    </a:xfrm>
                    <a:prstGeom prst="rect">
                      <a:avLst/>
                    </a:prstGeom>
                  </pic:spPr>
                </pic:pic>
              </a:graphicData>
            </a:graphic>
          </wp:inline>
        </w:drawing>
      </w:r>
    </w:p>
    <w:p>
      <w:pPr>
        <w:spacing w:line="276" w:lineRule="auto"/>
        <w:jc w:val="center"/>
        <w:rPr>
          <w:rFonts w:ascii="Times New Roman" w:hAnsi="Times New Roman" w:eastAsia="微软雅黑" w:cs="Times New Roman"/>
          <w:bCs/>
          <w:sz w:val="18"/>
          <w:szCs w:val="18"/>
          <w:highlight w:val="none"/>
          <w:shd w:val="clear" w:color="auto" w:fill="FFFFFF"/>
          <w:lang w:eastAsia="zh-CN"/>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 Gα 亚基的活化</w:t>
      </w:r>
    </w:p>
    <w:p>
      <w:pPr>
        <w:rPr>
          <w:rFonts w:ascii="Times New Roman" w:hAnsi="Times New Roman" w:eastAsia="微软雅黑" w:cs="Times New Roman"/>
          <w:b/>
          <w:sz w:val="18"/>
          <w:highlight w:val="none"/>
          <w:shd w:val="clear" w:color="auto" w:fill="FFFFFF"/>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1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"http://www.ncbi.nlm.nih.gov/pubmed?term=Rosenbaum%20DM%5BAuthor%5D&amp;cauthor=true&amp;cauthor_uid=19458711" \h </w:instrText>
      </w:r>
      <w:r>
        <w:rPr>
          <w:highlight w:val="none"/>
        </w:rPr>
        <w:fldChar w:fldCharType="separate"/>
      </w:r>
      <w:r>
        <w:rPr>
          <w:rFonts w:ascii="Times New Roman" w:hAnsi="Times New Roman" w:cs="Times New Roman"/>
          <w:sz w:val="15"/>
          <w:szCs w:val="15"/>
          <w:highlight w:val="none"/>
        </w:rPr>
        <w:t>Rosenbaum</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"http://www.ncbi.nlm.nih.gov/pubmed?term=Rosenbaum%20DM%5BAuthor%5D&amp;cauthor=true&amp;cauthor_uid=19458711"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DM, et al. The structure and function of G-protein-coupled receptors. Nature. 2009, 459(7245):356-63.</w:t>
      </w:r>
    </w:p>
    <w:p>
      <w:pPr>
        <w:widowControl/>
        <w:numPr>
          <w:ilvl w:val="0"/>
          <w:numId w:val="1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"http://www.ncbi.nlm.nih.gov/pubmed?term=Kalinec%20G%5BAuthor%5D&amp;cauthor=true&amp;cauthor_uid=1328859" \h </w:instrText>
      </w:r>
      <w:r>
        <w:rPr>
          <w:highlight w:val="none"/>
        </w:rPr>
        <w:fldChar w:fldCharType="separate"/>
      </w:r>
      <w:r>
        <w:rPr>
          <w:rFonts w:ascii="Times New Roman" w:hAnsi="Times New Roman" w:cs="Times New Roman"/>
          <w:sz w:val="15"/>
          <w:szCs w:val="15"/>
          <w:highlight w:val="none"/>
        </w:rPr>
        <w:t>Kalinec</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"http://www.ncbi.nlm.nih.gov/pubmed?term=Kalinec%20G%5BAuthor%5D&amp;cauthor=true&amp;cauthor_uid=1328859"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G, et al. Mutated alpha subunit of the Gq protein induces malignant transformation in NIH 3T3 cells. Mol Cell Biol. 1992, 12(10):4687-93.</w:t>
      </w:r>
    </w:p>
    <w:p>
      <w:pPr>
        <w:widowControl/>
        <w:numPr>
          <w:ilvl w:val="0"/>
          <w:numId w:val="1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"http://www.ncbi.nlm.nih.gov/pubmed?term=Landis%20CA%5BAuthor%5D&amp;cauthor=true&amp;cauthor_uid=2549426" \h </w:instrText>
      </w:r>
      <w:r>
        <w:rPr>
          <w:highlight w:val="none"/>
        </w:rPr>
        <w:fldChar w:fldCharType="separate"/>
      </w:r>
      <w:r>
        <w:rPr>
          <w:rFonts w:ascii="Times New Roman" w:hAnsi="Times New Roman" w:cs="Times New Roman"/>
          <w:sz w:val="15"/>
          <w:szCs w:val="15"/>
          <w:highlight w:val="none"/>
        </w:rPr>
        <w:t>Landis C</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A, et al. GTPase inhibiting mutations activate the alpha chain of Gs and stimulate adenylyl cyclase in human pituitary tumours. Nature. 1989, 340(6236):692-6.</w:t>
      </w:r>
    </w:p>
    <w:p>
      <w:pPr>
        <w:widowControl/>
        <w:numPr>
          <w:ilvl w:val="0"/>
          <w:numId w:val="1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"http://www.ncbi.nlm.nih.gov/pubmed?term=Van%20Raamsdonk%20CD%5BAuthor%5D&amp;cauthor=true&amp;cauthor_uid=21083380" \h </w:instrText>
      </w:r>
      <w:r>
        <w:rPr>
          <w:highlight w:val="none"/>
        </w:rPr>
        <w:fldChar w:fldCharType="separate"/>
      </w:r>
      <w:r>
        <w:rPr>
          <w:rFonts w:ascii="Times New Roman" w:hAnsi="Times New Roman" w:cs="Times New Roman"/>
          <w:sz w:val="15"/>
          <w:szCs w:val="15"/>
          <w:highlight w:val="none"/>
        </w:rPr>
        <w:t>Van Raamsdonk C</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D, et al. Mutations in GNA11 in uveal melanoma. N Engl J Med. 2010, 363(23):2191-9.</w:t>
      </w:r>
    </w:p>
    <w:p>
      <w:pPr>
        <w:widowControl/>
        <w:spacing w:line="276" w:lineRule="auto"/>
        <w:ind w:firstLine="360" w:firstLineChars="200"/>
        <w:jc w:val="both"/>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br w:type="page"/>
      </w:r>
    </w:p>
    <w:p>
      <w:pPr>
        <w:widowControl/>
        <w:rPr>
          <w:rFonts w:ascii="Times New Roman" w:hAnsi="Times New Roman" w:eastAsia="微软雅黑" w:cs="Times New Roman"/>
          <w:b/>
          <w:bCs/>
          <w:color w:val="416AAB"/>
          <w:sz w:val="24"/>
          <w:szCs w:val="24"/>
          <w:highlight w:val="none"/>
          <w:lang w:eastAsia="zh-CN"/>
        </w:rPr>
      </w:pPr>
      <w:bookmarkStart w:id="221" w:name="_Toc26466_WPSOffice_Level1"/>
      <w:bookmarkStart w:id="222" w:name="_Toc7607_WPSOffice_Level1"/>
      <w:bookmarkStart w:id="223" w:name="_Toc20849_WPSOffice_Level1"/>
      <w:bookmarkStart w:id="224" w:name="_Toc5581_WPSOffice_Level1"/>
      <w:bookmarkStart w:id="225" w:name="_Toc1158_WPSOffice_Level1"/>
      <w:bookmarkStart w:id="226" w:name="_Toc8746_WPSOffice_Level1"/>
      <w:bookmarkStart w:id="227" w:name="_Toc24372_WPSOffice_Level1"/>
      <w:bookmarkStart w:id="228" w:name="_Toc27147_WPSOffice_Level1"/>
      <w:r>
        <w:rPr>
          <w:rFonts w:ascii="Times New Roman" w:hAnsi="Times New Roman" w:eastAsia="微软雅黑" w:cs="Times New Roman"/>
          <w:b/>
          <w:bCs/>
          <w:color w:val="416AAB"/>
          <w:sz w:val="24"/>
          <w:szCs w:val="24"/>
          <w:highlight w:val="none"/>
          <w:lang w:eastAsia="zh-CN"/>
        </w:rPr>
        <w:t>HRAS</w:t>
      </w:r>
      <w:bookmarkEnd w:id="221"/>
      <w:bookmarkEnd w:id="222"/>
      <w:bookmarkEnd w:id="223"/>
      <w:bookmarkEnd w:id="224"/>
      <w:bookmarkEnd w:id="225"/>
      <w:bookmarkEnd w:id="226"/>
      <w:bookmarkEnd w:id="227"/>
      <w:bookmarkEnd w:id="228"/>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已在人类鉴定出三种不同的RAS基因：KRAS基因（与 Kirsten大鼠肉瘤病毒致癌基因同源），HRAS（与哈维大鼠肉瘤病毒致癌基因同源），和NRAS（分离自人类神经母细胞瘤）。RAS基因高度同源但功能区分，基因冗余度有待深入研究</w:t>
      </w:r>
      <w:r>
        <w:rPr>
          <w:rFonts w:ascii="Times New Roman" w:hAnsi="Times New Roman" w:eastAsia="微软雅黑" w:cs="Times New Roman"/>
          <w:bCs/>
          <w:sz w:val="18"/>
          <w:szCs w:val="18"/>
          <w:highlight w:val="none"/>
          <w:shd w:val="clear" w:color="auto" w:fill="FFFFFF"/>
          <w:vertAlign w:val="superscript"/>
          <w:lang w:eastAsia="zh-CN"/>
        </w:rPr>
        <w:t>[1]</w:t>
      </w:r>
      <w:r>
        <w:rPr>
          <w:rFonts w:ascii="Times New Roman" w:hAnsi="Times New Roman" w:eastAsia="微软雅黑" w:cs="Times New Roman"/>
          <w:bCs/>
          <w:sz w:val="18"/>
          <w:szCs w:val="18"/>
          <w:highlight w:val="none"/>
          <w:shd w:val="clear" w:color="auto" w:fill="FFFFFF"/>
          <w:lang w:eastAsia="zh-CN"/>
        </w:rPr>
        <w:t>。RAS蛋白均为小的鸟苷酸结合调节蛋白，可由无活性的鸟苷二磷酸结合形式转化为活性鸟苷三磷酸结合形式。RAS蛋白是生长因子信号通路下游的中心调控者，因此对细胞增殖、存活和分化非常关键。RAS蛋白可激活多个下游效应物，包括与细胞存活相关的PI3K-AKT-mTOR 途径，参与细胞增殖的RAS-RAF-MEK-ERK 通路（图示）。</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某种RAS基因常在恶性肿瘤中反复突变，如HRAS基因突变在唾液腺、尿道、上消化道、宫颈和胸腺等组织癌中特别常见</w:t>
      </w:r>
      <w:r>
        <w:rPr>
          <w:rFonts w:ascii="Times New Roman" w:hAnsi="Times New Roman" w:eastAsia="微软雅黑" w:cs="Times New Roman"/>
          <w:bCs/>
          <w:sz w:val="18"/>
          <w:szCs w:val="18"/>
          <w:highlight w:val="none"/>
          <w:shd w:val="clear" w:color="auto" w:fill="FFFFFF"/>
          <w:vertAlign w:val="superscript"/>
          <w:lang w:eastAsia="zh-CN"/>
        </w:rPr>
        <w:t>[2]</w:t>
      </w:r>
      <w:r>
        <w:rPr>
          <w:rFonts w:ascii="Times New Roman" w:hAnsi="Times New Roman" w:eastAsia="微软雅黑" w:cs="Times New Roman"/>
          <w:bCs/>
          <w:sz w:val="18"/>
          <w:szCs w:val="18"/>
          <w:highlight w:val="none"/>
          <w:shd w:val="clear" w:color="auto" w:fill="FFFFFF"/>
          <w:lang w:eastAsia="zh-CN"/>
        </w:rPr>
        <w:t>。</w:t>
      </w:r>
    </w:p>
    <w:p>
      <w:pPr>
        <w:spacing w:line="276" w:lineRule="auto"/>
        <w:ind w:firstLine="44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highlight w:val="none"/>
          <w:lang w:eastAsia="zh-CN"/>
        </w:rPr>
        <w:drawing>
          <wp:anchor distT="0" distB="0" distL="114300" distR="114300" simplePos="0" relativeHeight="251675648" behindDoc="0" locked="0" layoutInCell="1" allowOverlap="1">
            <wp:simplePos x="0" y="0"/>
            <wp:positionH relativeFrom="margin">
              <wp:posOffset>1244600</wp:posOffset>
            </wp:positionH>
            <wp:positionV relativeFrom="paragraph">
              <wp:posOffset>83820</wp:posOffset>
            </wp:positionV>
            <wp:extent cx="3790950" cy="2867025"/>
            <wp:effectExtent l="0" t="0" r="3810" b="13335"/>
            <wp:wrapNone/>
            <wp:docPr id="16472" name="Picture 16472"/>
            <wp:cNvGraphicFramePr/>
            <a:graphic xmlns:a="http://schemas.openxmlformats.org/drawingml/2006/main">
              <a:graphicData uri="http://schemas.openxmlformats.org/drawingml/2006/picture">
                <pic:pic xmlns:pic="http://schemas.openxmlformats.org/drawingml/2006/picture">
                  <pic:nvPicPr>
                    <pic:cNvPr id="16472" name="Picture 16472"/>
                    <pic:cNvPicPr/>
                  </pic:nvPicPr>
                  <pic:blipFill>
                    <a:blip r:embed="rId14">
                      <a:extLst>
                        <a:ext uri="{28A0092B-C50C-407E-A947-70E740481C1C}">
                          <a14:useLocalDpi xmlns:a14="http://schemas.microsoft.com/office/drawing/2010/main" val="0"/>
                        </a:ext>
                      </a:extLst>
                    </a:blip>
                    <a:stretch>
                      <a:fillRect/>
                    </a:stretch>
                  </pic:blipFill>
                  <pic:spPr>
                    <a:xfrm>
                      <a:off x="0" y="0"/>
                      <a:ext cx="3790950" cy="2867025"/>
                    </a:xfrm>
                    <a:prstGeom prst="rect">
                      <a:avLst/>
                    </a:prstGeom>
                  </pic:spPr>
                </pic:pic>
              </a:graphicData>
            </a:graphic>
          </wp:anchor>
        </w:drawing>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480" w:firstLineChars="200"/>
        <w:jc w:val="both"/>
        <w:rPr>
          <w:rFonts w:ascii="Times New Roman" w:hAnsi="Times New Roman" w:eastAsia="微软雅黑" w:cs="Times New Roman"/>
          <w:sz w:val="24"/>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 RAS下游信号通路</w:t>
      </w:r>
    </w:p>
    <w:p>
      <w:pPr>
        <w:rPr>
          <w:rFonts w:ascii="Times New Roman" w:hAnsi="Times New Roman" w:eastAsia="微软雅黑" w:cs="Times New Roman"/>
          <w:b/>
          <w:sz w:val="18"/>
          <w:highlight w:val="none"/>
          <w:shd w:val="clear" w:color="auto" w:fill="FFFFFF"/>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20"/>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"http://www.ncbi.nlm.nih.gov/pubmed?term=Pylayeva-Gupta%20Y%5BAuthor%5D&amp;cauthor=true&amp;cauthor_uid=21993244" \h </w:instrText>
      </w:r>
      <w:r>
        <w:rPr>
          <w:highlight w:val="none"/>
        </w:rPr>
        <w:fldChar w:fldCharType="separate"/>
      </w:r>
      <w:r>
        <w:rPr>
          <w:rFonts w:ascii="Times New Roman" w:hAnsi="Times New Roman" w:cs="Times New Roman"/>
          <w:sz w:val="15"/>
          <w:szCs w:val="15"/>
          <w:highlight w:val="none"/>
        </w:rPr>
        <w:t>Pylayeva</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"http://www.ncbi.nlm.nih.gov/pubmed?term=Pylayeva-Gupta%20Y%5BAuthor%5D&amp;cauthor=true&amp;cauthor_uid=21993244" \h </w:instrText>
      </w:r>
      <w:r>
        <w:rPr>
          <w:highlight w:val="none"/>
        </w:rPr>
        <w:fldChar w:fldCharType="separate"/>
      </w:r>
      <w:r>
        <w:rPr>
          <w:rFonts w:ascii="Times New Roman" w:hAnsi="Times New Roman" w:cs="Times New Roman"/>
          <w:sz w:val="15"/>
          <w:szCs w:val="15"/>
          <w:highlight w:val="none"/>
        </w:rPr>
        <w:t>-</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"http://www.ncbi.nlm.nih.gov/pubmed?term=Pylayeva-Gupta%20Y%5BAuthor%5D&amp;cauthor=true&amp;cauthor_uid=21993244" \h </w:instrText>
      </w:r>
      <w:r>
        <w:rPr>
          <w:highlight w:val="none"/>
        </w:rPr>
        <w:fldChar w:fldCharType="separate"/>
      </w:r>
      <w:r>
        <w:rPr>
          <w:rFonts w:ascii="Times New Roman" w:hAnsi="Times New Roman" w:cs="Times New Roman"/>
          <w:sz w:val="15"/>
          <w:szCs w:val="15"/>
          <w:highlight w:val="none"/>
        </w:rPr>
        <w:t>Gupta Y, e</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t al. RAS oncogenes: weaving a tumorigenic web. Nat Rev Cancer. 2011, 11(11):76174.</w:t>
      </w:r>
    </w:p>
    <w:p>
      <w:pPr>
        <w:widowControl/>
        <w:numPr>
          <w:ilvl w:val="0"/>
          <w:numId w:val="20"/>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"http://www.ncbi.nlm.nih.gov/pubmed?term=Karnoub%20AE%5BAuthor%5D&amp;cauthor=true&amp;cauthor_uid=18568040" \h </w:instrText>
      </w:r>
      <w:r>
        <w:rPr>
          <w:highlight w:val="none"/>
        </w:rPr>
        <w:fldChar w:fldCharType="separate"/>
      </w:r>
      <w:r>
        <w:rPr>
          <w:rFonts w:ascii="Times New Roman" w:hAnsi="Times New Roman" w:cs="Times New Roman"/>
          <w:sz w:val="15"/>
          <w:szCs w:val="15"/>
          <w:highlight w:val="none"/>
        </w:rPr>
        <w:t>Karnoub AE</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"http://www.ncbi.nlm.nih.gov/pubmed?term=Karnoub%20AE%5BAuthor%5D&amp;cauthor=true&amp;cauthor_uid=18568040" \h </w:instrText>
      </w:r>
      <w:r>
        <w:rPr>
          <w:highlight w:val="none"/>
        </w:rPr>
        <w:fldChar w:fldCharType="separate"/>
      </w:r>
      <w:r>
        <w:rPr>
          <w:rFonts w:ascii="Times New Roman" w:hAnsi="Times New Roman" w:cs="Times New Roman"/>
          <w:sz w:val="15"/>
          <w:szCs w:val="15"/>
          <w:highlight w:val="none"/>
        </w:rPr>
        <w:t>,</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"http://www.ncbi.nlm.nih.gov/pubmed?term=Weinberg%20RA%5BAuthor%5D&amp;cauthor=true&amp;cauthor_uid=18568040"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"http://www.ncbi.nlm.nih.gov/pubmed?term=Weinberg%20RA%5BAuthor%5D&amp;cauthor=true&amp;cauthor_uid=18568040" \h </w:instrText>
      </w:r>
      <w:r>
        <w:rPr>
          <w:highlight w:val="none"/>
        </w:rPr>
        <w:fldChar w:fldCharType="separate"/>
      </w:r>
      <w:r>
        <w:rPr>
          <w:rFonts w:ascii="Times New Roman" w:hAnsi="Times New Roman" w:cs="Times New Roman"/>
          <w:sz w:val="15"/>
          <w:szCs w:val="15"/>
          <w:highlight w:val="none"/>
        </w:rPr>
        <w:t>Weinberg RA.</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Ras oncogenes: split personalities. Nat Rev Mol Cell Biol. 2008, 9(7):517-31.</w:t>
      </w:r>
    </w:p>
    <w:p>
      <w:pPr>
        <w:widowControl/>
        <w:numPr>
          <w:ilvl w:val="0"/>
          <w:numId w:val="20"/>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"http://www.ncbi.nlm.nih.gov/pubmed?term=Schubbert%20S%5BAuthor%5D&amp;cauthor=true&amp;cauthor_uid=17384584" \h </w:instrText>
      </w:r>
      <w:r>
        <w:rPr>
          <w:highlight w:val="none"/>
        </w:rPr>
        <w:fldChar w:fldCharType="separate"/>
      </w:r>
      <w:r>
        <w:rPr>
          <w:rFonts w:ascii="Times New Roman" w:hAnsi="Times New Roman" w:cs="Times New Roman"/>
          <w:sz w:val="15"/>
          <w:szCs w:val="15"/>
          <w:highlight w:val="none"/>
        </w:rPr>
        <w:t>Schubbert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Hyperactive Ras in developmental disorders and cancer. Nat Rev Cancer. 2007, 7(4):295-308.</w:t>
      </w:r>
    </w:p>
    <w:p>
      <w:pPr>
        <w:widowControl/>
        <w:spacing w:line="276" w:lineRule="auto"/>
        <w:ind w:firstLine="440" w:firstLineChars="200"/>
        <w:jc w:val="both"/>
        <w:rPr>
          <w:rFonts w:ascii="Times New Roman" w:hAnsi="Times New Roman" w:eastAsia="微软雅黑" w:cs="Times New Roman"/>
          <w:highlight w:val="none"/>
        </w:rPr>
      </w:pPr>
      <w:r>
        <w:rPr>
          <w:rFonts w:ascii="Times New Roman" w:hAnsi="Times New Roman" w:eastAsia="微软雅黑" w:cs="Times New Roman"/>
          <w:highlight w:val="none"/>
        </w:rPr>
        <w:br w:type="page"/>
      </w:r>
    </w:p>
    <w:p>
      <w:pPr>
        <w:widowControl/>
        <w:rPr>
          <w:rFonts w:ascii="Times New Roman" w:hAnsi="Times New Roman" w:eastAsia="微软雅黑" w:cs="Times New Roman"/>
          <w:b/>
          <w:bCs/>
          <w:color w:val="416AAB"/>
          <w:sz w:val="24"/>
          <w:szCs w:val="24"/>
          <w:highlight w:val="none"/>
          <w:lang w:eastAsia="zh-CN"/>
        </w:rPr>
      </w:pPr>
      <w:bookmarkStart w:id="229" w:name="_Toc23457_WPSOffice_Level1"/>
      <w:bookmarkStart w:id="230" w:name="_Toc23854_WPSOffice_Level1"/>
      <w:bookmarkStart w:id="231" w:name="_Toc6343_WPSOffice_Level1"/>
      <w:bookmarkStart w:id="232" w:name="_Toc6871_WPSOffice_Level1"/>
      <w:bookmarkStart w:id="233" w:name="_Toc1557_WPSOffice_Level1"/>
      <w:bookmarkStart w:id="234" w:name="_Toc11511_WPSOffice_Level1"/>
      <w:bookmarkStart w:id="235" w:name="_Toc6069_WPSOffice_Level1"/>
      <w:bookmarkStart w:id="236" w:name="_Toc9066_WPSOffice_Level1"/>
      <w:r>
        <w:rPr>
          <w:rFonts w:ascii="Times New Roman" w:hAnsi="Times New Roman" w:eastAsia="微软雅黑" w:cs="Times New Roman"/>
          <w:b/>
          <w:bCs/>
          <w:color w:val="416AAB"/>
          <w:sz w:val="24"/>
          <w:szCs w:val="24"/>
          <w:highlight w:val="none"/>
          <w:lang w:eastAsia="zh-CN"/>
        </w:rPr>
        <w:t>KIT</w:t>
      </w:r>
      <w:bookmarkEnd w:id="229"/>
      <w:bookmarkEnd w:id="230"/>
      <w:bookmarkEnd w:id="231"/>
      <w:bookmarkEnd w:id="232"/>
      <w:bookmarkEnd w:id="233"/>
      <w:bookmarkEnd w:id="234"/>
      <w:bookmarkEnd w:id="235"/>
      <w:bookmarkEnd w:id="236"/>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KIT（也称为CD117），是一种受体酪氨酸激酶（RTK）,在多种细胞类型中的表达。KIT 的配体是干细胞因子（SCF）。SCF与KIT胞外结构域的结合诱导其二聚体化，从而活化下游信号传导途径，包括PI3K-AKT-mTOR通路、RAS-RAF-MEK-ERK途径和 STAT3（转录3的信号转导子和活化剂）途径，所有这些途径均调节细胞内促增长和促生存信号。</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KIT突变出现在多种癌症的发病机制中，包括黑色素瘤，急性白血病和胃肠道间质瘤（GIST）</w:t>
      </w:r>
      <w:r>
        <w:rPr>
          <w:rFonts w:ascii="Times New Roman" w:hAnsi="Times New Roman" w:eastAsia="微软雅黑" w:cs="Times New Roman"/>
          <w:bCs/>
          <w:sz w:val="18"/>
          <w:szCs w:val="18"/>
          <w:highlight w:val="none"/>
          <w:shd w:val="clear" w:color="auto" w:fill="FFFFFF"/>
          <w:vertAlign w:val="superscript"/>
          <w:lang w:eastAsia="zh-CN"/>
        </w:rPr>
        <w:t>[1，2]</w:t>
      </w:r>
      <w:r>
        <w:rPr>
          <w:rFonts w:ascii="Times New Roman" w:hAnsi="Times New Roman" w:eastAsia="微软雅黑" w:cs="Times New Roman"/>
          <w:bCs/>
          <w:sz w:val="18"/>
          <w:szCs w:val="18"/>
          <w:highlight w:val="none"/>
          <w:shd w:val="clear" w:color="auto" w:fill="FFFFFF"/>
          <w:lang w:eastAsia="zh-CN"/>
        </w:rPr>
        <w:t>。KIT突变的发现彻底改变了间质瘤的治疗。使用一种口服KIT抑制剂甲磺酸伊马替尼（格列卫，诺华制药），可获得迅速、明显和持久的肿瘤反应</w:t>
      </w:r>
      <w:r>
        <w:rPr>
          <w:rFonts w:ascii="Times New Roman" w:hAnsi="Times New Roman" w:eastAsia="微软雅黑" w:cs="Times New Roman"/>
          <w:bCs/>
          <w:sz w:val="18"/>
          <w:szCs w:val="18"/>
          <w:highlight w:val="none"/>
          <w:shd w:val="clear" w:color="auto" w:fill="FFFFFF"/>
          <w:vertAlign w:val="superscript"/>
          <w:lang w:eastAsia="zh-CN"/>
        </w:rPr>
        <w:t>[3]</w:t>
      </w:r>
      <w:r>
        <w:rPr>
          <w:rFonts w:ascii="Times New Roman" w:hAnsi="Times New Roman" w:eastAsia="微软雅黑" w:cs="Times New Roman"/>
          <w:bCs/>
          <w:sz w:val="18"/>
          <w:szCs w:val="18"/>
          <w:highlight w:val="none"/>
          <w:shd w:val="clear" w:color="auto" w:fill="FFFFFF"/>
          <w:lang w:eastAsia="zh-CN"/>
        </w:rPr>
        <w:t>。当然，不是所有的KIT突变都对伊马替尼敏感</w:t>
      </w:r>
      <w:r>
        <w:rPr>
          <w:rFonts w:ascii="Times New Roman" w:hAnsi="Times New Roman" w:eastAsia="微软雅黑" w:cs="Times New Roman"/>
          <w:bCs/>
          <w:sz w:val="18"/>
          <w:szCs w:val="18"/>
          <w:highlight w:val="none"/>
          <w:shd w:val="clear" w:color="auto" w:fill="FFFFFF"/>
          <w:vertAlign w:val="superscript"/>
          <w:lang w:eastAsia="zh-CN"/>
        </w:rPr>
        <w:t>[4]</w:t>
      </w:r>
      <w:r>
        <w:rPr>
          <w:rFonts w:ascii="Times New Roman" w:hAnsi="Times New Roman" w:eastAsia="微软雅黑" w:cs="Times New Roman"/>
          <w:bCs/>
          <w:sz w:val="18"/>
          <w:szCs w:val="18"/>
          <w:highlight w:val="none"/>
          <w:shd w:val="clear" w:color="auto" w:fill="FFFFFF"/>
          <w:lang w:eastAsia="zh-CN"/>
        </w:rPr>
        <w:t>，有些突变仅对第二代KIT抑制剂敏感。</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jc w:val="center"/>
        <w:rPr>
          <w:rFonts w:ascii="Times New Roman" w:hAnsi="Times New Roman" w:eastAsia="微软雅黑" w:cs="Times New Roman"/>
          <w:highlight w:val="none"/>
        </w:rPr>
      </w:pPr>
      <w:r>
        <w:rPr>
          <w:rFonts w:ascii="Times New Roman" w:hAnsi="Times New Roman" w:eastAsia="微软雅黑" w:cs="Times New Roman"/>
          <w:highlight w:val="none"/>
          <w:lang w:eastAsia="zh-CN"/>
        </w:rPr>
        <w:drawing>
          <wp:inline distT="0" distB="0" distL="0" distR="0">
            <wp:extent cx="3324225" cy="2162175"/>
            <wp:effectExtent l="0" t="0" r="13335" b="1905"/>
            <wp:docPr id="17161" name="Picture 17161"/>
            <wp:cNvGraphicFramePr/>
            <a:graphic xmlns:a="http://schemas.openxmlformats.org/drawingml/2006/main">
              <a:graphicData uri="http://schemas.openxmlformats.org/drawingml/2006/picture">
                <pic:pic xmlns:pic="http://schemas.openxmlformats.org/drawingml/2006/picture">
                  <pic:nvPicPr>
                    <pic:cNvPr id="17161" name="Picture 17161"/>
                    <pic:cNvPicPr/>
                  </pic:nvPicPr>
                  <pic:blipFill>
                    <a:blip r:embed="rId15"/>
                    <a:stretch>
                      <a:fillRect/>
                    </a:stretch>
                  </pic:blipFill>
                  <pic:spPr>
                    <a:xfrm>
                      <a:off x="0" y="0"/>
                      <a:ext cx="3324225" cy="2162175"/>
                    </a:xfrm>
                    <a:prstGeom prst="rect">
                      <a:avLst/>
                    </a:prstGeom>
                  </pic:spPr>
                </pic:pic>
              </a:graphicData>
            </a:graphic>
          </wp:inline>
        </w:drawing>
      </w:r>
    </w:p>
    <w:p>
      <w:pPr>
        <w:spacing w:line="276" w:lineRule="auto"/>
        <w:jc w:val="center"/>
        <w:rPr>
          <w:rFonts w:ascii="Times New Roman" w:hAnsi="Times New Roman" w:eastAsia="微软雅黑" w:cs="Times New Roman"/>
          <w:highlight w:val="none"/>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图示：KIT抑制剂的作用机理</w:t>
      </w:r>
      <w:r>
        <w:rPr>
          <w:rFonts w:ascii="Times New Roman" w:hAnsi="Times New Roman" w:eastAsia="微软雅黑" w:cs="Times New Roman"/>
          <w:bCs/>
          <w:sz w:val="18"/>
          <w:szCs w:val="18"/>
          <w:highlight w:val="none"/>
          <w:shd w:val="clear" w:color="auto" w:fill="FFFFFF"/>
          <w:vertAlign w:val="superscript"/>
          <w:lang w:eastAsia="zh-CN"/>
        </w:rPr>
        <w:t>[5]</w:t>
      </w:r>
    </w:p>
    <w:p>
      <w:pPr>
        <w:spacing w:line="276" w:lineRule="auto"/>
        <w:ind w:firstLine="440" w:firstLineChars="200"/>
        <w:jc w:val="both"/>
        <w:rPr>
          <w:rFonts w:ascii="Times New Roman" w:hAnsi="Times New Roman" w:eastAsia="微软雅黑" w:cs="Times New Roman"/>
          <w:highlight w:val="none"/>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21"/>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"http://www.ncbi.nlm.nih.gov/pubmed?term=Heinrich%20MC%5BAuthor%5D&amp;cauthor=true&amp;cauthor_uid=14645423" \h </w:instrText>
      </w:r>
      <w:r>
        <w:rPr>
          <w:highlight w:val="none"/>
        </w:rPr>
        <w:fldChar w:fldCharType="separate"/>
      </w:r>
      <w:r>
        <w:rPr>
          <w:rFonts w:ascii="Times New Roman" w:hAnsi="Times New Roman" w:cs="Times New Roman"/>
          <w:sz w:val="15"/>
          <w:szCs w:val="15"/>
          <w:highlight w:val="none"/>
        </w:rPr>
        <w:t>Heinrich 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C, et al. Kinase mutations and imatinib response in patients with metastatic gastrointestinal stromal tumor. J Clin Oncol. 2003, 21(23):4342-9.</w:t>
      </w:r>
    </w:p>
    <w:p>
      <w:pPr>
        <w:widowControl/>
        <w:numPr>
          <w:ilvl w:val="0"/>
          <w:numId w:val="21"/>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"http://www.ncbi.nlm.nih.gov/pubmed?term=Hirota%20S%5BAuthor%5D&amp;cauthor=true&amp;cauthor_uid=9438854" \h </w:instrText>
      </w:r>
      <w:r>
        <w:rPr>
          <w:highlight w:val="none"/>
        </w:rPr>
        <w:fldChar w:fldCharType="separate"/>
      </w:r>
      <w:r>
        <w:rPr>
          <w:rFonts w:ascii="Times New Roman" w:hAnsi="Times New Roman" w:cs="Times New Roman"/>
          <w:sz w:val="15"/>
          <w:szCs w:val="15"/>
          <w:highlight w:val="none"/>
        </w:rPr>
        <w:t>Hirota</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"http://www.ncbi.nlm.nih.gov/pubmed?term=Hirota%20S%5BAuthor%5D&amp;cauthor=true&amp;cauthor_uid=9438854"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S, et al. Gain-of-function mutations of c-kit in human gastrointestinal stromal tumors. Science. 1998, 279(5350):577-80.</w:t>
      </w:r>
    </w:p>
    <w:p>
      <w:pPr>
        <w:widowControl/>
        <w:numPr>
          <w:ilvl w:val="0"/>
          <w:numId w:val="21"/>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"http://www.ncbi.nlm.nih.gov/pubmed?term=Demetri%20GD%5BAuthor%5D&amp;cauthor=true&amp;cauthor_uid=12181401" \h </w:instrText>
      </w:r>
      <w:r>
        <w:rPr>
          <w:highlight w:val="none"/>
        </w:rPr>
        <w:fldChar w:fldCharType="separate"/>
      </w:r>
      <w:r>
        <w:rPr>
          <w:rFonts w:ascii="Times New Roman" w:hAnsi="Times New Roman" w:cs="Times New Roman"/>
          <w:sz w:val="15"/>
          <w:szCs w:val="15"/>
          <w:highlight w:val="none"/>
        </w:rPr>
        <w:t>Demetri G</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D, et al. Efficacy and safety of imatinib mesylate in advanced gastrointestinal stromal tumors. N Engl J Med. 2002, 347(7):472-80.</w:t>
      </w:r>
    </w:p>
    <w:p>
      <w:pPr>
        <w:widowControl/>
        <w:numPr>
          <w:ilvl w:val="0"/>
          <w:numId w:val="21"/>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"http://www.ncbi.nlm.nih.gov/pubmed?term=Heinrich%20MC%5BAuthor%5D&amp;cauthor=true&amp;cauthor_uid=18955458" \h </w:instrText>
      </w:r>
      <w:r>
        <w:rPr>
          <w:highlight w:val="none"/>
        </w:rPr>
        <w:fldChar w:fldCharType="separate"/>
      </w:r>
      <w:r>
        <w:rPr>
          <w:rFonts w:ascii="Times New Roman" w:hAnsi="Times New Roman" w:cs="Times New Roman"/>
          <w:sz w:val="15"/>
          <w:szCs w:val="15"/>
          <w:highlight w:val="none"/>
        </w:rPr>
        <w:t>Heinrich 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C, et al. Primary and secondary kinase genotypes correlate with the biological and clinical activity of sunitinib in imatinib-resistant gastrointestinal stromal tumor. </w:t>
      </w:r>
      <w:r>
        <w:rPr>
          <w:highlight w:val="none"/>
        </w:rPr>
        <w:fldChar w:fldCharType="begin"/>
      </w:r>
      <w:r>
        <w:rPr>
          <w:highlight w:val="none"/>
        </w:rPr>
        <w:instrText xml:space="preserve"> HYPERLINK "http://www.ncbi.nlm.nih.gov/pubmed/?term=Primary+and+secondary+kinase+genotypes+correlate+with+the+biological+and+clinical+activity+of+sunitinib+in+imatinib-resistant+gastrointestinal+stromal+tumor" \h </w:instrText>
      </w:r>
      <w:r>
        <w:rPr>
          <w:highlight w:val="none"/>
        </w:rPr>
        <w:fldChar w:fldCharType="separate"/>
      </w:r>
      <w:r>
        <w:rPr>
          <w:rFonts w:ascii="Times New Roman" w:hAnsi="Times New Roman" w:cs="Times New Roman"/>
          <w:sz w:val="15"/>
          <w:szCs w:val="15"/>
          <w:highlight w:val="none"/>
        </w:rPr>
        <w:t>J Clin Oncol</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"http://www.ncbi.nlm.nih.gov/pubmed/?term=Primary+and+secondary+kinase+genotypes+correlate+with+the+biological+and+clinical+activity+of+sunitinib+in+imatinib-resistant+gastrointestinal+stromal+tumor" \h </w:instrText>
      </w:r>
      <w:r>
        <w:rPr>
          <w:highlight w:val="none"/>
        </w:rPr>
        <w:fldChar w:fldCharType="separate"/>
      </w:r>
      <w:r>
        <w:rPr>
          <w:rFonts w:ascii="Times New Roman" w:hAnsi="Times New Roman" w:cs="Times New Roman"/>
          <w:sz w:val="15"/>
          <w:szCs w:val="15"/>
          <w:highlight w:val="none"/>
        </w:rPr>
        <w: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2008, 26(33):53529.</w:t>
      </w:r>
    </w:p>
    <w:p>
      <w:pPr>
        <w:widowControl/>
        <w:numPr>
          <w:ilvl w:val="0"/>
          <w:numId w:val="21"/>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Heinrich MC, Corless CL. Cancer: Oncogenes in context. Nature. 2010, 467(7317):796-7.</w:t>
      </w:r>
    </w:p>
    <w:p>
      <w:pPr>
        <w:widowControl/>
        <w:spacing w:line="276" w:lineRule="auto"/>
        <w:ind w:firstLine="360" w:firstLineChars="200"/>
        <w:jc w:val="both"/>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br w:type="page"/>
      </w:r>
    </w:p>
    <w:p>
      <w:pPr>
        <w:widowControl/>
        <w:rPr>
          <w:rFonts w:ascii="Times New Roman" w:hAnsi="Times New Roman" w:eastAsia="微软雅黑" w:cs="Times New Roman"/>
          <w:b/>
          <w:bCs/>
          <w:color w:val="416AAB"/>
          <w:sz w:val="24"/>
          <w:szCs w:val="24"/>
          <w:highlight w:val="none"/>
          <w:lang w:eastAsia="zh-CN"/>
        </w:rPr>
      </w:pPr>
      <w:bookmarkStart w:id="237" w:name="_Toc17440_WPSOffice_Level1"/>
      <w:bookmarkStart w:id="238" w:name="_Toc3049_WPSOffice_Level1"/>
      <w:bookmarkStart w:id="239" w:name="_Toc12685_WPSOffice_Level1"/>
      <w:bookmarkStart w:id="240" w:name="_Toc29285_WPSOffice_Level1"/>
      <w:bookmarkStart w:id="241" w:name="_Toc17938_WPSOffice_Level1"/>
      <w:bookmarkStart w:id="242" w:name="_Toc20319_WPSOffice_Level1"/>
      <w:bookmarkStart w:id="243" w:name="_Toc28180_WPSOffice_Level1"/>
      <w:bookmarkStart w:id="244" w:name="_Toc21686_WPSOffice_Level1"/>
      <w:r>
        <w:rPr>
          <w:rFonts w:ascii="Times New Roman" w:hAnsi="Times New Roman" w:eastAsia="微软雅黑" w:cs="Times New Roman"/>
          <w:b/>
          <w:bCs/>
          <w:color w:val="416AAB"/>
          <w:sz w:val="24"/>
          <w:szCs w:val="24"/>
          <w:highlight w:val="none"/>
          <w:lang w:eastAsia="zh-CN"/>
        </w:rPr>
        <w:t>KRAS</w:t>
      </w:r>
      <w:bookmarkEnd w:id="237"/>
      <w:bookmarkEnd w:id="238"/>
      <w:bookmarkEnd w:id="239"/>
      <w:bookmarkEnd w:id="240"/>
      <w:bookmarkEnd w:id="241"/>
      <w:bookmarkEnd w:id="242"/>
      <w:bookmarkEnd w:id="243"/>
      <w:bookmarkEnd w:id="244"/>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已在人类鉴定出三种不同的RAS基因：KRAS基因（与Kirsten大鼠肉瘤病毒致癌基因同源）、HRAS（与哈维大鼠肉瘤病毒致癌基因同源）和NRAS（分离自人类神经母细胞瘤）。RAS基因高度同源但功能区分。RAS蛋白均为小的鸟苷酸结合调节蛋白，可由无活性的鸟苷二磷酸结合形式转化为活性鸟苷三磷酸结合形式。RAS蛋白是生长因子信号通路下游的中心调控者，因此对细胞增殖、存活和分化非常关键。RAS蛋白可激活多个下游效应物，包括与细胞存活相关的PI3K-AKT-mTOR途径，参与细胞增殖的 RAS-RAF-MEK-ERK通路（图示）。</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RAS被发现可在多种癌症的发病中起作用。RAS基因的激活性突变，在缺乏生长因子信号输入的情况下亦能保持 RAS的GTP酶活性持续存在，结果转化为细胞不断增殖的信号（图示）。某种RAS基因常在不同的恶性肿瘤中反复突变。KRAS基因突变特别常见于结肠癌，肺癌和胰腺癌</w:t>
      </w:r>
      <w:r>
        <w:rPr>
          <w:rFonts w:ascii="Times New Roman" w:hAnsi="Times New Roman" w:eastAsia="微软雅黑" w:cs="Times New Roman"/>
          <w:bCs/>
          <w:sz w:val="18"/>
          <w:szCs w:val="18"/>
          <w:highlight w:val="none"/>
          <w:shd w:val="clear" w:color="auto" w:fill="FFFFFF"/>
          <w:vertAlign w:val="superscript"/>
          <w:lang w:eastAsia="zh-CN"/>
        </w:rPr>
        <w:t>[1]</w:t>
      </w:r>
      <w:r>
        <w:rPr>
          <w:rFonts w:ascii="Times New Roman" w:hAnsi="Times New Roman" w:eastAsia="微软雅黑" w:cs="Times New Roman"/>
          <w:bCs/>
          <w:sz w:val="18"/>
          <w:szCs w:val="18"/>
          <w:highlight w:val="none"/>
          <w:shd w:val="clear" w:color="auto" w:fill="FFFFFF"/>
          <w:lang w:eastAsia="zh-CN"/>
        </w:rPr>
        <w:t>。</w:t>
      </w: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jc w:val="center"/>
        <w:rPr>
          <w:rFonts w:ascii="Times New Roman" w:hAnsi="Times New Roman" w:eastAsia="微软雅黑" w:cs="Times New Roman"/>
          <w:highlight w:val="none"/>
        </w:rPr>
      </w:pPr>
      <w:r>
        <w:rPr>
          <w:rFonts w:ascii="Times New Roman" w:hAnsi="Times New Roman" w:eastAsia="微软雅黑" w:cs="Times New Roman"/>
          <w:highlight w:val="none"/>
          <w:lang w:eastAsia="zh-CN"/>
        </w:rPr>
        <w:drawing>
          <wp:inline distT="0" distB="0" distL="0" distR="0">
            <wp:extent cx="3400425" cy="1771650"/>
            <wp:effectExtent l="0" t="0" r="13335" b="11430"/>
            <wp:docPr id="17294" name="Picture 17294"/>
            <wp:cNvGraphicFramePr/>
            <a:graphic xmlns:a="http://schemas.openxmlformats.org/drawingml/2006/main">
              <a:graphicData uri="http://schemas.openxmlformats.org/drawingml/2006/picture">
                <pic:pic xmlns:pic="http://schemas.openxmlformats.org/drawingml/2006/picture">
                  <pic:nvPicPr>
                    <pic:cNvPr id="17294" name="Picture 17294"/>
                    <pic:cNvPicPr/>
                  </pic:nvPicPr>
                  <pic:blipFill>
                    <a:blip r:embed="rId16"/>
                    <a:stretch>
                      <a:fillRect/>
                    </a:stretch>
                  </pic:blipFill>
                  <pic:spPr>
                    <a:xfrm>
                      <a:off x="0" y="0"/>
                      <a:ext cx="3400425" cy="1771650"/>
                    </a:xfrm>
                    <a:prstGeom prst="rect">
                      <a:avLst/>
                    </a:prstGeom>
                  </pic:spPr>
                </pic:pic>
              </a:graphicData>
            </a:graphic>
          </wp:inline>
        </w:drawing>
      </w:r>
    </w:p>
    <w:p>
      <w:pPr>
        <w:spacing w:line="276" w:lineRule="auto"/>
        <w:jc w:val="center"/>
        <w:rPr>
          <w:rFonts w:ascii="Times New Roman" w:hAnsi="Times New Roman" w:eastAsia="微软雅黑" w:cs="Times New Roman"/>
          <w:highlight w:val="none"/>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图示：KRAS基因突变导致即使缺乏 EGFR 信号输入也能刺激细胞增殖</w:t>
      </w:r>
    </w:p>
    <w:p>
      <w:pPr>
        <w:spacing w:line="276" w:lineRule="auto"/>
        <w:ind w:firstLine="440" w:firstLineChars="200"/>
        <w:jc w:val="both"/>
        <w:rPr>
          <w:rFonts w:ascii="Times New Roman" w:hAnsi="Times New Roman" w:eastAsia="微软雅黑" w:cs="Times New Roman"/>
          <w:highlight w:val="none"/>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22"/>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"http://www.ncbi.nlm.nih.gov/pubmed?term=Schubbert%20S%5BAuthor%5D&amp;cauthor=true&amp;cauthor_uid=17384584" \h </w:instrText>
      </w:r>
      <w:r>
        <w:rPr>
          <w:highlight w:val="none"/>
        </w:rPr>
        <w:fldChar w:fldCharType="separate"/>
      </w:r>
      <w:r>
        <w:rPr>
          <w:rFonts w:ascii="Times New Roman" w:hAnsi="Times New Roman" w:cs="Times New Roman"/>
          <w:sz w:val="15"/>
          <w:szCs w:val="15"/>
          <w:highlight w:val="none"/>
        </w:rPr>
        <w:t>Schubbert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Hyperactive Ras in developmental disorders and cancer. Nat Rev Cancer. 2007, 7(4):295-308.</w:t>
      </w:r>
    </w:p>
    <w:p>
      <w:pPr>
        <w:widowControl/>
        <w:spacing w:line="276" w:lineRule="auto"/>
        <w:ind w:firstLine="360" w:firstLineChars="200"/>
        <w:jc w:val="both"/>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br w:type="page"/>
      </w:r>
    </w:p>
    <w:p>
      <w:pPr>
        <w:widowControl/>
        <w:rPr>
          <w:rFonts w:ascii="Times New Roman" w:hAnsi="Times New Roman" w:eastAsia="微软雅黑" w:cs="Times New Roman"/>
          <w:b/>
          <w:bCs/>
          <w:color w:val="416AAB"/>
          <w:sz w:val="24"/>
          <w:szCs w:val="24"/>
          <w:highlight w:val="none"/>
          <w:lang w:eastAsia="zh-CN"/>
        </w:rPr>
      </w:pPr>
      <w:bookmarkStart w:id="245" w:name="_Toc18427_WPSOffice_Level1"/>
      <w:bookmarkStart w:id="246" w:name="_Toc4584_WPSOffice_Level1"/>
      <w:bookmarkStart w:id="247" w:name="_Toc25956_WPSOffice_Level1"/>
      <w:bookmarkStart w:id="248" w:name="_Toc19766_WPSOffice_Level1"/>
      <w:bookmarkStart w:id="249" w:name="_Toc29816_WPSOffice_Level1"/>
      <w:bookmarkStart w:id="250" w:name="_Toc27824_WPSOffice_Level1"/>
      <w:bookmarkStart w:id="251" w:name="_Toc24661_WPSOffice_Level1"/>
      <w:bookmarkStart w:id="252" w:name="_Toc27941_WPSOffice_Level1"/>
      <w:r>
        <w:rPr>
          <w:rFonts w:ascii="Times New Roman" w:hAnsi="Times New Roman" w:eastAsia="微软雅黑" w:cs="Times New Roman"/>
          <w:b/>
          <w:bCs/>
          <w:color w:val="416AAB"/>
          <w:sz w:val="24"/>
          <w:szCs w:val="24"/>
          <w:highlight w:val="none"/>
          <w:lang w:eastAsia="zh-CN"/>
        </w:rPr>
        <w:t>MAP2K1 (MEK1)</w:t>
      </w:r>
      <w:bookmarkEnd w:id="245"/>
      <w:bookmarkEnd w:id="246"/>
      <w:bookmarkEnd w:id="247"/>
      <w:bookmarkEnd w:id="248"/>
      <w:bookmarkEnd w:id="249"/>
      <w:bookmarkEnd w:id="250"/>
      <w:bookmarkEnd w:id="251"/>
      <w:bookmarkEnd w:id="252"/>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MEK1（也称为 MAP2K1）是一种丝氨酸 - 苏氨酸蛋白激酶，是MAP激酶信号传导途径的中央调控者。作为 MAP激酶途径的组成部分，MEK1参与细胞生命过程，包括细胞增殖、分化和转录调控。</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可在约1％的所有非小细胞肺癌病人发现MEK1体细胞突变，在肺腺癌中的出现频率高于鳞状细胞肺癌</w:t>
      </w:r>
      <w:r>
        <w:rPr>
          <w:rFonts w:ascii="Times New Roman" w:hAnsi="Times New Roman" w:eastAsia="微软雅黑" w:cs="Times New Roman"/>
          <w:bCs/>
          <w:sz w:val="18"/>
          <w:szCs w:val="18"/>
          <w:highlight w:val="none"/>
          <w:shd w:val="clear" w:color="auto" w:fill="FFFFFF"/>
          <w:vertAlign w:val="superscript"/>
          <w:lang w:eastAsia="zh-CN"/>
        </w:rPr>
        <w:t>[1]</w:t>
      </w:r>
      <w:r>
        <w:rPr>
          <w:rFonts w:ascii="Times New Roman" w:hAnsi="Times New Roman" w:eastAsia="微软雅黑" w:cs="Times New Roman"/>
          <w:bCs/>
          <w:sz w:val="18"/>
          <w:szCs w:val="18"/>
          <w:highlight w:val="none"/>
          <w:shd w:val="clear" w:color="auto" w:fill="FFFFFF"/>
          <w:lang w:eastAsia="zh-CN"/>
        </w:rPr>
        <w:t>。携带有MEK1体细胞突变的肺癌病人的临床特征尚有待详细阐述。</w:t>
      </w: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jc w:val="center"/>
        <w:rPr>
          <w:rFonts w:ascii="Times New Roman" w:hAnsi="Times New Roman" w:eastAsia="微软雅黑" w:cs="Times New Roman"/>
          <w:highlight w:val="none"/>
        </w:rPr>
      </w:pPr>
      <w:r>
        <w:rPr>
          <w:rFonts w:ascii="Times New Roman" w:hAnsi="Times New Roman" w:eastAsia="微软雅黑" w:cs="Times New Roman"/>
          <w:highlight w:val="none"/>
          <w:lang w:eastAsia="zh-CN"/>
        </w:rPr>
        <w:drawing>
          <wp:inline distT="0" distB="0" distL="0" distR="0">
            <wp:extent cx="3219450" cy="2867025"/>
            <wp:effectExtent l="0" t="0" r="11430" b="13335"/>
            <wp:docPr id="17381" name="Picture 17381"/>
            <wp:cNvGraphicFramePr/>
            <a:graphic xmlns:a="http://schemas.openxmlformats.org/drawingml/2006/main">
              <a:graphicData uri="http://schemas.openxmlformats.org/drawingml/2006/picture">
                <pic:pic xmlns:pic="http://schemas.openxmlformats.org/drawingml/2006/picture">
                  <pic:nvPicPr>
                    <pic:cNvPr id="17381" name="Picture 17381"/>
                    <pic:cNvPicPr/>
                  </pic:nvPicPr>
                  <pic:blipFill>
                    <a:blip r:embed="rId17"/>
                    <a:stretch>
                      <a:fillRect/>
                    </a:stretch>
                  </pic:blipFill>
                  <pic:spPr>
                    <a:xfrm>
                      <a:off x="0" y="0"/>
                      <a:ext cx="3219450" cy="2867025"/>
                    </a:xfrm>
                    <a:prstGeom prst="rect">
                      <a:avLst/>
                    </a:prstGeom>
                  </pic:spPr>
                </pic:pic>
              </a:graphicData>
            </a:graphic>
          </wp:inline>
        </w:drawing>
      </w:r>
    </w:p>
    <w:p>
      <w:pPr>
        <w:spacing w:line="276" w:lineRule="auto"/>
        <w:jc w:val="center"/>
        <w:rPr>
          <w:rFonts w:ascii="Times New Roman" w:hAnsi="Times New Roman" w:eastAsia="微软雅黑" w:cs="Times New Roman"/>
          <w:highlight w:val="none"/>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图示：MEK1突变与癌症治疗</w:t>
      </w:r>
    </w:p>
    <w:p>
      <w:pPr>
        <w:spacing w:line="276" w:lineRule="auto"/>
        <w:ind w:firstLine="440" w:firstLineChars="200"/>
        <w:jc w:val="both"/>
        <w:rPr>
          <w:rFonts w:ascii="Times New Roman" w:hAnsi="Times New Roman" w:eastAsia="微软雅黑" w:cs="Times New Roman"/>
          <w:highlight w:val="none"/>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23"/>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"http://www.ncbi.nlm.nih.gov/pubmed?term=Marks%20JL%5BAuthor%5D&amp;cauthor=true&amp;cauthor_uid=18632602" \h </w:instrText>
      </w:r>
      <w:r>
        <w:rPr>
          <w:highlight w:val="none"/>
        </w:rPr>
        <w:fldChar w:fldCharType="separate"/>
      </w:r>
      <w:r>
        <w:rPr>
          <w:rFonts w:ascii="Times New Roman" w:hAnsi="Times New Roman" w:cs="Times New Roman"/>
          <w:sz w:val="15"/>
          <w:szCs w:val="15"/>
          <w:highlight w:val="none"/>
        </w:rPr>
        <w:t>Marks J</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L, et al. Novel MEK1 mutation identified by mutational analysis of epidermal growth factor receptor signaling pathway genes in lung adenocarcinoma. Cancer Res. 2008, 68(14):5524-8.</w:t>
      </w:r>
    </w:p>
    <w:p>
      <w:pPr>
        <w:spacing w:line="276" w:lineRule="auto"/>
        <w:ind w:firstLine="440" w:firstLineChars="200"/>
        <w:jc w:val="both"/>
        <w:rPr>
          <w:rFonts w:ascii="Times New Roman" w:hAnsi="Times New Roman" w:eastAsia="微软雅黑" w:cs="Times New Roman"/>
          <w:highlight w:val="none"/>
        </w:rPr>
      </w:pPr>
    </w:p>
    <w:p>
      <w:pPr>
        <w:widowControl/>
        <w:spacing w:line="276" w:lineRule="auto"/>
        <w:ind w:firstLine="360" w:firstLineChars="200"/>
        <w:jc w:val="both"/>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br w:type="page"/>
      </w:r>
    </w:p>
    <w:p>
      <w:pPr>
        <w:widowControl/>
        <w:rPr>
          <w:rFonts w:ascii="Times New Roman" w:hAnsi="Times New Roman" w:eastAsia="微软雅黑" w:cs="Times New Roman"/>
          <w:b/>
          <w:bCs/>
          <w:color w:val="416AAB"/>
          <w:sz w:val="24"/>
          <w:szCs w:val="24"/>
          <w:highlight w:val="none"/>
          <w:lang w:eastAsia="zh-CN"/>
        </w:rPr>
      </w:pPr>
      <w:bookmarkStart w:id="253" w:name="_Toc8141_WPSOffice_Level1"/>
      <w:bookmarkStart w:id="254" w:name="_Toc7268_WPSOffice_Level1"/>
      <w:bookmarkStart w:id="255" w:name="_Toc8959_WPSOffice_Level1"/>
      <w:bookmarkStart w:id="256" w:name="_Toc13267_WPSOffice_Level1"/>
      <w:bookmarkStart w:id="257" w:name="_Toc19658_WPSOffice_Level1"/>
      <w:bookmarkStart w:id="258" w:name="_Toc12258_WPSOffice_Level1"/>
      <w:bookmarkStart w:id="259" w:name="_Toc9870_WPSOffice_Level1"/>
      <w:bookmarkStart w:id="260" w:name="_Toc20570_WPSOffice_Level1"/>
      <w:r>
        <w:rPr>
          <w:rFonts w:ascii="Times New Roman" w:hAnsi="Times New Roman" w:eastAsia="微软雅黑" w:cs="Times New Roman"/>
          <w:b/>
          <w:bCs/>
          <w:color w:val="416AAB"/>
          <w:sz w:val="24"/>
          <w:szCs w:val="24"/>
          <w:highlight w:val="none"/>
          <w:lang w:eastAsia="zh-CN"/>
        </w:rPr>
        <w:t>MET</w:t>
      </w:r>
      <w:bookmarkEnd w:id="253"/>
      <w:bookmarkEnd w:id="254"/>
      <w:bookmarkEnd w:id="255"/>
      <w:bookmarkEnd w:id="256"/>
      <w:bookmarkEnd w:id="257"/>
      <w:bookmarkEnd w:id="258"/>
      <w:bookmarkEnd w:id="259"/>
      <w:bookmarkEnd w:id="260"/>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MET基因MNNG-HOS转化基因位于第7号染色体，编码一种受体酪氨酸激酶（RTK）</w:t>
      </w:r>
      <w:r>
        <w:rPr>
          <w:rFonts w:ascii="Times New Roman" w:hAnsi="Times New Roman" w:eastAsia="微软雅黑" w:cs="Times New Roman"/>
          <w:bCs/>
          <w:sz w:val="18"/>
          <w:szCs w:val="18"/>
          <w:highlight w:val="none"/>
          <w:shd w:val="clear" w:color="auto" w:fill="FFFFFF"/>
          <w:vertAlign w:val="superscript"/>
          <w:lang w:eastAsia="zh-CN"/>
        </w:rPr>
        <w:t>[1]</w:t>
      </w:r>
      <w:r>
        <w:rPr>
          <w:rFonts w:ascii="Times New Roman" w:hAnsi="Times New Roman" w:eastAsia="微软雅黑" w:cs="Times New Roman"/>
          <w:bCs/>
          <w:sz w:val="18"/>
          <w:szCs w:val="18"/>
          <w:highlight w:val="none"/>
          <w:shd w:val="clear" w:color="auto" w:fill="FFFFFF"/>
          <w:lang w:eastAsia="zh-CN"/>
        </w:rPr>
        <w:t>。与其配体肝细胞生长因子（HG）的结合，诱导MET受体的构象变化，由此磷酸化和激活。活化的MET接着磷酸化其底物，从而激活下游多个途径，包括涉及细胞存活的PI3K-AKT-mTOR途径，参与细胞增殖的RAS-RAF-MEK-ERK通路（图示）。恶性肿瘤细胞，由MET受体传输的异常信号会促成多效作用，包括生长、存活、侵入、迁移、血管生成和转移</w:t>
      </w:r>
      <w:r>
        <w:rPr>
          <w:rFonts w:ascii="Times New Roman" w:hAnsi="Times New Roman" w:eastAsia="微软雅黑" w:cs="Times New Roman"/>
          <w:bCs/>
          <w:sz w:val="18"/>
          <w:szCs w:val="18"/>
          <w:highlight w:val="none"/>
          <w:shd w:val="clear" w:color="auto" w:fill="FFFFFF"/>
          <w:vertAlign w:val="superscript"/>
          <w:lang w:eastAsia="zh-CN"/>
        </w:rPr>
        <w:t>[2，3]</w:t>
      </w:r>
      <w:r>
        <w:rPr>
          <w:rFonts w:ascii="Times New Roman" w:hAnsi="Times New Roman" w:eastAsia="微软雅黑" w:cs="Times New Roman"/>
          <w:bCs/>
          <w:sz w:val="18"/>
          <w:szCs w:val="18"/>
          <w:highlight w:val="none"/>
          <w:shd w:val="clear" w:color="auto" w:fill="FFFFFF"/>
          <w:lang w:eastAsia="zh-CN"/>
        </w:rPr>
        <w:t>。已在多种人类癌症鉴定到MET受体及其配体HGF的异常激活，如所有的遗传性乳头状肾细胞癌都存在MET基因酪氨酸激酶功能域的遗传性突变，而10-15％的散发性乳头状肾细胞癌也可检测到体细胞突变</w:t>
      </w:r>
      <w:r>
        <w:rPr>
          <w:rFonts w:ascii="Times New Roman" w:hAnsi="Times New Roman" w:eastAsia="微软雅黑" w:cs="Times New Roman"/>
          <w:bCs/>
          <w:sz w:val="18"/>
          <w:szCs w:val="18"/>
          <w:highlight w:val="none"/>
          <w:shd w:val="clear" w:color="auto" w:fill="FFFFFF"/>
          <w:vertAlign w:val="superscript"/>
          <w:lang w:eastAsia="zh-CN"/>
        </w:rPr>
        <w:t>[4]</w:t>
      </w:r>
      <w:r>
        <w:rPr>
          <w:rFonts w:ascii="Times New Roman" w:hAnsi="Times New Roman" w:eastAsia="微软雅黑" w:cs="Times New Roman"/>
          <w:bCs/>
          <w:sz w:val="18"/>
          <w:szCs w:val="18"/>
          <w:highlight w:val="none"/>
          <w:shd w:val="clear" w:color="auto" w:fill="FFFFFF"/>
          <w:lang w:eastAsia="zh-CN"/>
        </w:rPr>
        <w:t>。头颈部鳞状细胞癌、儿童肝细胞癌、非小细胞肺癌和小细胞肺癌也能检测到低频的MET基因突变</w:t>
      </w:r>
      <w:r>
        <w:rPr>
          <w:rFonts w:ascii="Times New Roman" w:hAnsi="Times New Roman" w:eastAsia="微软雅黑" w:cs="Times New Roman"/>
          <w:bCs/>
          <w:sz w:val="18"/>
          <w:szCs w:val="18"/>
          <w:highlight w:val="none"/>
          <w:shd w:val="clear" w:color="auto" w:fill="FFFFFF"/>
          <w:vertAlign w:val="superscript"/>
          <w:lang w:eastAsia="zh-CN"/>
        </w:rPr>
        <w:t>[5]</w:t>
      </w:r>
      <w:r>
        <w:rPr>
          <w:rFonts w:ascii="Times New Roman" w:hAnsi="Times New Roman" w:eastAsia="微软雅黑" w:cs="Times New Roman"/>
          <w:bCs/>
          <w:sz w:val="18"/>
          <w:szCs w:val="18"/>
          <w:highlight w:val="none"/>
          <w:shd w:val="clear" w:color="auto" w:fill="FFFFFF"/>
          <w:lang w:eastAsia="zh-CN"/>
        </w:rPr>
        <w:t>。此外，MET基因扩增被报道出现于胃癌、食管癌、大肠癌、胶质瘤、非小细胞肺癌和透明细胞卵巢癌等</w:t>
      </w:r>
      <w:r>
        <w:rPr>
          <w:rFonts w:ascii="Times New Roman" w:hAnsi="Times New Roman" w:eastAsia="微软雅黑" w:cs="Times New Roman"/>
          <w:bCs/>
          <w:sz w:val="18"/>
          <w:szCs w:val="18"/>
          <w:highlight w:val="none"/>
          <w:shd w:val="clear" w:color="auto" w:fill="FFFFFF"/>
          <w:vertAlign w:val="superscript"/>
          <w:lang w:eastAsia="zh-CN"/>
        </w:rPr>
        <w:t>[6，7]</w:t>
      </w:r>
      <w:r>
        <w:rPr>
          <w:rFonts w:ascii="Times New Roman" w:hAnsi="Times New Roman" w:eastAsia="微软雅黑" w:cs="Times New Roman"/>
          <w:bCs/>
          <w:sz w:val="18"/>
          <w:szCs w:val="18"/>
          <w:highlight w:val="none"/>
          <w:shd w:val="clear" w:color="auto" w:fill="FFFFFF"/>
          <w:lang w:eastAsia="zh-CN"/>
        </w:rPr>
        <w:t>。</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jc w:val="center"/>
        <w:rPr>
          <w:rFonts w:ascii="Times New Roman" w:hAnsi="Times New Roman" w:eastAsia="微软雅黑" w:cs="Times New Roman"/>
          <w:highlight w:val="none"/>
        </w:rPr>
      </w:pPr>
      <w:r>
        <w:rPr>
          <w:rFonts w:ascii="Times New Roman" w:hAnsi="Times New Roman" w:eastAsia="微软雅黑" w:cs="Times New Roman"/>
          <w:highlight w:val="none"/>
          <w:lang w:eastAsia="zh-CN"/>
        </w:rPr>
        <w:drawing>
          <wp:inline distT="0" distB="0" distL="0" distR="0">
            <wp:extent cx="2676525" cy="2066925"/>
            <wp:effectExtent l="0" t="0" r="5715" b="5715"/>
            <wp:docPr id="17574" name="Picture 17574"/>
            <wp:cNvGraphicFramePr/>
            <a:graphic xmlns:a="http://schemas.openxmlformats.org/drawingml/2006/main">
              <a:graphicData uri="http://schemas.openxmlformats.org/drawingml/2006/picture">
                <pic:pic xmlns:pic="http://schemas.openxmlformats.org/drawingml/2006/picture">
                  <pic:nvPicPr>
                    <pic:cNvPr id="17574" name="Picture 17574"/>
                    <pic:cNvPicPr/>
                  </pic:nvPicPr>
                  <pic:blipFill>
                    <a:blip r:embed="rId18"/>
                    <a:stretch>
                      <a:fillRect/>
                    </a:stretch>
                  </pic:blipFill>
                  <pic:spPr>
                    <a:xfrm>
                      <a:off x="0" y="0"/>
                      <a:ext cx="2676525" cy="2066925"/>
                    </a:xfrm>
                    <a:prstGeom prst="rect">
                      <a:avLst/>
                    </a:prstGeom>
                  </pic:spPr>
                </pic:pic>
              </a:graphicData>
            </a:graphic>
          </wp:inline>
        </w:drawing>
      </w:r>
    </w:p>
    <w:p>
      <w:pPr>
        <w:spacing w:line="276" w:lineRule="auto"/>
        <w:jc w:val="center"/>
        <w:rPr>
          <w:rFonts w:ascii="Times New Roman" w:hAnsi="Times New Roman" w:eastAsia="微软雅黑" w:cs="Times New Roman"/>
          <w:highlight w:val="none"/>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图示：MET信号通路</w:t>
      </w:r>
      <w:r>
        <w:rPr>
          <w:rFonts w:ascii="Times New Roman" w:hAnsi="Times New Roman" w:eastAsia="微软雅黑" w:cs="Times New Roman"/>
          <w:bCs/>
          <w:sz w:val="18"/>
          <w:szCs w:val="18"/>
          <w:highlight w:val="none"/>
          <w:shd w:val="clear" w:color="auto" w:fill="FFFFFF"/>
          <w:vertAlign w:val="superscript"/>
          <w:lang w:eastAsia="zh-CN"/>
        </w:rPr>
        <w:t>[8]</w:t>
      </w:r>
    </w:p>
    <w:p>
      <w:pPr>
        <w:rPr>
          <w:rFonts w:ascii="Times New Roman" w:hAnsi="Times New Roman" w:eastAsia="微软雅黑" w:cs="Times New Roman"/>
          <w:b/>
          <w:sz w:val="18"/>
          <w:highlight w:val="none"/>
          <w:shd w:val="clear" w:color="auto" w:fill="FFFFFF"/>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2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Cooper CS, et al. Molecular cloning of a new transforming gene from a chemically transformed human cell line. Nature. 1984, 311(5981):29-33.</w:t>
      </w:r>
    </w:p>
    <w:p>
      <w:pPr>
        <w:widowControl/>
        <w:numPr>
          <w:ilvl w:val="0"/>
          <w:numId w:val="2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Birchmeier C, et al. Met, metastasis, motility and more. Nat Rev Mol Cell Biol. 2003, 4(12):915-25.</w:t>
      </w:r>
    </w:p>
    <w:p>
      <w:pPr>
        <w:widowControl/>
        <w:numPr>
          <w:ilvl w:val="0"/>
          <w:numId w:val="2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Peruzzi B, Bottaro DP. Targeting the c-Met signaling pathway in cancer. Clin Cancer Res. 2006, 12(12):3657-60.</w:t>
      </w:r>
    </w:p>
    <w:p>
      <w:pPr>
        <w:widowControl/>
        <w:numPr>
          <w:ilvl w:val="0"/>
          <w:numId w:val="2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"http://www.ncbi.nlm.nih.gov/pubmed?term=Schmidt%20L%5BAuthor%5D&amp;cauthor=true&amp;cauthor_uid=9140397" \h </w:instrText>
      </w:r>
      <w:r>
        <w:rPr>
          <w:highlight w:val="none"/>
        </w:rPr>
        <w:fldChar w:fldCharType="separate"/>
      </w:r>
      <w:r>
        <w:rPr>
          <w:rFonts w:ascii="Times New Roman" w:hAnsi="Times New Roman" w:cs="Times New Roman"/>
          <w:sz w:val="15"/>
          <w:szCs w:val="15"/>
          <w:highlight w:val="none"/>
        </w:rPr>
        <w:t>Schmidt 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Germline and somatic mutations in the tyrosine kinase domain of the MET protooncogene in papillary renal carcinomas. </w:t>
      </w:r>
      <w:r>
        <w:rPr>
          <w:highlight w:val="none"/>
        </w:rPr>
        <w:fldChar w:fldCharType="begin"/>
      </w:r>
      <w:r>
        <w:rPr>
          <w:highlight w:val="none"/>
        </w:rPr>
        <w:instrText xml:space="preserve"> HYPERLINK "http://www.ncbi.nlm.nih.gov/pubmed/9140397" \h </w:instrText>
      </w:r>
      <w:r>
        <w:rPr>
          <w:highlight w:val="none"/>
        </w:rPr>
        <w:fldChar w:fldCharType="separate"/>
      </w:r>
      <w:r>
        <w:rPr>
          <w:rFonts w:ascii="Times New Roman" w:hAnsi="Times New Roman" w:cs="Times New Roman"/>
          <w:sz w:val="15"/>
          <w:szCs w:val="15"/>
          <w:highlight w:val="none"/>
        </w:rPr>
        <w:t>Nat Genet.</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"http://www.ncbi.nlm.nih.gov/pubmed/9140397"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1997, 16(1):68-73.</w:t>
      </w:r>
    </w:p>
    <w:p>
      <w:pPr>
        <w:widowControl/>
        <w:numPr>
          <w:ilvl w:val="0"/>
          <w:numId w:val="2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 PC, et al. c-MET mutational analysis in small cell lung cancer: novel juxtamembrane domain mutations regulating cytoskeletal functions. Cancer Res. 2003, 63(19):6272-81.</w:t>
      </w:r>
    </w:p>
    <w:p>
      <w:pPr>
        <w:widowControl/>
        <w:numPr>
          <w:ilvl w:val="0"/>
          <w:numId w:val="2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Bean J, et al. MET amplification occurs with or without T790M mutations in EGFR mutant lung tumors with acquired resistance to gefitinib or erlotinib. Proc Natl Acad Sci U S A. 2007, 104(52):20932-7.</w:t>
      </w:r>
    </w:p>
    <w:p>
      <w:pPr>
        <w:widowControl/>
        <w:numPr>
          <w:ilvl w:val="0"/>
          <w:numId w:val="2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Kubo T, et al. MET gene amplification or EGFR mutation activate MET in lung cancers untreated with EGFR tyrosine kinase inhibitors. Int J Cancer. 2009, 124(8):1778-84.</w:t>
      </w:r>
    </w:p>
    <w:p>
      <w:pPr>
        <w:widowControl/>
        <w:numPr>
          <w:ilvl w:val="0"/>
          <w:numId w:val="2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Linehan WM, et al. The genetic basis of kidney cancer: a metabolic disease. Nat Rev Urol. 2010, 7(5):277-85.</w:t>
      </w:r>
    </w:p>
    <w:p>
      <w:pPr>
        <w:spacing w:line="276" w:lineRule="auto"/>
        <w:ind w:firstLine="360" w:firstLineChars="200"/>
        <w:jc w:val="both"/>
        <w:rPr>
          <w:rFonts w:ascii="Times New Roman" w:hAnsi="Times New Roman" w:eastAsia="微软雅黑" w:cs="Times New Roman"/>
          <w:b/>
          <w:bCs/>
          <w:sz w:val="30"/>
          <w:szCs w:val="30"/>
          <w:highlight w:val="none"/>
          <w:lang w:eastAsia="zh-CN"/>
        </w:rPr>
      </w:pPr>
      <w:r>
        <w:rPr>
          <w:rFonts w:ascii="Times New Roman" w:hAnsi="Times New Roman" w:eastAsia="微软雅黑" w:cs="Times New Roman"/>
          <w:sz w:val="18"/>
          <w:szCs w:val="18"/>
          <w:highlight w:val="none"/>
        </w:rPr>
        <w:br w:type="page"/>
      </w:r>
    </w:p>
    <w:p>
      <w:pPr>
        <w:widowControl/>
        <w:rPr>
          <w:rFonts w:ascii="Times New Roman" w:hAnsi="Times New Roman" w:eastAsia="微软雅黑" w:cs="Times New Roman"/>
          <w:b/>
          <w:bCs/>
          <w:color w:val="416AAB"/>
          <w:sz w:val="24"/>
          <w:szCs w:val="24"/>
          <w:highlight w:val="none"/>
          <w:lang w:eastAsia="zh-CN"/>
        </w:rPr>
      </w:pPr>
      <w:bookmarkStart w:id="261" w:name="_Toc22326_WPSOffice_Level1"/>
      <w:bookmarkStart w:id="262" w:name="_Toc7978_WPSOffice_Level1"/>
      <w:bookmarkStart w:id="263" w:name="_Toc29912_WPSOffice_Level1"/>
      <w:bookmarkStart w:id="264" w:name="_Toc25251_WPSOffice_Level1"/>
      <w:bookmarkStart w:id="265" w:name="_Toc21505_WPSOffice_Level1"/>
      <w:bookmarkStart w:id="266" w:name="_Toc18680_WPSOffice_Level1"/>
      <w:bookmarkStart w:id="267" w:name="_Toc14829_WPSOffice_Level1"/>
      <w:bookmarkStart w:id="268" w:name="_Toc3149_WPSOffice_Level1"/>
      <w:r>
        <w:rPr>
          <w:rFonts w:ascii="Times New Roman" w:hAnsi="Times New Roman" w:eastAsia="微软雅黑" w:cs="Times New Roman"/>
          <w:b/>
          <w:bCs/>
          <w:color w:val="416AAB"/>
          <w:sz w:val="24"/>
          <w:szCs w:val="24"/>
          <w:highlight w:val="none"/>
          <w:lang w:eastAsia="zh-CN"/>
        </w:rPr>
        <w:t>NRAS</w:t>
      </w:r>
      <w:bookmarkEnd w:id="261"/>
      <w:bookmarkEnd w:id="262"/>
      <w:bookmarkEnd w:id="263"/>
      <w:bookmarkEnd w:id="264"/>
      <w:bookmarkEnd w:id="265"/>
      <w:bookmarkEnd w:id="266"/>
      <w:bookmarkEnd w:id="267"/>
      <w:bookmarkEnd w:id="268"/>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已在人类鉴定出三种不同的RAS基因：KRAS基因（与 Kirsten 大鼠肉瘤病毒致癌基因同源），HRAS（与哈维大鼠肉瘤病毒致癌基因同源），和NRAS（分离自人类神经母细胞瘤）。RAS基因高度同源但功能区分。RAS蛋白均为小的鸟苷酸结合调节蛋白，可由无活性的鸟苷二磷酸结合形式转化为活性鸟苷三磷酸结合形式。RAS蛋白是生长因子信号通路下游的中心调控者，因此对细胞增殖、存活和分化非常关键。RAS蛋白可激活多个下游效应物，包括与细胞存活相关的PI3K-AKT-mTOR途径，参与细胞增殖的 RAS-RAF-MEK-ERK通路（图示）。不同的恶性肿瘤可观察到某种RAS基因的反复突变。NRAS突变特别常见于黑色素瘤、干细胞癌、髓性白血病，以及甲状腺癌</w:t>
      </w:r>
      <w:r>
        <w:rPr>
          <w:rFonts w:ascii="Times New Roman" w:hAnsi="Times New Roman" w:eastAsia="微软雅黑" w:cs="Times New Roman"/>
          <w:bCs/>
          <w:sz w:val="18"/>
          <w:szCs w:val="18"/>
          <w:highlight w:val="none"/>
          <w:shd w:val="clear" w:color="auto" w:fill="FFFFFF"/>
          <w:vertAlign w:val="superscript"/>
          <w:lang w:eastAsia="zh-CN"/>
        </w:rPr>
        <w:t>[1，2]</w:t>
      </w:r>
      <w:r>
        <w:rPr>
          <w:rFonts w:ascii="Times New Roman" w:hAnsi="Times New Roman" w:eastAsia="微软雅黑" w:cs="Times New Roman"/>
          <w:bCs/>
          <w:sz w:val="18"/>
          <w:szCs w:val="18"/>
          <w:highlight w:val="none"/>
          <w:shd w:val="clear" w:color="auto" w:fill="FFFFFF"/>
          <w:lang w:eastAsia="zh-CN"/>
        </w:rPr>
        <w:t>。</w:t>
      </w:r>
    </w:p>
    <w:p>
      <w:pPr>
        <w:spacing w:line="276" w:lineRule="auto"/>
        <w:ind w:firstLine="340" w:firstLineChars="200"/>
        <w:jc w:val="both"/>
        <w:rPr>
          <w:rFonts w:ascii="Times New Roman" w:hAnsi="Times New Roman" w:eastAsia="微软雅黑" w:cs="Times New Roman"/>
          <w:sz w:val="17"/>
          <w:highlight w:val="none"/>
          <w:lang w:eastAsia="zh-CN"/>
        </w:rPr>
      </w:pPr>
    </w:p>
    <w:p>
      <w:pPr>
        <w:spacing w:line="276" w:lineRule="auto"/>
        <w:ind w:firstLine="440" w:firstLineChars="200"/>
        <w:jc w:val="both"/>
        <w:rPr>
          <w:rFonts w:ascii="Times New Roman" w:hAnsi="Times New Roman" w:eastAsia="微软雅黑" w:cs="Times New Roman"/>
          <w:sz w:val="17"/>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77696" behindDoc="0" locked="0" layoutInCell="1" allowOverlap="1">
            <wp:simplePos x="0" y="0"/>
            <wp:positionH relativeFrom="margin">
              <wp:align>center</wp:align>
            </wp:positionH>
            <wp:positionV relativeFrom="paragraph">
              <wp:posOffset>119380</wp:posOffset>
            </wp:positionV>
            <wp:extent cx="4400550" cy="2838450"/>
            <wp:effectExtent l="0" t="0" r="3810" b="11430"/>
            <wp:wrapNone/>
            <wp:docPr id="17902" name="Picture 17902"/>
            <wp:cNvGraphicFramePr/>
            <a:graphic xmlns:a="http://schemas.openxmlformats.org/drawingml/2006/main">
              <a:graphicData uri="http://schemas.openxmlformats.org/drawingml/2006/picture">
                <pic:pic xmlns:pic="http://schemas.openxmlformats.org/drawingml/2006/picture">
                  <pic:nvPicPr>
                    <pic:cNvPr id="17902" name="Picture 17902"/>
                    <pic:cNvPicPr/>
                  </pic:nvPicPr>
                  <pic:blipFill>
                    <a:blip r:embed="rId19">
                      <a:extLst>
                        <a:ext uri="{28A0092B-C50C-407E-A947-70E740481C1C}">
                          <a14:useLocalDpi xmlns:a14="http://schemas.microsoft.com/office/drawing/2010/main" val="0"/>
                        </a:ext>
                      </a:extLst>
                    </a:blip>
                    <a:stretch>
                      <a:fillRect/>
                    </a:stretch>
                  </pic:blipFill>
                  <pic:spPr>
                    <a:xfrm>
                      <a:off x="0" y="0"/>
                      <a:ext cx="4400550" cy="2838450"/>
                    </a:xfrm>
                    <a:prstGeom prst="rect">
                      <a:avLst/>
                    </a:prstGeom>
                  </pic:spPr>
                </pic:pic>
              </a:graphicData>
            </a:graphic>
          </wp:anchor>
        </w:drawing>
      </w: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图示：突变 NARS 导致黑色素细胞癌变</w:t>
      </w:r>
    </w:p>
    <w:p>
      <w:pPr>
        <w:spacing w:line="276" w:lineRule="auto"/>
        <w:ind w:firstLine="440" w:firstLineChars="200"/>
        <w:jc w:val="both"/>
        <w:rPr>
          <w:rFonts w:ascii="Times New Roman" w:hAnsi="Times New Roman" w:eastAsia="微软雅黑" w:cs="Times New Roman"/>
          <w:highlight w:val="none"/>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25"/>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"http://www.ncbi.nlm.nih.gov/pubmed?term=Schubbert%20S%5BAuthor%5D&amp;cauthor=true&amp;cauthor_uid=17384584" \h </w:instrText>
      </w:r>
      <w:r>
        <w:rPr>
          <w:highlight w:val="none"/>
        </w:rPr>
        <w:fldChar w:fldCharType="separate"/>
      </w:r>
      <w:r>
        <w:rPr>
          <w:rFonts w:ascii="Times New Roman" w:hAnsi="Times New Roman" w:cs="Times New Roman"/>
          <w:sz w:val="15"/>
          <w:szCs w:val="15"/>
          <w:highlight w:val="none"/>
        </w:rPr>
        <w:t>Schubbert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Hyperactive Ras in developmental disorders and cancer. Nat Rev Cancer. 2007, 7(4):295-308.</w:t>
      </w:r>
    </w:p>
    <w:p>
      <w:pPr>
        <w:widowControl/>
        <w:numPr>
          <w:ilvl w:val="0"/>
          <w:numId w:val="25"/>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Huang PH, Marais R. Cancer: Melanoma troops massed. Nature. 2009, 459(7245):336-7.</w:t>
      </w:r>
    </w:p>
    <w:p>
      <w:pPr>
        <w:widowControl/>
        <w:numPr>
          <w:ilvl w:val="0"/>
          <w:numId w:val="16"/>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br w:type="page"/>
      </w:r>
    </w:p>
    <w:p>
      <w:pPr>
        <w:widowControl/>
        <w:rPr>
          <w:rFonts w:ascii="Times New Roman" w:hAnsi="Times New Roman" w:eastAsia="微软雅黑" w:cs="Times New Roman"/>
          <w:b/>
          <w:bCs/>
          <w:color w:val="416AAB"/>
          <w:sz w:val="24"/>
          <w:szCs w:val="24"/>
          <w:highlight w:val="none"/>
          <w:lang w:eastAsia="zh-CN"/>
        </w:rPr>
      </w:pPr>
      <w:bookmarkStart w:id="269" w:name="_Toc22522_WPSOffice_Level1"/>
      <w:bookmarkStart w:id="270" w:name="_Toc4993_WPSOffice_Level1"/>
      <w:bookmarkStart w:id="271" w:name="_Toc29818_WPSOffice_Level1"/>
      <w:bookmarkStart w:id="272" w:name="_Toc29741_WPSOffice_Level1"/>
      <w:bookmarkStart w:id="273" w:name="_Toc9131_WPSOffice_Level1"/>
      <w:bookmarkStart w:id="274" w:name="_Toc17014_WPSOffice_Level1"/>
      <w:bookmarkStart w:id="275" w:name="_Toc16333_WPSOffice_Level1"/>
      <w:bookmarkStart w:id="276" w:name="_Toc4238_WPSOffice_Level1"/>
      <w:r>
        <w:rPr>
          <w:rFonts w:ascii="Times New Roman" w:hAnsi="Times New Roman" w:eastAsia="微软雅黑" w:cs="Times New Roman"/>
          <w:b/>
          <w:bCs/>
          <w:color w:val="416AAB"/>
          <w:sz w:val="24"/>
          <w:szCs w:val="24"/>
          <w:highlight w:val="none"/>
          <w:lang w:eastAsia="zh-CN"/>
        </w:rPr>
        <w:t>PDGFRA</w:t>
      </w:r>
      <w:bookmarkEnd w:id="269"/>
      <w:bookmarkEnd w:id="270"/>
      <w:bookmarkEnd w:id="271"/>
      <w:bookmarkEnd w:id="272"/>
      <w:bookmarkEnd w:id="273"/>
      <w:bookmarkEnd w:id="274"/>
      <w:bookmarkEnd w:id="275"/>
      <w:bookmarkEnd w:id="276"/>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血小板衍生生长因子受体α（PDGFRA）属于受体酪氨酸激酶（RTK）家族，包括PDGFRA 和PDGFRB。与配体如血小板衍生生长因子（PDGF）的结合，诱导构象变化从而形成同源或异源二聚体，这样活化PDGFRA 酪氨酸激酶活性（图示）。活化的PDGFRA 然后磷酸化其底物，导致细胞中多个下游途径的激活，包括与细胞存活有关的PI3K-AKT-mTOR途径，和涉及细胞增殖的RAS-RAF-MEKERK通路。突变体PDGFRA被报道参与了一些癌症的发病。如突变可见于胃肠道间质瘤（GIST）</w:t>
      </w:r>
      <w:r>
        <w:rPr>
          <w:rFonts w:ascii="Times New Roman" w:hAnsi="Times New Roman" w:eastAsia="微软雅黑" w:cs="Times New Roman"/>
          <w:bCs/>
          <w:sz w:val="18"/>
          <w:szCs w:val="18"/>
          <w:highlight w:val="none"/>
          <w:shd w:val="clear" w:color="auto" w:fill="FFFFFF"/>
          <w:vertAlign w:val="superscript"/>
          <w:lang w:eastAsia="zh-CN"/>
        </w:rPr>
        <w:t>[1，2]</w:t>
      </w:r>
      <w:r>
        <w:rPr>
          <w:rFonts w:ascii="Times New Roman" w:hAnsi="Times New Roman" w:eastAsia="微软雅黑" w:cs="Times New Roman"/>
          <w:bCs/>
          <w:sz w:val="18"/>
          <w:szCs w:val="18"/>
          <w:highlight w:val="none"/>
          <w:shd w:val="clear" w:color="auto" w:fill="FFFFFF"/>
          <w:lang w:eastAsia="zh-CN"/>
        </w:rPr>
        <w:t>，基因融合见于嗜酸性粒细胞增多综合征</w:t>
      </w:r>
      <w:r>
        <w:rPr>
          <w:rFonts w:ascii="Times New Roman" w:hAnsi="Times New Roman" w:eastAsia="微软雅黑" w:cs="Times New Roman"/>
          <w:bCs/>
          <w:sz w:val="18"/>
          <w:szCs w:val="18"/>
          <w:highlight w:val="none"/>
          <w:shd w:val="clear" w:color="auto" w:fill="FFFFFF"/>
          <w:vertAlign w:val="superscript"/>
          <w:lang w:eastAsia="zh-CN"/>
        </w:rPr>
        <w:t>[3]</w:t>
      </w:r>
      <w:r>
        <w:rPr>
          <w:rFonts w:ascii="Times New Roman" w:hAnsi="Times New Roman" w:eastAsia="微软雅黑" w:cs="Times New Roman"/>
          <w:bCs/>
          <w:sz w:val="18"/>
          <w:szCs w:val="18"/>
          <w:highlight w:val="none"/>
          <w:shd w:val="clear" w:color="auto" w:fill="FFFFFF"/>
          <w:lang w:eastAsia="zh-CN"/>
        </w:rPr>
        <w:t>和隆突皮肤纤维肉瘤</w:t>
      </w:r>
      <w:r>
        <w:rPr>
          <w:rFonts w:ascii="Times New Roman" w:hAnsi="Times New Roman" w:eastAsia="微软雅黑" w:cs="Times New Roman"/>
          <w:bCs/>
          <w:sz w:val="18"/>
          <w:szCs w:val="18"/>
          <w:highlight w:val="none"/>
          <w:shd w:val="clear" w:color="auto" w:fill="FFFFFF"/>
          <w:vertAlign w:val="superscript"/>
          <w:lang w:eastAsia="zh-CN"/>
        </w:rPr>
        <w:t>[4]</w:t>
      </w:r>
      <w:r>
        <w:rPr>
          <w:rFonts w:ascii="Times New Roman" w:hAnsi="Times New Roman" w:eastAsia="微软雅黑" w:cs="Times New Roman"/>
          <w:bCs/>
          <w:sz w:val="18"/>
          <w:szCs w:val="18"/>
          <w:highlight w:val="none"/>
          <w:shd w:val="clear" w:color="auto" w:fill="FFFFFF"/>
          <w:lang w:eastAsia="zh-CN"/>
        </w:rPr>
        <w:t>。5%的GIST患者能检测到PDGFRA基因突变，大部分是胃性GIST。PDGFRA基因突变主要在其18外显子（也就是酪氨酸激酶 2功能域，约5%）、12外显子上（近膜功能域，约1%）、14外显子（也就是酪氨酸激酶1功能域，少于1%）。除D842V外，18号外显子其它的突变均对伊马替尼（Imatinib）敏感</w:t>
      </w:r>
      <w:r>
        <w:rPr>
          <w:rFonts w:ascii="Times New Roman" w:hAnsi="Times New Roman" w:eastAsia="微软雅黑" w:cs="Times New Roman"/>
          <w:bCs/>
          <w:sz w:val="18"/>
          <w:szCs w:val="18"/>
          <w:highlight w:val="none"/>
          <w:shd w:val="clear" w:color="auto" w:fill="FFFFFF"/>
          <w:vertAlign w:val="superscript"/>
          <w:lang w:eastAsia="zh-CN"/>
        </w:rPr>
        <w:t>[1]</w:t>
      </w:r>
      <w:r>
        <w:rPr>
          <w:rFonts w:ascii="Times New Roman" w:hAnsi="Times New Roman" w:eastAsia="微软雅黑" w:cs="Times New Roman"/>
          <w:bCs/>
          <w:sz w:val="18"/>
          <w:szCs w:val="18"/>
          <w:highlight w:val="none"/>
          <w:shd w:val="clear" w:color="auto" w:fill="FFFFFF"/>
          <w:lang w:eastAsia="zh-CN"/>
        </w:rPr>
        <w:t>。</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jc w:val="center"/>
        <w:rPr>
          <w:rFonts w:ascii="Times New Roman" w:hAnsi="Times New Roman" w:eastAsia="微软雅黑" w:cs="Times New Roman"/>
          <w:highlight w:val="none"/>
        </w:rPr>
      </w:pPr>
      <w:r>
        <w:rPr>
          <w:rFonts w:ascii="Times New Roman" w:hAnsi="Times New Roman" w:eastAsia="微软雅黑" w:cs="Times New Roman"/>
          <w:highlight w:val="none"/>
          <w:lang w:eastAsia="zh-CN"/>
        </w:rPr>
        <w:drawing>
          <wp:inline distT="0" distB="0" distL="0" distR="0">
            <wp:extent cx="1771650" cy="2409825"/>
            <wp:effectExtent l="0" t="0" r="11430" b="13335"/>
            <wp:docPr id="18082" name="Picture 18082"/>
            <wp:cNvGraphicFramePr/>
            <a:graphic xmlns:a="http://schemas.openxmlformats.org/drawingml/2006/main">
              <a:graphicData uri="http://schemas.openxmlformats.org/drawingml/2006/picture">
                <pic:pic xmlns:pic="http://schemas.openxmlformats.org/drawingml/2006/picture">
                  <pic:nvPicPr>
                    <pic:cNvPr id="18082" name="Picture 18082"/>
                    <pic:cNvPicPr/>
                  </pic:nvPicPr>
                  <pic:blipFill>
                    <a:blip r:embed="rId20"/>
                    <a:stretch>
                      <a:fillRect/>
                    </a:stretch>
                  </pic:blipFill>
                  <pic:spPr>
                    <a:xfrm>
                      <a:off x="0" y="0"/>
                      <a:ext cx="1771650" cy="2409825"/>
                    </a:xfrm>
                    <a:prstGeom prst="rect">
                      <a:avLst/>
                    </a:prstGeom>
                  </pic:spPr>
                </pic:pic>
              </a:graphicData>
            </a:graphic>
          </wp:inline>
        </w:drawing>
      </w:r>
    </w:p>
    <w:p>
      <w:pPr>
        <w:spacing w:line="276" w:lineRule="auto"/>
        <w:jc w:val="center"/>
        <w:rPr>
          <w:rFonts w:ascii="Times New Roman" w:hAnsi="Times New Roman" w:eastAsia="微软雅黑" w:cs="Times New Roman"/>
          <w:highlight w:val="none"/>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图示：PDGFRA信号传递途径</w:t>
      </w:r>
    </w:p>
    <w:p>
      <w:pPr>
        <w:spacing w:line="276" w:lineRule="auto"/>
        <w:jc w:val="center"/>
        <w:rPr>
          <w:rFonts w:ascii="Times New Roman" w:hAnsi="Times New Roman" w:eastAsia="微软雅黑" w:cs="Times New Roman"/>
          <w:bCs/>
          <w:sz w:val="18"/>
          <w:szCs w:val="18"/>
          <w:highlight w:val="none"/>
          <w:shd w:val="clear" w:color="auto" w:fill="FFFFFF"/>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26"/>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Corless CL, et al. PDGFRA mutations in gastrointestinal stromal tumors: frequency, spectrum and in vitro sensitivity to imatinib. J Clin Oncol. 2005, 23(23):5357-64.</w:t>
      </w:r>
    </w:p>
    <w:p>
      <w:pPr>
        <w:widowControl/>
        <w:numPr>
          <w:ilvl w:val="0"/>
          <w:numId w:val="26"/>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"http://www.ncbi.nlm.nih.gov/pubmed?term=Heinrich%20MC%5BAuthor%5D&amp;cauthor=true&amp;cauthor_uid=12522257" \h </w:instrText>
      </w:r>
      <w:r>
        <w:rPr>
          <w:highlight w:val="none"/>
        </w:rPr>
        <w:fldChar w:fldCharType="separate"/>
      </w:r>
      <w:r>
        <w:rPr>
          <w:rFonts w:ascii="Times New Roman" w:hAnsi="Times New Roman" w:cs="Times New Roman"/>
          <w:sz w:val="15"/>
          <w:szCs w:val="15"/>
          <w:highlight w:val="none"/>
        </w:rPr>
        <w:t>Heinrich 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C, et al. PDGFRA activating mutations in gastrointestinal stromal tumors. Science. 2003, 299(5607):708-10.</w:t>
      </w:r>
    </w:p>
    <w:p>
      <w:pPr>
        <w:widowControl/>
        <w:numPr>
          <w:ilvl w:val="0"/>
          <w:numId w:val="26"/>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"http://www.ncbi.nlm.nih.gov/pubmed?term=Cools%20J%5BAuthor%5D&amp;cauthor=true&amp;cauthor_uid=12660384" \h </w:instrText>
      </w:r>
      <w:r>
        <w:rPr>
          <w:highlight w:val="none"/>
        </w:rPr>
        <w:fldChar w:fldCharType="separate"/>
      </w:r>
      <w:r>
        <w:rPr>
          <w:rFonts w:ascii="Times New Roman" w:hAnsi="Times New Roman" w:cs="Times New Roman"/>
          <w:sz w:val="15"/>
          <w:szCs w:val="15"/>
          <w:highlight w:val="none"/>
        </w:rPr>
        <w:t>Cools J</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A tyrosine kinase created by fusion of the PDGFRA and FIP1L1 genes as a therapeutic target of imatinib in idiopathic hypereosinophilic syndrome. N Engl J Med. 2003, 348(13):1201-14.</w:t>
      </w:r>
    </w:p>
    <w:p>
      <w:pPr>
        <w:widowControl/>
        <w:numPr>
          <w:ilvl w:val="0"/>
          <w:numId w:val="26"/>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"http://www.ncbi.nlm.nih.gov/pubmed?term=Simon%20MP%5BAuthor%5D&amp;cauthor=true&amp;cauthor_uid=8988177" \h </w:instrText>
      </w:r>
      <w:r>
        <w:rPr>
          <w:highlight w:val="none"/>
        </w:rPr>
        <w:fldChar w:fldCharType="separate"/>
      </w:r>
      <w:r>
        <w:rPr>
          <w:rFonts w:ascii="Times New Roman" w:hAnsi="Times New Roman" w:cs="Times New Roman"/>
          <w:sz w:val="15"/>
          <w:szCs w:val="15"/>
          <w:highlight w:val="none"/>
        </w:rPr>
        <w:t>Simon MP, e</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t al. Deregulation of the platelet-derived growth factor B-chain gene via fusion with collagen gene COL1A1 in dermatofibrosarcoma protuberans and giant-cell fibroblastoma. Nat Genet. 1997, 15(1):95-8.</w:t>
      </w:r>
    </w:p>
    <w:p>
      <w:pPr>
        <w:widowControl/>
        <w:spacing w:line="276" w:lineRule="auto"/>
        <w:ind w:firstLine="360" w:firstLineChars="200"/>
        <w:jc w:val="both"/>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br w:type="page"/>
      </w:r>
    </w:p>
    <w:p>
      <w:pPr>
        <w:widowControl/>
        <w:rPr>
          <w:rFonts w:ascii="Times New Roman" w:hAnsi="Times New Roman" w:eastAsia="微软雅黑" w:cs="Times New Roman"/>
          <w:b/>
          <w:bCs/>
          <w:color w:val="416AAB"/>
          <w:sz w:val="24"/>
          <w:szCs w:val="24"/>
          <w:highlight w:val="none"/>
          <w:lang w:eastAsia="zh-CN"/>
        </w:rPr>
      </w:pPr>
      <w:bookmarkStart w:id="277" w:name="_Toc17792_WPSOffice_Level1"/>
      <w:bookmarkStart w:id="278" w:name="_Toc1871_WPSOffice_Level1"/>
      <w:bookmarkStart w:id="279" w:name="_Toc8457_WPSOffice_Level1"/>
      <w:bookmarkStart w:id="280" w:name="_Toc6659_WPSOffice_Level1"/>
      <w:bookmarkStart w:id="281" w:name="_Toc19245_WPSOffice_Level1"/>
      <w:bookmarkStart w:id="282" w:name="_Toc30785_WPSOffice_Level1"/>
      <w:bookmarkStart w:id="283" w:name="_Toc17536_WPSOffice_Level1"/>
      <w:bookmarkStart w:id="284" w:name="_Toc25804_WPSOffice_Level1"/>
      <w:r>
        <w:rPr>
          <w:rFonts w:ascii="Times New Roman" w:hAnsi="Times New Roman" w:eastAsia="微软雅黑" w:cs="Times New Roman"/>
          <w:b/>
          <w:bCs/>
          <w:color w:val="416AAB"/>
          <w:sz w:val="24"/>
          <w:szCs w:val="24"/>
          <w:highlight w:val="none"/>
          <w:lang w:eastAsia="zh-CN"/>
        </w:rPr>
        <w:t>PIK3CA</w:t>
      </w:r>
      <w:bookmarkEnd w:id="277"/>
      <w:bookmarkEnd w:id="278"/>
      <w:bookmarkEnd w:id="279"/>
      <w:bookmarkEnd w:id="280"/>
      <w:bookmarkEnd w:id="281"/>
      <w:bookmarkEnd w:id="282"/>
      <w:bookmarkEnd w:id="283"/>
      <w:bookmarkEnd w:id="284"/>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磷脂酰肌醇3 -激酶（PI3K）属于脂质激酶家族的一种，参与许多细胞过程，包括细胞生长、增殖、分化、迁移和存活等。PI3K由2个非同源亚基组成，包括一个85 kDa 的调节亚基（p85）和110 kDa的催化亚基。PIK3CA基因编码p110α催化亚基。</w:t>
      </w:r>
    </w:p>
    <w:p>
      <w:pPr>
        <w:spacing w:line="276" w:lineRule="auto"/>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 xml:space="preserve">在细胞膜内侧，PI3K转换PI（4,5）P2[磷脂酰肌醇4,5 -二磷酸]为PI（3,4,5）P3[磷脂酰肌醇（3,4,5）-三磷酸]。PI（3,4,5）P3可富集重要的下游信号转导蛋白例如AKT到细胞膜区域，从而使这些蛋白活性增加。PIK3CA基因突变被报道参与多种癌症的发病机制（图示），包括结肠癌、神经胶质瘤、胃癌、乳腺癌、子宫内膜癌和肺癌 </w:t>
      </w:r>
      <w:r>
        <w:rPr>
          <w:rFonts w:ascii="Times New Roman" w:hAnsi="Times New Roman" w:eastAsia="微软雅黑" w:cs="Times New Roman"/>
          <w:bCs/>
          <w:sz w:val="18"/>
          <w:szCs w:val="18"/>
          <w:highlight w:val="none"/>
          <w:shd w:val="clear" w:color="auto" w:fill="FFFFFF"/>
          <w:vertAlign w:val="superscript"/>
          <w:lang w:eastAsia="zh-CN"/>
        </w:rPr>
        <w:t>[1]</w:t>
      </w:r>
      <w:r>
        <w:rPr>
          <w:rFonts w:ascii="Times New Roman" w:hAnsi="Times New Roman" w:eastAsia="微软雅黑" w:cs="Times New Roman"/>
          <w:bCs/>
          <w:sz w:val="18"/>
          <w:szCs w:val="18"/>
          <w:highlight w:val="none"/>
          <w:shd w:val="clear" w:color="auto" w:fill="FFFFFF"/>
          <w:lang w:eastAsia="zh-CN"/>
        </w:rPr>
        <w:t>。</w:t>
      </w:r>
    </w:p>
    <w:p>
      <w:pPr>
        <w:spacing w:line="276" w:lineRule="auto"/>
        <w:jc w:val="both"/>
        <w:rPr>
          <w:rFonts w:ascii="Times New Roman" w:hAnsi="Times New Roman" w:eastAsia="微软雅黑" w:cs="Times New Roman"/>
          <w:bCs/>
          <w:sz w:val="18"/>
          <w:szCs w:val="18"/>
          <w:highlight w:val="none"/>
          <w:shd w:val="clear" w:color="auto" w:fill="FFFFFF"/>
          <w:lang w:eastAsia="zh-CN"/>
        </w:rPr>
      </w:pPr>
    </w:p>
    <w:p>
      <w:pPr>
        <w:spacing w:line="276" w:lineRule="auto"/>
        <w:jc w:val="both"/>
        <w:rPr>
          <w:rFonts w:ascii="Times New Roman" w:hAnsi="Times New Roman" w:eastAsia="微软雅黑" w:cs="Times New Roman"/>
          <w:bCs/>
          <w:sz w:val="18"/>
          <w:szCs w:val="18"/>
          <w:highlight w:val="none"/>
          <w:shd w:val="clear" w:color="auto" w:fill="FFFFFF"/>
          <w:lang w:eastAsia="zh-CN"/>
        </w:rPr>
      </w:pPr>
    </w:p>
    <w:p>
      <w:pPr>
        <w:spacing w:line="276" w:lineRule="auto"/>
        <w:jc w:val="center"/>
        <w:rPr>
          <w:rFonts w:ascii="Times New Roman" w:hAnsi="Times New Roman" w:eastAsia="微软雅黑" w:cs="Times New Roman"/>
          <w:highlight w:val="none"/>
        </w:rPr>
      </w:pPr>
      <w:r>
        <w:rPr>
          <w:rFonts w:ascii="Times New Roman" w:hAnsi="Times New Roman" w:eastAsia="微软雅黑" w:cs="Times New Roman"/>
          <w:highlight w:val="none"/>
          <w:lang w:eastAsia="zh-CN"/>
        </w:rPr>
        <w:drawing>
          <wp:inline distT="0" distB="0" distL="0" distR="0">
            <wp:extent cx="2895600" cy="2876550"/>
            <wp:effectExtent l="0" t="0" r="0" b="3810"/>
            <wp:docPr id="18217" name="Picture 18217"/>
            <wp:cNvGraphicFramePr/>
            <a:graphic xmlns:a="http://schemas.openxmlformats.org/drawingml/2006/main">
              <a:graphicData uri="http://schemas.openxmlformats.org/drawingml/2006/picture">
                <pic:pic xmlns:pic="http://schemas.openxmlformats.org/drawingml/2006/picture">
                  <pic:nvPicPr>
                    <pic:cNvPr id="18217" name="Picture 18217"/>
                    <pic:cNvPicPr/>
                  </pic:nvPicPr>
                  <pic:blipFill>
                    <a:blip r:embed="rId21"/>
                    <a:stretch>
                      <a:fillRect/>
                    </a:stretch>
                  </pic:blipFill>
                  <pic:spPr>
                    <a:xfrm>
                      <a:off x="0" y="0"/>
                      <a:ext cx="2895600" cy="2876550"/>
                    </a:xfrm>
                    <a:prstGeom prst="rect">
                      <a:avLst/>
                    </a:prstGeom>
                  </pic:spPr>
                </pic:pic>
              </a:graphicData>
            </a:graphic>
          </wp:inline>
        </w:drawing>
      </w:r>
    </w:p>
    <w:p>
      <w:pPr>
        <w:spacing w:line="276" w:lineRule="auto"/>
        <w:jc w:val="center"/>
        <w:rPr>
          <w:rFonts w:ascii="Times New Roman" w:hAnsi="Times New Roman" w:eastAsia="微软雅黑" w:cs="Times New Roman"/>
          <w:highlight w:val="none"/>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图示：PIK3CA基因突变参与细胞癌变</w:t>
      </w:r>
    </w:p>
    <w:p>
      <w:pPr>
        <w:spacing w:line="276" w:lineRule="auto"/>
        <w:ind w:firstLine="440" w:firstLineChars="200"/>
        <w:jc w:val="both"/>
        <w:rPr>
          <w:rFonts w:ascii="Times New Roman" w:hAnsi="Times New Roman" w:eastAsia="微软雅黑" w:cs="Times New Roman"/>
          <w:highlight w:val="none"/>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2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"http://www.ncbi.nlm.nih.gov/pubmed?term=Samuels%20Y%5BAuthor%5D&amp;cauthor=true&amp;cauthor_uid=15016963" \h </w:instrText>
      </w:r>
      <w:r>
        <w:rPr>
          <w:highlight w:val="none"/>
        </w:rPr>
        <w:fldChar w:fldCharType="separate"/>
      </w:r>
      <w:r>
        <w:rPr>
          <w:rFonts w:ascii="Times New Roman" w:hAnsi="Times New Roman" w:cs="Times New Roman"/>
          <w:sz w:val="15"/>
          <w:szCs w:val="15"/>
          <w:highlight w:val="none"/>
        </w:rPr>
        <w:t>Samuels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High frequency of mutations of the PIK3CA gene in human cancers. Science. 2004, 304(5670):554.</w:t>
      </w:r>
    </w:p>
    <w:p>
      <w:pPr>
        <w:widowControl/>
        <w:spacing w:line="276" w:lineRule="auto"/>
        <w:ind w:firstLine="360" w:firstLineChars="200"/>
        <w:jc w:val="both"/>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br w:type="page"/>
      </w:r>
    </w:p>
    <w:p>
      <w:pPr>
        <w:widowControl/>
        <w:rPr>
          <w:rFonts w:ascii="Times New Roman" w:hAnsi="Times New Roman" w:eastAsia="微软雅黑" w:cs="Times New Roman"/>
          <w:b/>
          <w:bCs/>
          <w:color w:val="416AAB"/>
          <w:sz w:val="24"/>
          <w:szCs w:val="24"/>
          <w:highlight w:val="none"/>
          <w:lang w:eastAsia="zh-CN"/>
        </w:rPr>
      </w:pPr>
      <w:bookmarkStart w:id="285" w:name="_Toc12526_WPSOffice_Level1"/>
      <w:bookmarkStart w:id="286" w:name="_Toc20595_WPSOffice_Level1"/>
      <w:bookmarkStart w:id="287" w:name="_Toc26181_WPSOffice_Level1"/>
      <w:bookmarkStart w:id="288" w:name="_Toc8036_WPSOffice_Level1"/>
      <w:bookmarkStart w:id="289" w:name="_Toc23348_WPSOffice_Level1"/>
      <w:bookmarkStart w:id="290" w:name="_Toc254_WPSOffice_Level1"/>
      <w:bookmarkStart w:id="291" w:name="_Toc6188_WPSOffice_Level1"/>
      <w:bookmarkStart w:id="292" w:name="_Toc21199_WPSOffice_Level1"/>
      <w:r>
        <w:rPr>
          <w:rFonts w:ascii="Times New Roman" w:hAnsi="Times New Roman" w:eastAsia="微软雅黑" w:cs="Times New Roman"/>
          <w:b/>
          <w:bCs/>
          <w:color w:val="416AAB"/>
          <w:sz w:val="24"/>
          <w:szCs w:val="24"/>
          <w:highlight w:val="none"/>
          <w:lang w:eastAsia="zh-CN"/>
        </w:rPr>
        <w:t>PTEN</w:t>
      </w:r>
      <w:bookmarkEnd w:id="285"/>
      <w:bookmarkEnd w:id="286"/>
      <w:bookmarkEnd w:id="287"/>
      <w:bookmarkEnd w:id="288"/>
      <w:bookmarkEnd w:id="289"/>
      <w:bookmarkEnd w:id="290"/>
      <w:bookmarkEnd w:id="291"/>
      <w:bookmarkEnd w:id="292"/>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PTEN（磷酸酶和张力蛋白同源物，10号染色体删除）是一种脂质/蛋白质磷酸，在生长、增殖、存活和维持基因组完整性等多种细胞过程起作用。PTEN是一种肿瘤抑制因子，通过对细胞膜上磷脂酰肌醇（3,4,5）-三磷酸（PIP3）的去磷酸化负调控PI3K/AKT 信号传导途径实现功能。</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癌症相关PTEN基因的变异经常导致基因失活，从而PI3K-AKT通路活性增加。PTEN 基因体细胞突变可发生于多种恶性肿瘤，包括神经胶质瘤、黑色素瘤、前列腺癌、子宫内膜癌、乳腺癌、卵巢癌、肾癌和肺癌。PTEN基因胚系突变导致遗传性错构瘤和考登综合征</w:t>
      </w:r>
      <w:r>
        <w:rPr>
          <w:rFonts w:ascii="Times New Roman" w:hAnsi="Times New Roman" w:eastAsia="微软雅黑" w:cs="Times New Roman"/>
          <w:bCs/>
          <w:sz w:val="18"/>
          <w:szCs w:val="18"/>
          <w:highlight w:val="none"/>
          <w:shd w:val="clear" w:color="auto" w:fill="FFFFFF"/>
          <w:vertAlign w:val="superscript"/>
          <w:lang w:eastAsia="zh-CN"/>
        </w:rPr>
        <w:t>[1，2]</w:t>
      </w:r>
      <w:r>
        <w:rPr>
          <w:rFonts w:ascii="Times New Roman" w:hAnsi="Times New Roman" w:eastAsia="微软雅黑" w:cs="Times New Roman"/>
          <w:bCs/>
          <w:sz w:val="18"/>
          <w:szCs w:val="18"/>
          <w:highlight w:val="none"/>
          <w:shd w:val="clear" w:color="auto" w:fill="FFFFFF"/>
          <w:lang w:eastAsia="zh-CN"/>
        </w:rPr>
        <w:t>。也可通过其他机制如表观遗传学改变或翻译后修饰丢失PTEN的活性</w:t>
      </w:r>
      <w:r>
        <w:rPr>
          <w:rFonts w:ascii="Times New Roman" w:hAnsi="Times New Roman" w:eastAsia="微软雅黑" w:cs="Times New Roman"/>
          <w:bCs/>
          <w:sz w:val="18"/>
          <w:szCs w:val="18"/>
          <w:highlight w:val="none"/>
          <w:shd w:val="clear" w:color="auto" w:fill="FFFFFF"/>
          <w:vertAlign w:val="superscript"/>
          <w:lang w:eastAsia="zh-CN"/>
        </w:rPr>
        <w:t>[3]</w:t>
      </w:r>
      <w:r>
        <w:rPr>
          <w:rFonts w:ascii="Times New Roman" w:hAnsi="Times New Roman" w:eastAsia="微软雅黑" w:cs="Times New Roman"/>
          <w:bCs/>
          <w:sz w:val="18"/>
          <w:szCs w:val="18"/>
          <w:highlight w:val="none"/>
          <w:shd w:val="clear" w:color="auto" w:fill="FFFFFF"/>
          <w:lang w:eastAsia="zh-CN"/>
        </w:rPr>
        <w:t>。免疫化学方法是一种鉴定PTEN表达的常用方式，若低表达则经常被认为是PTEN表达丢失，会导致PI3K- AKT途径活性增加（图示）。</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jc w:val="center"/>
        <w:rPr>
          <w:rFonts w:ascii="Times New Roman" w:hAnsi="Times New Roman" w:eastAsia="微软雅黑" w:cs="Times New Roman"/>
          <w:highlight w:val="none"/>
        </w:rPr>
      </w:pPr>
      <w:r>
        <w:rPr>
          <w:rFonts w:ascii="Times New Roman" w:hAnsi="Times New Roman" w:eastAsia="微软雅黑" w:cs="Times New Roman"/>
          <w:highlight w:val="none"/>
          <w:lang w:eastAsia="zh-CN"/>
        </w:rPr>
        <w:drawing>
          <wp:inline distT="0" distB="0" distL="0" distR="0">
            <wp:extent cx="3619500" cy="2876550"/>
            <wp:effectExtent l="0" t="0" r="7620" b="3810"/>
            <wp:docPr id="18377" name="Picture 18377"/>
            <wp:cNvGraphicFramePr/>
            <a:graphic xmlns:a="http://schemas.openxmlformats.org/drawingml/2006/main">
              <a:graphicData uri="http://schemas.openxmlformats.org/drawingml/2006/picture">
                <pic:pic xmlns:pic="http://schemas.openxmlformats.org/drawingml/2006/picture">
                  <pic:nvPicPr>
                    <pic:cNvPr id="18377" name="Picture 18377"/>
                    <pic:cNvPicPr/>
                  </pic:nvPicPr>
                  <pic:blipFill>
                    <a:blip r:embed="rId22"/>
                    <a:stretch>
                      <a:fillRect/>
                    </a:stretch>
                  </pic:blipFill>
                  <pic:spPr>
                    <a:xfrm>
                      <a:off x="0" y="0"/>
                      <a:ext cx="3619500" cy="2876550"/>
                    </a:xfrm>
                    <a:prstGeom prst="rect">
                      <a:avLst/>
                    </a:prstGeom>
                  </pic:spPr>
                </pic:pic>
              </a:graphicData>
            </a:graphic>
          </wp:inline>
        </w:drawing>
      </w:r>
    </w:p>
    <w:p>
      <w:pPr>
        <w:spacing w:line="276" w:lineRule="auto"/>
        <w:jc w:val="center"/>
        <w:rPr>
          <w:rFonts w:ascii="Times New Roman" w:hAnsi="Times New Roman" w:eastAsia="微软雅黑" w:cs="Times New Roman"/>
          <w:highlight w:val="none"/>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图示：PTEN与PI3K-AKT途径</w:t>
      </w:r>
    </w:p>
    <w:p>
      <w:pPr>
        <w:spacing w:line="276" w:lineRule="auto"/>
        <w:jc w:val="center"/>
        <w:rPr>
          <w:rFonts w:ascii="Times New Roman" w:hAnsi="Times New Roman" w:eastAsia="微软雅黑" w:cs="Times New Roman"/>
          <w:bCs/>
          <w:sz w:val="18"/>
          <w:szCs w:val="18"/>
          <w:highlight w:val="none"/>
          <w:shd w:val="clear" w:color="auto" w:fill="FFFFFF"/>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28"/>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"http://www.ncbi.nlm.nih.gov/pubmed?term=Chalhoub%20N%5BAuthor%5D&amp;cauthor=true&amp;cauthor_uid=18767981" \h </w:instrText>
      </w:r>
      <w:r>
        <w:rPr>
          <w:highlight w:val="none"/>
        </w:rPr>
        <w:fldChar w:fldCharType="separate"/>
      </w:r>
      <w:r>
        <w:rPr>
          <w:rFonts w:ascii="Times New Roman" w:hAnsi="Times New Roman" w:cs="Times New Roman"/>
          <w:sz w:val="15"/>
          <w:szCs w:val="15"/>
          <w:highlight w:val="none"/>
        </w:rPr>
        <w:t>Chalhoub N</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"http://www.ncbi.nlm.nih.gov/pubmed?term=Chalhoub%20N%5BAuthor%5D&amp;cauthor=true&amp;cauthor_uid=18767981" \h </w:instrText>
      </w:r>
      <w:r>
        <w:rPr>
          <w:highlight w:val="none"/>
        </w:rPr>
        <w:fldChar w:fldCharType="separate"/>
      </w:r>
      <w:r>
        <w:rPr>
          <w:rFonts w:ascii="Times New Roman" w:hAnsi="Times New Roman" w:cs="Times New Roman"/>
          <w:sz w:val="15"/>
          <w:szCs w:val="15"/>
          <w:highlight w:val="none"/>
        </w:rPr>
        <w:t>,</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"http://www.ncbi.nlm.nih.gov/pubmed?term=Baker%20SJ%5BAuthor%5D&amp;cauthor=true&amp;cauthor_uid=18767981"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"http://www.ncbi.nlm.nih.gov/pubmed?term=Baker%20SJ%5BAuthor%5D&amp;cauthor=true&amp;cauthor_uid=18767981" \h </w:instrText>
      </w:r>
      <w:r>
        <w:rPr>
          <w:highlight w:val="none"/>
        </w:rPr>
        <w:fldChar w:fldCharType="separate"/>
      </w:r>
      <w:r>
        <w:rPr>
          <w:rFonts w:ascii="Times New Roman" w:hAnsi="Times New Roman" w:cs="Times New Roman"/>
          <w:sz w:val="15"/>
          <w:szCs w:val="15"/>
          <w:highlight w:val="none"/>
        </w:rPr>
        <w:t>Baker SJ.</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PTEN and the PI3-kinase pathway in cancer. Annu Rev Pathol. 2009, 4:127-50.</w:t>
      </w:r>
    </w:p>
    <w:p>
      <w:pPr>
        <w:widowControl/>
        <w:numPr>
          <w:ilvl w:val="0"/>
          <w:numId w:val="28"/>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"http://www.ncbi.nlm.nih.gov/pubmed?term=Maehama%20T%5BAuthor%5D&amp;cauthor=true&amp;cauthor_uid=17827710" \h </w:instrText>
      </w:r>
      <w:r>
        <w:rPr>
          <w:highlight w:val="none"/>
        </w:rPr>
        <w:fldChar w:fldCharType="separate"/>
      </w:r>
      <w:r>
        <w:rPr>
          <w:rFonts w:ascii="Times New Roman" w:hAnsi="Times New Roman" w:cs="Times New Roman"/>
          <w:sz w:val="15"/>
          <w:szCs w:val="15"/>
          <w:highlight w:val="none"/>
        </w:rPr>
        <w:t>Maehama 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PTEN: its deregulation and tumorigenesis. Biol Pharm Bull. 2007, 30(9):1624-7.</w:t>
      </w:r>
    </w:p>
    <w:p>
      <w:pPr>
        <w:widowControl/>
        <w:numPr>
          <w:ilvl w:val="0"/>
          <w:numId w:val="28"/>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"http://www.ncbi.nlm.nih.gov/pubmed?term=Leslie%20NR%5BAuthor%5D&amp;cauthor=true&amp;cauthor_uid=21236500" \h </w:instrText>
      </w:r>
      <w:r>
        <w:rPr>
          <w:highlight w:val="none"/>
        </w:rPr>
        <w:fldChar w:fldCharType="separate"/>
      </w:r>
      <w:r>
        <w:rPr>
          <w:rFonts w:ascii="Times New Roman" w:hAnsi="Times New Roman" w:cs="Times New Roman"/>
          <w:sz w:val="15"/>
          <w:szCs w:val="15"/>
          <w:highlight w:val="none"/>
        </w:rPr>
        <w:t>Leslie NR</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"http://www.ncbi.nlm.nih.gov/pubmed?term=Leslie%20NR%5BAuthor%5D&amp;cauthor=true&amp;cauthor_uid=21236500" \h </w:instrText>
      </w:r>
      <w:r>
        <w:rPr>
          <w:highlight w:val="none"/>
        </w:rPr>
        <w:fldChar w:fldCharType="separate"/>
      </w:r>
      <w:r>
        <w:rPr>
          <w:rFonts w:ascii="Times New Roman" w:hAnsi="Times New Roman" w:cs="Times New Roman"/>
          <w:sz w:val="15"/>
          <w:szCs w:val="15"/>
          <w:highlight w:val="none"/>
        </w:rPr>
        <w:t>,</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"http://www.ncbi.nlm.nih.gov/pubmed?term=Foti%20M%5BAuthor%5D&amp;cauthor=true&amp;cauthor_uid=21236500"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"http://www.ncbi.nlm.nih.gov/pubmed?term=Foti%20M%5BAuthor%5D&amp;cauthor=true&amp;cauthor_uid=21236500" \h </w:instrText>
      </w:r>
      <w:r>
        <w:rPr>
          <w:highlight w:val="none"/>
        </w:rPr>
        <w:fldChar w:fldCharType="separate"/>
      </w:r>
      <w:r>
        <w:rPr>
          <w:rFonts w:ascii="Times New Roman" w:hAnsi="Times New Roman" w:cs="Times New Roman"/>
          <w:sz w:val="15"/>
          <w:szCs w:val="15"/>
          <w:highlight w:val="none"/>
        </w:rPr>
        <w:t>Foti 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Non-genomic loss of PTEN function in cancer: not in my genes. Trends Pharmacol Sci. 2011, 32(3):131-40.</w:t>
      </w:r>
    </w:p>
    <w:p>
      <w:pPr>
        <w:spacing w:line="276" w:lineRule="auto"/>
        <w:ind w:firstLine="360" w:firstLineChars="200"/>
        <w:jc w:val="both"/>
        <w:rPr>
          <w:rFonts w:ascii="Times New Roman" w:hAnsi="Times New Roman" w:eastAsia="微软雅黑" w:cs="Times New Roman"/>
          <w:b/>
          <w:bCs/>
          <w:sz w:val="30"/>
          <w:szCs w:val="30"/>
          <w:highlight w:val="none"/>
          <w:lang w:eastAsia="zh-CN"/>
        </w:rPr>
      </w:pPr>
      <w:r>
        <w:rPr>
          <w:rFonts w:ascii="Times New Roman" w:hAnsi="Times New Roman" w:eastAsia="微软雅黑" w:cs="Times New Roman"/>
          <w:sz w:val="18"/>
          <w:szCs w:val="18"/>
          <w:highlight w:val="none"/>
        </w:rPr>
        <w:br w:type="page"/>
      </w:r>
    </w:p>
    <w:p>
      <w:pPr>
        <w:widowControl/>
        <w:rPr>
          <w:rFonts w:ascii="Times New Roman" w:hAnsi="Times New Roman" w:eastAsia="微软雅黑" w:cs="Times New Roman"/>
          <w:b/>
          <w:bCs/>
          <w:color w:val="416AAB"/>
          <w:sz w:val="24"/>
          <w:szCs w:val="24"/>
          <w:highlight w:val="none"/>
          <w:lang w:eastAsia="zh-CN"/>
        </w:rPr>
      </w:pPr>
      <w:bookmarkStart w:id="293" w:name="_Toc7716_WPSOffice_Level1"/>
      <w:bookmarkStart w:id="294" w:name="_Toc30457_WPSOffice_Level1"/>
      <w:bookmarkStart w:id="295" w:name="_Toc8445_WPSOffice_Level1"/>
      <w:bookmarkStart w:id="296" w:name="_Toc30905_WPSOffice_Level1"/>
      <w:bookmarkStart w:id="297" w:name="_Toc18437_WPSOffice_Level1"/>
      <w:bookmarkStart w:id="298" w:name="_Toc19656_WPSOffice_Level1"/>
      <w:bookmarkStart w:id="299" w:name="_Toc2410_WPSOffice_Level1"/>
      <w:bookmarkStart w:id="300" w:name="_Toc15158_WPSOffice_Level1"/>
      <w:r>
        <w:rPr>
          <w:rFonts w:ascii="Times New Roman" w:hAnsi="Times New Roman" w:eastAsia="微软雅黑" w:cs="Times New Roman"/>
          <w:b/>
          <w:bCs/>
          <w:color w:val="416AAB"/>
          <w:sz w:val="24"/>
          <w:szCs w:val="24"/>
          <w:highlight w:val="none"/>
          <w:lang w:eastAsia="zh-CN"/>
        </w:rPr>
        <w:t>RET</w:t>
      </w:r>
      <w:bookmarkEnd w:id="293"/>
      <w:bookmarkEnd w:id="294"/>
      <w:bookmarkEnd w:id="295"/>
      <w:bookmarkEnd w:id="296"/>
      <w:bookmarkEnd w:id="297"/>
      <w:bookmarkEnd w:id="298"/>
      <w:bookmarkEnd w:id="299"/>
      <w:bookmarkEnd w:id="300"/>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RET基因（“转染过程中重新排列”</w:t>
      </w:r>
      <w:r>
        <w:rPr>
          <w:rFonts w:ascii="Times New Roman" w:hAnsi="Times New Roman" w:eastAsia="微软雅黑" w:cs="Times New Roman"/>
          <w:bCs/>
          <w:sz w:val="18"/>
          <w:szCs w:val="18"/>
          <w:highlight w:val="none"/>
          <w:shd w:val="clear" w:color="auto" w:fill="FFFFFF"/>
          <w:vertAlign w:val="superscript"/>
          <w:lang w:eastAsia="zh-CN"/>
        </w:rPr>
        <w:t>[1]</w:t>
      </w:r>
      <w:r>
        <w:rPr>
          <w:rFonts w:ascii="Times New Roman" w:hAnsi="Times New Roman" w:eastAsia="微软雅黑" w:cs="Times New Roman"/>
          <w:bCs/>
          <w:sz w:val="18"/>
          <w:szCs w:val="18"/>
          <w:highlight w:val="none"/>
          <w:shd w:val="clear" w:color="auto" w:fill="FFFFFF"/>
          <w:lang w:eastAsia="zh-CN"/>
        </w:rPr>
        <w:t>），位于10号染色体上，编码一种受体酪氨酸激酶（RTK），属于RTK的RET家庭。RET基因在神经嵴发育中起到至关重要的作用。与带有胞外信号分子的胶质细胞源性神经营养因子（GDNF）配体家族</w:t>
      </w:r>
      <w:r>
        <w:rPr>
          <w:rFonts w:ascii="Times New Roman" w:hAnsi="Times New Roman" w:eastAsia="微软雅黑" w:cs="Times New Roman"/>
          <w:bCs/>
          <w:sz w:val="18"/>
          <w:szCs w:val="18"/>
          <w:highlight w:val="none"/>
          <w:shd w:val="clear" w:color="auto" w:fill="FFFFFF"/>
          <w:vertAlign w:val="superscript"/>
          <w:lang w:eastAsia="zh-CN"/>
        </w:rPr>
        <w:t>[2]</w:t>
      </w:r>
      <w:r>
        <w:rPr>
          <w:rFonts w:ascii="Times New Roman" w:hAnsi="Times New Roman" w:eastAsia="微软雅黑" w:cs="Times New Roman"/>
          <w:bCs/>
          <w:sz w:val="18"/>
          <w:szCs w:val="18"/>
          <w:highlight w:val="none"/>
          <w:shd w:val="clear" w:color="auto" w:fill="FFFFFF"/>
          <w:lang w:eastAsia="zh-CN"/>
        </w:rPr>
        <w:t>的结合，诱导受体磷酸化和激活。活化的RET进一步磷酸化其底物，最终激活多个下游的细胞通路</w:t>
      </w:r>
      <w:r>
        <w:rPr>
          <w:rFonts w:ascii="Times New Roman" w:hAnsi="Times New Roman" w:eastAsia="微软雅黑" w:cs="Times New Roman"/>
          <w:bCs/>
          <w:sz w:val="18"/>
          <w:szCs w:val="18"/>
          <w:highlight w:val="none"/>
          <w:shd w:val="clear" w:color="auto" w:fill="FFFFFF"/>
          <w:vertAlign w:val="superscript"/>
          <w:lang w:eastAsia="zh-CN"/>
        </w:rPr>
        <w:t>[3]</w:t>
      </w:r>
      <w:r>
        <w:rPr>
          <w:rFonts w:ascii="Times New Roman" w:hAnsi="Times New Roman" w:eastAsia="微软雅黑" w:cs="Times New Roman"/>
          <w:bCs/>
          <w:sz w:val="18"/>
          <w:szCs w:val="18"/>
          <w:highlight w:val="none"/>
          <w:shd w:val="clear" w:color="auto" w:fill="FFFFFF"/>
          <w:lang w:eastAsia="zh-CN"/>
        </w:rPr>
        <w:t>（图示）。</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RET变异主要发现于甲状腺癌。体细胞和胚系点突变与散发性和家族性甲状腺髓样癌相关</w:t>
      </w:r>
      <w:r>
        <w:rPr>
          <w:rFonts w:ascii="Times New Roman" w:hAnsi="Times New Roman" w:eastAsia="微软雅黑" w:cs="Times New Roman"/>
          <w:bCs/>
          <w:sz w:val="18"/>
          <w:szCs w:val="18"/>
          <w:highlight w:val="none"/>
          <w:shd w:val="clear" w:color="auto" w:fill="FFFFFF"/>
          <w:vertAlign w:val="superscript"/>
          <w:lang w:eastAsia="zh-CN"/>
        </w:rPr>
        <w:t>[4，5]</w:t>
      </w:r>
      <w:r>
        <w:rPr>
          <w:rFonts w:ascii="Times New Roman" w:hAnsi="Times New Roman" w:eastAsia="微软雅黑" w:cs="Times New Roman"/>
          <w:bCs/>
          <w:sz w:val="18"/>
          <w:szCs w:val="18"/>
          <w:highlight w:val="none"/>
          <w:shd w:val="clear" w:color="auto" w:fill="FFFFFF"/>
          <w:lang w:eastAsia="zh-CN"/>
        </w:rPr>
        <w:t>。 RET融合还发现于某些肺腺癌病人</w:t>
      </w:r>
      <w:r>
        <w:rPr>
          <w:rFonts w:ascii="Times New Roman" w:hAnsi="Times New Roman" w:eastAsia="微软雅黑" w:cs="Times New Roman"/>
          <w:bCs/>
          <w:sz w:val="18"/>
          <w:szCs w:val="18"/>
          <w:highlight w:val="none"/>
          <w:shd w:val="clear" w:color="auto" w:fill="FFFFFF"/>
          <w:vertAlign w:val="superscript"/>
          <w:lang w:eastAsia="zh-CN"/>
        </w:rPr>
        <w:t>[6]</w:t>
      </w:r>
      <w:r>
        <w:rPr>
          <w:rFonts w:ascii="Times New Roman" w:hAnsi="Times New Roman" w:eastAsia="微软雅黑" w:cs="Times New Roman"/>
          <w:bCs/>
          <w:sz w:val="18"/>
          <w:szCs w:val="18"/>
          <w:highlight w:val="none"/>
          <w:shd w:val="clear" w:color="auto" w:fill="FFFFFF"/>
          <w:lang w:eastAsia="zh-CN"/>
        </w:rPr>
        <w:t>。</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jc w:val="center"/>
        <w:rPr>
          <w:rFonts w:ascii="Times New Roman" w:hAnsi="Times New Roman" w:eastAsia="微软雅黑" w:cs="Times New Roman"/>
          <w:sz w:val="18"/>
          <w:highlight w:val="none"/>
          <w:lang w:eastAsia="zh-CN"/>
        </w:rPr>
      </w:pPr>
      <w:r>
        <w:rPr>
          <w:rFonts w:ascii="Times New Roman" w:hAnsi="Times New Roman" w:eastAsia="微软雅黑" w:cs="Times New Roman"/>
          <w:highlight w:val="none"/>
          <w:lang w:eastAsia="zh-CN"/>
        </w:rPr>
        <w:drawing>
          <wp:inline distT="0" distB="0" distL="0" distR="0">
            <wp:extent cx="3038475" cy="2486025"/>
            <wp:effectExtent l="0" t="0" r="9525" b="13335"/>
            <wp:docPr id="18674" name="Picture 18674"/>
            <wp:cNvGraphicFramePr/>
            <a:graphic xmlns:a="http://schemas.openxmlformats.org/drawingml/2006/main">
              <a:graphicData uri="http://schemas.openxmlformats.org/drawingml/2006/picture">
                <pic:pic xmlns:pic="http://schemas.openxmlformats.org/drawingml/2006/picture">
                  <pic:nvPicPr>
                    <pic:cNvPr id="18674" name="Picture 18674"/>
                    <pic:cNvPicPr/>
                  </pic:nvPicPr>
                  <pic:blipFill>
                    <a:blip r:embed="rId23"/>
                    <a:stretch>
                      <a:fillRect/>
                    </a:stretch>
                  </pic:blipFill>
                  <pic:spPr>
                    <a:xfrm>
                      <a:off x="0" y="0"/>
                      <a:ext cx="3038475" cy="2486025"/>
                    </a:xfrm>
                    <a:prstGeom prst="rect">
                      <a:avLst/>
                    </a:prstGeom>
                  </pic:spPr>
                </pic:pic>
              </a:graphicData>
            </a:graphic>
          </wp:inline>
        </w:drawing>
      </w:r>
    </w:p>
    <w:p>
      <w:pPr>
        <w:spacing w:line="276" w:lineRule="auto"/>
        <w:jc w:val="center"/>
        <w:rPr>
          <w:rFonts w:ascii="Times New Roman" w:hAnsi="Times New Roman" w:eastAsia="微软雅黑" w:cs="Times New Roman"/>
          <w:bCs/>
          <w:sz w:val="18"/>
          <w:szCs w:val="18"/>
          <w:highlight w:val="none"/>
          <w:shd w:val="clear" w:color="auto" w:fill="FFFFFF"/>
          <w:lang w:eastAsia="zh-CN"/>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图示：RET信号通路</w:t>
      </w:r>
    </w:p>
    <w:p>
      <w:pPr>
        <w:spacing w:line="276" w:lineRule="auto"/>
        <w:jc w:val="center"/>
        <w:rPr>
          <w:rFonts w:ascii="Times New Roman" w:hAnsi="Times New Roman" w:eastAsia="微软雅黑" w:cs="Times New Roman"/>
          <w:bCs/>
          <w:sz w:val="18"/>
          <w:szCs w:val="18"/>
          <w:highlight w:val="none"/>
          <w:shd w:val="clear" w:color="auto" w:fill="FFFFFF"/>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2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"http://www.ncbi.nlm.nih.gov/pubmed?term=Takahashi%20M%5BAuthor%5D&amp;cauthor=true&amp;cauthor_uid=2992805" \h </w:instrText>
      </w:r>
      <w:r>
        <w:rPr>
          <w:highlight w:val="none"/>
        </w:rPr>
        <w:fldChar w:fldCharType="separate"/>
      </w:r>
      <w:r>
        <w:rPr>
          <w:rFonts w:ascii="Times New Roman" w:hAnsi="Times New Roman" w:cs="Times New Roman"/>
          <w:sz w:val="15"/>
          <w:szCs w:val="15"/>
          <w:highlight w:val="none"/>
        </w:rPr>
        <w:t>Takahashi</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"http://www.ncbi.nlm.nih.gov/pubmed?term=Takahashi%20M%5BAuthor%5D&amp;cauthor=true&amp;cauthor_uid=2992805"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M, et al. Activation of a novel human transforming gene, ret, by DNA rearrangement. Cell. 1985, 42(2):581-8.</w:t>
      </w:r>
    </w:p>
    <w:p>
      <w:pPr>
        <w:widowControl/>
        <w:numPr>
          <w:ilvl w:val="0"/>
          <w:numId w:val="2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"http://www.ncbi.nlm.nih.gov/pubmed?term=Airaksinen%20MS%5BAuthor%5D&amp;cauthor=true&amp;cauthor_uid=10356294" \h </w:instrText>
      </w:r>
      <w:r>
        <w:rPr>
          <w:highlight w:val="none"/>
        </w:rPr>
        <w:fldChar w:fldCharType="separate"/>
      </w:r>
      <w:r>
        <w:rPr>
          <w:rFonts w:ascii="Times New Roman" w:hAnsi="Times New Roman" w:cs="Times New Roman"/>
          <w:sz w:val="15"/>
          <w:szCs w:val="15"/>
          <w:highlight w:val="none"/>
        </w:rPr>
        <w:t>Airaksinen 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S, et al. GDNF family neurotrophic factor signaling: four masters, one servant? Mol Cell Neurosci. 1999, 13(5):313-25.</w:t>
      </w:r>
    </w:p>
    <w:p>
      <w:pPr>
        <w:widowControl/>
        <w:numPr>
          <w:ilvl w:val="0"/>
          <w:numId w:val="2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"http://www.ncbi.nlm.nih.gov/pubmed?term=Phay%20JE%5BAuthor%5D&amp;cauthor=true&amp;cauthor_uid=20930041" \h </w:instrText>
      </w:r>
      <w:r>
        <w:rPr>
          <w:highlight w:val="none"/>
        </w:rPr>
        <w:fldChar w:fldCharType="separate"/>
      </w:r>
      <w:r>
        <w:rPr>
          <w:rFonts w:ascii="Times New Roman" w:hAnsi="Times New Roman" w:cs="Times New Roman"/>
          <w:sz w:val="15"/>
          <w:szCs w:val="15"/>
          <w:highlight w:val="none"/>
        </w:rPr>
        <w:t>Phay JE</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"http://www.ncbi.nlm.nih.gov/pubmed?term=Phay%20JE%5BAuthor%5D&amp;cauthor=true&amp;cauthor_uid=20930041" \h </w:instrText>
      </w:r>
      <w:r>
        <w:rPr>
          <w:highlight w:val="none"/>
        </w:rPr>
        <w:fldChar w:fldCharType="separate"/>
      </w:r>
      <w:r>
        <w:rPr>
          <w:rFonts w:ascii="Times New Roman" w:hAnsi="Times New Roman" w:cs="Times New Roman"/>
          <w:sz w:val="15"/>
          <w:szCs w:val="15"/>
          <w:highlight w:val="none"/>
        </w:rPr>
        <w:t>,</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"http://www.ncbi.nlm.nih.gov/pubmed?term=Shah%20MH%5BAuthor%5D&amp;cauthor=true&amp;cauthor_uid=20930041"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"http://www.ncbi.nlm.nih.gov/pubmed?term=Shah%20MH%5BAuthor%5D&amp;cauthor=true&amp;cauthor_uid=20930041" \h </w:instrText>
      </w:r>
      <w:r>
        <w:rPr>
          <w:highlight w:val="none"/>
        </w:rPr>
        <w:fldChar w:fldCharType="separate"/>
      </w:r>
      <w:r>
        <w:rPr>
          <w:rFonts w:ascii="Times New Roman" w:hAnsi="Times New Roman" w:cs="Times New Roman"/>
          <w:sz w:val="15"/>
          <w:szCs w:val="15"/>
          <w:highlight w:val="none"/>
        </w:rPr>
        <w:t>Shah MH.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Targeting RET receptor tyrosine kinase activation in cancer. Clin Cancer Res. 2010, 16(24):5936-41.</w:t>
      </w:r>
    </w:p>
    <w:p>
      <w:pPr>
        <w:widowControl/>
        <w:numPr>
          <w:ilvl w:val="0"/>
          <w:numId w:val="2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"http://www.ncbi.nlm.nih.gov/pubmed?term=Ciampi%20R%5BAuthor%5D&amp;cauthor=true&amp;cauthor_uid=16946010" \h </w:instrText>
      </w:r>
      <w:r>
        <w:rPr>
          <w:highlight w:val="none"/>
        </w:rPr>
        <w:fldChar w:fldCharType="separate"/>
      </w:r>
      <w:r>
        <w:rPr>
          <w:rFonts w:ascii="Times New Roman" w:hAnsi="Times New Roman" w:cs="Times New Roman"/>
          <w:sz w:val="15"/>
          <w:szCs w:val="15"/>
          <w:highlight w:val="none"/>
        </w:rPr>
        <w:t>Ciampi R</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"http://www.ncbi.nlm.nih.gov/pubmed?term=Ciampi%20R%5BAuthor%5D&amp;cauthor=true&amp;cauthor_uid=16946010" \h </w:instrText>
      </w:r>
      <w:r>
        <w:rPr>
          <w:highlight w:val="none"/>
        </w:rPr>
        <w:fldChar w:fldCharType="separate"/>
      </w:r>
      <w:r>
        <w:rPr>
          <w:rFonts w:ascii="Times New Roman" w:hAnsi="Times New Roman" w:cs="Times New Roman"/>
          <w:sz w:val="15"/>
          <w:szCs w:val="15"/>
          <w:highlight w:val="none"/>
        </w:rPr>
        <w: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w:t>
      </w:r>
      <w:r>
        <w:rPr>
          <w:highlight w:val="none"/>
        </w:rPr>
        <w:fldChar w:fldCharType="begin"/>
      </w:r>
      <w:r>
        <w:rPr>
          <w:highlight w:val="none"/>
        </w:rPr>
        <w:instrText xml:space="preserve"> HYPERLINK "http://www.ncbi.nlm.nih.gov/pubmed?term=Nikiforov%20YE%5BAuthor%5D&amp;cauthor=true&amp;cauthor_uid=16946010" \h </w:instrText>
      </w:r>
      <w:r>
        <w:rPr>
          <w:highlight w:val="none"/>
        </w:rPr>
        <w:fldChar w:fldCharType="separate"/>
      </w:r>
      <w:r>
        <w:rPr>
          <w:rFonts w:ascii="Times New Roman" w:hAnsi="Times New Roman" w:cs="Times New Roman"/>
          <w:sz w:val="15"/>
          <w:szCs w:val="15"/>
          <w:highlight w:val="none"/>
        </w:rPr>
        <w:t>Nikiforov YE.</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RET/PTC rearrangements and BRAF mutations in thyroid tumorigenesis. Endocrinology. 2007, 148(3):936-41.</w:t>
      </w:r>
    </w:p>
    <w:p>
      <w:pPr>
        <w:widowControl/>
        <w:numPr>
          <w:ilvl w:val="0"/>
          <w:numId w:val="2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"http://www.ncbi.nlm.nih.gov/pubmed?term=Salvatore%20D%5BAuthor%5D&amp;cauthor=true&amp;cauthor_uid=11061555" \h </w:instrText>
      </w:r>
      <w:r>
        <w:rPr>
          <w:highlight w:val="none"/>
        </w:rPr>
        <w:fldChar w:fldCharType="separate"/>
      </w:r>
      <w:r>
        <w:rPr>
          <w:rFonts w:ascii="Times New Roman" w:hAnsi="Times New Roman" w:cs="Times New Roman"/>
          <w:sz w:val="15"/>
          <w:szCs w:val="15"/>
          <w:highlight w:val="none"/>
        </w:rPr>
        <w:t>Salvatore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Tyrosines 1015 and 1062 are in vivo autophosphorylation sites in ret and ret-derived oncoproteins. J Clin Endocrinol Metab. 2000, 85(10):3898-907.</w:t>
      </w:r>
    </w:p>
    <w:p>
      <w:pPr>
        <w:widowControl/>
        <w:numPr>
          <w:ilvl w:val="0"/>
          <w:numId w:val="29"/>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"http://www.ncbi.nlm.nih.gov/pubmed?term=Pao%20W%5BAuthor%5D&amp;cauthor=true&amp;cauthor_uid=22395697" \h </w:instrText>
      </w:r>
      <w:r>
        <w:rPr>
          <w:highlight w:val="none"/>
        </w:rPr>
        <w:fldChar w:fldCharType="separate"/>
      </w:r>
      <w:r>
        <w:rPr>
          <w:rFonts w:ascii="Times New Roman" w:hAnsi="Times New Roman" w:cs="Times New Roman"/>
          <w:sz w:val="15"/>
          <w:szCs w:val="15"/>
          <w:highlight w:val="none"/>
        </w:rPr>
        <w:t>Pao W</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"http://www.ncbi.nlm.nih.gov/pubmed?term=Pao%20W%5BAuthor%5D&amp;cauthor=true&amp;cauthor_uid=22395697" \h </w:instrText>
      </w:r>
      <w:r>
        <w:rPr>
          <w:highlight w:val="none"/>
        </w:rPr>
        <w:fldChar w:fldCharType="separate"/>
      </w:r>
      <w:r>
        <w:rPr>
          <w:rFonts w:ascii="Times New Roman" w:hAnsi="Times New Roman" w:cs="Times New Roman"/>
          <w:sz w:val="15"/>
          <w:szCs w:val="15"/>
          <w:highlight w:val="none"/>
        </w:rPr>
        <w:t>,</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"http://www.ncbi.nlm.nih.gov/pubmed?term=Hutchinson%20KE%5BAuthor%5D&amp;cauthor=true&amp;cauthor_uid=22395697"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"http://www.ncbi.nlm.nih.gov/pubmed?term=Hutchinson%20KE%5BAuthor%5D&amp;cauthor=true&amp;cauthor_uid=22395697" \h </w:instrText>
      </w:r>
      <w:r>
        <w:rPr>
          <w:highlight w:val="none"/>
        </w:rPr>
        <w:fldChar w:fldCharType="separate"/>
      </w:r>
      <w:r>
        <w:rPr>
          <w:rFonts w:ascii="Times New Roman" w:hAnsi="Times New Roman" w:cs="Times New Roman"/>
          <w:sz w:val="15"/>
          <w:szCs w:val="15"/>
          <w:highlight w:val="none"/>
        </w:rPr>
        <w:t>Hutchinson KE.</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Chipping away at the lung cancer genome. Nat Med. 2012, 18(3):349-51.</w:t>
      </w:r>
    </w:p>
    <w:p>
      <w:pPr>
        <w:rPr>
          <w:rFonts w:ascii="Times New Roman" w:hAnsi="Times New Roman" w:eastAsia="微软雅黑" w:cs="Times New Roman"/>
          <w:b/>
          <w:bCs/>
          <w:color w:val="416AAB"/>
          <w:sz w:val="24"/>
          <w:szCs w:val="24"/>
          <w:highlight w:val="none"/>
          <w:lang w:eastAsia="zh-CN"/>
        </w:rPr>
      </w:pPr>
      <w:bookmarkStart w:id="301" w:name="_Toc26285_WPSOffice_Level1"/>
      <w:r>
        <w:rPr>
          <w:rFonts w:ascii="Times New Roman" w:hAnsi="Times New Roman" w:eastAsia="微软雅黑" w:cs="Times New Roman"/>
          <w:b/>
          <w:bCs/>
          <w:color w:val="416AAB"/>
          <w:sz w:val="24"/>
          <w:szCs w:val="24"/>
          <w:highlight w:val="none"/>
          <w:lang w:eastAsia="zh-CN"/>
        </w:rPr>
        <w:br w:type="page"/>
      </w:r>
    </w:p>
    <w:p>
      <w:pPr>
        <w:widowControl/>
        <w:spacing w:line="276" w:lineRule="auto"/>
        <w:jc w:val="both"/>
        <w:rPr>
          <w:rFonts w:ascii="Times New Roman" w:hAnsi="Times New Roman" w:eastAsia="微软雅黑" w:cs="Times New Roman"/>
          <w:sz w:val="18"/>
          <w:szCs w:val="18"/>
          <w:highlight w:val="none"/>
          <w:lang w:eastAsia="zh-CN"/>
        </w:rPr>
      </w:pPr>
      <w:bookmarkStart w:id="302" w:name="_Toc13533_WPSOffice_Level1"/>
      <w:bookmarkStart w:id="303" w:name="_Toc17426_WPSOffice_Level1"/>
      <w:bookmarkStart w:id="304" w:name="_Toc24927_WPSOffice_Level1"/>
      <w:bookmarkStart w:id="305" w:name="_Toc18172_WPSOffice_Level1"/>
      <w:bookmarkStart w:id="306" w:name="_Toc22982_WPSOffice_Level1"/>
      <w:bookmarkStart w:id="307" w:name="_Toc25973_WPSOffice_Level1"/>
      <w:bookmarkStart w:id="308" w:name="_Toc5538_WPSOffice_Level1"/>
      <w:r>
        <w:rPr>
          <w:rFonts w:ascii="Times New Roman" w:hAnsi="Times New Roman" w:eastAsia="微软雅黑" w:cs="Times New Roman"/>
          <w:b/>
          <w:bCs/>
          <w:color w:val="416AAB"/>
          <w:sz w:val="24"/>
          <w:szCs w:val="24"/>
          <w:highlight w:val="none"/>
          <w:lang w:eastAsia="zh-CN"/>
        </w:rPr>
        <w:t>ROS1</w:t>
      </w:r>
      <w:bookmarkEnd w:id="301"/>
      <w:bookmarkEnd w:id="302"/>
      <w:bookmarkEnd w:id="303"/>
      <w:bookmarkEnd w:id="304"/>
      <w:bookmarkEnd w:id="305"/>
      <w:bookmarkEnd w:id="306"/>
      <w:bookmarkEnd w:id="307"/>
      <w:bookmarkEnd w:id="308"/>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ROS1是一种受体酪氨酸激酶（RTK），属于胰岛素受体家族。最早在胶质母细胞瘤发现了涉及ROS1基因的染色体重排如FIG-ROS1，在染色体的6q22位置</w:t>
      </w:r>
      <w:r>
        <w:rPr>
          <w:rFonts w:ascii="Times New Roman" w:hAnsi="Times New Roman" w:eastAsia="微软雅黑" w:cs="Times New Roman"/>
          <w:bCs/>
          <w:sz w:val="18"/>
          <w:szCs w:val="18"/>
          <w:highlight w:val="none"/>
          <w:shd w:val="clear" w:color="auto" w:fill="FFFFFF"/>
          <w:vertAlign w:val="superscript"/>
          <w:lang w:eastAsia="zh-CN"/>
        </w:rPr>
        <w:t>[1-3]</w:t>
      </w:r>
      <w:r>
        <w:rPr>
          <w:rFonts w:ascii="Times New Roman" w:hAnsi="Times New Roman" w:eastAsia="微软雅黑" w:cs="Times New Roman"/>
          <w:bCs/>
          <w:sz w:val="18"/>
          <w:szCs w:val="18"/>
          <w:highlight w:val="none"/>
          <w:shd w:val="clear" w:color="auto" w:fill="FFFFFF"/>
          <w:lang w:eastAsia="zh-CN"/>
        </w:rPr>
        <w:t>。最近，ROS1融合被确定为非小细胞肺癌</w:t>
      </w:r>
      <w:r>
        <w:rPr>
          <w:rFonts w:ascii="Times New Roman" w:hAnsi="Times New Roman" w:eastAsia="微软雅黑" w:cs="Times New Roman"/>
          <w:bCs/>
          <w:sz w:val="18"/>
          <w:szCs w:val="18"/>
          <w:highlight w:val="none"/>
          <w:shd w:val="clear" w:color="auto" w:fill="FFFFFF"/>
          <w:vertAlign w:val="superscript"/>
          <w:lang w:eastAsia="zh-CN"/>
        </w:rPr>
        <w:t>[4]</w:t>
      </w:r>
      <w:r>
        <w:rPr>
          <w:rFonts w:ascii="Times New Roman" w:hAnsi="Times New Roman" w:eastAsia="微软雅黑" w:cs="Times New Roman"/>
          <w:bCs/>
          <w:sz w:val="18"/>
          <w:szCs w:val="18"/>
          <w:highlight w:val="none"/>
          <w:shd w:val="clear" w:color="auto" w:fill="FFFFFF"/>
          <w:lang w:eastAsia="zh-CN"/>
        </w:rPr>
        <w:t>和胆管癌</w:t>
      </w:r>
      <w:r>
        <w:rPr>
          <w:rFonts w:ascii="Times New Roman" w:hAnsi="Times New Roman" w:eastAsia="微软雅黑" w:cs="Times New Roman"/>
          <w:bCs/>
          <w:sz w:val="18"/>
          <w:szCs w:val="18"/>
          <w:highlight w:val="none"/>
          <w:shd w:val="clear" w:color="auto" w:fill="FFFFFF"/>
          <w:vertAlign w:val="superscript"/>
          <w:lang w:eastAsia="zh-CN"/>
        </w:rPr>
        <w:t>[5]</w:t>
      </w:r>
      <w:r>
        <w:rPr>
          <w:rFonts w:ascii="Times New Roman" w:hAnsi="Times New Roman" w:eastAsia="微软雅黑" w:cs="Times New Roman"/>
          <w:bCs/>
          <w:sz w:val="18"/>
          <w:szCs w:val="18"/>
          <w:highlight w:val="none"/>
          <w:shd w:val="clear" w:color="auto" w:fill="FFFFFF"/>
          <w:lang w:eastAsia="zh-CN"/>
        </w:rPr>
        <w:t>的一个潜在驱动突变基因。</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ROS1融合蛋白包含一个完整的酪氨酸激酶结构域。迄今为止，这些已经生物学测试的融合蛋白都具有致癌活性</w:t>
      </w:r>
      <w:r>
        <w:rPr>
          <w:rFonts w:ascii="Times New Roman" w:hAnsi="Times New Roman" w:eastAsia="微软雅黑" w:cs="Times New Roman"/>
          <w:bCs/>
          <w:sz w:val="18"/>
          <w:szCs w:val="18"/>
          <w:highlight w:val="none"/>
          <w:shd w:val="clear" w:color="auto" w:fill="FFFFFF"/>
          <w:vertAlign w:val="superscript"/>
          <w:lang w:eastAsia="zh-CN"/>
        </w:rPr>
        <w:t>[3，4]</w:t>
      </w:r>
      <w:r>
        <w:rPr>
          <w:rFonts w:ascii="Times New Roman" w:hAnsi="Times New Roman" w:eastAsia="微软雅黑" w:cs="Times New Roman"/>
          <w:bCs/>
          <w:sz w:val="18"/>
          <w:szCs w:val="18"/>
          <w:highlight w:val="none"/>
          <w:shd w:val="clear" w:color="auto" w:fill="FFFFFF"/>
          <w:lang w:eastAsia="zh-CN"/>
        </w:rPr>
        <w:t>。ROS1融合蛋白向下游的信号传递会激活参与细胞生长和细胞增殖的通路（图示）。ROS1融合蛋白在体外实验中，表现出了对酪氨酸激酶抑制剂的敏感性</w:t>
      </w:r>
      <w:r>
        <w:rPr>
          <w:rFonts w:ascii="Times New Roman" w:hAnsi="Times New Roman" w:eastAsia="微软雅黑" w:cs="Times New Roman"/>
          <w:bCs/>
          <w:sz w:val="18"/>
          <w:szCs w:val="18"/>
          <w:highlight w:val="none"/>
          <w:shd w:val="clear" w:color="auto" w:fill="FFFFFF"/>
          <w:vertAlign w:val="superscript"/>
          <w:lang w:eastAsia="zh-CN"/>
        </w:rPr>
        <w:t>[6]</w:t>
      </w:r>
      <w:r>
        <w:rPr>
          <w:rFonts w:ascii="Times New Roman" w:hAnsi="Times New Roman" w:eastAsia="微软雅黑" w:cs="Times New Roman"/>
          <w:bCs/>
          <w:sz w:val="18"/>
          <w:szCs w:val="18"/>
          <w:highlight w:val="none"/>
          <w:shd w:val="clear" w:color="auto" w:fill="FFFFFF"/>
          <w:lang w:eastAsia="zh-CN"/>
        </w:rPr>
        <w:t>。</w:t>
      </w: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jc w:val="center"/>
        <w:rPr>
          <w:rFonts w:ascii="Times New Roman" w:hAnsi="Times New Roman" w:eastAsia="微软雅黑" w:cs="Times New Roman"/>
          <w:highlight w:val="none"/>
        </w:rPr>
      </w:pPr>
      <w:r>
        <w:rPr>
          <w:rFonts w:ascii="Times New Roman" w:hAnsi="Times New Roman" w:eastAsia="微软雅黑" w:cs="Times New Roman"/>
          <w:highlight w:val="none"/>
          <w:lang w:eastAsia="zh-CN"/>
        </w:rPr>
        <w:drawing>
          <wp:inline distT="0" distB="0" distL="0" distR="0">
            <wp:extent cx="2714625" cy="1419225"/>
            <wp:effectExtent l="0" t="0" r="13335" b="13335"/>
            <wp:docPr id="18875" name="Picture 18875"/>
            <wp:cNvGraphicFramePr/>
            <a:graphic xmlns:a="http://schemas.openxmlformats.org/drawingml/2006/main">
              <a:graphicData uri="http://schemas.openxmlformats.org/drawingml/2006/picture">
                <pic:pic xmlns:pic="http://schemas.openxmlformats.org/drawingml/2006/picture">
                  <pic:nvPicPr>
                    <pic:cNvPr id="18875" name="Picture 18875"/>
                    <pic:cNvPicPr/>
                  </pic:nvPicPr>
                  <pic:blipFill>
                    <a:blip r:embed="rId24"/>
                    <a:stretch>
                      <a:fillRect/>
                    </a:stretch>
                  </pic:blipFill>
                  <pic:spPr>
                    <a:xfrm>
                      <a:off x="0" y="0"/>
                      <a:ext cx="2714625" cy="1419225"/>
                    </a:xfrm>
                    <a:prstGeom prst="rect">
                      <a:avLst/>
                    </a:prstGeom>
                  </pic:spPr>
                </pic:pic>
              </a:graphicData>
            </a:graphic>
          </wp:inline>
        </w:drawing>
      </w:r>
    </w:p>
    <w:p>
      <w:pPr>
        <w:spacing w:line="276" w:lineRule="auto"/>
        <w:jc w:val="center"/>
        <w:rPr>
          <w:rFonts w:ascii="Times New Roman" w:hAnsi="Times New Roman" w:eastAsia="微软雅黑" w:cs="Times New Roman"/>
          <w:bCs/>
          <w:sz w:val="18"/>
          <w:szCs w:val="18"/>
          <w:highlight w:val="none"/>
          <w:shd w:val="clear" w:color="auto" w:fill="FFFFFF"/>
          <w:lang w:eastAsia="zh-CN"/>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 ROS1 融合蛋白的激活。“X”代表各种可能的融合片断，融合蛋白的二聚体</w:t>
      </w: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化会持续激活 ROS1 酪氨酸激酶活性，其信号传递导致细胞生长和抗凋亡效应。</w:t>
      </w:r>
    </w:p>
    <w:p>
      <w:pPr>
        <w:spacing w:line="276" w:lineRule="auto"/>
        <w:ind w:firstLine="440" w:firstLineChars="200"/>
        <w:jc w:val="both"/>
        <w:rPr>
          <w:rFonts w:ascii="Times New Roman" w:hAnsi="Times New Roman" w:eastAsia="微软雅黑" w:cs="Times New Roman"/>
          <w:highlight w:val="none"/>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30"/>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"http://www.ncbi.nlm.nih.gov/pubmed?term=Birchmeier%20C%5BAuthor%5D&amp;cauthor=true&amp;cauthor_uid=2827175" \h </w:instrText>
      </w:r>
      <w:r>
        <w:rPr>
          <w:highlight w:val="none"/>
        </w:rPr>
        <w:fldChar w:fldCharType="separate"/>
      </w:r>
      <w:r>
        <w:rPr>
          <w:rFonts w:ascii="Times New Roman" w:hAnsi="Times New Roman" w:cs="Times New Roman"/>
          <w:sz w:val="15"/>
          <w:szCs w:val="15"/>
          <w:highlight w:val="none"/>
        </w:rPr>
        <w:t>Birchmeier C</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Expression and rearrangement of the ROS1 gene in human glioblastoma cells. Proc Natl Acad Sci U S A. 1987, 84(24):9270-4.</w:t>
      </w:r>
    </w:p>
    <w:p>
      <w:pPr>
        <w:widowControl/>
        <w:numPr>
          <w:ilvl w:val="0"/>
          <w:numId w:val="30"/>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"http://www.ncbi.nlm.nih.gov/pubmed?term=Birchmeier%20C%5BAuthor%5D&amp;cauthor=true&amp;cauthor_uid=2352949" \h </w:instrText>
      </w:r>
      <w:r>
        <w:rPr>
          <w:highlight w:val="none"/>
        </w:rPr>
        <w:fldChar w:fldCharType="separate"/>
      </w:r>
      <w:r>
        <w:rPr>
          <w:rFonts w:ascii="Times New Roman" w:hAnsi="Times New Roman" w:cs="Times New Roman"/>
          <w:sz w:val="15"/>
          <w:szCs w:val="15"/>
          <w:highlight w:val="none"/>
        </w:rPr>
        <w:t>Birchmeier C</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Characterization of ROS1 cDNA from a human glioblastoma cell line. Proc Natl Acad Sci U S A. 1990, 87(12):4799-803.</w:t>
      </w:r>
    </w:p>
    <w:p>
      <w:pPr>
        <w:widowControl/>
        <w:numPr>
          <w:ilvl w:val="0"/>
          <w:numId w:val="30"/>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"http://www.ncbi.nlm.nih.gov/pubmed?term=Charest%20A%5BAuthor%5D&amp;cauthor=true&amp;cauthor_uid=12661006" \h </w:instrText>
      </w:r>
      <w:r>
        <w:rPr>
          <w:highlight w:val="none"/>
        </w:rPr>
        <w:fldChar w:fldCharType="separate"/>
      </w:r>
      <w:r>
        <w:rPr>
          <w:rFonts w:ascii="Times New Roman" w:hAnsi="Times New Roman" w:cs="Times New Roman"/>
          <w:sz w:val="15"/>
          <w:szCs w:val="15"/>
          <w:highlight w:val="none"/>
        </w:rPr>
        <w:t>Charest A</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Fusion of FIG to the receptor tyrosine kinase ROS in a glioblastoma with an interstitial del(6)(q21q21). Genes Chromosomes Cancer. 2003, 37(1):58-71.</w:t>
      </w:r>
    </w:p>
    <w:p>
      <w:pPr>
        <w:widowControl/>
        <w:numPr>
          <w:ilvl w:val="0"/>
          <w:numId w:val="30"/>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Rikova K, et al. Global survey of phosphotyrosine signaling identifies oncogenic kinases in lung cancer. Cell. 2007, 131(6):1190-203.</w:t>
      </w:r>
    </w:p>
    <w:p>
      <w:pPr>
        <w:widowControl/>
        <w:numPr>
          <w:ilvl w:val="0"/>
          <w:numId w:val="30"/>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"http://www.ncbi.nlm.nih.gov/pubmed?term=Gu%20TL%5BAuthor%5D&amp;cauthor=true&amp;cauthor_uid=21253578" \h </w:instrText>
      </w:r>
      <w:r>
        <w:rPr>
          <w:highlight w:val="none"/>
        </w:rPr>
        <w:fldChar w:fldCharType="separate"/>
      </w:r>
      <w:r>
        <w:rPr>
          <w:rFonts w:ascii="Times New Roman" w:hAnsi="Times New Roman" w:cs="Times New Roman"/>
          <w:sz w:val="15"/>
          <w:szCs w:val="15"/>
          <w:highlight w:val="none"/>
        </w:rPr>
        <w:t>Gu 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L, et al. Survey of tyrosine kinase signaling reveals ROS kinase fusions in human cholangiocarcinoma. PLoS One. 2011, 6(1):e15640.</w:t>
      </w:r>
    </w:p>
    <w:p>
      <w:pPr>
        <w:widowControl/>
        <w:numPr>
          <w:ilvl w:val="0"/>
          <w:numId w:val="30"/>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"http://www.ncbi.nlm.nih.gov/pubmed?term=McDermott%20U%5BAuthor%5D&amp;cauthor=true&amp;cauthor_uid=18451166" \h </w:instrText>
      </w:r>
      <w:r>
        <w:rPr>
          <w:highlight w:val="none"/>
        </w:rPr>
        <w:fldChar w:fldCharType="separate"/>
      </w:r>
      <w:r>
        <w:rPr>
          <w:rFonts w:ascii="Times New Roman" w:hAnsi="Times New Roman" w:cs="Times New Roman"/>
          <w:sz w:val="15"/>
          <w:szCs w:val="15"/>
          <w:highlight w:val="none"/>
        </w:rPr>
        <w:t>McDermott U</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Genomic alterations of anaplastic lymphoma kinase may sensitize tumors to anaplastic lymphoma kinase inhibitors. Cancer Res. 2008, 68(9):3389-95.</w:t>
      </w:r>
    </w:p>
    <w:p>
      <w:pPr>
        <w:rPr>
          <w:rFonts w:ascii="Times New Roman" w:hAnsi="Times New Roman" w:eastAsia="微软雅黑" w:cs="Times New Roman"/>
          <w:b/>
          <w:bCs/>
          <w:color w:val="416AAB"/>
          <w:sz w:val="24"/>
          <w:szCs w:val="24"/>
          <w:highlight w:val="none"/>
          <w:lang w:eastAsia="zh-CN"/>
        </w:rPr>
      </w:pPr>
      <w:bookmarkStart w:id="309" w:name="_Toc21222_WPSOffice_Level1"/>
      <w:r>
        <w:rPr>
          <w:rFonts w:ascii="Times New Roman" w:hAnsi="Times New Roman" w:eastAsia="微软雅黑" w:cs="Times New Roman"/>
          <w:b/>
          <w:bCs/>
          <w:color w:val="416AAB"/>
          <w:sz w:val="24"/>
          <w:szCs w:val="24"/>
          <w:highlight w:val="none"/>
          <w:lang w:eastAsia="zh-CN"/>
        </w:rPr>
        <w:br w:type="page"/>
      </w:r>
    </w:p>
    <w:p>
      <w:pPr>
        <w:widowControl/>
        <w:spacing w:line="276" w:lineRule="auto"/>
        <w:jc w:val="both"/>
        <w:rPr>
          <w:rFonts w:ascii="Times New Roman" w:hAnsi="Times New Roman" w:eastAsia="微软雅黑" w:cs="Times New Roman"/>
          <w:sz w:val="18"/>
          <w:szCs w:val="18"/>
          <w:highlight w:val="none"/>
          <w:lang w:eastAsia="zh-CN"/>
        </w:rPr>
      </w:pPr>
      <w:bookmarkStart w:id="310" w:name="_Toc39_WPSOffice_Level1"/>
      <w:bookmarkStart w:id="311" w:name="_Toc27795_WPSOffice_Level1"/>
      <w:bookmarkStart w:id="312" w:name="_Toc13585_WPSOffice_Level1"/>
      <w:bookmarkStart w:id="313" w:name="_Toc9351_WPSOffice_Level1"/>
      <w:bookmarkStart w:id="314" w:name="_Toc26839_WPSOffice_Level1"/>
      <w:bookmarkStart w:id="315" w:name="_Toc32385_WPSOffice_Level1"/>
      <w:bookmarkStart w:id="316" w:name="_Toc20469_WPSOffice_Level1"/>
      <w:r>
        <w:rPr>
          <w:rFonts w:ascii="Times New Roman" w:hAnsi="Times New Roman" w:eastAsia="微软雅黑" w:cs="Times New Roman"/>
          <w:b/>
          <w:bCs/>
          <w:color w:val="416AAB"/>
          <w:sz w:val="24"/>
          <w:szCs w:val="24"/>
          <w:highlight w:val="none"/>
          <w:lang w:eastAsia="zh-CN"/>
        </w:rPr>
        <w:t>SMO</w:t>
      </w:r>
      <w:bookmarkEnd w:id="309"/>
      <w:bookmarkEnd w:id="310"/>
      <w:bookmarkEnd w:id="311"/>
      <w:bookmarkEnd w:id="312"/>
      <w:bookmarkEnd w:id="313"/>
      <w:bookmarkEnd w:id="314"/>
      <w:bookmarkEnd w:id="315"/>
      <w:bookmarkEnd w:id="316"/>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SMO是Hedgehog信号通路的一个组成部分（图示）。SMO和PTCH1是跨膜受体蛋白，可传递 Hedgehog 配体信号到细胞内。PTCH1或SMO突变均会导致SMO的构成型活化，已知在基底细胞癌、胶质母细胞瘤、髓母细胞瘤、横纹肌肉瘤的癌变中起一定的作用</w:t>
      </w:r>
      <w:r>
        <w:rPr>
          <w:rFonts w:ascii="Times New Roman" w:hAnsi="Times New Roman" w:eastAsia="微软雅黑" w:cs="Times New Roman"/>
          <w:bCs/>
          <w:sz w:val="18"/>
          <w:szCs w:val="18"/>
          <w:highlight w:val="none"/>
          <w:shd w:val="clear" w:color="auto" w:fill="FFFFFF"/>
          <w:vertAlign w:val="superscript"/>
          <w:lang w:eastAsia="zh-CN"/>
        </w:rPr>
        <w:t>[1]</w:t>
      </w:r>
      <w:r>
        <w:rPr>
          <w:rFonts w:ascii="Times New Roman" w:hAnsi="Times New Roman" w:eastAsia="微软雅黑" w:cs="Times New Roman"/>
          <w:bCs/>
          <w:sz w:val="18"/>
          <w:szCs w:val="18"/>
          <w:highlight w:val="none"/>
          <w:shd w:val="clear" w:color="auto" w:fill="FFFFFF"/>
          <w:lang w:eastAsia="zh-CN"/>
        </w:rPr>
        <w:t>。Hedgehog 信号通路对胚胎发育至关重要；以皮肤为例，Hedgehog 参与维持干细胞生长、毛囊和腺体的发育及调节皮肤生长</w:t>
      </w:r>
      <w:r>
        <w:rPr>
          <w:rFonts w:ascii="Times New Roman" w:hAnsi="Times New Roman" w:eastAsia="微软雅黑" w:cs="Times New Roman"/>
          <w:bCs/>
          <w:sz w:val="18"/>
          <w:szCs w:val="18"/>
          <w:highlight w:val="none"/>
          <w:shd w:val="clear" w:color="auto" w:fill="FFFFFF"/>
          <w:vertAlign w:val="superscript"/>
          <w:lang w:eastAsia="zh-CN"/>
        </w:rPr>
        <w:t>[2]</w:t>
      </w:r>
      <w:r>
        <w:rPr>
          <w:rFonts w:ascii="Times New Roman" w:hAnsi="Times New Roman" w:eastAsia="微软雅黑" w:cs="Times New Roman"/>
          <w:bCs/>
          <w:sz w:val="18"/>
          <w:szCs w:val="18"/>
          <w:highlight w:val="none"/>
          <w:shd w:val="clear" w:color="auto" w:fill="FFFFFF"/>
          <w:lang w:eastAsia="zh-CN"/>
        </w:rPr>
        <w:t>。</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胚胎发育完成后，大多数人类组织Hedgehog信号通路处于非活动状态</w:t>
      </w:r>
      <w:r>
        <w:rPr>
          <w:rFonts w:ascii="Times New Roman" w:hAnsi="Times New Roman" w:eastAsia="微软雅黑" w:cs="Times New Roman"/>
          <w:bCs/>
          <w:sz w:val="18"/>
          <w:szCs w:val="18"/>
          <w:highlight w:val="none"/>
          <w:shd w:val="clear" w:color="auto" w:fill="FFFFFF"/>
          <w:vertAlign w:val="superscript"/>
          <w:lang w:eastAsia="zh-CN"/>
        </w:rPr>
        <w:t>[3]</w:t>
      </w:r>
      <w:r>
        <w:rPr>
          <w:rFonts w:ascii="Times New Roman" w:hAnsi="Times New Roman" w:eastAsia="微软雅黑" w:cs="Times New Roman"/>
          <w:bCs/>
          <w:sz w:val="18"/>
          <w:szCs w:val="18"/>
          <w:highlight w:val="none"/>
          <w:shd w:val="clear" w:color="auto" w:fill="FFFFFF"/>
          <w:lang w:eastAsia="zh-CN"/>
        </w:rPr>
        <w:t>。该信号途径的激活可导致或有助于癌变</w:t>
      </w:r>
      <w:r>
        <w:rPr>
          <w:rFonts w:ascii="Times New Roman" w:hAnsi="Times New Roman" w:eastAsia="微软雅黑" w:cs="Times New Roman"/>
          <w:bCs/>
          <w:sz w:val="18"/>
          <w:szCs w:val="18"/>
          <w:highlight w:val="none"/>
          <w:shd w:val="clear" w:color="auto" w:fill="FFFFFF"/>
          <w:vertAlign w:val="superscript"/>
          <w:lang w:eastAsia="zh-CN"/>
        </w:rPr>
        <w:t>[1]</w:t>
      </w:r>
      <w:r>
        <w:rPr>
          <w:rFonts w:ascii="Times New Roman" w:hAnsi="Times New Roman" w:eastAsia="微软雅黑" w:cs="Times New Roman"/>
          <w:bCs/>
          <w:sz w:val="18"/>
          <w:szCs w:val="18"/>
          <w:highlight w:val="none"/>
          <w:shd w:val="clear" w:color="auto" w:fill="FFFFFF"/>
          <w:lang w:eastAsia="zh-CN"/>
        </w:rPr>
        <w:t>。有研究发现SMO可作为癌症治疗的靶标</w:t>
      </w:r>
      <w:r>
        <w:rPr>
          <w:rFonts w:ascii="Times New Roman" w:hAnsi="Times New Roman" w:eastAsia="微软雅黑" w:cs="Times New Roman"/>
          <w:bCs/>
          <w:sz w:val="18"/>
          <w:szCs w:val="18"/>
          <w:highlight w:val="none"/>
          <w:shd w:val="clear" w:color="auto" w:fill="FFFFFF"/>
          <w:vertAlign w:val="superscript"/>
          <w:lang w:eastAsia="zh-CN"/>
        </w:rPr>
        <w:t>[3-5]</w:t>
      </w:r>
      <w:r>
        <w:rPr>
          <w:rFonts w:ascii="Times New Roman" w:hAnsi="Times New Roman" w:eastAsia="微软雅黑" w:cs="Times New Roman"/>
          <w:bCs/>
          <w:sz w:val="18"/>
          <w:szCs w:val="18"/>
          <w:highlight w:val="none"/>
          <w:shd w:val="clear" w:color="auto" w:fill="FFFFFF"/>
          <w:lang w:eastAsia="zh-CN"/>
        </w:rPr>
        <w:t>。SMO抑制剂，以环杷明为例，可紧密结合SMO受体，从而抑制Hedgehog信号通路</w:t>
      </w:r>
      <w:r>
        <w:rPr>
          <w:rFonts w:ascii="Times New Roman" w:hAnsi="Times New Roman" w:eastAsia="微软雅黑" w:cs="Times New Roman"/>
          <w:bCs/>
          <w:sz w:val="18"/>
          <w:szCs w:val="18"/>
          <w:highlight w:val="none"/>
          <w:shd w:val="clear" w:color="auto" w:fill="FFFFFF"/>
          <w:vertAlign w:val="superscript"/>
          <w:lang w:eastAsia="zh-CN"/>
        </w:rPr>
        <w:t>[3，6]</w:t>
      </w:r>
      <w:r>
        <w:rPr>
          <w:rFonts w:ascii="Times New Roman" w:hAnsi="Times New Roman" w:eastAsia="微软雅黑" w:cs="Times New Roman"/>
          <w:bCs/>
          <w:sz w:val="18"/>
          <w:szCs w:val="18"/>
          <w:highlight w:val="none"/>
          <w:shd w:val="clear" w:color="auto" w:fill="FFFFFF"/>
          <w:lang w:eastAsia="zh-CN"/>
        </w:rPr>
        <w:t>。</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jc w:val="center"/>
        <w:rPr>
          <w:rFonts w:ascii="Times New Roman" w:hAnsi="Times New Roman" w:eastAsia="微软雅黑" w:cs="Times New Roman"/>
          <w:highlight w:val="none"/>
        </w:rPr>
      </w:pPr>
      <w:r>
        <w:rPr>
          <w:rFonts w:ascii="Times New Roman" w:hAnsi="Times New Roman" w:eastAsia="微软雅黑" w:cs="Times New Roman"/>
          <w:highlight w:val="none"/>
          <w:lang w:eastAsia="zh-CN"/>
        </w:rPr>
        <w:drawing>
          <wp:inline distT="0" distB="0" distL="0" distR="0">
            <wp:extent cx="1600200" cy="2114550"/>
            <wp:effectExtent l="0" t="0" r="0" b="3810"/>
            <wp:docPr id="19260" name="Picture 19260"/>
            <wp:cNvGraphicFramePr/>
            <a:graphic xmlns:a="http://schemas.openxmlformats.org/drawingml/2006/main">
              <a:graphicData uri="http://schemas.openxmlformats.org/drawingml/2006/picture">
                <pic:pic xmlns:pic="http://schemas.openxmlformats.org/drawingml/2006/picture">
                  <pic:nvPicPr>
                    <pic:cNvPr id="19260" name="Picture 19260"/>
                    <pic:cNvPicPr/>
                  </pic:nvPicPr>
                  <pic:blipFill>
                    <a:blip r:embed="rId25"/>
                    <a:stretch>
                      <a:fillRect/>
                    </a:stretch>
                  </pic:blipFill>
                  <pic:spPr>
                    <a:xfrm>
                      <a:off x="0" y="0"/>
                      <a:ext cx="1600200" cy="2114550"/>
                    </a:xfrm>
                    <a:prstGeom prst="rect">
                      <a:avLst/>
                    </a:prstGeom>
                  </pic:spPr>
                </pic:pic>
              </a:graphicData>
            </a:graphic>
          </wp:inline>
        </w:drawing>
      </w:r>
    </w:p>
    <w:p>
      <w:pPr>
        <w:spacing w:line="276" w:lineRule="auto"/>
        <w:ind w:firstLine="440" w:firstLineChars="200"/>
        <w:jc w:val="center"/>
        <w:rPr>
          <w:rFonts w:ascii="Times New Roman" w:hAnsi="Times New Roman" w:eastAsia="微软雅黑" w:cs="Times New Roman"/>
          <w:highlight w:val="none"/>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图示：Hedgehog信号通路</w:t>
      </w:r>
    </w:p>
    <w:p>
      <w:pPr>
        <w:rPr>
          <w:rFonts w:ascii="Times New Roman" w:hAnsi="Times New Roman" w:eastAsia="微软雅黑" w:cs="Times New Roman"/>
          <w:b/>
          <w:sz w:val="18"/>
          <w:highlight w:val="none"/>
          <w:shd w:val="clear" w:color="auto" w:fill="FFFFFF"/>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31"/>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"http://www.ncbi.nlm.nih.gov/pubmed?term=Onishi%20H%5BAuthor%5D&amp;cauthor=true&amp;cauthor_uid=21679342" \h </w:instrText>
      </w:r>
      <w:r>
        <w:rPr>
          <w:highlight w:val="none"/>
        </w:rPr>
        <w:fldChar w:fldCharType="separate"/>
      </w:r>
      <w:r>
        <w:rPr>
          <w:rFonts w:ascii="Times New Roman" w:hAnsi="Times New Roman" w:cs="Times New Roman"/>
          <w:sz w:val="15"/>
          <w:szCs w:val="15"/>
          <w:highlight w:val="none"/>
        </w:rPr>
        <w:t>Onishi H</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"http://www.ncbi.nlm.nih.gov/pubmed?term=Onishi%20H%5BAuthor%5D&amp;cauthor=true&amp;cauthor_uid=21679342" \h </w:instrText>
      </w:r>
      <w:r>
        <w:rPr>
          <w:highlight w:val="none"/>
        </w:rPr>
        <w:fldChar w:fldCharType="separate"/>
      </w:r>
      <w:r>
        <w:rPr>
          <w:rFonts w:ascii="Times New Roman" w:hAnsi="Times New Roman" w:cs="Times New Roman"/>
          <w:sz w:val="15"/>
          <w:szCs w:val="15"/>
          <w:highlight w:val="none"/>
        </w:rPr>
        <w:t>,</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"http://www.ncbi.nlm.nih.gov/pubmed?term=Katano%20M%5BAuthor%5D&amp;cauthor=true&amp;cauthor_uid=21679342"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"http://www.ncbi.nlm.nih.gov/pubmed?term=Katano%20M%5BAuthor%5D&amp;cauthor=true&amp;cauthor_uid=21679342" \h </w:instrText>
      </w:r>
      <w:r>
        <w:rPr>
          <w:highlight w:val="none"/>
        </w:rPr>
        <w:fldChar w:fldCharType="separate"/>
      </w:r>
      <w:r>
        <w:rPr>
          <w:rFonts w:ascii="Times New Roman" w:hAnsi="Times New Roman" w:cs="Times New Roman"/>
          <w:sz w:val="15"/>
          <w:szCs w:val="15"/>
          <w:highlight w:val="none"/>
        </w:rPr>
        <w:t>Katano 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Hedgehog signaling pathway as a therapeutic target in various types of cancer. Cancer Sci. 2011, 102(10):1756-60.</w:t>
      </w:r>
    </w:p>
    <w:p>
      <w:pPr>
        <w:widowControl/>
        <w:numPr>
          <w:ilvl w:val="0"/>
          <w:numId w:val="31"/>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"http://www.ncbi.nlm.nih.gov/pubmed?term=Athar%20M%5BAuthor%5D&amp;cauthor=true&amp;cauthor_uid=16881963" \h </w:instrText>
      </w:r>
      <w:r>
        <w:rPr>
          <w:highlight w:val="none"/>
        </w:rPr>
        <w:fldChar w:fldCharType="separate"/>
      </w:r>
      <w:r>
        <w:rPr>
          <w:rFonts w:ascii="Times New Roman" w:hAnsi="Times New Roman" w:cs="Times New Roman"/>
          <w:sz w:val="15"/>
          <w:szCs w:val="15"/>
          <w:highlight w:val="none"/>
        </w:rPr>
        <w:t>Athar M, e</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t al. Hedgehog signalling in skin development and cancer. Exp Dermatol. 2006, 15(9):667-77.</w:t>
      </w:r>
    </w:p>
    <w:p>
      <w:pPr>
        <w:widowControl/>
        <w:numPr>
          <w:ilvl w:val="0"/>
          <w:numId w:val="31"/>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"http://www.ncbi.nlm.nih.gov/pubmed?term=Rudin%20CM%5BAuthor%5D&amp;cauthor=true&amp;cauthor_uid=22679179" \h </w:instrText>
      </w:r>
      <w:r>
        <w:rPr>
          <w:highlight w:val="none"/>
        </w:rPr>
        <w:fldChar w:fldCharType="separate"/>
      </w:r>
      <w:r>
        <w:rPr>
          <w:rFonts w:ascii="Times New Roman" w:hAnsi="Times New Roman" w:cs="Times New Roman"/>
          <w:sz w:val="15"/>
          <w:szCs w:val="15"/>
          <w:highlight w:val="none"/>
        </w:rPr>
        <w:t>Rudin CM.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Vismodegib. Clin Cancer Res. 2012, 18(12):3218-22.</w:t>
      </w:r>
    </w:p>
    <w:p>
      <w:pPr>
        <w:widowControl/>
        <w:numPr>
          <w:ilvl w:val="0"/>
          <w:numId w:val="31"/>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"http://www.ncbi.nlm.nih.gov/pubmed?term=Hahn%20H%5BAuthor%5D&amp;cauthor=true&amp;cauthor_uid=8681379" \h </w:instrText>
      </w:r>
      <w:r>
        <w:rPr>
          <w:highlight w:val="none"/>
        </w:rPr>
        <w:fldChar w:fldCharType="separate"/>
      </w:r>
      <w:r>
        <w:rPr>
          <w:rFonts w:ascii="Times New Roman" w:hAnsi="Times New Roman" w:cs="Times New Roman"/>
          <w:sz w:val="15"/>
          <w:szCs w:val="15"/>
          <w:highlight w:val="none"/>
        </w:rPr>
        <w:t>Hahn</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"http://www.ncbi.nlm.nih.gov/pubmed?term=Hahn%20H%5BAuthor%5D&amp;cauthor=true&amp;cauthor_uid=8681379"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et al. Mutations of the human homolog of Drosophila patched in the nevoid basal cell carcinoma syndrome. Cell. 1996, 85(6):841-51.</w:t>
      </w:r>
    </w:p>
    <w:p>
      <w:pPr>
        <w:widowControl/>
        <w:numPr>
          <w:ilvl w:val="0"/>
          <w:numId w:val="31"/>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Johnson RL, et al. Human homolog of patched, a candidate gene for the basal cell nevus syndrome. Science. 1996, 272(5268):1668-71.</w:t>
      </w:r>
    </w:p>
    <w:p>
      <w:pPr>
        <w:widowControl/>
        <w:numPr>
          <w:ilvl w:val="0"/>
          <w:numId w:val="31"/>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Robarge KD, et al. GDC-0449-a potent inhibitor of the hedgehog pathway. Bioorg Med Chem Lett. 2009, 19(19):5576-81.</w:t>
      </w:r>
    </w:p>
    <w:p>
      <w:pPr>
        <w:rPr>
          <w:rFonts w:ascii="Times New Roman" w:hAnsi="Times New Roman" w:eastAsia="微软雅黑" w:cs="Times New Roman"/>
          <w:b/>
          <w:bCs/>
          <w:color w:val="416AAB"/>
          <w:sz w:val="24"/>
          <w:szCs w:val="24"/>
          <w:highlight w:val="none"/>
          <w:lang w:eastAsia="zh-CN"/>
        </w:rPr>
      </w:pPr>
      <w:bookmarkStart w:id="317" w:name="_Toc11373_WPSOffice_Level1"/>
      <w:r>
        <w:rPr>
          <w:rFonts w:ascii="Times New Roman" w:hAnsi="Times New Roman" w:eastAsia="微软雅黑" w:cs="Times New Roman"/>
          <w:b/>
          <w:bCs/>
          <w:color w:val="416AAB"/>
          <w:sz w:val="24"/>
          <w:szCs w:val="24"/>
          <w:highlight w:val="none"/>
          <w:lang w:eastAsia="zh-CN"/>
        </w:rPr>
        <w:br w:type="page"/>
      </w:r>
    </w:p>
    <w:p>
      <w:pPr>
        <w:widowControl/>
        <w:rPr>
          <w:rFonts w:ascii="Times New Roman" w:hAnsi="Times New Roman" w:eastAsia="微软雅黑" w:cs="Times New Roman"/>
          <w:b/>
          <w:bCs/>
          <w:color w:val="416AAB"/>
          <w:sz w:val="24"/>
          <w:szCs w:val="24"/>
          <w:highlight w:val="none"/>
          <w:lang w:eastAsia="zh-CN"/>
        </w:rPr>
      </w:pPr>
      <w:bookmarkStart w:id="318" w:name="_Toc28921_WPSOffice_Level1"/>
      <w:bookmarkStart w:id="319" w:name="_Toc21295_WPSOffice_Level1"/>
      <w:bookmarkStart w:id="320" w:name="_Toc25551_WPSOffice_Level1"/>
      <w:bookmarkStart w:id="321" w:name="_Toc31405_WPSOffice_Level1"/>
      <w:bookmarkStart w:id="322" w:name="_Toc29352_WPSOffice_Level1"/>
      <w:bookmarkStart w:id="323" w:name="_Toc27187_WPSOffice_Level1"/>
      <w:bookmarkStart w:id="324" w:name="_Toc2234_WPSOffice_Level1"/>
      <w:r>
        <w:rPr>
          <w:rFonts w:ascii="Times New Roman" w:hAnsi="Times New Roman" w:eastAsia="微软雅黑" w:cs="Times New Roman"/>
          <w:b/>
          <w:bCs/>
          <w:color w:val="416AAB"/>
          <w:sz w:val="24"/>
          <w:szCs w:val="24"/>
          <w:highlight w:val="none"/>
          <w:lang w:eastAsia="zh-CN"/>
        </w:rPr>
        <w:t>TSC1</w:t>
      </w:r>
      <w:bookmarkEnd w:id="317"/>
      <w:bookmarkEnd w:id="318"/>
      <w:bookmarkEnd w:id="319"/>
      <w:bookmarkEnd w:id="320"/>
      <w:bookmarkEnd w:id="321"/>
      <w:bookmarkEnd w:id="322"/>
      <w:bookmarkEnd w:id="323"/>
      <w:bookmarkEnd w:id="324"/>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结节性硬化症1（TSC1）基因编码的蛋白质，Hamartin，可与由TSC2基因编码的蛋白质---马铃薯球蛋白1交互作用（图示）。TSC1通过调控与细胞增殖有关的mTOR 通路起到肿瘤抑制的作用</w:t>
      </w:r>
      <w:r>
        <w:rPr>
          <w:rFonts w:ascii="Times New Roman" w:hAnsi="Times New Roman" w:eastAsia="微软雅黑" w:cs="Times New Roman"/>
          <w:bCs/>
          <w:sz w:val="18"/>
          <w:szCs w:val="18"/>
          <w:highlight w:val="none"/>
          <w:shd w:val="clear" w:color="auto" w:fill="FFFFFF"/>
          <w:vertAlign w:val="superscript"/>
          <w:lang w:eastAsia="zh-CN"/>
        </w:rPr>
        <w:t>[1，2]</w:t>
      </w:r>
      <w:r>
        <w:rPr>
          <w:rFonts w:ascii="Times New Roman" w:hAnsi="Times New Roman" w:eastAsia="微软雅黑" w:cs="Times New Roman"/>
          <w:bCs/>
          <w:sz w:val="18"/>
          <w:szCs w:val="18"/>
          <w:highlight w:val="none"/>
          <w:shd w:val="clear" w:color="auto" w:fill="FFFFFF"/>
          <w:lang w:eastAsia="zh-CN"/>
        </w:rPr>
        <w:t>。TSC1与mTOR信号途径的蛋白质相互作用；有报道一位携带TSC1突变的膀胱癌患者，使用mTOR抑制剂依维莫司取得疗效</w:t>
      </w:r>
      <w:r>
        <w:rPr>
          <w:rFonts w:ascii="Times New Roman" w:hAnsi="Times New Roman" w:eastAsia="微软雅黑" w:cs="Times New Roman"/>
          <w:bCs/>
          <w:sz w:val="18"/>
          <w:szCs w:val="18"/>
          <w:highlight w:val="none"/>
          <w:shd w:val="clear" w:color="auto" w:fill="FFFFFF"/>
          <w:vertAlign w:val="superscript"/>
          <w:lang w:eastAsia="zh-CN"/>
        </w:rPr>
        <w:t>[3]</w:t>
      </w:r>
      <w:r>
        <w:rPr>
          <w:rFonts w:ascii="Times New Roman" w:hAnsi="Times New Roman" w:eastAsia="微软雅黑" w:cs="Times New Roman"/>
          <w:bCs/>
          <w:sz w:val="18"/>
          <w:szCs w:val="18"/>
          <w:highlight w:val="none"/>
          <w:shd w:val="clear" w:color="auto" w:fill="FFFFFF"/>
          <w:lang w:eastAsia="zh-CN"/>
        </w:rPr>
        <w:t>。约7-12％的膀胱癌患者存在TSC1突变，突变的频率在低级别、非侵入性和高级别、侵入性癌症中相似</w:t>
      </w:r>
      <w:r>
        <w:rPr>
          <w:rFonts w:ascii="Times New Roman" w:hAnsi="Times New Roman" w:eastAsia="微软雅黑" w:cs="Times New Roman"/>
          <w:bCs/>
          <w:sz w:val="18"/>
          <w:szCs w:val="18"/>
          <w:highlight w:val="none"/>
          <w:shd w:val="clear" w:color="auto" w:fill="FFFFFF"/>
          <w:vertAlign w:val="superscript"/>
          <w:lang w:eastAsia="zh-CN"/>
        </w:rPr>
        <w:t>[2，3]</w:t>
      </w:r>
      <w:r>
        <w:rPr>
          <w:rFonts w:ascii="Times New Roman" w:hAnsi="Times New Roman" w:eastAsia="微软雅黑" w:cs="Times New Roman"/>
          <w:bCs/>
          <w:sz w:val="18"/>
          <w:szCs w:val="18"/>
          <w:highlight w:val="none"/>
          <w:shd w:val="clear" w:color="auto" w:fill="FFFFFF"/>
          <w:lang w:eastAsia="zh-CN"/>
        </w:rPr>
        <w:t>。mTOR 抑制剂已被提出作为一种治疗携带TSC1突变膀胱癌病人的潜在方法</w:t>
      </w:r>
      <w:r>
        <w:rPr>
          <w:rFonts w:ascii="Times New Roman" w:hAnsi="Times New Roman" w:eastAsia="微软雅黑" w:cs="Times New Roman"/>
          <w:bCs/>
          <w:sz w:val="18"/>
          <w:szCs w:val="18"/>
          <w:highlight w:val="none"/>
          <w:shd w:val="clear" w:color="auto" w:fill="FFFFFF"/>
          <w:vertAlign w:val="superscript"/>
          <w:lang w:eastAsia="zh-CN"/>
        </w:rPr>
        <w:t>[3]</w:t>
      </w:r>
      <w:r>
        <w:rPr>
          <w:rFonts w:ascii="Times New Roman" w:hAnsi="Times New Roman" w:eastAsia="微软雅黑" w:cs="Times New Roman"/>
          <w:bCs/>
          <w:sz w:val="18"/>
          <w:szCs w:val="18"/>
          <w:highlight w:val="none"/>
          <w:shd w:val="clear" w:color="auto" w:fill="FFFFFF"/>
          <w:lang w:eastAsia="zh-CN"/>
        </w:rPr>
        <w:t>，还需要进一步的研究来证实该治疗方案或探索其他的治疗策略，实现膀胱癌的靶向治疗。</w:t>
      </w: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440" w:firstLineChars="200"/>
        <w:jc w:val="both"/>
        <w:rPr>
          <w:rFonts w:ascii="Times New Roman" w:hAnsi="Times New Roman" w:eastAsia="微软雅黑" w:cs="Times New Roman"/>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78720" behindDoc="0" locked="0" layoutInCell="1" allowOverlap="1">
            <wp:simplePos x="0" y="0"/>
            <wp:positionH relativeFrom="margin">
              <wp:posOffset>1878330</wp:posOffset>
            </wp:positionH>
            <wp:positionV relativeFrom="paragraph">
              <wp:posOffset>10160</wp:posOffset>
            </wp:positionV>
            <wp:extent cx="2533650" cy="2505075"/>
            <wp:effectExtent l="0" t="0" r="11430" b="9525"/>
            <wp:wrapNone/>
            <wp:docPr id="19414" name="Picture 19414"/>
            <wp:cNvGraphicFramePr/>
            <a:graphic xmlns:a="http://schemas.openxmlformats.org/drawingml/2006/main">
              <a:graphicData uri="http://schemas.openxmlformats.org/drawingml/2006/picture">
                <pic:pic xmlns:pic="http://schemas.openxmlformats.org/drawingml/2006/picture">
                  <pic:nvPicPr>
                    <pic:cNvPr id="19414" name="Picture 19414"/>
                    <pic:cNvPicPr/>
                  </pic:nvPicPr>
                  <pic:blipFill>
                    <a:blip r:embed="rId26">
                      <a:extLst>
                        <a:ext uri="{28A0092B-C50C-407E-A947-70E740481C1C}">
                          <a14:useLocalDpi xmlns:a14="http://schemas.microsoft.com/office/drawing/2010/main" val="0"/>
                        </a:ext>
                      </a:extLst>
                    </a:blip>
                    <a:stretch>
                      <a:fillRect/>
                    </a:stretch>
                  </pic:blipFill>
                  <pic:spPr>
                    <a:xfrm>
                      <a:off x="0" y="0"/>
                      <a:ext cx="2533650" cy="2505075"/>
                    </a:xfrm>
                    <a:prstGeom prst="rect">
                      <a:avLst/>
                    </a:prstGeom>
                  </pic:spPr>
                </pic:pic>
              </a:graphicData>
            </a:graphic>
          </wp:anchor>
        </w:drawing>
      </w:r>
    </w:p>
    <w:p>
      <w:pPr>
        <w:spacing w:line="276" w:lineRule="auto"/>
        <w:ind w:firstLine="440" w:firstLineChars="200"/>
        <w:jc w:val="both"/>
        <w:rPr>
          <w:rFonts w:ascii="Times New Roman" w:hAnsi="Times New Roman" w:eastAsia="微软雅黑" w:cs="Times New Roman"/>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ind w:firstLine="360" w:firstLineChars="200"/>
        <w:jc w:val="both"/>
        <w:rPr>
          <w:rFonts w:ascii="Times New Roman" w:hAnsi="Times New Roman" w:eastAsia="微软雅黑" w:cs="Times New Roman"/>
          <w:sz w:val="18"/>
          <w:highlight w:val="none"/>
          <w:lang w:eastAsia="zh-CN"/>
        </w:rPr>
      </w:pPr>
    </w:p>
    <w:p>
      <w:pPr>
        <w:spacing w:line="276" w:lineRule="auto"/>
        <w:jc w:val="center"/>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图示：TSC1与TSC2复合体的调控网络</w:t>
      </w:r>
    </w:p>
    <w:p>
      <w:pPr>
        <w:rPr>
          <w:rFonts w:ascii="Times New Roman" w:hAnsi="Times New Roman" w:eastAsia="微软雅黑" w:cs="Times New Roman"/>
          <w:b/>
          <w:sz w:val="18"/>
          <w:highlight w:val="none"/>
          <w:shd w:val="clear" w:color="auto" w:fill="FFFFFF"/>
          <w:lang w:eastAsia="zh-CN"/>
        </w:rPr>
      </w:pPr>
    </w:p>
    <w:p>
      <w:pPr>
        <w:rPr>
          <w:rFonts w:ascii="Times New Roman" w:hAnsi="Times New Roman" w:eastAsia="微软雅黑" w:cs="Times New Roman"/>
          <w:b/>
          <w:sz w:val="18"/>
          <w:highlight w:val="none"/>
          <w:shd w:val="clear" w:color="auto" w:fill="FFFFFF"/>
          <w:lang w:eastAsia="zh-CN"/>
        </w:rPr>
      </w:pPr>
      <w:r>
        <w:rPr>
          <w:rFonts w:ascii="Times New Roman" w:hAnsi="Times New Roman" w:eastAsia="微软雅黑" w:cs="Times New Roman"/>
          <w:b/>
          <w:sz w:val="18"/>
          <w:highlight w:val="none"/>
          <w:shd w:val="clear" w:color="auto" w:fill="FFFFFF"/>
          <w:lang w:eastAsia="zh-CN"/>
        </w:rPr>
        <w:t>参考文献</w:t>
      </w:r>
    </w:p>
    <w:p>
      <w:pPr>
        <w:rPr>
          <w:rFonts w:ascii="Times New Roman" w:hAnsi="Times New Roman" w:eastAsia="微软雅黑" w:cs="Times New Roman"/>
          <w:b/>
          <w:sz w:val="18"/>
          <w:highlight w:val="none"/>
          <w:shd w:val="clear" w:color="auto" w:fill="FFFFFF"/>
          <w:lang w:eastAsia="zh-CN"/>
        </w:rPr>
      </w:pPr>
    </w:p>
    <w:p>
      <w:pPr>
        <w:widowControl/>
        <w:numPr>
          <w:ilvl w:val="0"/>
          <w:numId w:val="32"/>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"http://ghr.nlm.nih.gov/gene/TSC1" \h </w:instrText>
      </w:r>
      <w:r>
        <w:rPr>
          <w:highlight w:val="none"/>
        </w:rPr>
        <w:fldChar w:fldCharType="separate"/>
      </w:r>
      <w:r>
        <w:rPr>
          <w:rFonts w:ascii="Times New Roman" w:hAnsi="Times New Roman" w:cs="Times New Roman"/>
          <w:sz w:val="15"/>
          <w:szCs w:val="15"/>
          <w:highlight w:val="none"/>
        </w:rPr>
        <w:t>http://ghr.nlm.nih.gov/gene/TSC1</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"http://ghr.nlm.nih.gov/gene/TSC1"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p>
    <w:p>
      <w:pPr>
        <w:widowControl/>
        <w:numPr>
          <w:ilvl w:val="0"/>
          <w:numId w:val="32"/>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"http://www.ncbi.nlm.nih.gov/pubmed?term=Sj%C3%B6dahl%20G%5BAuthor%5D&amp;cauthor=true&amp;cauthor_uid=21533174" \h </w:instrText>
      </w:r>
      <w:r>
        <w:rPr>
          <w:highlight w:val="none"/>
        </w:rPr>
        <w:fldChar w:fldCharType="separate"/>
      </w:r>
      <w:r>
        <w:rPr>
          <w:rFonts w:ascii="Times New Roman" w:hAnsi="Times New Roman" w:cs="Times New Roman"/>
          <w:sz w:val="15"/>
          <w:szCs w:val="15"/>
          <w:highlight w:val="none"/>
        </w:rPr>
        <w:t>Sjodahl G, e</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t al. A systematic study of gene mutations in urothelial carcinoma; inactivating mutations in TSC2 and PIK3R1. PLoS One. 2011, 6(4):e18583.</w:t>
      </w:r>
    </w:p>
    <w:p>
      <w:pPr>
        <w:widowControl/>
        <w:numPr>
          <w:ilvl w:val="0"/>
          <w:numId w:val="32"/>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"http://www.ncbi.nlm.nih.gov/pubmed?term=Iyer%20G%5BAuthor%5D&amp;cauthor=true&amp;cauthor_uid=22923433" \h </w:instrText>
      </w:r>
      <w:r>
        <w:rPr>
          <w:highlight w:val="none"/>
        </w:rPr>
        <w:fldChar w:fldCharType="separate"/>
      </w:r>
      <w:r>
        <w:rPr>
          <w:rFonts w:ascii="Times New Roman" w:hAnsi="Times New Roman" w:cs="Times New Roman"/>
          <w:sz w:val="15"/>
          <w:szCs w:val="15"/>
          <w:highlight w:val="none"/>
        </w:rPr>
        <w:t>Iyer</w:t>
      </w:r>
      <w:r>
        <w:rPr>
          <w:rFonts w:ascii="Times New Roman" w:hAnsi="Times New Roman" w:cs="Times New Roman"/>
          <w:sz w:val="15"/>
          <w:szCs w:val="15"/>
          <w:highlight w:val="none"/>
        </w:rPr>
        <w:fldChar w:fldCharType="end"/>
      </w:r>
      <w:r>
        <w:rPr>
          <w:highlight w:val="none"/>
        </w:rPr>
        <w:fldChar w:fldCharType="begin"/>
      </w:r>
      <w:r>
        <w:rPr>
          <w:highlight w:val="none"/>
        </w:rPr>
        <w:instrText xml:space="preserve"> HYPERLINK "http://www.ncbi.nlm.nih.gov/pubmed?term=Iyer%20G%5BAuthor%5D&amp;cauthor=true&amp;cauthor_uid=22923433" \h </w:instrText>
      </w:r>
      <w:r>
        <w:rPr>
          <w:highlight w:val="none"/>
        </w:rPr>
        <w:fldChar w:fldCharType="separate"/>
      </w:r>
      <w:r>
        <w:rPr>
          <w:rFonts w:ascii="Times New Roman" w:hAnsi="Times New Roman" w:cs="Times New Roman"/>
          <w:sz w:val="15"/>
          <w:szCs w:val="15"/>
          <w:highlight w:val="none"/>
        </w:rPr>
        <w:t xml:space="preserve"> </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G, et al. Genome sequencing identifies a basis for everolimus sensitivity. Science. 2012, 338(6104):221.</w:t>
      </w:r>
    </w:p>
    <w:p>
      <w:pPr>
        <w:spacing w:before="12"/>
        <w:ind w:right="446"/>
        <w:rPr>
          <w:rFonts w:ascii="Times New Roman" w:hAnsi="Times New Roman" w:eastAsia="微软雅黑" w:cs="Times New Roman"/>
          <w:sz w:val="24"/>
          <w:highlight w:val="none"/>
          <w:lang w:eastAsia="zh-CN"/>
        </w:rPr>
      </w:pPr>
    </w:p>
    <w:p>
      <w:pPr>
        <w:spacing w:before="12"/>
        <w:ind w:right="446"/>
        <w:rPr>
          <w:rFonts w:ascii="Times New Roman" w:hAnsi="Times New Roman" w:eastAsia="微软雅黑" w:cs="Times New Roman"/>
          <w:b/>
          <w:bCs/>
          <w:sz w:val="30"/>
          <w:szCs w:val="30"/>
          <w:highlight w:val="none"/>
          <w:lang w:eastAsia="zh-CN"/>
        </w:rPr>
      </w:pPr>
      <w:r>
        <w:rPr>
          <w:rFonts w:ascii="Times New Roman" w:hAnsi="Times New Roman" w:eastAsia="微软雅黑" w:cs="Times New Roman"/>
          <w:b/>
          <w:bCs/>
          <w:sz w:val="30"/>
          <w:szCs w:val="30"/>
          <w:highlight w:val="none"/>
          <w:lang w:eastAsia="zh-CN"/>
        </w:rPr>
        <w:br w:type="page"/>
      </w:r>
    </w:p>
    <w:p>
      <w:pPr>
        <w:pStyle w:val="24"/>
        <w:rPr>
          <w:highlight w:val="none"/>
        </w:rPr>
      </w:pPr>
      <w:bookmarkStart w:id="325" w:name="_Toc16368_WPSOffice_Level1"/>
      <w:bookmarkStart w:id="326" w:name="_Toc31903"/>
      <w:bookmarkStart w:id="327" w:name="_Toc7549"/>
      <w:bookmarkStart w:id="328" w:name="_Toc22484_WPSOffice_Level1"/>
      <w:bookmarkStart w:id="329" w:name="_Toc19099"/>
      <w:bookmarkStart w:id="330" w:name="_Toc28910_WPSOffice_Level1"/>
      <w:r>
        <w:rPr>
          <w:highlight w:val="none"/>
        </w:rPr>
        <w:t>检测基因列表</w:t>
      </w:r>
      <w:bookmarkEnd w:id="325"/>
      <w:bookmarkEnd w:id="326"/>
      <w:bookmarkEnd w:id="327"/>
      <w:bookmarkEnd w:id="328"/>
      <w:bookmarkEnd w:id="329"/>
      <w:bookmarkEnd w:id="330"/>
    </w:p>
    <w:p>
      <w:pPr>
        <w:rPr>
          <w:highlight w:val="none"/>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 if isSingleSample == False %}</w:t>
      </w:r>
    </w:p>
    <w:p>
      <w:pPr>
        <w:spacing w:line="259" w:lineRule="exact"/>
        <w:ind w:left="3328" w:right="3328"/>
        <w:jc w:val="center"/>
        <w:rPr>
          <w:rFonts w:ascii="Times New Roman" w:hAnsi="Times New Roman" w:eastAsia="微软雅黑" w:cs="Times New Roman"/>
          <w:b/>
          <w:color w:val="416AAB"/>
          <w:sz w:val="24"/>
          <w:highlight w:val="none"/>
          <w:lang w:eastAsia="zh-CN"/>
        </w:rPr>
      </w:pPr>
      <w:bookmarkStart w:id="331" w:name="_Toc11193_WPSOffice_Level2"/>
      <w:bookmarkStart w:id="332" w:name="_Toc17111_WPSOffice_Level2"/>
      <w:bookmarkStart w:id="333" w:name="_Toc31515_WPSOffice_Level2"/>
      <w:bookmarkStart w:id="334" w:name="_Toc6931_WPSOffice_Level2"/>
      <w:bookmarkStart w:id="335" w:name="_Toc6304_WPSOffice_Level2"/>
      <w:bookmarkStart w:id="336" w:name="_Toc3488_WPSOffice_Level2"/>
      <w:bookmarkStart w:id="337" w:name="_Toc19280_WPSOffice_Level2"/>
      <w:bookmarkStart w:id="338" w:name="_Toc28454_WPSOffice_Level1"/>
      <w:r>
        <w:rPr>
          <w:rFonts w:hint="eastAsia" w:ascii="Times New Roman" w:hAnsi="Times New Roman" w:eastAsia="微软雅黑" w:cs="Times New Roman"/>
          <w:b/>
          <w:color w:val="416AAB"/>
          <w:sz w:val="24"/>
          <w:highlight w:val="none"/>
          <w:lang w:eastAsia="zh-CN"/>
        </w:rPr>
        <w:t>A</w:t>
      </w:r>
      <w:bookmarkEnd w:id="331"/>
      <w:bookmarkEnd w:id="332"/>
      <w:bookmarkEnd w:id="333"/>
      <w:bookmarkEnd w:id="334"/>
      <w:bookmarkEnd w:id="335"/>
      <w:bookmarkEnd w:id="336"/>
      <w:bookmarkEnd w:id="337"/>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95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“ABCB1,ABCC1,ABCC2,ABCC3,ABCC4,ABCC6,ABCG2,ABL1,ABL2,ACTG1,ACVR1B,ACVR2A,ADGRA2,AIP*,AKT1,AKT2,AKT3,ALK*,AMER1,APC*,ARAF,ARFRP1,ARID1A,ARID1B,ARID2,AR,ASXL1,ATIC,ATM*,ATRX,ATR,AURKA,AURKB,AXIN1,AXIN2,AXL”</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sz w:val="24"/>
          <w:szCs w:val="24"/>
          <w:highlight w:val="none"/>
        </w:rPr>
      </w:pPr>
      <w:bookmarkStart w:id="339" w:name="_Toc12087_WPSOffice_Level2"/>
      <w:bookmarkStart w:id="340" w:name="_Toc31138_WPSOffice_Level2"/>
      <w:bookmarkStart w:id="341" w:name="_Toc14645_WPSOffice_Level2"/>
      <w:bookmarkStart w:id="342" w:name="_Toc2822_WPSOffice_Level2"/>
      <w:bookmarkStart w:id="343" w:name="_Toc26578_WPSOffice_Level2"/>
      <w:bookmarkStart w:id="344" w:name="_Toc29205_WPSOffice_Level2"/>
      <w:bookmarkStart w:id="345" w:name="_Toc25864_WPSOffice_Level2"/>
      <w:r>
        <w:rPr>
          <w:rFonts w:ascii="Times New Roman" w:hAnsi="Times New Roman" w:eastAsia="微软雅黑" w:cs="Times New Roman"/>
          <w:b/>
          <w:color w:val="416AAB"/>
          <w:sz w:val="24"/>
          <w:highlight w:val="none"/>
        </w:rPr>
        <w:t>B</w:t>
      </w:r>
      <w:bookmarkEnd w:id="339"/>
      <w:bookmarkEnd w:id="340"/>
      <w:bookmarkEnd w:id="341"/>
      <w:bookmarkEnd w:id="342"/>
      <w:bookmarkEnd w:id="343"/>
      <w:bookmarkEnd w:id="344"/>
      <w:bookmarkEnd w:id="345"/>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95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“BAP1*,BARD1*,BAX,BCL10,BCL11A,BCL2L1,BCL2L2,BCL2,BCL6,BCORL1,BCOR,BCR,BIRC5,BLCAP,BLK,BLM*,BMPR1A*,BRAF,BRCA1*,BRCA2*,BRD3,BRD4,BRIP1*,BTG1,BTK,BUB1B*,BUB1*,BUB3*”</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0070C0"/>
          <w:sz w:val="24"/>
          <w:szCs w:val="24"/>
          <w:highlight w:val="none"/>
        </w:rPr>
      </w:pPr>
      <w:bookmarkStart w:id="346" w:name="_Toc23221_WPSOffice_Level2"/>
      <w:bookmarkStart w:id="347" w:name="_Toc5261_WPSOffice_Level2"/>
      <w:bookmarkStart w:id="348" w:name="_Toc3819_WPSOffice_Level2"/>
      <w:bookmarkStart w:id="349" w:name="_Toc18696_WPSOffice_Level2"/>
      <w:bookmarkStart w:id="350" w:name="_Toc5660_WPSOffice_Level2"/>
      <w:bookmarkStart w:id="351" w:name="_Toc31020_WPSOffice_Level2"/>
      <w:bookmarkStart w:id="352" w:name="_Toc17905_WPSOffice_Level2"/>
      <w:r>
        <w:rPr>
          <w:rFonts w:ascii="Times New Roman" w:hAnsi="Times New Roman" w:eastAsia="微软雅黑" w:cs="Times New Roman"/>
          <w:b/>
          <w:color w:val="416AAB"/>
          <w:sz w:val="24"/>
          <w:highlight w:val="none"/>
        </w:rPr>
        <w:t>C</w:t>
      </w:r>
      <w:bookmarkEnd w:id="346"/>
      <w:bookmarkEnd w:id="347"/>
      <w:bookmarkEnd w:id="348"/>
      <w:bookmarkEnd w:id="349"/>
      <w:bookmarkEnd w:id="350"/>
      <w:bookmarkEnd w:id="351"/>
      <w:bookmarkEnd w:id="352"/>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63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353" w:name="_Toc2588_WPSOffice_Level2"/>
            <w:bookmarkStart w:id="354" w:name="_Toc24626_WPSOffice_Level2"/>
            <w:bookmarkStart w:id="355" w:name="_Toc23388_WPSOffice_Level2"/>
            <w:bookmarkStart w:id="356" w:name="_Toc28235_WPSOffice_Level2"/>
            <w:bookmarkStart w:id="357" w:name="_Toc20683_WPSOffice_Level2"/>
            <w:bookmarkStart w:id="358" w:name="_Toc15300_WPSOffice_Level2"/>
            <w:bookmarkStart w:id="359" w:name="_Toc11554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C8orf34,CAMK2G,CAMKK2,CARD11,CASP7,CASP8,CBFB,CBL,CBR1,CBR3,CCND1,CCND2,CCND3,CCNE1,CD19,CD22,CD274,CD33,CD52,CD74,CD79A,CD79B,CDA,CDC25C,CDC42,CDC73*,CDH1*,CDK12,CDK1,CDK2,CDK4*,CDK5,CDK6,CDK7,CDK8,CDK9,CDKN1A,CDKN1B,CDKN1C*,CDKN2A*,CDKN2B,CDKN2C,CEBPA*,CEP57*,CHD2,CHD3,CHD4,CHEK1,CHEK2*,CIC,CNTNAP1,CNTNAP2,COL22A1,COMT,COPS3,CREBBP,CRKL,CRLF2,CSF1R,CSMD1,CSMD3,CTCF,CTIF,CTLA4,CTNNA1,CTNNB1,CUL3,CXCL10,CXCL8,CXCR4,CYLD*,CYP19A1,CYP1A1,CYP1A2,CYP1B1,CYP2A6,CYP2B6,CYP2C19,CYP2C8,CYP2C9,CYP2D6,CYP2E1,CYP3A4,CYP3A5,CYP4B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D</w:t>
      </w:r>
      <w:bookmarkEnd w:id="353"/>
      <w:bookmarkEnd w:id="354"/>
      <w:bookmarkEnd w:id="355"/>
      <w:bookmarkEnd w:id="356"/>
      <w:bookmarkEnd w:id="357"/>
      <w:bookmarkEnd w:id="358"/>
      <w:bookmarkEnd w:id="359"/>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360" w:name="_Toc12493_WPSOffice_Level2"/>
            <w:bookmarkStart w:id="361" w:name="_Toc30071_WPSOffice_Level2"/>
            <w:bookmarkStart w:id="362" w:name="_Toc31650_WPSOffice_Level2"/>
            <w:bookmarkStart w:id="363" w:name="_Toc22590_WPSOffice_Level2"/>
            <w:bookmarkStart w:id="364" w:name="_Toc18182_WPSOffice_Level2"/>
            <w:bookmarkStart w:id="365" w:name="_Toc16027_WPSOffice_Level2"/>
            <w:bookmarkStart w:id="366" w:name="_Toc19892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“DAXX,DDB2*,DDR2,DHFR,DICER1*,DIRAS3,DIS3L2*,DNMT3A,DOT1L,DPYD,DYNC2H1”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E</w:t>
      </w:r>
      <w:bookmarkEnd w:id="360"/>
      <w:bookmarkEnd w:id="361"/>
      <w:bookmarkEnd w:id="362"/>
      <w:bookmarkEnd w:id="363"/>
      <w:bookmarkEnd w:id="364"/>
      <w:bookmarkEnd w:id="365"/>
      <w:bookmarkEnd w:id="366"/>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68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367" w:name="_Toc8398_WPSOffice_Level2"/>
            <w:bookmarkStart w:id="368" w:name="_Toc20571_WPSOffice_Level2"/>
            <w:bookmarkStart w:id="369" w:name="_Toc11689_WPSOffice_Level2"/>
            <w:bookmarkStart w:id="370" w:name="_Toc28534_WPSOffice_Level2"/>
            <w:bookmarkStart w:id="371" w:name="_Toc28312_WPSOffice_Level2"/>
            <w:bookmarkStart w:id="372" w:name="_Toc31447_WPSOffice_Level2"/>
            <w:bookmarkStart w:id="373" w:name="_Toc19289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“E2F1,EGFR*,EGF,EML4,EMSY,ENOSF1,EP300,EPCAM*,EPHA3,EPHA5,EPHA7,EPHB1,EPHX1,ERBB2,ERBB3,ERBB4,ERCC1,ERCC2*,ERCC3*,ERCC4*,ERCC5*,ERG,ERRFI1,ESR1,ETV1,ETV4,ETV5,ETV6,EWSR1,EXT1*,EXT2*,EZH2*”</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lang w:eastAsia="zh-CN"/>
        </w:rPr>
        <w:t>F</w:t>
      </w:r>
      <w:bookmarkEnd w:id="367"/>
      <w:bookmarkEnd w:id="368"/>
      <w:bookmarkEnd w:id="369"/>
      <w:bookmarkEnd w:id="370"/>
      <w:bookmarkEnd w:id="371"/>
      <w:bookmarkEnd w:id="372"/>
      <w:bookmarkEnd w:id="373"/>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89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374" w:name="_Toc5423_WPSOffice_Level2"/>
            <w:bookmarkStart w:id="375" w:name="_Toc6645_WPSOffice_Level2"/>
            <w:bookmarkStart w:id="376" w:name="_Toc13225_WPSOffice_Level2"/>
            <w:bookmarkStart w:id="377" w:name="_Toc5164_WPSOffice_Level2"/>
            <w:bookmarkStart w:id="378" w:name="_Toc6170_WPSOffice_Level2"/>
            <w:bookmarkStart w:id="379" w:name="_Toc6863_WPSOffice_Level2"/>
            <w:bookmarkStart w:id="380" w:name="_Toc2683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“FAM46C,FANCA*,FANCB*,FANCC*,FANCD2*,FANCE*,FANCF*,FANCG*,FANCI*,FANCL*,FANCM*,FAS,FAT1,FBXW7,FCGR3A,FGF10,FGF14,FGF19,FGF23,FGF3,FGF4,FGF6,FGFR1,FGFR2,FGFR3,FGFR4,FH*,FLCN*,FLT1,FLT3,FLT4,FOLR3,FOXA1,FOXA2,FOXL2,FOXO1,FOXP1,FRS2,FUBP1,FYN”</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G</w:t>
      </w:r>
      <w:bookmarkEnd w:id="374"/>
      <w:bookmarkEnd w:id="375"/>
      <w:bookmarkEnd w:id="376"/>
      <w:bookmarkEnd w:id="377"/>
      <w:bookmarkEnd w:id="378"/>
      <w:bookmarkEnd w:id="379"/>
      <w:bookmarkEnd w:id="380"/>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72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381" w:name="_Toc3387_WPSOffice_Level2"/>
            <w:bookmarkStart w:id="382" w:name="_Toc6323_WPSOffice_Level2"/>
            <w:bookmarkStart w:id="383" w:name="_Toc12046_WPSOffice_Level2"/>
            <w:bookmarkStart w:id="384" w:name="_Toc5860_WPSOffice_Level2"/>
            <w:bookmarkStart w:id="385" w:name="_Toc13817_WPSOffice_Level2"/>
            <w:bookmarkStart w:id="386" w:name="_Toc29762_WPSOffice_Level2"/>
            <w:bookmarkStart w:id="387" w:name="_Toc24628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“GABRA6,GATA1,GATA2*,GATA3,GATA4,GATA6,GGH,GID4,GLI1,GLI2,GNA11,GNA13,GNAQ,GNAS,GOPC,GPC3*,GRB2,GRIN2A,GRM3,GSK3B,GSTA1</w:t>
            </w:r>
            <w:r>
              <w:rPr>
                <w:rFonts w:hint="eastAsia"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i/>
                <w:sz w:val="18"/>
                <w:szCs w:val="18"/>
                <w:highlight w:val="none"/>
              </w:rPr>
              <w:t>GSTM3</w:t>
            </w:r>
            <w:r>
              <w:rPr>
                <w:rFonts w:hint="eastAsia" w:ascii="Times New Roman" w:hAnsi="Times New Roman" w:eastAsia="微软雅黑" w:cs="Times New Roman"/>
                <w:i/>
                <w:sz w:val="18"/>
                <w:szCs w:val="18"/>
                <w:highlight w:val="none"/>
                <w:lang w:val="en-US" w:eastAsia="zh-CN"/>
              </w:rPr>
              <w:t>,</w:t>
            </w:r>
            <w:r>
              <w:rPr>
                <w:rFonts w:hint="eastAsia" w:ascii="Times New Roman" w:hAnsi="Times New Roman" w:eastAsia="微软雅黑" w:cs="Times New Roman"/>
                <w:i/>
                <w:sz w:val="18"/>
                <w:szCs w:val="18"/>
                <w:highlight w:val="none"/>
              </w:rPr>
              <w:t>GSTP1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H</w:t>
      </w:r>
      <w:bookmarkEnd w:id="381"/>
      <w:bookmarkEnd w:id="382"/>
      <w:bookmarkEnd w:id="383"/>
      <w:bookmarkEnd w:id="384"/>
      <w:bookmarkEnd w:id="385"/>
      <w:bookmarkEnd w:id="386"/>
      <w:bookmarkEnd w:id="387"/>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72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388" w:name="_Toc6004_WPSOffice_Level2"/>
            <w:bookmarkStart w:id="389" w:name="_Toc31905_WPSOffice_Level2"/>
            <w:bookmarkStart w:id="390" w:name="_Toc11082_WPSOffice_Level2"/>
            <w:bookmarkStart w:id="391" w:name="_Toc13244_WPSOffice_Level2"/>
            <w:bookmarkStart w:id="392" w:name="_Toc22500_WPSOffice_Level2"/>
            <w:bookmarkStart w:id="393" w:name="_Toc15619_WPSOffice_Level2"/>
            <w:bookmarkStart w:id="394" w:name="_Toc708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“H3F3A,HDAC1,HDAC2,HDAC3,HDAC4,HDAC6,HDAC8,HGF,HIF1A,HNF1A*,HOXB13*,HRAS*,HSD3B1,HSP90AA1”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45"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I</w:t>
      </w:r>
      <w:bookmarkEnd w:id="388"/>
      <w:bookmarkEnd w:id="389"/>
      <w:bookmarkEnd w:id="390"/>
      <w:bookmarkEnd w:id="391"/>
      <w:bookmarkEnd w:id="392"/>
      <w:bookmarkEnd w:id="393"/>
      <w:bookmarkEnd w:id="394"/>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72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395" w:name="_Toc23443_WPSOffice_Level2"/>
            <w:bookmarkStart w:id="396" w:name="_Toc13664_WPSOffice_Level2"/>
            <w:bookmarkStart w:id="397" w:name="_Toc4042_WPSOffice_Level2"/>
            <w:bookmarkStart w:id="398" w:name="_Toc15479_WPSOffice_Level2"/>
            <w:bookmarkStart w:id="399" w:name="_Toc23537_WPSOffice_Level2"/>
            <w:bookmarkStart w:id="400" w:name="_Toc7586_WPSOffice_Level2"/>
            <w:bookmarkStart w:id="401" w:name="_Toc21560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“IDH1,IDH2,IGF1R,IGF1,IGF2R,IGF2,IKBKB,IKBKE,IKZF1,IL7R,INHBA,INPP4B,IRF2,IRF4,IRS2,ITK”</w:t>
            </w:r>
            <w:r>
              <w:rPr>
                <w:rFonts w:hint="eastAsia" w:ascii="Times New Roman" w:hAnsi="Times New Roman" w:eastAsia="微软雅黑" w:cs="Times New Roman"/>
                <w:sz w:val="18"/>
                <w:szCs w:val="18"/>
                <w:highlight w:val="none"/>
                <w:lang w:eastAsia="zh-CN"/>
              </w:rPr>
              <w:t xml:space="preserve"> | red(7,18,True) %}</w:t>
            </w:r>
          </w:p>
        </w:tc>
      </w:tr>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J</w:t>
      </w:r>
      <w:bookmarkEnd w:id="395"/>
      <w:bookmarkEnd w:id="396"/>
      <w:bookmarkEnd w:id="397"/>
      <w:bookmarkEnd w:id="398"/>
      <w:bookmarkEnd w:id="399"/>
      <w:bookmarkEnd w:id="400"/>
      <w:bookmarkEnd w:id="401"/>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72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02" w:name="_Toc5629_WPSOffice_Level2"/>
            <w:bookmarkStart w:id="403" w:name="_Toc10575_WPSOffice_Level2"/>
            <w:bookmarkStart w:id="404" w:name="_Toc2337_WPSOffice_Level2"/>
            <w:bookmarkStart w:id="405" w:name="_Toc29193_WPSOffice_Level2"/>
            <w:bookmarkStart w:id="406" w:name="_Toc28498_WPSOffice_Level2"/>
            <w:bookmarkStart w:id="407" w:name="_Toc11254_WPSOffice_Level2"/>
            <w:bookmarkStart w:id="408" w:name="_Toc22039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“JAK1,JAK2,JAK3,JUN”</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right="2"/>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K</w:t>
      </w:r>
      <w:bookmarkEnd w:id="402"/>
      <w:bookmarkEnd w:id="403"/>
      <w:bookmarkEnd w:id="404"/>
      <w:bookmarkEnd w:id="405"/>
      <w:bookmarkEnd w:id="406"/>
      <w:bookmarkEnd w:id="407"/>
      <w:bookmarkEnd w:id="408"/>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62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09" w:name="_Toc17668_WPSOffice_Level2"/>
            <w:bookmarkStart w:id="410" w:name="_Toc17621_WPSOffice_Level2"/>
            <w:bookmarkStart w:id="411" w:name="_Toc2613_WPSOffice_Level2"/>
            <w:bookmarkStart w:id="412" w:name="_Toc8985_WPSOffice_Level2"/>
            <w:bookmarkStart w:id="413" w:name="_Toc8519_WPSOffice_Level2"/>
            <w:bookmarkStart w:id="414" w:name="_Toc18866_WPSOffice_Level2"/>
            <w:bookmarkStart w:id="415" w:name="_Toc13246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“KAT6A,KDM5A,KDM5C,KDM6A,KDR,KEAP1,KEL,KIT*,KLHL6,KMT2A,KMT2B,KMT2C,KMT2D,KRAS”</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L</w:t>
      </w:r>
      <w:bookmarkEnd w:id="409"/>
      <w:bookmarkEnd w:id="410"/>
      <w:bookmarkEnd w:id="411"/>
      <w:bookmarkEnd w:id="412"/>
      <w:bookmarkEnd w:id="413"/>
      <w:bookmarkEnd w:id="414"/>
      <w:bookmarkEnd w:id="415"/>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4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16" w:name="_Toc23413_WPSOffice_Level2"/>
            <w:bookmarkStart w:id="417" w:name="_Toc24337_WPSOffice_Level2"/>
            <w:bookmarkStart w:id="418" w:name="_Toc6654_WPSOffice_Level2"/>
            <w:bookmarkStart w:id="419" w:name="_Toc12118_WPSOffice_Level2"/>
            <w:bookmarkStart w:id="420" w:name="_Toc2334_WPSOffice_Level2"/>
            <w:bookmarkStart w:id="421" w:name="_Toc25338_WPSOffice_Level2"/>
            <w:bookmarkStart w:id="422" w:name="_Toc12027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“LMO1,LRP1B,LRRK2,LYN,LYRM9,LZTR1”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M</w:t>
      </w:r>
      <w:bookmarkEnd w:id="416"/>
      <w:bookmarkEnd w:id="417"/>
      <w:bookmarkEnd w:id="418"/>
      <w:bookmarkEnd w:id="419"/>
      <w:bookmarkEnd w:id="420"/>
      <w:bookmarkEnd w:id="421"/>
      <w:bookmarkEnd w:id="422"/>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00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23" w:name="_Toc20271_WPSOffice_Level2"/>
            <w:bookmarkStart w:id="424" w:name="_Toc28807_WPSOffice_Level2"/>
            <w:bookmarkStart w:id="425" w:name="_Toc17254_WPSOffice_Level2"/>
            <w:bookmarkStart w:id="426" w:name="_Toc17711_WPSOffice_Level2"/>
            <w:bookmarkStart w:id="427" w:name="_Toc20736_WPSOffice_Level2"/>
            <w:bookmarkStart w:id="428" w:name="_Toc6074_WPSOffice_Level2"/>
            <w:bookmarkStart w:id="429" w:name="_Toc5840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“MAGI2,MAP2K1,MAP2K2,MAP2K4,MAP3K1,MAP4K1,MAPK14,MAPK1,MAPK8,MAPK9,MAX*,MCL1,MDM2,MDM4,MED12,MEF2B,MEN1*,MET*,MITF*,MLH1*,MMP12,MMP14,MMP9,MPL,MRE11*,MSH2*,MSH3*,MSH6*,MTHFR,MTOR,MTR,MUTYH*,MYB,MYCL,MYCN,MYC,MYD88,MYO1B”</w:t>
            </w:r>
            <w:r>
              <w:rPr>
                <w:rFonts w:hint="eastAsia" w:ascii="Times New Roman" w:hAnsi="Times New Roman" w:eastAsia="微软雅黑" w:cs="Times New Roman"/>
                <w:sz w:val="18"/>
                <w:szCs w:val="18"/>
                <w:highlight w:val="none"/>
                <w:lang w:eastAsia="zh-CN"/>
              </w:rPr>
              <w:t xml:space="preserve"> | red(7,18,True) %}</w:t>
            </w:r>
          </w:p>
        </w:tc>
      </w:tr>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rPr>
        <w:t>N</w:t>
      </w:r>
      <w:bookmarkEnd w:id="423"/>
      <w:bookmarkEnd w:id="424"/>
      <w:bookmarkEnd w:id="425"/>
      <w:bookmarkEnd w:id="426"/>
      <w:bookmarkEnd w:id="427"/>
      <w:bookmarkEnd w:id="428"/>
      <w:bookmarkEnd w:id="429"/>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84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30" w:name="_Toc18813_WPSOffice_Level2"/>
            <w:bookmarkStart w:id="431" w:name="_Toc31683_WPSOffice_Level2"/>
            <w:bookmarkStart w:id="432" w:name="_Toc22623_WPSOffice_Level2"/>
            <w:bookmarkStart w:id="433" w:name="_Toc18784_WPSOffice_Level2"/>
            <w:bookmarkStart w:id="434" w:name="_Toc26031_WPSOffice_Level2"/>
            <w:bookmarkStart w:id="435" w:name="_Toc18295_WPSOffice_Level2"/>
            <w:bookmarkStart w:id="436" w:name="_Toc24586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“NAT1,NAT2,NBN*,NCOR1,NF1*,NF2*,NFE2L2,NFKBIA,NKX2-1,NOTCH1,NOTCH2,NOTCH3,NOTCH4,NPM1,NRAS,NRG1,NSD1*,NTRK1,NTRK2,NTRK3,NUP93”</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lang w:eastAsia="zh-CN"/>
        </w:rPr>
      </w:pPr>
      <w:r>
        <w:rPr>
          <w:rFonts w:hint="eastAsia" w:ascii="Times New Roman" w:hAnsi="Times New Roman" w:eastAsia="微软雅黑" w:cs="Times New Roman"/>
          <w:b/>
          <w:color w:val="416AAB"/>
          <w:sz w:val="24"/>
          <w:highlight w:val="none"/>
          <w:lang w:eastAsia="zh-CN"/>
        </w:rPr>
        <w:t>O</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“OPRM1”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rPr>
        <w:t>P</w:t>
      </w:r>
      <w:bookmarkEnd w:id="430"/>
      <w:bookmarkEnd w:id="431"/>
      <w:bookmarkEnd w:id="432"/>
      <w:bookmarkEnd w:id="433"/>
      <w:bookmarkEnd w:id="434"/>
      <w:bookmarkEnd w:id="435"/>
      <w:bookmarkEnd w:id="436"/>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27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37" w:name="_Toc31152_WPSOffice_Level2"/>
            <w:bookmarkStart w:id="438" w:name="_Toc2455_WPSOffice_Level2"/>
            <w:bookmarkStart w:id="439" w:name="_Toc11576_WPSOffice_Level2"/>
            <w:bookmarkStart w:id="440" w:name="_Toc15930_WPSOffice_Level2"/>
            <w:bookmarkStart w:id="441" w:name="_Toc25837_WPSOffice_Level2"/>
            <w:bookmarkStart w:id="442" w:name="_Toc22167_WPSOffice_Level2"/>
            <w:bookmarkStart w:id="443" w:name="_Toc30144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PAK1,PAK3,PALB2*,PARP1,PARP2,PARP3,PARP4,PAX5,PBRM1,PDCD1LG2,PDCD1,PDGFRA,PDGFRB,PDK1,PEG3,PHOX2B*,PIK3C2B,PIK3CA,PIK3CB,PIK3CG,PIK3R1,PIK3R2,PLCG2,PLK1,PMS1*,PMS2*,POLD1,POLE,PPARG,PPP2R1A,PPP2R5B,PRDM1,PREX2,PRF1*,PRKAR1A*,PRKCE,PRKCG,PRKCI,PRKDC,PRKN,PRRT2,PRSS1*,PRSS8,PTCH1*,PTCH2,PTEN*,PTK2,PTPN11,PTPRD”</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lang w:eastAsia="zh-CN"/>
        </w:rPr>
        <w:t>Q</w:t>
      </w:r>
      <w:bookmarkEnd w:id="437"/>
      <w:bookmarkEnd w:id="438"/>
      <w:bookmarkEnd w:id="439"/>
      <w:bookmarkEnd w:id="440"/>
      <w:bookmarkEnd w:id="441"/>
      <w:bookmarkEnd w:id="442"/>
      <w:bookmarkEnd w:id="443"/>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9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44" w:name="_Toc21218_WPSOffice_Level2"/>
            <w:bookmarkStart w:id="445" w:name="_Toc24581_WPSOffice_Level2"/>
            <w:bookmarkStart w:id="446" w:name="_Toc6105_WPSOffice_Level2"/>
            <w:bookmarkStart w:id="447" w:name="_Toc18298_WPSOffice_Level2"/>
            <w:bookmarkStart w:id="448" w:name="_Toc17817_WPSOffice_Level2"/>
            <w:bookmarkStart w:id="449" w:name="_Toc10927_WPSOffice_Level2"/>
            <w:bookmarkStart w:id="450" w:name="_Toc21844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“QKI”</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6"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R</w:t>
      </w:r>
      <w:bookmarkEnd w:id="444"/>
      <w:bookmarkEnd w:id="445"/>
      <w:bookmarkEnd w:id="446"/>
      <w:bookmarkEnd w:id="447"/>
      <w:bookmarkEnd w:id="448"/>
      <w:bookmarkEnd w:id="449"/>
      <w:bookmarkEnd w:id="450"/>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90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51" w:name="_Toc3881_WPSOffice_Level2"/>
            <w:bookmarkStart w:id="452" w:name="_Toc22953_WPSOffice_Level2"/>
            <w:bookmarkStart w:id="453" w:name="_Toc7518_WPSOffice_Level2"/>
            <w:bookmarkStart w:id="454" w:name="_Toc32618_WPSOffice_Level2"/>
            <w:bookmarkStart w:id="455" w:name="_Toc26632_WPSOffice_Level2"/>
            <w:bookmarkStart w:id="456" w:name="_Toc5805_WPSOffice_Level2"/>
            <w:bookmarkStart w:id="457" w:name="_Toc20673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“RAC1,RAC2,RAD50*,RAD51C*,RAD51D*,RAD51,RAF1,RANBP2,RARA,RARB,RASSF1,RASSF8,RB1*,RBM10,RECQL4*,REL,RET*,RHBDF2*,RHEB,RHOA,RICTOR,RNF43,ROCK1,ROS1,RPS6KA1,RPS6KB1,RPTOR,RRM1</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RUNX1</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RUNX1T1</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RUNX2</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S</w:t>
      </w:r>
      <w:bookmarkEnd w:id="451"/>
      <w:bookmarkEnd w:id="452"/>
      <w:bookmarkEnd w:id="453"/>
      <w:bookmarkEnd w:id="454"/>
      <w:bookmarkEnd w:id="455"/>
      <w:bookmarkEnd w:id="456"/>
      <w:bookmarkEnd w:id="457"/>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15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58" w:name="_Toc14661_WPSOffice_Level2"/>
            <w:bookmarkStart w:id="459" w:name="_Toc22431_WPSOffice_Level2"/>
            <w:bookmarkStart w:id="460" w:name="_Toc25299_WPSOffice_Level2"/>
            <w:bookmarkStart w:id="461" w:name="_Toc22629_WPSOffice_Level2"/>
            <w:bookmarkStart w:id="462" w:name="_Toc15940_WPSOffice_Level2"/>
            <w:bookmarkStart w:id="463" w:name="_Toc31722_WPSOffice_Level2"/>
            <w:bookmarkStart w:id="464" w:name="_Toc9505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SATB2,SBDS*,SDHAF2*,SDHA*,SDHB*,SDHC*,SDHD*,SETD2*,SF3B1,SHH,SLC10A2,SLC16A7,SLC19A1,SLC22A16,SLC28A3,SLCO1B3,SLIT2,SLX4*,SMAD2,SMAD3,SMAD4*,SMARCA1,SMARCA4,SMARCB1*,SMARCD1,SMO,SNAI1,SNAI2,SNCAIP,SOCS1,SOD2,SOX10,SOX17,SOX2,SOX9,SPEN,SPINK1*,SPOP,SPTA1,SRC,STAG2,STAT3,STAT4,STK11*,STK4,SUFU*,SYK”</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45"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T</w:t>
      </w:r>
      <w:bookmarkEnd w:id="458"/>
      <w:bookmarkEnd w:id="459"/>
      <w:bookmarkEnd w:id="460"/>
      <w:bookmarkEnd w:id="461"/>
      <w:bookmarkEnd w:id="462"/>
      <w:bookmarkEnd w:id="463"/>
      <w:bookmarkEnd w:id="464"/>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74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65" w:name="_Toc7607_WPSOffice_Level2"/>
            <w:bookmarkStart w:id="466" w:name="_Toc4328_WPSOffice_Level2"/>
            <w:bookmarkStart w:id="467" w:name="_Toc27188_WPSOffice_Level2"/>
            <w:bookmarkStart w:id="468" w:name="_Toc27147_WPSOffice_Level2"/>
            <w:bookmarkStart w:id="469" w:name="_Toc20849_WPSOffice_Level2"/>
            <w:bookmarkStart w:id="470" w:name="_Toc5581_WPSOffice_Level2"/>
            <w:bookmarkStart w:id="471" w:name="_Toc24372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“TAF1,TBX3,TCF7L2,TEK,TERT,TET2,TGFBR1,TGFBR2,TLR4,TMEM127*,TMPRSS2,TNFAIP3,TNFRSF11A,TNFRSF14,TNFSF11,TNF,TOP1,TOP2A,TP53*,TPMT,TPX2,TSC1*,TSC2*,TSHR,TUBA1A,TUBB,TUBD1,TUBE1,TWIST1,TYMS”</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U</w:t>
      </w:r>
      <w:bookmarkEnd w:id="465"/>
      <w:bookmarkEnd w:id="466"/>
      <w:bookmarkEnd w:id="467"/>
      <w:bookmarkEnd w:id="468"/>
      <w:bookmarkEnd w:id="469"/>
      <w:bookmarkEnd w:id="470"/>
      <w:bookmarkEnd w:id="471"/>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7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72" w:name="_Toc6343_WPSOffice_Level2"/>
            <w:bookmarkStart w:id="473" w:name="_Toc23854_WPSOffice_Level2"/>
            <w:bookmarkStart w:id="474" w:name="_Toc11511_WPSOffice_Level2"/>
            <w:bookmarkStart w:id="475" w:name="_Toc8746_WPSOffice_Level2"/>
            <w:bookmarkStart w:id="476" w:name="_Toc26466_WPSOffice_Level2"/>
            <w:bookmarkStart w:id="477" w:name="_Toc23457_WPSOffice_Level2"/>
            <w:bookmarkStart w:id="478" w:name="_Toc9066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“U2AF1,UGT1A1,UGT1A9,UMPS”</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V</w:t>
      </w:r>
      <w:bookmarkEnd w:id="472"/>
      <w:bookmarkEnd w:id="473"/>
      <w:bookmarkEnd w:id="474"/>
      <w:bookmarkEnd w:id="475"/>
      <w:bookmarkEnd w:id="476"/>
      <w:bookmarkEnd w:id="477"/>
      <w:bookmarkEnd w:id="478"/>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7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79" w:name="_Toc17938_WPSOffice_Level2"/>
            <w:bookmarkStart w:id="480" w:name="_Toc3049_WPSOffice_Level2"/>
            <w:bookmarkStart w:id="481" w:name="_Toc6069_WPSOffice_Level2"/>
            <w:bookmarkStart w:id="482" w:name="_Toc17440_WPSOffice_Level2"/>
            <w:bookmarkStart w:id="483" w:name="_Toc20319_WPSOffice_Level2"/>
            <w:bookmarkStart w:id="484" w:name="_Toc1557_WPSOffice_Level2"/>
            <w:bookmarkStart w:id="485" w:name="_Toc12685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“VEGFA,VEGFB,VHL*”</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W</w:t>
      </w:r>
      <w:bookmarkEnd w:id="479"/>
      <w:bookmarkEnd w:id="480"/>
      <w:bookmarkEnd w:id="481"/>
      <w:bookmarkEnd w:id="482"/>
      <w:bookmarkEnd w:id="483"/>
      <w:bookmarkEnd w:id="484"/>
      <w:bookmarkEnd w:id="485"/>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7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86" w:name="_Toc21686_WPSOffice_Level2"/>
            <w:bookmarkStart w:id="487" w:name="_Toc18427_WPSOffice_Level2"/>
            <w:bookmarkStart w:id="488" w:name="_Toc25956_WPSOffice_Level2"/>
            <w:bookmarkStart w:id="489" w:name="_Toc19766_WPSOffice_Level2"/>
            <w:bookmarkStart w:id="490" w:name="_Toc29816_WPSOffice_Level2"/>
            <w:bookmarkStart w:id="491" w:name="_Toc27824_WPSOffice_Level2"/>
            <w:bookmarkStart w:id="492" w:name="_Toc28180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“WEE1,WISP3,WNT1,WNT5A,WNT6,WRN*,WT1*”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X</w:t>
      </w:r>
      <w:bookmarkEnd w:id="486"/>
      <w:bookmarkEnd w:id="487"/>
      <w:bookmarkEnd w:id="488"/>
      <w:bookmarkEnd w:id="489"/>
      <w:bookmarkEnd w:id="490"/>
      <w:bookmarkEnd w:id="491"/>
      <w:bookmarkEnd w:id="492"/>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7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bookmarkStart w:id="493" w:name="_Toc9870_WPSOffice_Level2"/>
            <w:bookmarkStart w:id="494" w:name="_Toc8959_WPSOffice_Level2"/>
            <w:bookmarkStart w:id="495" w:name="_Toc27941_WPSOffice_Level2"/>
            <w:bookmarkStart w:id="496" w:name="_Toc7268_WPSOffice_Level2"/>
            <w:bookmarkStart w:id="497" w:name="_Toc20570_WPSOffice_Level2"/>
            <w:bookmarkStart w:id="498" w:name="_Toc19658_WPSOffice_Level2"/>
            <w:bookmarkStart w:id="499" w:name="_Toc24661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“XIAP,XPA*,XPC*,XPO1,XRCC1”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lang w:eastAsia="zh-CN"/>
        </w:rPr>
      </w:pPr>
      <w:r>
        <w:rPr>
          <w:rFonts w:hint="eastAsia" w:ascii="Times New Roman" w:hAnsi="Times New Roman" w:eastAsia="微软雅黑" w:cs="Times New Roman"/>
          <w:b/>
          <w:color w:val="416AAB"/>
          <w:sz w:val="24"/>
          <w:highlight w:val="none"/>
          <w:lang w:eastAsia="zh-CN"/>
        </w:rPr>
        <w:t>Y</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7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“YES1”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Z</w:t>
      </w:r>
      <w:bookmarkEnd w:id="493"/>
      <w:bookmarkEnd w:id="494"/>
      <w:bookmarkEnd w:id="495"/>
      <w:bookmarkEnd w:id="496"/>
      <w:bookmarkEnd w:id="497"/>
      <w:bookmarkEnd w:id="498"/>
      <w:bookmarkEnd w:id="499"/>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7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“ZBTB2,ZNF217,ZNF703”</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before="19" w:line="160" w:lineRule="exact"/>
        <w:rPr>
          <w:rFonts w:ascii="Times New Roman" w:hAnsi="Times New Roman" w:eastAsia="微软雅黑" w:cs="Times New Roman"/>
          <w:sz w:val="16"/>
          <w:szCs w:val="16"/>
          <w:highlight w:val="none"/>
        </w:rPr>
      </w:pPr>
    </w:p>
    <w:p>
      <w:pPr>
        <w:spacing w:line="259" w:lineRule="exact"/>
        <w:ind w:right="3328"/>
        <w:rPr>
          <w:rFonts w:ascii="Times New Roman" w:hAnsi="Times New Roman" w:eastAsia="微软雅黑" w:cs="Times New Roman"/>
          <w:sz w:val="18"/>
          <w:szCs w:val="18"/>
          <w:highlight w:val="none"/>
          <w:lang w:eastAsia="zh-CN"/>
        </w:rPr>
      </w:pPr>
      <w:r>
        <w:rPr>
          <w:rFonts w:ascii="Times New Roman" w:hAnsi="Times New Roman" w:eastAsia="微软雅黑" w:cs="Times New Roman"/>
          <w:b/>
          <w:bCs/>
          <w:spacing w:val="-1"/>
          <w:sz w:val="18"/>
          <w:szCs w:val="18"/>
          <w:highlight w:val="none"/>
          <w:lang w:eastAsia="zh-CN"/>
        </w:rPr>
        <w:t>注：</w:t>
      </w:r>
      <w:r>
        <w:rPr>
          <w:rFonts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2"/>
          <w:sz w:val="18"/>
          <w:szCs w:val="18"/>
          <w:highlight w:val="none"/>
          <w:lang w:eastAsia="zh-CN"/>
        </w:rPr>
        <w:t xml:space="preserve"> </w:t>
      </w:r>
      <w:r>
        <w:rPr>
          <w:rFonts w:ascii="Times New Roman" w:hAnsi="Times New Roman" w:eastAsia="微软雅黑" w:cs="Times New Roman"/>
          <w:sz w:val="18"/>
          <w:szCs w:val="18"/>
          <w:highlight w:val="none"/>
          <w:lang w:eastAsia="zh-CN"/>
        </w:rPr>
        <w:t xml:space="preserve">号标注为 </w:t>
      </w:r>
      <w:r>
        <w:rPr>
          <w:rFonts w:hint="eastAsia" w:ascii="Times New Roman" w:hAnsi="Times New Roman" w:eastAsia="微软雅黑" w:cs="Times New Roman"/>
          <w:sz w:val="18"/>
          <w:szCs w:val="18"/>
          <w:highlight w:val="none"/>
          <w:lang w:eastAsia="zh-CN"/>
        </w:rPr>
        <w:t>106</w:t>
      </w:r>
      <w:r>
        <w:rPr>
          <w:rFonts w:ascii="Times New Roman" w:hAnsi="Times New Roman" w:eastAsia="微软雅黑" w:cs="Times New Roman"/>
          <w:sz w:val="18"/>
          <w:szCs w:val="18"/>
          <w:highlight w:val="none"/>
          <w:lang w:eastAsia="zh-CN"/>
        </w:rPr>
        <w:t>个遗传风险检测基因。</w:t>
      </w:r>
      <w:r>
        <w:rPr>
          <w:rFonts w:hint="eastAsia" w:ascii="Times New Roman" w:hAnsi="Times New Roman" w:eastAsia="微软雅黑" w:cs="Times New Roman"/>
          <w:sz w:val="18"/>
          <w:szCs w:val="18"/>
          <w:highlight w:val="none"/>
          <w:lang w:eastAsia="zh-CN"/>
        </w:rPr>
        <w:t>{% else %}</w:t>
      </w:r>
    </w:p>
    <w:p>
      <w:pPr>
        <w:spacing w:line="259" w:lineRule="exact"/>
        <w:ind w:left="3328" w:right="3328"/>
        <w:jc w:val="center"/>
        <w:rPr>
          <w:rFonts w:ascii="Times New Roman" w:hAnsi="Times New Roman" w:eastAsia="微软雅黑" w:cs="Times New Roman"/>
          <w:b/>
          <w:color w:val="416AAB"/>
          <w:sz w:val="24"/>
          <w:highlight w:val="none"/>
          <w:lang w:eastAsia="zh-CN"/>
        </w:rPr>
      </w:pPr>
      <w:r>
        <w:rPr>
          <w:rFonts w:hint="eastAsia" w:ascii="Times New Roman" w:hAnsi="Times New Roman" w:eastAsia="微软雅黑" w:cs="Times New Roman"/>
          <w:b/>
          <w:color w:val="416AAB"/>
          <w:sz w:val="24"/>
          <w:highlight w:val="none"/>
          <w:lang w:eastAsia="zh-CN"/>
        </w:rPr>
        <w:t>A</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95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“ABCB1,ABCC1,ABCC2,ABCC3,ABCC4,ABCC6,ABCG2,ABL1,ABL2,ACTG1,ACVR1B,ACVR2A,ADGRA2,AIP,AKT1,AKT2,AKT3,ALK,AMER1,APC,ARAF,ARFRP1,ARID1A,ARID1B,ARID2,AR,ASXL1,ATIC,ATM,ATRX,ATR,AURKA,AURKB,AXIN1,AXIN2,AXL”</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sz w:val="24"/>
          <w:szCs w:val="24"/>
          <w:highlight w:val="none"/>
        </w:rPr>
      </w:pPr>
      <w:r>
        <w:rPr>
          <w:rFonts w:ascii="Times New Roman" w:hAnsi="Times New Roman" w:eastAsia="微软雅黑" w:cs="Times New Roman"/>
          <w:b/>
          <w:color w:val="416AAB"/>
          <w:sz w:val="24"/>
          <w:highlight w:val="none"/>
        </w:rPr>
        <w:t>B</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70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“BAP1,BARD1,BAX,BCL10,BCL11A,BCL2L1,BCL2L2,BCL2,BCL6,BCORL1,BCOR,BCR,BIRC5,BLCAP,BLK,BLM,BMPR1A,BRAF,BRCA1,BRCA2,BRD3,BRD4,BRIP1,BTG1,BTK,BUB1B,BUB1,BUB3”</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0070C0"/>
          <w:sz w:val="24"/>
          <w:szCs w:val="24"/>
          <w:highlight w:val="none"/>
        </w:rPr>
      </w:pPr>
      <w:r>
        <w:rPr>
          <w:rFonts w:ascii="Times New Roman" w:hAnsi="Times New Roman" w:eastAsia="微软雅黑" w:cs="Times New Roman"/>
          <w:b/>
          <w:color w:val="416AAB"/>
          <w:sz w:val="24"/>
          <w:highlight w:val="none"/>
        </w:rPr>
        <w:t>C</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52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C8orf34,CAMK2G,CAMKK2,CARD11,CASP7,CASP8,CBFB,CBL,CBR1,CBR3,CCND1,CCND2,CCND3,CCNE1,CD19,CD22,CD274,CD33,CD52,CD74,CD79A,CD79B,CDA,CDC25C,CDC42,CDC73,CDH1,CDK12,CDK1,CDK2,CDK4,CDK5,CDK6,CDK7,CDK8,CDK9,CDKN1A,CDKN1B,CDKN1C,CDKN2A,CDKN2B,CDKN2C,CEBPA,CEP57,CHD2,CHD3,CHD4,CHEK1,CHEK2,CIC,CNTNAP1,CNTNAP2,COL22A1,COMT,COPS3,CREBBP,CRKL,CRLF2,CSF1R,CSMD1,CSMD3,CTCF,CTIF,CTLA4,CTNNA1,CTNNB1,CUL3,CXCL10,CXCL8,CXCR4,CYLD,CYP19A1,CYP1A1,CYP1A2,CYP1B1,CYP2A6,CYP2B6,CYP2C19,CYP2C8,CYP2C9,CYP2D6,CYP2E1,CYP3A4,CYP3A5,CYP4B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D</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6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“DAXX,DDB2,DDR2,DHFR,DICER1,DIRAS3,DIS3L2,DNMT3A,DOT1L,DPYD,DYNC2H1”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E</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88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“E2F1,EGFR,EGF,EML4,EMSY,ENOSF1,EP300,EPCAM,EPHA3,EPHA5,EPHA7,EPHB1,EPHX1,ERBB2,ERBB3,ERBB4,ERCC1,ERCC2,ERCC3,ERCC4,ERCC5,ERG,ERRFI1,ESR1,ETV1,ETV4,ETV5,ETV6,EWSR1,EXT1,EXT2,EZH2”</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lang w:eastAsia="zh-CN"/>
        </w:rPr>
        <w:t>F</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86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hint="eastAsia"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“FAM46C,FANCA,FANCB,FANCC,FANCD2,FANCE,FANCF,FANCG,FANCI,FANCL,FANCM,FAS,FAT1,FBXW7,FCGR3A,FGF10,FGF14,FGF19,FGF23,FGF3,FGF4,FGF6,FGFR1,FGFR2,FGFR3,FGFR4,FH,FLCN,FLT1,FLT3,FLT4,FOLR3,FOXA1,FOXA2,FOXL2,FOXO1,FOXP1,FRS2,FUBP1,FYN”</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G</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71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“GABRA6,GATA1,GATA2,GATA3,GATA4,GATA6,GGH,GID4,GLI1,GLI2,GNA11,GNA13,GNAQ,GNAS,GOPC,GPC3,GRB2,GRIN2A,GRM3,GSK3B,GSTA1</w:t>
            </w:r>
            <w:r>
              <w:rPr>
                <w:rFonts w:hint="eastAsia"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eastAsia="zh-CN"/>
              </w:rPr>
              <w:t>GSTM3</w:t>
            </w:r>
            <w:r>
              <w:rPr>
                <w:rFonts w:hint="eastAsia"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eastAsia="zh-CN"/>
              </w:rPr>
              <w:t>GSTP1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H</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71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“H3F3A,HDAC1,HDAC2,HDAC3,HDAC4,HDAC6,HDAC8,HGF,HIF1A,HNF1A,HOXB13,HRAS,HSD3B1,HSP90AA1”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45"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I</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59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“IDH1,IDH2,IGF1R,IGF1,IGF2R,IGF2,IKBKB,IKBKE,IKZF1,IL7R,INHBA,INPP4B,IRF2,IRF4,IRS2,ITK”</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J</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3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“JAK1,JAK2,JAK3,JUN”</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right="2"/>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K</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59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“KAT6A,KDM5A,KDM5C,KDM6A,KDR,KEAP1,KEL,KIT,KLHL6,KMT2A,KMT2B,KMT2C,KMT2D,KRAS”</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L</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7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“LMO1,LRP1B,LRRK2,LYN,LYRM9,LZTR1”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M</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83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“MAGI2,MAP2K1,MAP2K2,MAP2K4,MAP3K1,MAP4K1,MAPK14,MAPK1,MAPK8,MAPK9,MAX,MCL1,MDM2,MDM4,MED12,MEF2B,MEN1,MET,MITF,MLH1,MMP12,MMP14,MMP9,MPL,MRE11,MSH2,MSH3,MSH6,MTHFR,MTOR,MTR,MUTYH,MYB,MYCL,MYCN,MYC,MYD88,MYO1B”</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rPr>
        <w:t>N</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73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“NAT1,NAT2,NBN,NCOR1,NF1,NF2,NFE2L2,NFKBIA,NKX2-1,NOTCH1,NOTCH2,NOTCH3,NOTCH4,NPM1,NRAS,NRG1,NSD1,NTRK1,NTRK2,NTRK3,NUP93”</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lang w:eastAsia="zh-CN"/>
        </w:rPr>
      </w:pPr>
      <w:r>
        <w:rPr>
          <w:rFonts w:hint="eastAsia" w:ascii="Times New Roman" w:hAnsi="Times New Roman" w:eastAsia="微软雅黑" w:cs="Times New Roman"/>
          <w:b/>
          <w:color w:val="416AAB"/>
          <w:sz w:val="24"/>
          <w:highlight w:val="none"/>
          <w:lang w:eastAsia="zh-CN"/>
        </w:rPr>
        <w:t>O</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8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“OPRM1”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rPr>
        <w:t>P</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12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PAK1,PAK3,PALB2,PARP1,PARP2,PARP3,PARP4,PAX5,PBRM1,PDCD1LG2,PDCD1,PDGFRA,PDGFRB,PDK1,PEG3,PHOX2B,PIK3C2B,PIK3CA,PIK3CB,PIK3CG,PIK3R1,PIK3R2,PLCG2,PLK1,PMS1,PMS2,POLD1,POLE,PPARG,PPP2R1A,PPP2R5B,PRDM1,PREX2,PRF1,PRKAR1A,PRKCE,PRKCG,PRKCI,PRKDC,PRKN,PRRT2,PRSS1,PRSS8,PTCH1,PTCH2,PTEN,PTK2,PTPN11,PTPRD”</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lang w:eastAsia="zh-CN"/>
        </w:rPr>
        <w:t>Q</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8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“QKI”</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6"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R</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87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“RAC1,RAC2,RAD50,RAD51C,RAD51D,RAD51,RAF1,RANBP2,RARA,RARB,RASSF1,RASSF8,RB1,RBM10,RECQL4,REL,RET,RHBDF2,RHEB,RHOA,RICTOR,RNF43,ROCK1,ROS1,RPS6KA1,RPS6KB1,RPTOR,RRM1,RUNX1T1,RUNX1,RUNX2”</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S</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00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SATB2,SBDS,SDHAF2,SDHA,SDHB,SDHC,SDHD,SETD2,SF3B1,SHH,SLC10A2,SLC16A7,SLC19A1,SLC22A16,SLC28A3,SLCO1B3,SLIT2,SLX4,SMAD2,SMAD3,SMAD4,SMARCA1,SMARCA4,SMARCB1,SMARCD1,SMO,SNAI1,SNAI2,SNCAIP,SOCS1,SOD2,SOX10,SOX17,SOX2,SOX9,SPEN,SPINK1,SPOP,SPTA1,SRC,STAG2,STAT3,STAT4,STK11,STK4,SUFU,SYK”</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45"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T</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73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“TAF1,TBX3,TCF7L2,TEK,TERT,TET2,TGFBR1,TGFBR2,TLR4,TMEM127,TMPRSS2,TNFAIP3,TNFRSF11A,TNFRSF14,TNFSF11,TNF,TOP1,TOP2A,TP53,TPMT,TPX2,TSC1,TSC2,TSHR,TUBA1A,TUBB,TUBD1,TUBE1,TWIST1,TYMS”</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U</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8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“U2AF1,UGT1A1,UGT1A9,UMPS”</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V</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8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“VEGFA,VEGFB,VHL”</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W</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8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“WEE1,WISP3,WNT1,WNT5A,WNT6,WRN,WT1”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X</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8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“XIAP,XPA,XPC,XPO1,XRCC1”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lang w:eastAsia="zh-CN"/>
        </w:rPr>
      </w:pPr>
      <w:r>
        <w:rPr>
          <w:rFonts w:hint="eastAsia" w:ascii="Times New Roman" w:hAnsi="Times New Roman" w:eastAsia="微软雅黑" w:cs="Times New Roman"/>
          <w:b/>
          <w:color w:val="416AAB"/>
          <w:sz w:val="24"/>
          <w:highlight w:val="none"/>
          <w:lang w:eastAsia="zh-CN"/>
        </w:rPr>
        <w:t>Y</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8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“YES1”</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Z</w:t>
      </w:r>
    </w:p>
    <w:tbl>
      <w:tblPr>
        <w:tblStyle w:val="18"/>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8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“ZBTB2,ZNF217,ZNF703”</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before="47"/>
        <w:ind w:right="44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endif %}</w:t>
      </w:r>
    </w:p>
    <w:p>
      <w:p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br w:type="page"/>
      </w:r>
    </w:p>
    <w:p>
      <w:pPr>
        <w:pStyle w:val="24"/>
        <w:rPr>
          <w:highlight w:val="none"/>
        </w:rPr>
      </w:pPr>
      <w:bookmarkStart w:id="500" w:name="_Toc20170_WPSOffice_Level1"/>
      <w:bookmarkStart w:id="501" w:name="_Toc5652"/>
      <w:bookmarkStart w:id="502" w:name="_Toc26985_WPSOffice_Level1"/>
      <w:r>
        <w:rPr>
          <w:highlight w:val="none"/>
        </w:rPr>
        <w:t>检测流程</w:t>
      </w:r>
      <w:bookmarkEnd w:id="338"/>
      <w:bookmarkEnd w:id="500"/>
      <w:bookmarkEnd w:id="501"/>
      <w:bookmarkEnd w:id="502"/>
    </w:p>
    <w:p>
      <w:pPr>
        <w:rPr>
          <w:rFonts w:ascii="Times New Roman" w:hAnsi="Times New Roman" w:eastAsia="微软雅黑" w:cs="Times New Roman"/>
          <w:highlight w:val="none"/>
          <w:lang w:eastAsia="zh-CN"/>
        </w:rPr>
      </w:pPr>
    </w:p>
    <w:p>
      <w:pPr>
        <w:rPr>
          <w:rFonts w:ascii="Times New Roman" w:hAnsi="Times New Roman" w:eastAsia="微软雅黑" w:cs="Times New Roman"/>
          <w:highlight w:val="none"/>
          <w:lang w:eastAsia="zh-CN"/>
        </w:rPr>
      </w:pPr>
    </w:p>
    <w:p>
      <w:pPr>
        <w:ind w:firstLine="3740" w:firstLineChars="1700"/>
        <w:rPr>
          <w:rFonts w:ascii="Times New Roman" w:hAnsi="Times New Roman" w:eastAsia="微软雅黑" w:cs="Times New Roman"/>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59264" behindDoc="0" locked="0" layoutInCell="1" allowOverlap="1">
            <wp:simplePos x="0" y="0"/>
            <wp:positionH relativeFrom="column">
              <wp:posOffset>1196975</wp:posOffset>
            </wp:positionH>
            <wp:positionV relativeFrom="paragraph">
              <wp:posOffset>18415</wp:posOffset>
            </wp:positionV>
            <wp:extent cx="647700" cy="593090"/>
            <wp:effectExtent l="0" t="0" r="7620" b="1270"/>
            <wp:wrapNone/>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a:xfrm>
                      <a:off x="0" y="0"/>
                      <a:ext cx="647700" cy="593090"/>
                    </a:xfrm>
                    <a:prstGeom prst="rect">
                      <a:avLst/>
                    </a:prstGeom>
                    <a:noFill/>
                  </pic:spPr>
                </pic:pic>
              </a:graphicData>
            </a:graphic>
          </wp:anchor>
        </w:drawing>
      </w:r>
      <w:r>
        <w:rPr>
          <w:rFonts w:ascii="Times New Roman" w:hAnsi="Times New Roman" w:eastAsia="微软雅黑" w:cs="Times New Roman"/>
          <w:color w:val="416AAB"/>
          <w:sz w:val="48"/>
          <w:szCs w:val="48"/>
          <w:highlight w:val="none"/>
          <w:lang w:eastAsia="zh-CN"/>
        </w:rPr>
        <mc:AlternateContent>
          <mc:Choice Requires="wps">
            <w:drawing>
              <wp:anchor distT="0" distB="0" distL="114300" distR="114300" simplePos="0" relativeHeight="251660288" behindDoc="0" locked="0" layoutInCell="1" allowOverlap="1">
                <wp:simplePos x="0" y="0"/>
                <wp:positionH relativeFrom="column">
                  <wp:posOffset>745490</wp:posOffset>
                </wp:positionH>
                <wp:positionV relativeFrom="paragraph">
                  <wp:posOffset>3810</wp:posOffset>
                </wp:positionV>
                <wp:extent cx="0" cy="6440805"/>
                <wp:effectExtent l="38100" t="0" r="38100" b="5715"/>
                <wp:wrapNone/>
                <wp:docPr id="9" name="AutoShape 149"/>
                <wp:cNvGraphicFramePr/>
                <a:graphic xmlns:a="http://schemas.openxmlformats.org/drawingml/2006/main">
                  <a:graphicData uri="http://schemas.microsoft.com/office/word/2010/wordprocessingShape">
                    <wps:wsp>
                      <wps:cNvCnPr>
                        <a:cxnSpLocks noChangeShapeType="1"/>
                      </wps:cNvCnPr>
                      <wps:spPr bwMode="auto">
                        <a:xfrm>
                          <a:off x="0" y="0"/>
                          <a:ext cx="0" cy="6440805"/>
                        </a:xfrm>
                        <a:prstGeom prst="straightConnector1">
                          <a:avLst/>
                        </a:prstGeom>
                        <a:noFill/>
                        <a:ln w="19050">
                          <a:solidFill>
                            <a:srgbClr val="0070C0"/>
                          </a:solidFill>
                          <a:round/>
                          <a:tailEnd type="triangle" w="med" len="med"/>
                        </a:ln>
                      </wps:spPr>
                      <wps:bodyPr/>
                    </wps:wsp>
                  </a:graphicData>
                </a:graphic>
              </wp:anchor>
            </w:drawing>
          </mc:Choice>
          <mc:Fallback>
            <w:pict>
              <v:shape id="AutoShape 149" o:spid="_x0000_s1026" o:spt="32" type="#_x0000_t32" style="position:absolute;left:0pt;margin-left:58.7pt;margin-top:0.3pt;height:507.15pt;width:0pt;z-index:251660288;mso-width-relative:page;mso-height-relative:page;" filled="f" stroked="t" coordsize="21600,21600" o:gfxdata="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KTG0hPVAAAACQEAAA8AAAAAAAAAAQAgAAAAIgAAAGRycy9kb3ducmV2LnhtbFBLAQIUABQA&#10;AAAIAIdO4kCSSzj98wEAAOMDAAAOAAAAAAAAAAEAIAAAACQBAABkcnMvZTJvRG9jLnhtbFBLBQYA&#10;AAAABgAGAFkBAACJBQAAAAA=&#10;">
                <v:fill on="f" focussize="0,0"/>
                <v:stroke weight="1.5pt" color="#0070C0" joinstyle="round" endarrow="block"/>
                <v:imagedata o:title=""/>
                <o:lock v:ext="edit" aspectratio="f"/>
              </v:shape>
            </w:pict>
          </mc:Fallback>
        </mc:AlternateContent>
      </w:r>
      <w:r>
        <w:rPr>
          <w:rFonts w:ascii="Times New Roman" w:hAnsi="Times New Roman" w:eastAsia="微软雅黑" w:cs="Times New Roman"/>
          <w:color w:val="416AAB"/>
          <w:sz w:val="48"/>
          <w:szCs w:val="48"/>
          <w:highlight w:val="none"/>
          <w:lang w:eastAsia="zh-CN"/>
        </w:rPr>
        <mc:AlternateContent>
          <mc:Choice Requires="wps">
            <w:drawing>
              <wp:anchor distT="45720" distB="45720" distL="114300" distR="114300" simplePos="0" relativeHeight="251661312" behindDoc="0" locked="0" layoutInCell="1" allowOverlap="1">
                <wp:simplePos x="0" y="0"/>
                <wp:positionH relativeFrom="column">
                  <wp:posOffset>3114675</wp:posOffset>
                </wp:positionH>
                <wp:positionV relativeFrom="paragraph">
                  <wp:posOffset>29210</wp:posOffset>
                </wp:positionV>
                <wp:extent cx="2278380" cy="617855"/>
                <wp:effectExtent l="0" t="0" r="7620" b="6985"/>
                <wp:wrapSquare wrapText="bothSides"/>
                <wp:docPr id="10" name="Text Box 113"/>
                <wp:cNvGraphicFramePr/>
                <a:graphic xmlns:a="http://schemas.openxmlformats.org/drawingml/2006/main">
                  <a:graphicData uri="http://schemas.microsoft.com/office/word/2010/wordprocessingShape">
                    <wps:wsp>
                      <wps:cNvSpPr txBox="1">
                        <a:spLocks noChangeArrowheads="1"/>
                      </wps:cNvSpPr>
                      <wps:spPr bwMode="auto">
                        <a:xfrm>
                          <a:off x="0" y="0"/>
                          <a:ext cx="2278380" cy="6178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wps:txbx>
                      <wps:bodyPr rot="0" vert="horz" wrap="square" lIns="91440" tIns="45720" rIns="91440" bIns="45720" anchor="t" anchorCtr="0" upright="1">
                        <a:noAutofit/>
                      </wps:bodyPr>
                    </wps:wsp>
                  </a:graphicData>
                </a:graphic>
              </wp:anchor>
            </w:drawing>
          </mc:Choice>
          <mc:Fallback>
            <w:pict>
              <v:shape id="Text Box 113" o:spid="_x0000_s1026" o:spt="202" type="#_x0000_t202" style="position:absolute;left:0pt;margin-left:245.25pt;margin-top:2.3pt;height:48.65pt;width:179.4pt;mso-wrap-distance-bottom:3.6pt;mso-wrap-distance-left:9pt;mso-wrap-distance-right:9pt;mso-wrap-distance-top:3.6pt;z-index:251661312;mso-width-relative:page;mso-height-relative:page;" fillcolor="#FFFFFF" filled="t" stroked="f" coordsize="21600,21600" o:gfxdata="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Md1wodcAAAAJ&#10;AQAADwAAAAAAAAABACAAAAAiAAAAZHJzL2Rvd25yZXYueG1sUEsBAhQAFAAAAAgAh07iQLA9zbQd&#10;AgAAQAQAAA4AAAAAAAAAAQAgAAAAJgEAAGRycy9lMm9Eb2MueG1sUEsFBgAAAAAGAAYAWQEAALUF&#10;A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v:textbox>
                <w10:wrap type="square"/>
              </v:shape>
            </w:pict>
          </mc:Fallback>
        </mc:AlternateContent>
      </w:r>
      <w:r>
        <w:rPr>
          <w:rFonts w:ascii="Times New Roman" w:hAnsi="Times New Roman" w:eastAsia="微软雅黑" w:cs="Times New Roman"/>
          <w:color w:val="416AAB"/>
          <w:sz w:val="72"/>
          <w:szCs w:val="72"/>
          <w:highlight w:val="none"/>
          <w:lang w:eastAsia="zh-CN"/>
        </w:rPr>
        <w:t>1</w:t>
      </w: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2336" behindDoc="0" locked="0" layoutInCell="1" allowOverlap="1">
                <wp:simplePos x="0" y="0"/>
                <wp:positionH relativeFrom="column">
                  <wp:posOffset>3114675</wp:posOffset>
                </wp:positionH>
                <wp:positionV relativeFrom="paragraph">
                  <wp:posOffset>260985</wp:posOffset>
                </wp:positionV>
                <wp:extent cx="2058035" cy="1087120"/>
                <wp:effectExtent l="0" t="0" r="14605" b="10160"/>
                <wp:wrapSquare wrapText="bothSides"/>
                <wp:docPr id="11" name="Text Box 114"/>
                <wp:cNvGraphicFramePr/>
                <a:graphic xmlns:a="http://schemas.openxmlformats.org/drawingml/2006/main">
                  <a:graphicData uri="http://schemas.microsoft.com/office/word/2010/wordprocessingShape">
                    <wps:wsp>
                      <wps:cNvSpPr txBox="1">
                        <a:spLocks noChangeArrowheads="1"/>
                      </wps:cNvSpPr>
                      <wps:spPr bwMode="auto">
                        <a:xfrm>
                          <a:off x="0" y="0"/>
                          <a:ext cx="2058035" cy="108712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33"/>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wps:txbx>
                      <wps:bodyPr rot="0" vert="horz" wrap="square" lIns="91440" tIns="45720" rIns="91440" bIns="45720" anchor="t" anchorCtr="0" upright="1">
                        <a:noAutofit/>
                      </wps:bodyPr>
                    </wps:wsp>
                  </a:graphicData>
                </a:graphic>
              </wp:anchor>
            </w:drawing>
          </mc:Choice>
          <mc:Fallback>
            <w:pict>
              <v:shape id="Text Box 114" o:spid="_x0000_s1026" o:spt="202" type="#_x0000_t202" style="position:absolute;left:0pt;margin-left:245.25pt;margin-top:20.55pt;height:85.6pt;width:162.05pt;mso-wrap-distance-bottom:3.6pt;mso-wrap-distance-left:9pt;mso-wrap-distance-right:9pt;mso-wrap-distance-top:3.6pt;z-index:251662336;mso-width-relative:page;mso-height-relative:page;" fillcolor="#FFFFFF" filled="t" stroked="f" coordsize="21600,21600" o:gfxdata="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sZne2QAA&#10;AAoBAAAPAAAAAAAAAAEAIAAAACIAAABkcnMvZG93bnJldi54bWxQSwECFAAUAAAACACHTuJAXo6Y&#10;UR0CAABBBAAADgAAAAAAAAABACAAAAAoAQAAZHJzL2Uyb0RvYy54bWxQSwUGAAAAAAYABgBZAQAA&#10;twU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33"/>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v:textbox>
                <w10:wrap type="square"/>
              </v:shape>
            </w:pict>
          </mc:Fallback>
        </mc:AlternateContent>
      </w:r>
      <w:r>
        <w:rPr>
          <w:rFonts w:ascii="Times New Roman" w:hAnsi="Times New Roman" w:eastAsia="微软雅黑" w:cs="Times New Roman"/>
          <w:highlight w:val="none"/>
          <w:lang w:eastAsia="zh-CN"/>
        </w:rPr>
        <w:drawing>
          <wp:anchor distT="0" distB="0" distL="114300" distR="114300" simplePos="0" relativeHeight="251663360" behindDoc="0" locked="0" layoutInCell="1" allowOverlap="1">
            <wp:simplePos x="0" y="0"/>
            <wp:positionH relativeFrom="column">
              <wp:posOffset>1196975</wp:posOffset>
            </wp:positionH>
            <wp:positionV relativeFrom="paragraph">
              <wp:posOffset>386080</wp:posOffset>
            </wp:positionV>
            <wp:extent cx="647700" cy="706120"/>
            <wp:effectExtent l="0" t="0" r="7620" b="10160"/>
            <wp:wrapNone/>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647700" cy="706120"/>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bookmarkStart w:id="503" w:name="_Toc19277_WPSOffice_Level2"/>
      <w:bookmarkStart w:id="504" w:name="_Toc3149_WPSOffice_Level2"/>
      <w:r>
        <w:rPr>
          <w:rFonts w:ascii="Times New Roman" w:hAnsi="Times New Roman" w:eastAsia="微软雅黑" w:cs="Times New Roman"/>
          <w:color w:val="416AAB"/>
          <w:sz w:val="72"/>
          <w:szCs w:val="72"/>
          <w:highlight w:val="none"/>
          <w:lang w:eastAsia="zh-CN"/>
        </w:rPr>
        <w:t>2</w:t>
      </w:r>
      <w:bookmarkEnd w:id="503"/>
      <w:bookmarkEnd w:id="504"/>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4384" behindDoc="0" locked="0" layoutInCell="1" allowOverlap="1">
                <wp:simplePos x="0" y="0"/>
                <wp:positionH relativeFrom="column">
                  <wp:posOffset>3114675</wp:posOffset>
                </wp:positionH>
                <wp:positionV relativeFrom="paragraph">
                  <wp:posOffset>245110</wp:posOffset>
                </wp:positionV>
                <wp:extent cx="2171700" cy="1303655"/>
                <wp:effectExtent l="0" t="0" r="7620" b="6985"/>
                <wp:wrapSquare wrapText="bothSides"/>
                <wp:docPr id="12" name="Text Box 115"/>
                <wp:cNvGraphicFramePr/>
                <a:graphic xmlns:a="http://schemas.openxmlformats.org/drawingml/2006/main">
                  <a:graphicData uri="http://schemas.microsoft.com/office/word/2010/wordprocessingShape">
                    <wps:wsp>
                      <wps:cNvSpPr txBox="1">
                        <a:spLocks noChangeArrowheads="1"/>
                      </wps:cNvSpPr>
                      <wps:spPr bwMode="auto">
                        <a:xfrm>
                          <a:off x="0" y="0"/>
                          <a:ext cx="2171700" cy="13036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3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3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3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3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wps:txbx>
                      <wps:bodyPr rot="0" vert="horz" wrap="square" lIns="91440" tIns="45720" rIns="91440" bIns="45720" anchor="t" anchorCtr="0" upright="1">
                        <a:noAutofit/>
                      </wps:bodyPr>
                    </wps:wsp>
                  </a:graphicData>
                </a:graphic>
              </wp:anchor>
            </w:drawing>
          </mc:Choice>
          <mc:Fallback>
            <w:pict>
              <v:shape id="Text Box 115" o:spid="_x0000_s1026" o:spt="202" type="#_x0000_t202" style="position:absolute;left:0pt;margin-left:245.25pt;margin-top:19.3pt;height:102.65pt;width:171pt;mso-wrap-distance-bottom:3.6pt;mso-wrap-distance-left:9pt;mso-wrap-distance-right:9pt;mso-wrap-distance-top:3.6pt;z-index:251664384;mso-width-relative:page;mso-height-relative:page;" fillcolor="#FFFFFF" filled="t" stroked="f" coordsize="21600,21600" o:gfxdata="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Kddo5zYAAAA&#10;CgEAAA8AAAAAAAAAAQAgAAAAIgAAAGRycy9kb3ducmV2LnhtbFBLAQIUABQAAAAIAIdO4kCLdYwN&#10;HQIAAEE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3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3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3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3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v:textbox>
                <w10:wrap type="square"/>
              </v:shape>
            </w:pict>
          </mc:Fallback>
        </mc:AlternateContent>
      </w:r>
      <w:r>
        <w:rPr>
          <w:rFonts w:ascii="Times New Roman" w:hAnsi="Times New Roman" w:eastAsia="微软雅黑" w:cs="Times New Roman"/>
          <w:highlight w:val="none"/>
          <w:lang w:eastAsia="zh-CN"/>
        </w:rPr>
        <w:drawing>
          <wp:anchor distT="0" distB="0" distL="114300" distR="114300" simplePos="0" relativeHeight="251665408" behindDoc="0" locked="0" layoutInCell="1" allowOverlap="1">
            <wp:simplePos x="0" y="0"/>
            <wp:positionH relativeFrom="column">
              <wp:posOffset>1196975</wp:posOffset>
            </wp:positionH>
            <wp:positionV relativeFrom="paragraph">
              <wp:posOffset>414020</wp:posOffset>
            </wp:positionV>
            <wp:extent cx="647700" cy="633095"/>
            <wp:effectExtent l="0" t="0" r="7620" b="6985"/>
            <wp:wrapNone/>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647700" cy="63309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bookmarkStart w:id="505" w:name="_Toc206_WPSOffice_Level2"/>
      <w:bookmarkStart w:id="506" w:name="_Toc17014_WPSOffice_Level2"/>
      <w:r>
        <w:rPr>
          <w:rFonts w:ascii="Times New Roman" w:hAnsi="Times New Roman" w:eastAsia="微软雅黑" w:cs="Times New Roman"/>
          <w:color w:val="416AAB"/>
          <w:sz w:val="72"/>
          <w:szCs w:val="72"/>
          <w:highlight w:val="none"/>
          <w:lang w:eastAsia="zh-CN"/>
        </w:rPr>
        <w:t>3</w:t>
      </w:r>
      <w:bookmarkEnd w:id="505"/>
      <w:bookmarkEnd w:id="506"/>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66432" behindDoc="0" locked="0" layoutInCell="1" allowOverlap="1">
            <wp:simplePos x="0" y="0"/>
            <wp:positionH relativeFrom="column">
              <wp:posOffset>1196975</wp:posOffset>
            </wp:positionH>
            <wp:positionV relativeFrom="paragraph">
              <wp:posOffset>398780</wp:posOffset>
            </wp:positionV>
            <wp:extent cx="647700" cy="650240"/>
            <wp:effectExtent l="0" t="0" r="7620" b="508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647700" cy="650240"/>
                    </a:xfrm>
                    <a:prstGeom prst="rect">
                      <a:avLst/>
                    </a:prstGeom>
                    <a:noFill/>
                  </pic:spPr>
                </pic:pic>
              </a:graphicData>
            </a:graphic>
          </wp:anchor>
        </w:drawing>
      </w: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7456" behindDoc="0" locked="0" layoutInCell="1" allowOverlap="1">
                <wp:simplePos x="0" y="0"/>
                <wp:positionH relativeFrom="column">
                  <wp:posOffset>3114675</wp:posOffset>
                </wp:positionH>
                <wp:positionV relativeFrom="paragraph">
                  <wp:posOffset>398780</wp:posOffset>
                </wp:positionV>
                <wp:extent cx="1637665" cy="736600"/>
                <wp:effectExtent l="0" t="0" r="8255" b="10160"/>
                <wp:wrapSquare wrapText="bothSides"/>
                <wp:docPr id="14" name="Text Box 116"/>
                <wp:cNvGraphicFramePr/>
                <a:graphic xmlns:a="http://schemas.openxmlformats.org/drawingml/2006/main">
                  <a:graphicData uri="http://schemas.microsoft.com/office/word/2010/wordprocessingShape">
                    <wps:wsp>
                      <wps:cNvSpPr txBox="1">
                        <a:spLocks noChangeArrowheads="1"/>
                      </wps:cNvSpPr>
                      <wps:spPr bwMode="auto">
                        <a:xfrm>
                          <a:off x="0" y="0"/>
                          <a:ext cx="1637665" cy="73660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3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3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wps:txbx>
                      <wps:bodyPr rot="0" vert="horz" wrap="square" lIns="91440" tIns="45720" rIns="91440" bIns="45720" anchor="t" anchorCtr="0" upright="1">
                        <a:noAutofit/>
                      </wps:bodyPr>
                    </wps:wsp>
                  </a:graphicData>
                </a:graphic>
              </wp:anchor>
            </w:drawing>
          </mc:Choice>
          <mc:Fallback>
            <w:pict>
              <v:shape id="Text Box 116" o:spid="_x0000_s1026" o:spt="202" type="#_x0000_t202" style="position:absolute;left:0pt;margin-left:245.25pt;margin-top:31.4pt;height:58pt;width:128.95pt;mso-wrap-distance-bottom:3.6pt;mso-wrap-distance-left:9pt;mso-wrap-distance-right:9pt;mso-wrap-distance-top:3.6pt;z-index:251667456;mso-width-relative:page;mso-height-relative:page;" fillcolor="#FFFFFF" filled="t" stroked="f" coordsize="21600,21600" o:gfxdata="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VhIAjYAAAA&#10;CgEAAA8AAAAAAAAAAQAgAAAAIgAAAGRycy9kb3ducmV2LnhtbFBLAQIUABQAAAAIAIdO4kCsmgf6&#10;HQIAAEA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3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3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v:textbox>
                <w10:wrap type="square"/>
              </v:shape>
            </w:pict>
          </mc:Fallback>
        </mc:AlternateContent>
      </w:r>
    </w:p>
    <w:p>
      <w:pPr>
        <w:ind w:firstLine="3823" w:firstLineChars="531"/>
        <w:rPr>
          <w:rFonts w:ascii="Times New Roman" w:hAnsi="Times New Roman" w:eastAsia="微软雅黑" w:cs="Times New Roman"/>
          <w:color w:val="416AAB"/>
          <w:sz w:val="72"/>
          <w:szCs w:val="72"/>
          <w:highlight w:val="none"/>
          <w:lang w:eastAsia="zh-CN"/>
        </w:rPr>
      </w:pPr>
      <w:bookmarkStart w:id="507" w:name="_Toc17792_WPSOffice_Level2"/>
      <w:bookmarkStart w:id="508" w:name="_Toc50_WPSOffice_Level2"/>
      <w:r>
        <w:rPr>
          <w:rFonts w:ascii="Times New Roman" w:hAnsi="Times New Roman" w:eastAsia="微软雅黑" w:cs="Times New Roman"/>
          <w:color w:val="416AAB"/>
          <w:sz w:val="72"/>
          <w:szCs w:val="72"/>
          <w:highlight w:val="none"/>
          <w:lang w:eastAsia="zh-CN"/>
        </w:rPr>
        <w:t>4</w:t>
      </w:r>
      <w:bookmarkEnd w:id="507"/>
      <w:bookmarkEnd w:id="508"/>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68480" behindDoc="0" locked="0" layoutInCell="1" allowOverlap="1">
            <wp:simplePos x="0" y="0"/>
            <wp:positionH relativeFrom="column">
              <wp:posOffset>1196975</wp:posOffset>
            </wp:positionH>
            <wp:positionV relativeFrom="paragraph">
              <wp:posOffset>378460</wp:posOffset>
            </wp:positionV>
            <wp:extent cx="647700" cy="669925"/>
            <wp:effectExtent l="0" t="0" r="7620" b="635"/>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647700" cy="66992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r>
        <w:rPr>
          <w:rFonts w:ascii="Times New Roman" w:hAnsi="Times New Roman" w:eastAsia="微软雅黑" w:cs="Times New Roman"/>
          <w:color w:val="416AAB"/>
          <w:sz w:val="72"/>
          <w:szCs w:val="72"/>
          <w:highlight w:val="none"/>
          <w:lang w:eastAsia="zh-CN"/>
        </w:rPr>
        <mc:AlternateContent>
          <mc:Choice Requires="wps">
            <w:drawing>
              <wp:anchor distT="45720" distB="45720" distL="114300" distR="114300" simplePos="0" relativeHeight="251669504" behindDoc="0" locked="0" layoutInCell="1" allowOverlap="1">
                <wp:simplePos x="0" y="0"/>
                <wp:positionH relativeFrom="column">
                  <wp:posOffset>3123565</wp:posOffset>
                </wp:positionH>
                <wp:positionV relativeFrom="paragraph">
                  <wp:posOffset>106045</wp:posOffset>
                </wp:positionV>
                <wp:extent cx="946150" cy="368300"/>
                <wp:effectExtent l="0" t="0" r="13970" b="12700"/>
                <wp:wrapSquare wrapText="bothSides"/>
                <wp:docPr id="16" name="Text Box 118"/>
                <wp:cNvGraphicFramePr/>
                <a:graphic xmlns:a="http://schemas.openxmlformats.org/drawingml/2006/main">
                  <a:graphicData uri="http://schemas.microsoft.com/office/word/2010/wordprocessingShape">
                    <wps:wsp>
                      <wps:cNvSpPr txBox="1">
                        <a:spLocks noChangeArrowheads="1"/>
                      </wps:cNvSpPr>
                      <wps:spPr bwMode="auto">
                        <a:xfrm>
                          <a:off x="0" y="0"/>
                          <a:ext cx="946150" cy="368300"/>
                        </a:xfrm>
                        <a:prstGeom prst="rect">
                          <a:avLst/>
                        </a:prstGeom>
                        <a:solidFill>
                          <a:srgbClr val="FFFFFF"/>
                        </a:solidFill>
                        <a:ln>
                          <a:noFill/>
                        </a:ln>
                      </wps:spPr>
                      <wps:txb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wps:txbx>
                      <wps:bodyPr rot="0" vert="horz" wrap="square" lIns="91440" tIns="45720" rIns="91440" bIns="45720" anchor="t" anchorCtr="0" upright="1">
                        <a:noAutofit/>
                      </wps:bodyPr>
                    </wps:wsp>
                  </a:graphicData>
                </a:graphic>
              </wp:anchor>
            </w:drawing>
          </mc:Choice>
          <mc:Fallback>
            <w:pict>
              <v:shape id="Text Box 118" o:spid="_x0000_s1026" o:spt="202" type="#_x0000_t202" style="position:absolute;left:0pt;margin-left:245.95pt;margin-top:8.35pt;height:29pt;width:74.5pt;mso-wrap-distance-bottom:3.6pt;mso-wrap-distance-left:9pt;mso-wrap-distance-right:9pt;mso-wrap-distance-top:3.6pt;z-index:251669504;mso-width-relative:page;mso-height-relative:page;" fillcolor="#FFFFFF" filled="t" stroked="f" coordsize="21600,21600" o:gfxdata="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HuFLoHWAAAACQEA&#10;AA8AAAAAAAAAAQAgAAAAIgAAAGRycy9kb3ducmV2LnhtbFBLAQIUABQAAAAIAIdO4kCMS75JHAIA&#10;AD8EAAAOAAAAAAAAAAEAIAAAACUBAABkcnMvZTJvRG9jLnhtbFBLBQYAAAAABgAGAFkBAACzBQAA&#10;AAA=&#10;">
                <v:fill on="t" focussize="0,0"/>
                <v:stroke on="f"/>
                <v:imagedata o:title=""/>
                <o:lock v:ext="edit" aspectratio="f"/>
                <v:textbo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v:textbox>
                <w10:wrap type="square"/>
              </v:shape>
            </w:pict>
          </mc:Fallback>
        </mc:AlternateContent>
      </w:r>
      <w:r>
        <w:rPr>
          <w:rFonts w:ascii="Times New Roman" w:hAnsi="Times New Roman" w:eastAsia="微软雅黑" w:cs="Times New Roman"/>
          <w:color w:val="416AAB"/>
          <w:sz w:val="72"/>
          <w:szCs w:val="72"/>
          <w:highlight w:val="none"/>
          <w:lang w:eastAsia="zh-CN"/>
        </w:rPr>
        <w:t>5</w:t>
      </w:r>
    </w:p>
    <w:p>
      <w:pPr>
        <w:rPr>
          <w:rFonts w:ascii="Times New Roman" w:hAnsi="Times New Roman" w:eastAsia="微软雅黑" w:cs="Times New Roman"/>
          <w:highlight w:val="none"/>
          <w:lang w:eastAsia="zh-CN"/>
        </w:rPr>
      </w:pPr>
    </w:p>
    <w:p>
      <w:pPr>
        <w:tabs>
          <w:tab w:val="left" w:pos="6770"/>
        </w:tabs>
        <w:spacing w:before="27"/>
        <w:rPr>
          <w:rFonts w:ascii="Times New Roman" w:hAnsi="Times New Roman" w:eastAsia="微软雅黑" w:cs="Times New Roman"/>
          <w:sz w:val="15"/>
          <w:highlight w:val="none"/>
          <w:lang w:eastAsia="zh-CN"/>
        </w:rPr>
      </w:pPr>
      <w:r>
        <w:rPr>
          <w:rFonts w:ascii="Times New Roman" w:hAnsi="Times New Roman" w:eastAsia="微软雅黑" w:cs="Times New Roman"/>
          <w:color w:val="0070C0"/>
          <w:highlight w:val="none"/>
          <w:lang w:eastAsia="zh-CN"/>
        </w:rPr>
        <w:br w:type="page"/>
      </w:r>
    </w:p>
    <w:p>
      <w:pPr>
        <w:pStyle w:val="24"/>
        <w:rPr>
          <w:highlight w:val="none"/>
        </w:rPr>
      </w:pPr>
      <w:bookmarkStart w:id="509" w:name="_Toc19584_WPSOffice_Level1"/>
      <w:bookmarkStart w:id="510" w:name="_Toc3493"/>
      <w:bookmarkStart w:id="511" w:name="_Toc22162_WPSOffice_Level1"/>
      <w:bookmarkStart w:id="512" w:name="_Toc22623"/>
      <w:bookmarkStart w:id="513" w:name="_Toc14611_WPSOffice_Level1"/>
      <w:bookmarkStart w:id="514" w:name="_Toc13275"/>
      <w:r>
        <w:rPr>
          <w:highlight w:val="none"/>
        </w:rPr>
        <w:t>参考文献</w:t>
      </w:r>
      <w:bookmarkEnd w:id="509"/>
      <w:bookmarkEnd w:id="510"/>
      <w:bookmarkEnd w:id="511"/>
    </w:p>
    <w:bookmarkEnd w:id="512"/>
    <w:bookmarkEnd w:id="513"/>
    <w:bookmarkEnd w:id="514"/>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Doi T, Fujiwara Y, et al. Phase I study of ipatasertib as a single agent and in combination with abiraterone plus prednisolone in Japanese patients with advanced solid tumors[J]. Cancer Chemother Pharmacol, 2019, 84(2):393-404.</w:t>
      </w:r>
    </w:p>
    <w:p>
      <w:pPr>
        <w:pStyle w:val="31"/>
        <w:numPr>
          <w:ilvl w:val="0"/>
          <w:numId w:val="34"/>
        </w:numPr>
        <w:ind w:firstLineChars="0"/>
        <w:rPr>
          <w:rFonts w:ascii="Times New Roman" w:hAnsi="Times New Roman"/>
          <w:sz w:val="15"/>
          <w:szCs w:val="15"/>
          <w:highlight w:val="none"/>
        </w:rPr>
      </w:pPr>
      <w:r>
        <w:rPr>
          <w:rFonts w:ascii="Times New Roman" w:hAnsi="Times New Roman"/>
          <w:sz w:val="15"/>
          <w:szCs w:val="15"/>
          <w:highlight w:val="none"/>
        </w:rPr>
        <w:t>Sung-Bae K, Rebecca D, et al. Ipatasertib plus paclitaxel versus placebo plus paclitaxel as first-line therapy for metastatic triple-negative breast cancer (LOTUS): a multicentre, randomised, double-blind, placebo-controlled, phase 2 trial[J]. et Oncol,</w:t>
      </w:r>
      <w:r>
        <w:rPr>
          <w:rFonts w:hint="eastAsia" w:ascii="Times New Roman" w:hAnsi="Times New Roman"/>
          <w:sz w:val="15"/>
          <w:szCs w:val="15"/>
          <w:highlight w:val="none"/>
        </w:rPr>
        <w:t xml:space="preserve"> </w:t>
      </w:r>
      <w:r>
        <w:rPr>
          <w:rFonts w:ascii="Times New Roman" w:hAnsi="Times New Roman"/>
          <w:sz w:val="15"/>
          <w:szCs w:val="15"/>
          <w:highlight w:val="none"/>
        </w:rPr>
        <w:t>2017, 18(10):1360-1372.</w:t>
      </w:r>
    </w:p>
    <w:p>
      <w:pPr>
        <w:widowControl/>
        <w:numPr>
          <w:ilvl w:val="0"/>
          <w:numId w:val="3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"https://www.ncbi.nlm.nih.gov/pubmed/?term=Sharma%20J%5BAuthor%5D&amp;cauthor=true&amp;cauthor_uid=27122312" </w:instrText>
      </w:r>
      <w:r>
        <w:rPr>
          <w:highlight w:val="none"/>
        </w:rPr>
        <w:fldChar w:fldCharType="separate"/>
      </w:r>
      <w:r>
        <w:rPr>
          <w:rFonts w:ascii="Times New Roman" w:hAnsi="Times New Roman"/>
          <w:sz w:val="15"/>
          <w:szCs w:val="15"/>
          <w:highlight w:val="none"/>
        </w:rPr>
        <w:t>Sharma 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"https://www.ncbi.nlm.nih.gov/pubmed/?term=Pareek%20V%5BAuthor%5D&amp;cauthor=true&amp;cauthor_uid=27122312" </w:instrText>
      </w:r>
      <w:r>
        <w:rPr>
          <w:highlight w:val="none"/>
        </w:rPr>
        <w:fldChar w:fldCharType="separate"/>
      </w:r>
      <w:r>
        <w:rPr>
          <w:rFonts w:ascii="Times New Roman" w:hAnsi="Times New Roman"/>
          <w:sz w:val="15"/>
          <w:szCs w:val="15"/>
          <w:highlight w:val="none"/>
        </w:rPr>
        <w:t>Pareek V</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"https://www.ncbi.nlm.nih.gov/pubmed/?term=Liu%20H%5BAuthor%5D&amp;cauthor=true&amp;cauthor_uid=27122312" </w:instrText>
      </w:r>
      <w:r>
        <w:rPr>
          <w:highlight w:val="none"/>
        </w:rPr>
        <w:fldChar w:fldCharType="separate"/>
      </w:r>
      <w:r>
        <w:rPr>
          <w:rFonts w:ascii="Times New Roman" w:hAnsi="Times New Roman"/>
          <w:sz w:val="15"/>
          <w:szCs w:val="15"/>
          <w:highlight w:val="none"/>
        </w:rPr>
        <w:t>Liu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"https://www.ncbi.nlm.nih.gov/pubmed/?term=Cheng%20H%5BAuthor%5D&amp;cauthor=true&amp;cauthor_uid=27122312" </w:instrText>
      </w:r>
      <w:r>
        <w:rPr>
          <w:highlight w:val="none"/>
        </w:rPr>
        <w:fldChar w:fldCharType="separate"/>
      </w:r>
      <w:r>
        <w:rPr>
          <w:rFonts w:ascii="Times New Roman" w:hAnsi="Times New Roman"/>
          <w:sz w:val="15"/>
          <w:szCs w:val="15"/>
          <w:highlight w:val="none"/>
        </w:rPr>
        <w:t>Cheng H</w:t>
      </w:r>
      <w:r>
        <w:rPr>
          <w:rFonts w:ascii="Times New Roman" w:hAnsi="Times New Roman"/>
          <w:sz w:val="15"/>
          <w:szCs w:val="15"/>
          <w:highlight w:val="none"/>
        </w:rPr>
        <w:fldChar w:fldCharType="end"/>
      </w:r>
      <w:r>
        <w:rPr>
          <w:rFonts w:ascii="Times New Roman" w:hAnsi="Times New Roman"/>
          <w:sz w:val="15"/>
          <w:szCs w:val="15"/>
          <w:highlight w:val="none"/>
        </w:rPr>
        <w:t>. Emerging treatment for ALK-positive lung cancer[J].</w:t>
      </w:r>
      <w:r>
        <w:rPr>
          <w:rFonts w:ascii="Times New Roman" w:hAnsi="Times New Roman" w:eastAsia="Times New Roman"/>
          <w:color w:val="000000"/>
          <w:sz w:val="17"/>
          <w:szCs w:val="17"/>
          <w:highlight w:val="none"/>
        </w:rPr>
        <w:t xml:space="preserve"> </w:t>
      </w:r>
      <w:r>
        <w:rPr>
          <w:highlight w:val="none"/>
        </w:rPr>
        <w:fldChar w:fldCharType="begin"/>
      </w:r>
      <w:r>
        <w:rPr>
          <w:highlight w:val="none"/>
        </w:rPr>
        <w:instrText xml:space="preserve"> HYPERLINK "https://www.ncbi.nlm.nih.gov/pubmed/27122312" \o "Expert opinion on emerging drugs." </w:instrText>
      </w:r>
      <w:r>
        <w:rPr>
          <w:highlight w:val="none"/>
        </w:rPr>
        <w:fldChar w:fldCharType="separate"/>
      </w:r>
      <w:r>
        <w:rPr>
          <w:rFonts w:ascii="Times New Roman" w:hAnsi="Times New Roman"/>
          <w:sz w:val="15"/>
          <w:szCs w:val="15"/>
          <w:highlight w:val="none"/>
        </w:rPr>
        <w:t>Expert Opin Emerg Drugs</w:t>
      </w:r>
      <w:r>
        <w:rPr>
          <w:rFonts w:ascii="Times New Roman" w:hAnsi="Times New Roman"/>
          <w:sz w:val="15"/>
          <w:szCs w:val="15"/>
          <w:highlight w:val="none"/>
        </w:rPr>
        <w:fldChar w:fldCharType="end"/>
      </w:r>
      <w:r>
        <w:rPr>
          <w:rFonts w:ascii="Times New Roman" w:hAnsi="Times New Roman"/>
          <w:sz w:val="15"/>
          <w:szCs w:val="15"/>
          <w:highlight w:val="none"/>
        </w:rPr>
        <w:t>, 2016, 21(2):147-55.</w:t>
      </w:r>
    </w:p>
    <w:p>
      <w:pPr>
        <w:widowControl/>
        <w:numPr>
          <w:ilvl w:val="0"/>
          <w:numId w:val="3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"https://www.ncbi.nlm.nih.gov/pubmed/?term=Lin%20JJ%5BAuthor%5D&amp;cauthor=true&amp;cauthor_uid=28122866" </w:instrText>
      </w:r>
      <w:r>
        <w:rPr>
          <w:highlight w:val="none"/>
        </w:rPr>
        <w:fldChar w:fldCharType="separate"/>
      </w:r>
      <w:r>
        <w:rPr>
          <w:rFonts w:ascii="Times New Roman" w:hAnsi="Times New Roman"/>
          <w:sz w:val="15"/>
          <w:szCs w:val="15"/>
          <w:highlight w:val="none"/>
        </w:rPr>
        <w:t>Lin JJ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"https://www.ncbi.nlm.nih.gov/pubmed/?term=Riely%20GJ%5BAuthor%5D&amp;cauthor=true&amp;cauthor_uid=28122866" </w:instrText>
      </w:r>
      <w:r>
        <w:rPr>
          <w:highlight w:val="none"/>
        </w:rPr>
        <w:fldChar w:fldCharType="separate"/>
      </w:r>
      <w:r>
        <w:rPr>
          <w:rFonts w:ascii="Times New Roman" w:hAnsi="Times New Roman"/>
          <w:sz w:val="15"/>
          <w:szCs w:val="15"/>
          <w:highlight w:val="none"/>
        </w:rPr>
        <w:t>Riely GJ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"https://www.ncbi.nlm.nih.gov/pubmed/?term=Shaw%20AT%5BAuthor%5D&amp;cauthor=true&amp;cauthor_uid=28122866" </w:instrText>
      </w:r>
      <w:r>
        <w:rPr>
          <w:highlight w:val="none"/>
        </w:rPr>
        <w:fldChar w:fldCharType="separate"/>
      </w:r>
      <w:r>
        <w:rPr>
          <w:rFonts w:ascii="Times New Roman" w:hAnsi="Times New Roman"/>
          <w:sz w:val="15"/>
          <w:szCs w:val="15"/>
          <w:highlight w:val="none"/>
        </w:rPr>
        <w:t>Shaw AT</w:t>
      </w:r>
      <w:r>
        <w:rPr>
          <w:rFonts w:ascii="Times New Roman" w:hAnsi="Times New Roman"/>
          <w:sz w:val="15"/>
          <w:szCs w:val="15"/>
          <w:highlight w:val="none"/>
        </w:rPr>
        <w:fldChar w:fldCharType="end"/>
      </w:r>
      <w:r>
        <w:rPr>
          <w:rFonts w:ascii="Times New Roman" w:hAnsi="Times New Roman"/>
          <w:sz w:val="15"/>
          <w:szCs w:val="15"/>
          <w:highlight w:val="none"/>
        </w:rPr>
        <w:t xml:space="preserve">. Targeting ALK: Precision Medicine Takes on Drug Resistance[J]. </w:t>
      </w:r>
      <w:r>
        <w:rPr>
          <w:highlight w:val="none"/>
        </w:rPr>
        <w:fldChar w:fldCharType="begin"/>
      </w:r>
      <w:r>
        <w:rPr>
          <w:highlight w:val="none"/>
        </w:rPr>
        <w:instrText xml:space="preserve"> HYPERLINK "https://www.ncbi.nlm.nih.gov/pubmed/28122866" \o "Cancer discovery." </w:instrText>
      </w:r>
      <w:r>
        <w:rPr>
          <w:highlight w:val="none"/>
        </w:rPr>
        <w:fldChar w:fldCharType="separate"/>
      </w:r>
      <w:r>
        <w:rPr>
          <w:rFonts w:ascii="Times New Roman" w:hAnsi="Times New Roman"/>
          <w:sz w:val="15"/>
          <w:szCs w:val="15"/>
          <w:highlight w:val="none"/>
        </w:rPr>
        <w:t>Cancer Discov,</w:t>
      </w:r>
      <w:r>
        <w:rPr>
          <w:rFonts w:ascii="Times New Roman" w:hAnsi="Times New Roman"/>
          <w:sz w:val="15"/>
          <w:szCs w:val="15"/>
          <w:highlight w:val="none"/>
        </w:rPr>
        <w:fldChar w:fldCharType="end"/>
      </w:r>
      <w:r>
        <w:rPr>
          <w:rFonts w:ascii="Times New Roman" w:hAnsi="Times New Roman"/>
          <w:sz w:val="15"/>
          <w:szCs w:val="15"/>
          <w:highlight w:val="none"/>
        </w:rPr>
        <w:t> 2017, 7(2):137-155. </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Katayama R, et al. Mechanisms of acquired crizotinib resistance in ALK-rearranged lung cancers[J]. Science translational medicine, 2012, 4(120): 120ra17-120ra17.</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Lipson, D, et al. Identification of new ALK and RET gene fusions from colorectal and lung cancer biopsies[J]. Nature medicine, 2012, 18(3): 382-384.</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Doebele R C, et al. Mechanisms of resistance to crizotinib in patients with ALK gene rearranged non-small cell lung cancer[J]. Clinical Cancer Research,2012, 18(5): 1472-1482.</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Kim D W, et al. Ceritinib in advanced anaplastic lymphoma kinase (ALK)-rearranged (ALK+) non-small cell lung cancer (NSCLC): Results of theASCEND-1 trial[C]. ASCO Annual Meeting Proceedings 2014, 32(15_suppl): 8003.</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Socinski M A, et al. A multicenter phase II study of ganetespib monotherapy in patients with genotypically defined advanced non-small cell lungcancer[J]. Clinical Cancer Research, 2013, 19(11): 3068-3077.</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Yunpeng Y, et al. Efficacy, safety, and biomarker analysis of ensartinib in crizotinib-resistant, ALK-positive non-small-cell lung cancer: a multicentre, phase 2 trial[J]. Lancet Respir Med, 2020, 8(1): 45-53.</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Hofman V, et al. Usefulness of immunocytochemistry for the detection of the BRAFV600Emutation in circulating tumor cells from metastatic melanoma patients[J]. Journal of Investigative Dermatology, 2013, 133(5): 1378-1381.</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Corcoran R B, et al. EGFR-mediated re-activation of MAPK signaling contributes to insensitivity of BRAFmutant colorectal cancers to RAF inhibition with vemurafenib[J]. Cancer Discovery, 2012, 2(3): 227-235.</w:t>
      </w:r>
    </w:p>
    <w:p>
      <w:pPr>
        <w:widowControl/>
        <w:numPr>
          <w:ilvl w:val="0"/>
          <w:numId w:val="34"/>
        </w:numPr>
        <w:spacing w:after="84" w:line="259" w:lineRule="auto"/>
        <w:rPr>
          <w:rFonts w:ascii="Times New Roman" w:hAnsi="Times New Roman"/>
          <w:sz w:val="15"/>
          <w:szCs w:val="15"/>
          <w:highlight w:val="none"/>
        </w:rPr>
      </w:pPr>
      <w:r>
        <w:rPr>
          <w:rFonts w:hint="eastAsia" w:ascii="Times New Roman" w:hAnsi="Times New Roman"/>
          <w:sz w:val="15"/>
          <w:szCs w:val="15"/>
          <w:highlight w:val="none"/>
        </w:rPr>
        <w:t>Georgina V Long, et al. Adjuvant Dabrafenib plus Trametinib in Stage III BRAF-Mutated Melanoma[J]. N Engl J Med, 2017, 377(19):1813-1823.</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Shi H, et al. Melanoma whole-exome sequencing identifies V600EB-RAF amplification-mediated acquired B-RAF inhibitor resistance[J]. Nature Communications, 2012, 3: 724.</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De Roock W, et al. Effects of KRAS, BRAF, NRAS, and PIK3CA mutations on the efficacy of cetuximab plus chemotherapy in chemotherapy-refractorymetastatic colorectal cancer: a retrospective consortium analysis[J]. The Lancet Oncology, 2010, 11(8):753-762.</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Flaherty K T, et al. Combined BRAF and MEK inhibition in melanoma with BRAF V600 mutations[J]. New England Journal of Medicine, 2012, 367(18):1694-1703.</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Gautschi O, et al. A patient with BRAF V600E lung adenocarcinoma responding to vemurafenib[J]. Journal of Thoracic Oncology, 2012, 7(10): e23-e24.</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Heidorn, S J, et al. Kinase-dead BRAF and oncogenic RAS cooperate to drive tumor progression through CRAF[J]. Cell, 2010, 140(2): 209-221.</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Joensuu H, et al. Vatalanib for metastatic gastrointestinal stromal tumour (GIST) resistant to imatinib: final results of a phase II study[J]. British Journal of Cancer, 2011, 104(11): 1686-1690.</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Kopetz S, et al. Phase II trial of infusional fluorouracil, irinotecan, and bevacizumab for metastatic colorectal cancer: efficacy and circulating angiogenic biomarkers associated with therapeutic resistance[J]. Journal of Clinical Oncology, 2010, 28(3):453-459.</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Prahallad A, et al. Unresponsiveness of colon cancer to BRAF (V600E) inhibition through feedback activation of EGFR[J]. Nature, 2012, 483(7388):100-103.</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Rubinstein J C, et al. Incidence of the V600K mutation among melanoma patients with BRAF mutations, and potential therapeutic response to thespecific BRAF inhibitor PLX4032[J]. Transl Med, 2010, 8(67): 10.</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Sen B, et al. Kinase-impaired BRAF mutations in lung cancer confer sensitivity to dasatinib[J]. Science Translational Medicine, 2012, 4(136): 136ra70-136ra70.</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Sosman J A, et al. Survival in BRAF V600-mutant advanced melanoma treated with vemurafenib[J]. New England Journal of Medicine, 2012, 366(8):707-714.</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Heinrich M C, et al. Primary and secondary kinase genotypes correlate with the biological and clinical activity of sunitinib in imatinib-resistant gastrointestinal stromal tumor[J]. Journal of Clinical Oncology, 2008, 26(33): 5352-5359.</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Kindler H L, Campbell N P, Wroblewski K, et al. Sorafenib (SOR) in patients (pts) with imatinib (IM) and sunitinib (SU)-resistant (RES) gastrointestinal stromal tumors (GIST): Final results of a University of Chicago Phase II Consortium trial[J]. Journal of Clinical Oncology, 2011, 29(15_suppl):10009.</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Demetri G D, et al. Efficacy and safety of regorafenib for advanced gastrointestinal stromal tumours after failure of imatinib and sunitinib (GRID): aninternational, multicentre, randomised, placebo-controlled, phase 3 trial[J]. The Lancet, 2013, 381(9863):295-302.</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Flaherty K T, et al. Improved survival with MEK inhibition in BRAF-mutated melanoma[J]. New England Journal of Medicine, 2012, 367(2): 107-114.</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Falchook G S, et al. Activity of the oral MEK inhibitor trametinib in patients with advanced melanoma: a phase 1 dose-escalation trial[J]. The Lancet Oncology, 2012, 13(8): 782-789.</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Long G V, et al. Combined BRAF and MEK inhibition versus BRAF inhibition alone in melanoma[J]. New England Journal of Medicine, 2014, 371(20):1877-1888.</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Peng S, et al. Dasatinib induces DNA damage and activates DNA repair pathways leading to senescence in non-small cell lung cancer cell lines with kinase-inactivating BRAF mutations[J].Oncotarget, 2016, 7(1):565-579. </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Hauschild A, et al. Dabrafenib in BRAF-mutatedmetastatic melanoma: a multicentre, open-label, phase 3 randomised controlled trial[J]. The Lancet, 2012, 380(9839):358-65.</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Ascierto P A, Schadendorf D, Berking C, et al. MEK162 for patients with advanced melanoma harbouring NRAS or Val600 BRAF mutations: a non-randomised, open-label phase 2 study[J]. The Lancet Oncology, 2013, 14(3):249-256.</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Yaeger R, Cercek A, O"Reilly E M, et al. Pilot trial of combined BRAF and EGFR inhibition in BRAF-mutant metastatic colorectal cancer patients[J]. Clinical Cancer Research, 2015, 21(6):1313-1320.</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Kopetz S, Desai J, Chan E, et al. Phase II pilot study of Vemurafenib in patients with metastatic BRAF-mutated colorectal cancer[J]. Journal of Clinical Oncology, 2015, 63:2497.</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Herr R, Halbach S, Heizmann M, et al. BRAF inhibition upregulates a variety of receptor tyrosine kinases and their downstream effector Gab2 in colorectal cancer cell lines[J]. Oncogene, 2018, 37(12):1576-1593.</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Di Nicolantonio F, Martini M, Molinari F, et al. Wild-type BRAF is required for response to Panitumumab or Cetuximab in metastatic colorectal cancer[J]. Journal of Clinical Oncology, 2008, 26(35):5705-5712.</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Tabernero J, Guren T K, Yaeger R, et al. Combination of encorafenib and cetuximab with or without alpelisib in patients with advanced BRAF-mutant (BRAFm) colorectal cancer: Phase 2 results[J]. Annals of Oncology, 2016, 27(suppl_2):ii127-ii128.</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Bubolz A M, Weissinger S E, Stenzinger A, et al. Potential clinical implications of BRAF mutations in histiocytic proliferations[J]. Oncotarget, 1949, 5(12):4060.</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Hyman D M, Diamond E L, Vibat C R T, et al. Prospective blinded study of BRAFV600E mutation detection in cell-free DNA of patients with systemic histiocytic disorders[J]. Cancer Discovery, 2015, 5(1):64-71.</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Ralf G, Daniil S, et al. Atezolizumab, Vemurafenib, and Cobimetinib as First-Line Treatment for Unresectable Advanced BRAF V600 Mutation-Positive Melanoma (IMspire150): Primary Analysis of the Randomised, Double-Blind, Placebo-Controlled, Phase 3 Trial[J]. Lancet, 2020, 395(10240):1835-1844.</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Scott K, Axel G, et al. Encorafenib, Binimetinib, and Cetuximab in BRAF V600E-Mutated Colorectal Cancer</w:t>
      </w:r>
      <w:r>
        <w:rPr>
          <w:rFonts w:hint="eastAsia" w:ascii="Times New Roman" w:hAnsi="Times New Roman"/>
          <w:sz w:val="15"/>
          <w:szCs w:val="15"/>
          <w:highlight w:val="none"/>
        </w:rPr>
        <w:t>[</w:t>
      </w:r>
      <w:r>
        <w:rPr>
          <w:rFonts w:ascii="Times New Roman" w:hAnsi="Times New Roman"/>
          <w:sz w:val="15"/>
          <w:szCs w:val="15"/>
          <w:highlight w:val="none"/>
        </w:rPr>
        <w:t>J]. N Engl J Med, 2019, 381(17):1632-1643.</w:t>
      </w:r>
    </w:p>
    <w:p>
      <w:pPr>
        <w:widowControl/>
        <w:numPr>
          <w:ilvl w:val="0"/>
          <w:numId w:val="34"/>
        </w:numPr>
        <w:spacing w:after="84" w:line="259" w:lineRule="auto"/>
        <w:rPr>
          <w:rFonts w:ascii="Times New Roman" w:hAnsi="Times New Roman"/>
          <w:color w:val="auto"/>
          <w:sz w:val="15"/>
          <w:szCs w:val="15"/>
          <w:highlight w:val="none"/>
        </w:rPr>
      </w:pPr>
      <w:r>
        <w:rPr>
          <w:rFonts w:hint="eastAsia" w:ascii="Times New Roman" w:hAnsi="Times New Roman"/>
          <w:sz w:val="15"/>
          <w:szCs w:val="15"/>
          <w:highlight w:val="none"/>
          <w:lang w:val="en-US" w:eastAsia="zh-CN"/>
        </w:rPr>
        <w:t>Ferrucci PF, Di Giacomo AM, Del Vecchio, et al. MKEYNOTE-022 part 3: a randomized, double-blind, phase 2 study of pembrolizumab, dabrafenib, and trametinib in BRAF-mutant melanoma.J Immunother Cancer. 2020 Dec;8(2):e001806.</w:t>
      </w:r>
    </w:p>
    <w:p>
      <w:pPr>
        <w:widowControl/>
        <w:numPr>
          <w:ilvl w:val="0"/>
          <w:numId w:val="34"/>
        </w:numPr>
        <w:spacing w:after="84" w:line="259" w:lineRule="auto"/>
        <w:rPr>
          <w:rFonts w:ascii="Times New Roman" w:hAnsi="Times New Roman"/>
          <w:color w:val="auto"/>
          <w:sz w:val="15"/>
          <w:szCs w:val="15"/>
          <w:highlight w:val="none"/>
        </w:rPr>
      </w:pPr>
      <w:r>
        <w:rPr>
          <w:rFonts w:hint="eastAsia" w:ascii="Times New Roman" w:hAnsi="Times New Roman" w:cs="Times New Roman"/>
          <w:color w:val="auto"/>
          <w:sz w:val="15"/>
          <w:szCs w:val="15"/>
          <w:highlight w:val="none"/>
          <w:lang w:val="en-US" w:eastAsia="zh-CN"/>
        </w:rPr>
        <w:t xml:space="preserve">Jacqulyne PR, Yasir YE, Zhi T, et al. </w:t>
      </w:r>
      <w:r>
        <w:rPr>
          <w:rFonts w:hint="default" w:ascii="Times New Roman" w:hAnsi="Times New Roman" w:cs="Times New Roman"/>
          <w:color w:val="auto"/>
          <w:sz w:val="15"/>
          <w:szCs w:val="15"/>
          <w:highlight w:val="none"/>
        </w:rPr>
        <w:t>Mechanisms and clinical activity of an EGFR and HER2 exon 20-selective kinase inhibitor in non-small cell lung</w:t>
      </w:r>
      <w:r>
        <w:rPr>
          <w:rFonts w:hint="eastAsia" w:ascii="Times New Roman" w:hAnsi="Times New Roman" w:cs="Times New Roman"/>
          <w:color w:val="auto"/>
          <w:sz w:val="15"/>
          <w:szCs w:val="15"/>
          <w:highlight w:val="none"/>
          <w:lang w:val="en-US" w:eastAsia="zh-CN"/>
        </w:rPr>
        <w:t xml:space="preserve"> </w:t>
      </w:r>
      <w:r>
        <w:rPr>
          <w:rFonts w:hint="default" w:ascii="Times New Roman" w:hAnsi="Times New Roman" w:cs="Times New Roman"/>
          <w:color w:val="auto"/>
          <w:sz w:val="15"/>
          <w:szCs w:val="15"/>
          <w:highlight w:val="none"/>
        </w:rPr>
        <w:t>cancer</w:t>
      </w:r>
      <w:r>
        <w:rPr>
          <w:rFonts w:ascii="Times New Roman" w:hAnsi="Times New Roman" w:cs="Times New Roman"/>
          <w:color w:val="auto"/>
          <w:sz w:val="15"/>
          <w:szCs w:val="15"/>
          <w:highlight w:val="none"/>
        </w:rPr>
        <w:t>[J].</w:t>
      </w:r>
      <w:r>
        <w:rPr>
          <w:rFonts w:hint="eastAsia" w:ascii="Times New Roman" w:hAnsi="Times New Roman" w:cs="Times New Roman"/>
          <w:color w:val="auto"/>
          <w:sz w:val="15"/>
          <w:szCs w:val="15"/>
          <w:highlight w:val="none"/>
          <w:lang w:val="en-US" w:eastAsia="zh-CN"/>
        </w:rPr>
        <w:t xml:space="preserve"> </w:t>
      </w:r>
      <w:r>
        <w:rPr>
          <w:rFonts w:hint="eastAsia" w:ascii="Times New Roman" w:hAnsi="Times New Roman" w:cs="Times New Roman"/>
          <w:color w:val="auto"/>
          <w:sz w:val="15"/>
          <w:szCs w:val="15"/>
          <w:highlight w:val="none"/>
        </w:rPr>
        <w:t>Nat Med</w:t>
      </w:r>
      <w:r>
        <w:rPr>
          <w:rFonts w:hint="eastAsia" w:ascii="Times New Roman" w:hAnsi="Times New Roman" w:cs="Times New Roman"/>
          <w:color w:val="auto"/>
          <w:sz w:val="15"/>
          <w:szCs w:val="15"/>
          <w:highlight w:val="none"/>
          <w:lang w:val="en-US" w:eastAsia="zh-CN"/>
        </w:rPr>
        <w:t>, 2018, 24(5)</w:t>
      </w:r>
      <w:r>
        <w:rPr>
          <w:rFonts w:ascii="Times New Roman" w:hAnsi="Times New Roman" w:cs="Times New Roman"/>
          <w:color w:val="auto"/>
          <w:sz w:val="15"/>
          <w:szCs w:val="15"/>
          <w:highlight w:val="none"/>
        </w:rPr>
        <w:t xml:space="preserve">, </w:t>
      </w:r>
      <w:r>
        <w:rPr>
          <w:rFonts w:hint="eastAsia" w:ascii="Times New Roman" w:hAnsi="Times New Roman" w:cs="Times New Roman"/>
          <w:color w:val="auto"/>
          <w:sz w:val="15"/>
          <w:szCs w:val="15"/>
          <w:highlight w:val="none"/>
          <w:lang w:val="en-US" w:eastAsia="zh-CN"/>
        </w:rPr>
        <w:t>638-646.</w:t>
      </w:r>
    </w:p>
    <w:p>
      <w:pPr>
        <w:widowControl/>
        <w:numPr>
          <w:ilvl w:val="0"/>
          <w:numId w:val="34"/>
        </w:numPr>
        <w:spacing w:after="84" w:line="259" w:lineRule="auto"/>
        <w:rPr>
          <w:rFonts w:ascii="Times New Roman" w:hAnsi="Times New Roman"/>
          <w:color w:val="auto"/>
          <w:sz w:val="15"/>
          <w:szCs w:val="15"/>
          <w:highlight w:val="none"/>
        </w:rPr>
      </w:pPr>
      <w:r>
        <w:rPr>
          <w:color w:val="auto"/>
          <w:highlight w:val="none"/>
        </w:rPr>
        <w:fldChar w:fldCharType="begin"/>
      </w:r>
      <w:r>
        <w:rPr>
          <w:color w:val="auto"/>
          <w:highlight w:val="none"/>
        </w:rPr>
        <w:instrText xml:space="preserve"> HYPERLINK "https://www.ncbi.nlm.nih.gov/pubmed/?term=Vyse%20S%5BAuthor%5D&amp;cauthor=true&amp;cauthor_uid=30854234" </w:instrText>
      </w:r>
      <w:r>
        <w:rPr>
          <w:color w:val="auto"/>
          <w:highlight w:val="none"/>
        </w:rPr>
        <w:fldChar w:fldCharType="separate"/>
      </w:r>
      <w:r>
        <w:rPr>
          <w:rFonts w:ascii="Times New Roman" w:hAnsi="Times New Roman"/>
          <w:color w:val="auto"/>
          <w:sz w:val="15"/>
          <w:szCs w:val="15"/>
          <w:highlight w:val="none"/>
        </w:rPr>
        <w:t>Vyse S</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w:t>
      </w:r>
      <w:r>
        <w:rPr>
          <w:color w:val="auto"/>
          <w:highlight w:val="none"/>
        </w:rPr>
        <w:fldChar w:fldCharType="begin"/>
      </w:r>
      <w:r>
        <w:rPr>
          <w:color w:val="auto"/>
          <w:highlight w:val="none"/>
        </w:rPr>
        <w:instrText xml:space="preserve"> HYPERLINK "https://www.ncbi.nlm.nih.gov/pubmed/?term=Huang%20PH%5BAuthor%5D&amp;cauthor=true&amp;cauthor_uid=30854234" </w:instrText>
      </w:r>
      <w:r>
        <w:rPr>
          <w:color w:val="auto"/>
          <w:highlight w:val="none"/>
        </w:rPr>
        <w:fldChar w:fldCharType="separate"/>
      </w:r>
      <w:r>
        <w:rPr>
          <w:rFonts w:ascii="Times New Roman" w:hAnsi="Times New Roman"/>
          <w:color w:val="auto"/>
          <w:sz w:val="15"/>
          <w:szCs w:val="15"/>
          <w:highlight w:val="none"/>
        </w:rPr>
        <w:t>Huang PH</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xml:space="preserve">. Targeting EGFR exon 20 insertion mutations in non-small cell lung cancer[J]. </w:t>
      </w:r>
      <w:r>
        <w:rPr>
          <w:color w:val="auto"/>
          <w:highlight w:val="none"/>
        </w:rPr>
        <w:fldChar w:fldCharType="begin"/>
      </w:r>
      <w:r>
        <w:rPr>
          <w:color w:val="auto"/>
          <w:highlight w:val="none"/>
        </w:rPr>
        <w:instrText xml:space="preserve"> HYPERLINK "https://www.ncbi.nlm.nih.gov/pubmed/30854234" \o "Signal transduction and targeted therapy." </w:instrText>
      </w:r>
      <w:r>
        <w:rPr>
          <w:color w:val="auto"/>
          <w:highlight w:val="none"/>
        </w:rPr>
        <w:fldChar w:fldCharType="separate"/>
      </w:r>
      <w:r>
        <w:rPr>
          <w:rFonts w:ascii="Times New Roman" w:hAnsi="Times New Roman"/>
          <w:color w:val="auto"/>
          <w:sz w:val="15"/>
          <w:szCs w:val="15"/>
          <w:highlight w:val="none"/>
        </w:rPr>
        <w:t>Signal Transduct Target Ther.</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2019, 4:5.</w:t>
      </w:r>
    </w:p>
    <w:p>
      <w:pPr>
        <w:widowControl/>
        <w:numPr>
          <w:ilvl w:val="0"/>
          <w:numId w:val="34"/>
        </w:numPr>
        <w:spacing w:after="84" w:line="259" w:lineRule="auto"/>
        <w:rPr>
          <w:rFonts w:ascii="Times New Roman" w:hAnsi="Times New Roman"/>
          <w:color w:val="auto"/>
          <w:sz w:val="15"/>
          <w:szCs w:val="15"/>
          <w:highlight w:val="none"/>
        </w:rPr>
      </w:pPr>
      <w:r>
        <w:rPr>
          <w:color w:val="auto"/>
          <w:highlight w:val="none"/>
        </w:rPr>
        <w:fldChar w:fldCharType="begin"/>
      </w:r>
      <w:r>
        <w:rPr>
          <w:color w:val="auto"/>
          <w:highlight w:val="none"/>
        </w:rPr>
        <w:instrText xml:space="preserve"> HYPERLINK "https://www.ncbi.nlm.nih.gov/pubmed/?term=Yasuda%20H%5BAuthor%5D&amp;cauthor=true&amp;cauthor_uid=24353160" </w:instrText>
      </w:r>
      <w:r>
        <w:rPr>
          <w:color w:val="auto"/>
          <w:highlight w:val="none"/>
        </w:rPr>
        <w:fldChar w:fldCharType="separate"/>
      </w:r>
      <w:r>
        <w:rPr>
          <w:rFonts w:ascii="Times New Roman" w:hAnsi="Times New Roman"/>
          <w:color w:val="auto"/>
          <w:sz w:val="15"/>
          <w:szCs w:val="15"/>
          <w:highlight w:val="none"/>
        </w:rPr>
        <w:t>Yasuda H</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w:t>
      </w:r>
      <w:r>
        <w:rPr>
          <w:color w:val="auto"/>
          <w:highlight w:val="none"/>
        </w:rPr>
        <w:fldChar w:fldCharType="begin"/>
      </w:r>
      <w:r>
        <w:rPr>
          <w:color w:val="auto"/>
          <w:highlight w:val="none"/>
        </w:rPr>
        <w:instrText xml:space="preserve"> HYPERLINK "https://www.ncbi.nlm.nih.gov/pubmed/?term=Park%20E%5BAuthor%5D&amp;cauthor=true&amp;cauthor_uid=24353160" </w:instrText>
      </w:r>
      <w:r>
        <w:rPr>
          <w:color w:val="auto"/>
          <w:highlight w:val="none"/>
        </w:rPr>
        <w:fldChar w:fldCharType="separate"/>
      </w:r>
      <w:r>
        <w:rPr>
          <w:rFonts w:ascii="Times New Roman" w:hAnsi="Times New Roman"/>
          <w:color w:val="auto"/>
          <w:sz w:val="15"/>
          <w:szCs w:val="15"/>
          <w:highlight w:val="none"/>
        </w:rPr>
        <w:t>Park E</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xml:space="preserve">, et al. Structural, biochemical, and clinical characterization of epidermal growth factor receptor (EGFR) exon 20 insertion mutations in lung cancer[J]. </w:t>
      </w:r>
      <w:r>
        <w:rPr>
          <w:color w:val="auto"/>
          <w:highlight w:val="none"/>
        </w:rPr>
        <w:fldChar w:fldCharType="begin"/>
      </w:r>
      <w:r>
        <w:rPr>
          <w:color w:val="auto"/>
          <w:highlight w:val="none"/>
        </w:rPr>
        <w:instrText xml:space="preserve"> HYPERLINK "https://www.ncbi.nlm.nih.gov/pubmed/?term=24353160" \o "Science translational medicine." </w:instrText>
      </w:r>
      <w:r>
        <w:rPr>
          <w:color w:val="auto"/>
          <w:highlight w:val="none"/>
        </w:rPr>
        <w:fldChar w:fldCharType="separate"/>
      </w:r>
      <w:r>
        <w:rPr>
          <w:rFonts w:ascii="Times New Roman" w:hAnsi="Times New Roman"/>
          <w:color w:val="auto"/>
          <w:sz w:val="15"/>
          <w:szCs w:val="15"/>
          <w:highlight w:val="none"/>
        </w:rPr>
        <w:t>Sci Transl Med,</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2013, 5(216):216ra177</w:t>
      </w:r>
    </w:p>
    <w:p>
      <w:pPr>
        <w:widowControl/>
        <w:numPr>
          <w:ilvl w:val="0"/>
          <w:numId w:val="34"/>
        </w:numPr>
        <w:spacing w:after="84" w:line="259" w:lineRule="auto"/>
        <w:rPr>
          <w:rFonts w:ascii="Times New Roman" w:hAnsi="Times New Roman"/>
          <w:color w:val="auto"/>
          <w:sz w:val="15"/>
          <w:szCs w:val="15"/>
          <w:highlight w:val="none"/>
        </w:rPr>
      </w:pPr>
      <w:r>
        <w:rPr>
          <w:color w:val="auto"/>
          <w:highlight w:val="none"/>
        </w:rPr>
        <w:fldChar w:fldCharType="begin"/>
      </w:r>
      <w:r>
        <w:rPr>
          <w:color w:val="auto"/>
          <w:highlight w:val="none"/>
        </w:rPr>
        <w:instrText xml:space="preserve"> HYPERLINK "https://www.ncbi.nlm.nih.gov/pubmed/?term=Kobayashi%20S%5BAuthor%5D&amp;cauthor=true&amp;cauthor_uid=23242437" </w:instrText>
      </w:r>
      <w:r>
        <w:rPr>
          <w:color w:val="auto"/>
          <w:highlight w:val="none"/>
        </w:rPr>
        <w:fldChar w:fldCharType="separate"/>
      </w:r>
      <w:r>
        <w:rPr>
          <w:rFonts w:ascii="Times New Roman" w:hAnsi="Times New Roman"/>
          <w:color w:val="auto"/>
          <w:sz w:val="15"/>
          <w:szCs w:val="15"/>
          <w:highlight w:val="none"/>
        </w:rPr>
        <w:t>Kobayashi S</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w:t>
      </w:r>
      <w:r>
        <w:rPr>
          <w:color w:val="auto"/>
          <w:highlight w:val="none"/>
        </w:rPr>
        <w:fldChar w:fldCharType="begin"/>
      </w:r>
      <w:r>
        <w:rPr>
          <w:color w:val="auto"/>
          <w:highlight w:val="none"/>
        </w:rPr>
        <w:instrText xml:space="preserve"> HYPERLINK "https://www.ncbi.nlm.nih.gov/pubmed/?term=Canepa%20HM%5BAuthor%5D&amp;cauthor=true&amp;cauthor_uid=23242437" </w:instrText>
      </w:r>
      <w:r>
        <w:rPr>
          <w:color w:val="auto"/>
          <w:highlight w:val="none"/>
        </w:rPr>
        <w:fldChar w:fldCharType="separate"/>
      </w:r>
      <w:r>
        <w:rPr>
          <w:rFonts w:ascii="Times New Roman" w:hAnsi="Times New Roman"/>
          <w:color w:val="auto"/>
          <w:sz w:val="15"/>
          <w:szCs w:val="15"/>
          <w:highlight w:val="none"/>
        </w:rPr>
        <w:t>Canepa HM</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xml:space="preserve">, et al. Compound EGFR mutations and response to EGFR tyrosine kinase inhibitors[J]. </w:t>
      </w:r>
      <w:r>
        <w:rPr>
          <w:color w:val="auto"/>
          <w:highlight w:val="none"/>
        </w:rPr>
        <w:fldChar w:fldCharType="begin"/>
      </w:r>
      <w:r>
        <w:rPr>
          <w:color w:val="auto"/>
          <w:highlight w:val="none"/>
        </w:rPr>
        <w:instrText xml:space="preserve"> HYPERLINK "https://www.ncbi.nlm.nih.gov/pubmed/?term=23242437" \o "Journal of thoracic oncology : official publication of the International Association for the Study of Lung Cancer." </w:instrText>
      </w:r>
      <w:r>
        <w:rPr>
          <w:color w:val="auto"/>
          <w:highlight w:val="none"/>
        </w:rPr>
        <w:fldChar w:fldCharType="separate"/>
      </w:r>
      <w:r>
        <w:rPr>
          <w:rFonts w:ascii="Times New Roman" w:hAnsi="Times New Roman"/>
          <w:color w:val="auto"/>
          <w:sz w:val="15"/>
          <w:szCs w:val="15"/>
          <w:highlight w:val="none"/>
        </w:rPr>
        <w:t>J Thorac Oncol,</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2013, 8(1):45-51.</w:t>
      </w:r>
    </w:p>
    <w:p>
      <w:pPr>
        <w:widowControl/>
        <w:numPr>
          <w:ilvl w:val="0"/>
          <w:numId w:val="34"/>
        </w:numPr>
        <w:spacing w:after="84" w:line="259" w:lineRule="auto"/>
        <w:rPr>
          <w:rFonts w:ascii="Times New Roman" w:hAnsi="Times New Roman"/>
          <w:color w:val="auto"/>
          <w:sz w:val="15"/>
          <w:szCs w:val="15"/>
          <w:highlight w:val="none"/>
        </w:rPr>
      </w:pPr>
      <w:r>
        <w:rPr>
          <w:color w:val="auto"/>
          <w:highlight w:val="none"/>
        </w:rPr>
        <w:fldChar w:fldCharType="begin"/>
      </w:r>
      <w:r>
        <w:rPr>
          <w:color w:val="auto"/>
          <w:highlight w:val="none"/>
        </w:rPr>
        <w:instrText xml:space="preserve"> HYPERLINK "https://www.ncbi.nlm.nih.gov/pubmed/?term=Choo%20JR%5BAuthor%5D&amp;cauthor=true&amp;cauthor_uid=29423594" </w:instrText>
      </w:r>
      <w:r>
        <w:rPr>
          <w:color w:val="auto"/>
          <w:highlight w:val="none"/>
        </w:rPr>
        <w:fldChar w:fldCharType="separate"/>
      </w:r>
      <w:r>
        <w:rPr>
          <w:rFonts w:ascii="Times New Roman" w:hAnsi="Times New Roman"/>
          <w:color w:val="auto"/>
          <w:sz w:val="15"/>
          <w:szCs w:val="15"/>
          <w:highlight w:val="none"/>
        </w:rPr>
        <w:t>Choo JR</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w:t>
      </w:r>
      <w:r>
        <w:rPr>
          <w:color w:val="auto"/>
          <w:highlight w:val="none"/>
        </w:rPr>
        <w:fldChar w:fldCharType="begin"/>
      </w:r>
      <w:r>
        <w:rPr>
          <w:color w:val="auto"/>
          <w:highlight w:val="none"/>
        </w:rPr>
        <w:instrText xml:space="preserve"> HYPERLINK "https://www.ncbi.nlm.nih.gov/pubmed/?term=Tan%20CS%5BAuthor%5D&amp;cauthor=true&amp;cauthor_uid=29423594" </w:instrText>
      </w:r>
      <w:r>
        <w:rPr>
          <w:color w:val="auto"/>
          <w:highlight w:val="none"/>
        </w:rPr>
        <w:fldChar w:fldCharType="separate"/>
      </w:r>
      <w:r>
        <w:rPr>
          <w:rFonts w:ascii="Times New Roman" w:hAnsi="Times New Roman"/>
          <w:color w:val="auto"/>
          <w:sz w:val="15"/>
          <w:szCs w:val="15"/>
          <w:highlight w:val="none"/>
        </w:rPr>
        <w:t>Tan CS</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w:t>
      </w:r>
      <w:r>
        <w:rPr>
          <w:color w:val="auto"/>
          <w:highlight w:val="none"/>
        </w:rPr>
        <w:fldChar w:fldCharType="begin"/>
      </w:r>
      <w:r>
        <w:rPr>
          <w:color w:val="auto"/>
          <w:highlight w:val="none"/>
        </w:rPr>
        <w:instrText xml:space="preserve"> HYPERLINK "https://www.ncbi.nlm.nih.gov/pubmed/?term=Soo%20RA%5BAuthor%5D&amp;cauthor=true&amp;cauthor_uid=29423594" </w:instrText>
      </w:r>
      <w:r>
        <w:rPr>
          <w:color w:val="auto"/>
          <w:highlight w:val="none"/>
        </w:rPr>
        <w:fldChar w:fldCharType="separate"/>
      </w:r>
      <w:r>
        <w:rPr>
          <w:rFonts w:ascii="Times New Roman" w:hAnsi="Times New Roman"/>
          <w:color w:val="auto"/>
          <w:sz w:val="15"/>
          <w:szCs w:val="15"/>
          <w:highlight w:val="none"/>
        </w:rPr>
        <w:t>Soo RA</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xml:space="preserve">. Treatment of EGFR T790M-Positive Non-Small Cell Lung Cancer[J]. </w:t>
      </w:r>
      <w:r>
        <w:rPr>
          <w:color w:val="auto"/>
          <w:highlight w:val="none"/>
        </w:rPr>
        <w:fldChar w:fldCharType="begin"/>
      </w:r>
      <w:r>
        <w:rPr>
          <w:color w:val="auto"/>
          <w:highlight w:val="none"/>
        </w:rPr>
        <w:instrText xml:space="preserve"> HYPERLINK "https://www.ncbi.nlm.nih.gov/pubmed/?term=29423594" \o "Targeted oncology." </w:instrText>
      </w:r>
      <w:r>
        <w:rPr>
          <w:color w:val="auto"/>
          <w:highlight w:val="none"/>
        </w:rPr>
        <w:fldChar w:fldCharType="separate"/>
      </w:r>
      <w:r>
        <w:rPr>
          <w:rFonts w:ascii="Times New Roman" w:hAnsi="Times New Roman"/>
          <w:color w:val="auto"/>
          <w:sz w:val="15"/>
          <w:szCs w:val="15"/>
          <w:highlight w:val="none"/>
        </w:rPr>
        <w:t>Target Oncol,</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2018, 13(2):141-156.</w:t>
      </w:r>
    </w:p>
    <w:p>
      <w:pPr>
        <w:widowControl/>
        <w:numPr>
          <w:ilvl w:val="0"/>
          <w:numId w:val="34"/>
        </w:numPr>
        <w:spacing w:after="84" w:line="259" w:lineRule="auto"/>
        <w:rPr>
          <w:rFonts w:ascii="Times New Roman" w:hAnsi="Times New Roman"/>
          <w:color w:val="auto"/>
          <w:sz w:val="15"/>
          <w:szCs w:val="15"/>
          <w:highlight w:val="none"/>
        </w:rPr>
      </w:pPr>
      <w:r>
        <w:rPr>
          <w:color w:val="auto"/>
          <w:highlight w:val="none"/>
        </w:rPr>
        <w:fldChar w:fldCharType="begin"/>
      </w:r>
      <w:r>
        <w:rPr>
          <w:color w:val="auto"/>
          <w:highlight w:val="none"/>
        </w:rPr>
        <w:instrText xml:space="preserve"> HYPERLINK "https://www.ncbi.nlm.nih.gov/pubmed/?term=Tan%20CS%5BAuthor%5D&amp;cauthor=true&amp;cauthor_uid=29455654" </w:instrText>
      </w:r>
      <w:r>
        <w:rPr>
          <w:color w:val="auto"/>
          <w:highlight w:val="none"/>
        </w:rPr>
        <w:fldChar w:fldCharType="separate"/>
      </w:r>
      <w:r>
        <w:rPr>
          <w:rFonts w:ascii="Times New Roman" w:hAnsi="Times New Roman"/>
          <w:color w:val="auto"/>
          <w:sz w:val="15"/>
          <w:szCs w:val="15"/>
          <w:highlight w:val="none"/>
        </w:rPr>
        <w:t>Tan CS</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w:t>
      </w:r>
      <w:r>
        <w:rPr>
          <w:color w:val="auto"/>
          <w:highlight w:val="none"/>
        </w:rPr>
        <w:fldChar w:fldCharType="begin"/>
      </w:r>
      <w:r>
        <w:rPr>
          <w:color w:val="auto"/>
          <w:highlight w:val="none"/>
        </w:rPr>
        <w:instrText xml:space="preserve"> HYPERLINK "https://www.ncbi.nlm.nih.gov/pubmed/?term=Kumarakulasinghe%20NB%5BAuthor%5D&amp;cauthor=true&amp;cauthor_uid=29455654" </w:instrText>
      </w:r>
      <w:r>
        <w:rPr>
          <w:color w:val="auto"/>
          <w:highlight w:val="none"/>
        </w:rPr>
        <w:fldChar w:fldCharType="separate"/>
      </w:r>
      <w:r>
        <w:rPr>
          <w:rFonts w:ascii="Times New Roman" w:hAnsi="Times New Roman"/>
          <w:color w:val="auto"/>
          <w:sz w:val="15"/>
          <w:szCs w:val="15"/>
          <w:highlight w:val="none"/>
        </w:rPr>
        <w:t>Kumarakulasinghe NB</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xml:space="preserve">, et al. Third generation EGFR TKIs: current data and future directions[J]. </w:t>
      </w:r>
      <w:r>
        <w:rPr>
          <w:color w:val="auto"/>
          <w:highlight w:val="none"/>
        </w:rPr>
        <w:fldChar w:fldCharType="begin"/>
      </w:r>
      <w:r>
        <w:rPr>
          <w:color w:val="auto"/>
          <w:highlight w:val="none"/>
        </w:rPr>
        <w:instrText xml:space="preserve"> HYPERLINK "https://www.ncbi.nlm.nih.gov/pubmed/?term=29455654" \o "Molecular cancer." </w:instrText>
      </w:r>
      <w:r>
        <w:rPr>
          <w:color w:val="auto"/>
          <w:highlight w:val="none"/>
        </w:rPr>
        <w:fldChar w:fldCharType="separate"/>
      </w:r>
      <w:r>
        <w:rPr>
          <w:rFonts w:ascii="Times New Roman" w:hAnsi="Times New Roman"/>
          <w:color w:val="auto"/>
          <w:sz w:val="15"/>
          <w:szCs w:val="15"/>
          <w:highlight w:val="none"/>
        </w:rPr>
        <w:t>Mol Cancer,</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2018, 19;17(1):29.</w:t>
      </w:r>
    </w:p>
    <w:p>
      <w:pPr>
        <w:widowControl/>
        <w:numPr>
          <w:ilvl w:val="0"/>
          <w:numId w:val="34"/>
        </w:numPr>
        <w:spacing w:after="84" w:line="259" w:lineRule="auto"/>
        <w:rPr>
          <w:rFonts w:ascii="Times New Roman" w:hAnsi="Times New Roman"/>
          <w:color w:val="auto"/>
          <w:sz w:val="15"/>
          <w:szCs w:val="15"/>
          <w:highlight w:val="none"/>
        </w:rPr>
      </w:pPr>
      <w:r>
        <w:rPr>
          <w:color w:val="auto"/>
          <w:highlight w:val="none"/>
        </w:rPr>
        <w:fldChar w:fldCharType="begin"/>
      </w:r>
      <w:r>
        <w:rPr>
          <w:color w:val="auto"/>
          <w:highlight w:val="none"/>
        </w:rPr>
        <w:instrText xml:space="preserve"> HYPERLINK "https://www.ncbi.nlm.nih.gov/pubmed/?term=Soria%20JC%5BAuthor%5D&amp;cauthor=true&amp;cauthor_uid=29151359" </w:instrText>
      </w:r>
      <w:r>
        <w:rPr>
          <w:color w:val="auto"/>
          <w:highlight w:val="none"/>
        </w:rPr>
        <w:fldChar w:fldCharType="separate"/>
      </w:r>
      <w:r>
        <w:rPr>
          <w:rFonts w:ascii="Times New Roman" w:hAnsi="Times New Roman"/>
          <w:color w:val="auto"/>
          <w:sz w:val="15"/>
          <w:szCs w:val="15"/>
          <w:highlight w:val="none"/>
        </w:rPr>
        <w:t>Soria JC</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w:t>
      </w:r>
      <w:r>
        <w:rPr>
          <w:color w:val="auto"/>
          <w:highlight w:val="none"/>
        </w:rPr>
        <w:fldChar w:fldCharType="begin"/>
      </w:r>
      <w:r>
        <w:rPr>
          <w:color w:val="auto"/>
          <w:highlight w:val="none"/>
        </w:rPr>
        <w:instrText xml:space="preserve"> HYPERLINK "https://www.ncbi.nlm.nih.gov/pubmed/?term=Ohe%20Y%5BAuthor%5D&amp;cauthor=true&amp;cauthor_uid=29151359" </w:instrText>
      </w:r>
      <w:r>
        <w:rPr>
          <w:color w:val="auto"/>
          <w:highlight w:val="none"/>
        </w:rPr>
        <w:fldChar w:fldCharType="separate"/>
      </w:r>
      <w:r>
        <w:rPr>
          <w:rFonts w:ascii="Times New Roman" w:hAnsi="Times New Roman"/>
          <w:color w:val="auto"/>
          <w:sz w:val="15"/>
          <w:szCs w:val="15"/>
          <w:highlight w:val="none"/>
        </w:rPr>
        <w:t>Ohe Y</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xml:space="preserve">, et al. Osimertinib in Untreated EGFR-Mutated Advanced Non-Small-Cell Lung Cancer[J]. </w:t>
      </w:r>
      <w:r>
        <w:rPr>
          <w:color w:val="auto"/>
          <w:highlight w:val="none"/>
        </w:rPr>
        <w:fldChar w:fldCharType="begin"/>
      </w:r>
      <w:r>
        <w:rPr>
          <w:color w:val="auto"/>
          <w:highlight w:val="none"/>
        </w:rPr>
        <w:instrText xml:space="preserve"> HYPERLINK "https://www.ncbi.nlm.nih.gov/pubmed/?term=29151359%EF%BC%9B" \o "The New England journal of medicine." </w:instrText>
      </w:r>
      <w:r>
        <w:rPr>
          <w:color w:val="auto"/>
          <w:highlight w:val="none"/>
        </w:rPr>
        <w:fldChar w:fldCharType="separate"/>
      </w:r>
      <w:r>
        <w:rPr>
          <w:rFonts w:ascii="Times New Roman" w:hAnsi="Times New Roman"/>
          <w:color w:val="auto"/>
          <w:sz w:val="15"/>
          <w:szCs w:val="15"/>
          <w:highlight w:val="none"/>
        </w:rPr>
        <w:t>N Engl J Med,</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2018, 378(2):113-125.</w:t>
      </w:r>
    </w:p>
    <w:p>
      <w:pPr>
        <w:widowControl/>
        <w:numPr>
          <w:ilvl w:val="0"/>
          <w:numId w:val="34"/>
        </w:numPr>
        <w:spacing w:after="84" w:line="259" w:lineRule="auto"/>
        <w:rPr>
          <w:rFonts w:ascii="Times New Roman" w:hAnsi="Times New Roman"/>
          <w:color w:val="auto"/>
          <w:sz w:val="15"/>
          <w:szCs w:val="15"/>
          <w:highlight w:val="none"/>
        </w:rPr>
      </w:pPr>
      <w:r>
        <w:rPr>
          <w:color w:val="auto"/>
          <w:highlight w:val="none"/>
        </w:rPr>
        <w:fldChar w:fldCharType="begin"/>
      </w:r>
      <w:r>
        <w:rPr>
          <w:color w:val="auto"/>
          <w:highlight w:val="none"/>
        </w:rPr>
        <w:instrText xml:space="preserve"> HYPERLINK "https://www.ncbi.nlm.nih.gov/pubmed/?term=Gu%C3%A9rin%20O%5BAuthor%5D&amp;cauthor=true&amp;cauthor_uid=22608542" </w:instrText>
      </w:r>
      <w:r>
        <w:rPr>
          <w:color w:val="auto"/>
          <w:highlight w:val="none"/>
        </w:rPr>
        <w:fldChar w:fldCharType="separate"/>
      </w:r>
      <w:r>
        <w:rPr>
          <w:rFonts w:ascii="Times New Roman" w:hAnsi="Times New Roman"/>
          <w:color w:val="auto"/>
          <w:sz w:val="15"/>
          <w:szCs w:val="15"/>
          <w:highlight w:val="none"/>
        </w:rPr>
        <w:t>Guérin O</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w:t>
      </w:r>
      <w:r>
        <w:rPr>
          <w:color w:val="auto"/>
          <w:highlight w:val="none"/>
        </w:rPr>
        <w:fldChar w:fldCharType="begin"/>
      </w:r>
      <w:r>
        <w:rPr>
          <w:color w:val="auto"/>
          <w:highlight w:val="none"/>
        </w:rPr>
        <w:instrText xml:space="preserve"> HYPERLINK "https://www.ncbi.nlm.nih.gov/pubmed/?term=Etienne-Grimaldi%20MC%5BAuthor%5D&amp;cauthor=true&amp;cauthor_uid=22608542" </w:instrText>
      </w:r>
      <w:r>
        <w:rPr>
          <w:color w:val="auto"/>
          <w:highlight w:val="none"/>
        </w:rPr>
        <w:fldChar w:fldCharType="separate"/>
      </w:r>
      <w:r>
        <w:rPr>
          <w:rFonts w:ascii="Times New Roman" w:hAnsi="Times New Roman"/>
          <w:color w:val="auto"/>
          <w:sz w:val="15"/>
          <w:szCs w:val="15"/>
          <w:highlight w:val="none"/>
        </w:rPr>
        <w:t>Etienne-Grimaldi MC</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xml:space="preserve">, et al. Contrasted effects of the multitarget TKi vandetanib on docetaxel-sensitive and docetaxel-resistant prostate cancer cell lines[J]. </w:t>
      </w:r>
      <w:r>
        <w:rPr>
          <w:color w:val="auto"/>
          <w:highlight w:val="none"/>
        </w:rPr>
        <w:fldChar w:fldCharType="begin"/>
      </w:r>
      <w:r>
        <w:rPr>
          <w:color w:val="auto"/>
          <w:highlight w:val="none"/>
        </w:rPr>
        <w:instrText xml:space="preserve"> HYPERLINK "https://www.ncbi.nlm.nih.gov/pubmed/?term=22608542" \o "Urologic oncology." </w:instrText>
      </w:r>
      <w:r>
        <w:rPr>
          <w:color w:val="auto"/>
          <w:highlight w:val="none"/>
        </w:rPr>
        <w:fldChar w:fldCharType="separate"/>
      </w:r>
      <w:r>
        <w:rPr>
          <w:rFonts w:ascii="Times New Roman" w:hAnsi="Times New Roman"/>
          <w:color w:val="auto"/>
          <w:sz w:val="15"/>
          <w:szCs w:val="15"/>
          <w:highlight w:val="none"/>
        </w:rPr>
        <w:t>Urol Oncol,</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2013, 31(8):1567-75. </w:t>
      </w:r>
    </w:p>
    <w:p>
      <w:pPr>
        <w:widowControl/>
        <w:numPr>
          <w:ilvl w:val="0"/>
          <w:numId w:val="34"/>
        </w:numPr>
        <w:spacing w:after="84" w:line="259" w:lineRule="auto"/>
        <w:rPr>
          <w:rFonts w:ascii="Times New Roman" w:hAnsi="Times New Roman"/>
          <w:color w:val="auto"/>
          <w:sz w:val="15"/>
          <w:szCs w:val="15"/>
          <w:highlight w:val="none"/>
        </w:rPr>
      </w:pPr>
      <w:r>
        <w:rPr>
          <w:color w:val="auto"/>
          <w:highlight w:val="none"/>
        </w:rPr>
        <w:fldChar w:fldCharType="begin"/>
      </w:r>
      <w:r>
        <w:rPr>
          <w:color w:val="auto"/>
          <w:highlight w:val="none"/>
        </w:rPr>
        <w:instrText xml:space="preserve"> HYPERLINK "https://www.ncbi.nlm.nih.gov/pubmed/?term=Bagchi%20A%5BAuthor%5D&amp;cauthor=true&amp;cauthor_uid=29158469" </w:instrText>
      </w:r>
      <w:r>
        <w:rPr>
          <w:color w:val="auto"/>
          <w:highlight w:val="none"/>
        </w:rPr>
        <w:fldChar w:fldCharType="separate"/>
      </w:r>
      <w:r>
        <w:rPr>
          <w:rFonts w:ascii="Times New Roman" w:hAnsi="Times New Roman"/>
          <w:color w:val="auto"/>
          <w:sz w:val="15"/>
          <w:szCs w:val="15"/>
          <w:highlight w:val="none"/>
        </w:rPr>
        <w:t>Bagchi A</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w:t>
      </w:r>
      <w:r>
        <w:rPr>
          <w:color w:val="auto"/>
          <w:highlight w:val="none"/>
        </w:rPr>
        <w:fldChar w:fldCharType="begin"/>
      </w:r>
      <w:r>
        <w:rPr>
          <w:color w:val="auto"/>
          <w:highlight w:val="none"/>
        </w:rPr>
        <w:instrText xml:space="preserve"> HYPERLINK "https://www.ncbi.nlm.nih.gov/pubmed/?term=Haidar%20JN%5BAuthor%5D&amp;cauthor=true&amp;cauthor_uid=29158469" </w:instrText>
      </w:r>
      <w:r>
        <w:rPr>
          <w:color w:val="auto"/>
          <w:highlight w:val="none"/>
        </w:rPr>
        <w:fldChar w:fldCharType="separate"/>
      </w:r>
      <w:r>
        <w:rPr>
          <w:rFonts w:ascii="Times New Roman" w:hAnsi="Times New Roman"/>
          <w:color w:val="auto"/>
          <w:sz w:val="15"/>
          <w:szCs w:val="15"/>
          <w:highlight w:val="none"/>
        </w:rPr>
        <w:t>Haidar JN</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xml:space="preserve">, et al. Molecular Basis for Necitumumab Inhibition of EGFR Variants Associated with Acquired Cetuximab Resistance[J]. </w:t>
      </w:r>
      <w:r>
        <w:rPr>
          <w:color w:val="auto"/>
          <w:highlight w:val="none"/>
        </w:rPr>
        <w:fldChar w:fldCharType="begin"/>
      </w:r>
      <w:r>
        <w:rPr>
          <w:color w:val="auto"/>
          <w:highlight w:val="none"/>
        </w:rPr>
        <w:instrText xml:space="preserve"> HYPERLINK "https://www.ncbi.nlm.nih.gov/pubmed/?term=29158469" \o "Molecular cancer therapeutics." </w:instrText>
      </w:r>
      <w:r>
        <w:rPr>
          <w:color w:val="auto"/>
          <w:highlight w:val="none"/>
        </w:rPr>
        <w:fldChar w:fldCharType="separate"/>
      </w:r>
      <w:r>
        <w:rPr>
          <w:rFonts w:ascii="Times New Roman" w:hAnsi="Times New Roman"/>
          <w:color w:val="auto"/>
          <w:sz w:val="15"/>
          <w:szCs w:val="15"/>
          <w:highlight w:val="none"/>
        </w:rPr>
        <w:t>Mol Cancer Ther,</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2018, 17(2):521-531. </w:t>
      </w:r>
    </w:p>
    <w:p>
      <w:pPr>
        <w:widowControl/>
        <w:numPr>
          <w:ilvl w:val="0"/>
          <w:numId w:val="34"/>
        </w:numPr>
        <w:spacing w:after="84" w:line="259" w:lineRule="auto"/>
        <w:rPr>
          <w:rFonts w:ascii="Times New Roman" w:hAnsi="Times New Roman"/>
          <w:color w:val="auto"/>
          <w:sz w:val="15"/>
          <w:szCs w:val="15"/>
          <w:highlight w:val="none"/>
        </w:rPr>
      </w:pPr>
      <w:r>
        <w:rPr>
          <w:color w:val="auto"/>
          <w:highlight w:val="none"/>
        </w:rPr>
        <w:fldChar w:fldCharType="begin"/>
      </w:r>
      <w:r>
        <w:rPr>
          <w:color w:val="auto"/>
          <w:highlight w:val="none"/>
        </w:rPr>
        <w:instrText xml:space="preserve"> HYPERLINK "https://www.ncbi.nlm.nih.gov/pubmed/?term=D%C3%ADaz-Serrano%20A%5BAuthor%5D&amp;cauthor=true&amp;cauthor_uid=30501503" </w:instrText>
      </w:r>
      <w:r>
        <w:rPr>
          <w:color w:val="auto"/>
          <w:highlight w:val="none"/>
        </w:rPr>
        <w:fldChar w:fldCharType="separate"/>
      </w:r>
      <w:r>
        <w:rPr>
          <w:rFonts w:ascii="Times New Roman" w:hAnsi="Times New Roman"/>
          <w:color w:val="auto"/>
          <w:sz w:val="15"/>
          <w:szCs w:val="15"/>
          <w:highlight w:val="none"/>
        </w:rPr>
        <w:t>Díaz-Serrano A</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w:t>
      </w:r>
      <w:r>
        <w:rPr>
          <w:color w:val="auto"/>
          <w:highlight w:val="none"/>
        </w:rPr>
        <w:fldChar w:fldCharType="begin"/>
      </w:r>
      <w:r>
        <w:rPr>
          <w:color w:val="auto"/>
          <w:highlight w:val="none"/>
        </w:rPr>
        <w:instrText xml:space="preserve"> HYPERLINK "https://www.ncbi.nlm.nih.gov/pubmed/?term=S%C3%A1nchez-Torre%20A%5BAuthor%5D&amp;cauthor=true&amp;cauthor_uid=30501503" </w:instrText>
      </w:r>
      <w:r>
        <w:rPr>
          <w:color w:val="auto"/>
          <w:highlight w:val="none"/>
        </w:rPr>
        <w:fldChar w:fldCharType="separate"/>
      </w:r>
      <w:r>
        <w:rPr>
          <w:rFonts w:ascii="Times New Roman" w:hAnsi="Times New Roman"/>
          <w:color w:val="auto"/>
          <w:sz w:val="15"/>
          <w:szCs w:val="15"/>
          <w:highlight w:val="none"/>
        </w:rPr>
        <w:t>Sánchez-Torre A</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xml:space="preserve">, Necitumumab for the treatment of advanced non-small-cell lung cancer[J]. </w:t>
      </w:r>
      <w:r>
        <w:rPr>
          <w:color w:val="auto"/>
          <w:highlight w:val="none"/>
        </w:rPr>
        <w:fldChar w:fldCharType="begin"/>
      </w:r>
      <w:r>
        <w:rPr>
          <w:color w:val="auto"/>
          <w:highlight w:val="none"/>
        </w:rPr>
        <w:instrText xml:space="preserve"> HYPERLINK "https://www.ncbi.nlm.nih.gov/pubmed/?term=30501503" \o "Future oncology (London, England)." </w:instrText>
      </w:r>
      <w:r>
        <w:rPr>
          <w:color w:val="auto"/>
          <w:highlight w:val="none"/>
        </w:rPr>
        <w:fldChar w:fldCharType="separate"/>
      </w:r>
      <w:r>
        <w:rPr>
          <w:rFonts w:ascii="Times New Roman" w:hAnsi="Times New Roman"/>
          <w:color w:val="auto"/>
          <w:sz w:val="15"/>
          <w:szCs w:val="15"/>
          <w:highlight w:val="none"/>
        </w:rPr>
        <w:t>Future Oncol,</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2019, 15(7):705-716. </w:t>
      </w:r>
    </w:p>
    <w:p>
      <w:pPr>
        <w:widowControl/>
        <w:numPr>
          <w:ilvl w:val="0"/>
          <w:numId w:val="34"/>
        </w:numPr>
        <w:spacing w:after="84" w:line="259" w:lineRule="auto"/>
        <w:rPr>
          <w:rFonts w:ascii="Times New Roman" w:hAnsi="Times New Roman"/>
          <w:color w:val="auto"/>
          <w:sz w:val="15"/>
          <w:szCs w:val="15"/>
          <w:highlight w:val="none"/>
        </w:rPr>
      </w:pPr>
      <w:r>
        <w:rPr>
          <w:color w:val="auto"/>
          <w:highlight w:val="none"/>
        </w:rPr>
        <w:fldChar w:fldCharType="begin"/>
      </w:r>
      <w:r>
        <w:rPr>
          <w:color w:val="auto"/>
          <w:highlight w:val="none"/>
        </w:rPr>
        <w:instrText xml:space="preserve"> HYPERLINK "https://www.ncbi.nlm.nih.gov/pubmed/?term=Mazzarella%20L%5BAuthor%5D&amp;cauthor=true&amp;cauthor_uid=29534625" </w:instrText>
      </w:r>
      <w:r>
        <w:rPr>
          <w:color w:val="auto"/>
          <w:highlight w:val="none"/>
        </w:rPr>
        <w:fldChar w:fldCharType="separate"/>
      </w:r>
      <w:r>
        <w:rPr>
          <w:rFonts w:ascii="Times New Roman" w:hAnsi="Times New Roman"/>
          <w:color w:val="auto"/>
          <w:sz w:val="15"/>
          <w:szCs w:val="15"/>
          <w:highlight w:val="none"/>
        </w:rPr>
        <w:t>Mazzarella L</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w:t>
      </w:r>
      <w:r>
        <w:rPr>
          <w:color w:val="auto"/>
          <w:highlight w:val="none"/>
        </w:rPr>
        <w:fldChar w:fldCharType="begin"/>
      </w:r>
      <w:r>
        <w:rPr>
          <w:color w:val="auto"/>
          <w:highlight w:val="none"/>
        </w:rPr>
        <w:instrText xml:space="preserve"> HYPERLINK "https://www.ncbi.nlm.nih.gov/pubmed/?term=Guida%20A%5BAuthor%5D&amp;cauthor=true&amp;cauthor_uid=29534625" </w:instrText>
      </w:r>
      <w:r>
        <w:rPr>
          <w:color w:val="auto"/>
          <w:highlight w:val="none"/>
        </w:rPr>
        <w:fldChar w:fldCharType="separate"/>
      </w:r>
      <w:r>
        <w:rPr>
          <w:rFonts w:ascii="Times New Roman" w:hAnsi="Times New Roman"/>
          <w:color w:val="auto"/>
          <w:sz w:val="15"/>
          <w:szCs w:val="15"/>
          <w:highlight w:val="none"/>
        </w:rPr>
        <w:t>Guida A</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w:t>
      </w:r>
      <w:r>
        <w:rPr>
          <w:color w:val="auto"/>
          <w:highlight w:val="none"/>
        </w:rPr>
        <w:fldChar w:fldCharType="begin"/>
      </w:r>
      <w:r>
        <w:rPr>
          <w:color w:val="auto"/>
          <w:highlight w:val="none"/>
        </w:rPr>
        <w:instrText xml:space="preserve"> HYPERLINK "https://www.ncbi.nlm.nih.gov/pubmed/?term=Curigliano%20G%5BAuthor%5D&amp;cauthor=true&amp;cauthor_uid=29534625" </w:instrText>
      </w:r>
      <w:r>
        <w:rPr>
          <w:color w:val="auto"/>
          <w:highlight w:val="none"/>
        </w:rPr>
        <w:fldChar w:fldCharType="separate"/>
      </w:r>
      <w:r>
        <w:rPr>
          <w:rFonts w:ascii="Times New Roman" w:hAnsi="Times New Roman"/>
          <w:color w:val="auto"/>
          <w:sz w:val="15"/>
          <w:szCs w:val="15"/>
          <w:highlight w:val="none"/>
        </w:rPr>
        <w:t>Curigliano G</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xml:space="preserve">, et al. Cetuximab for treating non-small cell lung cancer[J]. </w:t>
      </w:r>
      <w:r>
        <w:rPr>
          <w:color w:val="auto"/>
          <w:highlight w:val="none"/>
        </w:rPr>
        <w:fldChar w:fldCharType="begin"/>
      </w:r>
      <w:r>
        <w:rPr>
          <w:color w:val="auto"/>
          <w:highlight w:val="none"/>
        </w:rPr>
        <w:instrText xml:space="preserve"> HYPERLINK "https://www.ncbi.nlm.nih.gov/pubmed/?term=29534625" \o "Expert opinion on biological therapy." </w:instrText>
      </w:r>
      <w:r>
        <w:rPr>
          <w:color w:val="auto"/>
          <w:highlight w:val="none"/>
        </w:rPr>
        <w:fldChar w:fldCharType="separate"/>
      </w:r>
      <w:r>
        <w:rPr>
          <w:rFonts w:ascii="Times New Roman" w:hAnsi="Times New Roman"/>
          <w:color w:val="auto"/>
          <w:sz w:val="15"/>
          <w:szCs w:val="15"/>
          <w:highlight w:val="none"/>
        </w:rPr>
        <w:t>Expert Opin Biol Ther,</w:t>
      </w:r>
      <w:r>
        <w:rPr>
          <w:rFonts w:ascii="Times New Roman" w:hAnsi="Times New Roman"/>
          <w:color w:val="auto"/>
          <w:sz w:val="15"/>
          <w:szCs w:val="15"/>
          <w:highlight w:val="none"/>
        </w:rPr>
        <w:fldChar w:fldCharType="end"/>
      </w:r>
      <w:r>
        <w:rPr>
          <w:rFonts w:ascii="Times New Roman" w:hAnsi="Times New Roman"/>
          <w:color w:val="auto"/>
          <w:sz w:val="15"/>
          <w:szCs w:val="15"/>
          <w:highlight w:val="none"/>
        </w:rPr>
        <w:t xml:space="preserve"> 2018, 18(4):483-493. </w:t>
      </w:r>
    </w:p>
    <w:p>
      <w:pPr>
        <w:widowControl/>
        <w:numPr>
          <w:ilvl w:val="0"/>
          <w:numId w:val="34"/>
        </w:numPr>
        <w:spacing w:after="84" w:line="259" w:lineRule="auto"/>
        <w:rPr>
          <w:rFonts w:ascii="Times New Roman" w:hAnsi="Times New Roman"/>
          <w:color w:val="auto"/>
          <w:sz w:val="15"/>
          <w:szCs w:val="15"/>
          <w:highlight w:val="none"/>
        </w:rPr>
      </w:pPr>
      <w:r>
        <w:rPr>
          <w:rFonts w:ascii="Times New Roman" w:hAnsi="Times New Roman"/>
          <w:color w:val="auto"/>
          <w:sz w:val="15"/>
          <w:szCs w:val="15"/>
          <w:highlight w:val="none"/>
        </w:rPr>
        <w:t>Grépin R, Guyot M, Dumond A, et al. combination of bevacizumab/Avastin and erlotinib/Tarceva is relevant for the treatment of metastatic renal cell carcinoma: the role of a synonymous mutation of the EGFR receptor[J]. Theranostics, 2020, 10(3):1107-1121.</w:t>
      </w:r>
    </w:p>
    <w:p>
      <w:pPr>
        <w:widowControl/>
        <w:numPr>
          <w:ilvl w:val="0"/>
          <w:numId w:val="34"/>
        </w:numPr>
        <w:spacing w:after="84" w:line="259" w:lineRule="auto"/>
        <w:rPr>
          <w:rFonts w:ascii="Times New Roman" w:hAnsi="Times New Roman"/>
          <w:color w:val="auto"/>
          <w:sz w:val="15"/>
          <w:szCs w:val="15"/>
          <w:highlight w:val="none"/>
        </w:rPr>
      </w:pPr>
      <w:r>
        <w:rPr>
          <w:rFonts w:ascii="Times New Roman" w:hAnsi="Times New Roman"/>
          <w:color w:val="auto"/>
          <w:sz w:val="15"/>
          <w:szCs w:val="15"/>
          <w:highlight w:val="none"/>
        </w:rPr>
        <w:t>Li Y, Chen LA. Precise therapy for lung cancer patients with rare sensitive mutations of epidermal growth factor receptor[J]. Zhonghua Zhong Liu Za Zhi, 2017, 39(12):881-884.</w:t>
      </w:r>
    </w:p>
    <w:p>
      <w:pPr>
        <w:widowControl/>
        <w:numPr>
          <w:ilvl w:val="0"/>
          <w:numId w:val="34"/>
        </w:numPr>
        <w:spacing w:after="84" w:line="259" w:lineRule="auto"/>
        <w:rPr>
          <w:rFonts w:ascii="Times New Roman" w:hAnsi="Times New Roman"/>
          <w:color w:val="auto"/>
          <w:sz w:val="15"/>
          <w:szCs w:val="15"/>
          <w:highlight w:val="none"/>
        </w:rPr>
      </w:pPr>
      <w:r>
        <w:rPr>
          <w:rFonts w:ascii="Times New Roman" w:hAnsi="Times New Roman"/>
          <w:color w:val="auto"/>
          <w:sz w:val="15"/>
          <w:szCs w:val="15"/>
          <w:highlight w:val="none"/>
        </w:rPr>
        <w:t>Joel W Neal, Suzanne E Dahlberg, Heather A Wakelee, et al. Erlotinib, Cabozantinib, or Erlotinib Plus Cabozantinib as Second-Line or Third-Line Treatment of Patients With EGFR Wild-Type Advanced Non-Small-Cell Lung Cancer (ECOG-ACRIN 1512): A Randomised, Controlled, Open-Label, Multicentre, Phase 2 Trial[J]. ancet Oncol, 2016, 17 (12): 1661-1671.</w:t>
      </w:r>
    </w:p>
    <w:p>
      <w:pPr>
        <w:widowControl/>
        <w:numPr>
          <w:ilvl w:val="0"/>
          <w:numId w:val="34"/>
        </w:numPr>
        <w:spacing w:after="84" w:line="259" w:lineRule="auto"/>
        <w:rPr>
          <w:rFonts w:ascii="Times New Roman" w:hAnsi="Times New Roman"/>
          <w:color w:val="auto"/>
          <w:sz w:val="15"/>
          <w:szCs w:val="15"/>
          <w:highlight w:val="none"/>
        </w:rPr>
      </w:pPr>
      <w:r>
        <w:rPr>
          <w:rFonts w:ascii="Times New Roman" w:hAnsi="Times New Roman"/>
          <w:color w:val="auto"/>
          <w:sz w:val="15"/>
          <w:szCs w:val="15"/>
          <w:highlight w:val="none"/>
        </w:rPr>
        <w:t>Carlo G, et al. EGFR Gene Copy Number by FISH May Predict Outcome of Necitumumab in Squamous Lung Carcinomas: Analysis from the SQUIRE Study[J]. J Thorac Oncol, 2018, 13(2): 228-236.</w:t>
      </w:r>
    </w:p>
    <w:p>
      <w:pPr>
        <w:keepNext w:val="0"/>
        <w:keepLines w:val="0"/>
        <w:pageBreakBefore w:val="0"/>
        <w:widowControl/>
        <w:numPr>
          <w:ilvl w:val="0"/>
          <w:numId w:val="34"/>
        </w:numPr>
        <w:kinsoku/>
        <w:wordWrap/>
        <w:overflowPunct/>
        <w:topLinePunct w:val="0"/>
        <w:autoSpaceDE/>
        <w:autoSpaceDN/>
        <w:bidi w:val="0"/>
        <w:adjustRightInd/>
        <w:snapToGrid/>
        <w:spacing w:after="84" w:line="260" w:lineRule="auto"/>
        <w:ind w:left="425" w:leftChars="0" w:hanging="425" w:firstLineChars="0"/>
        <w:textAlignment w:val="auto"/>
        <w:rPr>
          <w:rFonts w:ascii="Times New Roman" w:hAnsi="Times New Roman"/>
          <w:color w:val="auto"/>
          <w:sz w:val="15"/>
          <w:szCs w:val="15"/>
          <w:highlight w:val="none"/>
        </w:rPr>
      </w:pPr>
      <w:r>
        <w:rPr>
          <w:rFonts w:hint="default" w:ascii="Times New Roman" w:hAnsi="Times New Roman" w:eastAsia="宋体" w:cs="Times New Roman"/>
          <w:color w:val="auto"/>
          <w:sz w:val="15"/>
          <w:szCs w:val="15"/>
          <w:highlight w:val="none"/>
          <w:lang w:val="en-US" w:eastAsia="zh-CN"/>
        </w:rPr>
        <w:t>Le X, Felip E, Veillon R et al. ASCO Virtual Scientific Program. American Society of Clinical Oncology</w:t>
      </w:r>
      <w:r>
        <w:rPr>
          <w:rFonts w:ascii="Times New Roman" w:hAnsi="Times New Roman" w:cs="Times New Roman"/>
          <w:color w:val="auto"/>
          <w:sz w:val="15"/>
          <w:szCs w:val="15"/>
          <w:highlight w:val="none"/>
        </w:rPr>
        <w:t>[J]</w:t>
      </w:r>
      <w:r>
        <w:rPr>
          <w:rFonts w:hint="default" w:ascii="Times New Roman" w:hAnsi="Times New Roman" w:eastAsia="宋体" w:cs="Times New Roman"/>
          <w:color w:val="auto"/>
          <w:sz w:val="15"/>
          <w:szCs w:val="15"/>
          <w:highlight w:val="none"/>
          <w:lang w:val="en-US" w:eastAsia="zh-CN"/>
        </w:rPr>
        <w:t>. J Clin Oncol 2020;38(suppl; abstr 9556).</w:t>
      </w:r>
    </w:p>
    <w:p>
      <w:pPr>
        <w:widowControl/>
        <w:numPr>
          <w:ilvl w:val="0"/>
          <w:numId w:val="3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"https://www.nature.com/articles/s41416-018-0334-0" \l "auth-1" </w:instrText>
      </w:r>
      <w:r>
        <w:rPr>
          <w:highlight w:val="none"/>
        </w:rPr>
        <w:fldChar w:fldCharType="separate"/>
      </w:r>
      <w:r>
        <w:rPr>
          <w:rFonts w:ascii="Times New Roman" w:hAnsi="Times New Roman"/>
          <w:sz w:val="15"/>
          <w:szCs w:val="15"/>
          <w:highlight w:val="none"/>
        </w:rPr>
        <w:t>Vincenzo Mazzaferro</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"https://www.nature.com/articles/s41416-018-0334-0" \l "auth-2" </w:instrText>
      </w:r>
      <w:r>
        <w:rPr>
          <w:highlight w:val="none"/>
        </w:rPr>
        <w:fldChar w:fldCharType="separate"/>
      </w:r>
      <w:r>
        <w:rPr>
          <w:rFonts w:ascii="Times New Roman" w:hAnsi="Times New Roman"/>
          <w:sz w:val="15"/>
          <w:szCs w:val="15"/>
          <w:highlight w:val="none"/>
        </w:rPr>
        <w:t>Bassel F. El-Rayes</w:t>
      </w:r>
      <w:r>
        <w:rPr>
          <w:rFonts w:ascii="Times New Roman" w:hAnsi="Times New Roman"/>
          <w:sz w:val="15"/>
          <w:szCs w:val="15"/>
          <w:highlight w:val="none"/>
        </w:rPr>
        <w:fldChar w:fldCharType="end"/>
      </w:r>
      <w:r>
        <w:rPr>
          <w:rFonts w:ascii="Times New Roman" w:hAnsi="Times New Roman"/>
          <w:sz w:val="15"/>
          <w:szCs w:val="15"/>
          <w:highlight w:val="none"/>
        </w:rPr>
        <w:t>, et al.Derazantinib (ARQ 087) in advanced or inoperable FGFR2 gene fusion-positive intrahepatic cholangiocarcinoma[J]. B</w:t>
      </w:r>
      <w:r>
        <w:rPr>
          <w:highlight w:val="none"/>
        </w:rPr>
        <w:fldChar w:fldCharType="begin"/>
      </w:r>
      <w:r>
        <w:rPr>
          <w:highlight w:val="none"/>
        </w:rPr>
        <w:instrText xml:space="preserve"> HYPERLINK "https://www.nature.com/bjc" </w:instrText>
      </w:r>
      <w:r>
        <w:rPr>
          <w:highlight w:val="none"/>
        </w:rPr>
        <w:fldChar w:fldCharType="separate"/>
      </w:r>
      <w:r>
        <w:rPr>
          <w:rFonts w:ascii="Times New Roman" w:hAnsi="Times New Roman"/>
          <w:sz w:val="15"/>
          <w:szCs w:val="15"/>
          <w:highlight w:val="none"/>
        </w:rPr>
        <w:t>ritish Journal of Cancer</w:t>
      </w:r>
      <w:r>
        <w:rPr>
          <w:rFonts w:ascii="Times New Roman" w:hAnsi="Times New Roman"/>
          <w:sz w:val="15"/>
          <w:szCs w:val="15"/>
          <w:highlight w:val="none"/>
        </w:rPr>
        <w:fldChar w:fldCharType="end"/>
      </w:r>
      <w:r>
        <w:rPr>
          <w:rFonts w:ascii="Times New Roman" w:hAnsi="Times New Roman"/>
          <w:sz w:val="15"/>
          <w:szCs w:val="15"/>
          <w:highlight w:val="none"/>
        </w:rPr>
        <w:t> volume, 2019, 120(165–171).</w:t>
      </w:r>
    </w:p>
    <w:p>
      <w:pPr>
        <w:widowControl/>
        <w:numPr>
          <w:ilvl w:val="0"/>
          <w:numId w:val="3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"https://www.ncbi.nlm.nih.gov/pubmed/?term=Huynh%20H%5BAuthor%5D&amp;cauthor=true&amp;cauthor_uid=30575985" </w:instrText>
      </w:r>
      <w:r>
        <w:rPr>
          <w:highlight w:val="none"/>
        </w:rPr>
        <w:fldChar w:fldCharType="separate"/>
      </w:r>
      <w:r>
        <w:rPr>
          <w:rFonts w:ascii="Times New Roman" w:hAnsi="Times New Roman"/>
          <w:sz w:val="15"/>
          <w:szCs w:val="15"/>
          <w:highlight w:val="none"/>
        </w:rPr>
        <w:t>Huynh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"https://www.ncbi.nlm.nih.gov/pubmed/?term=Lee%20LY%5BAuthor%5D&amp;cauthor=true&amp;cauthor_uid=30575985" </w:instrText>
      </w:r>
      <w:r>
        <w:rPr>
          <w:highlight w:val="none"/>
        </w:rPr>
        <w:fldChar w:fldCharType="separate"/>
      </w:r>
      <w:r>
        <w:rPr>
          <w:rFonts w:ascii="Times New Roman" w:hAnsi="Times New Roman"/>
          <w:sz w:val="15"/>
          <w:szCs w:val="15"/>
          <w:highlight w:val="none"/>
        </w:rPr>
        <w:t>Lee LY</w:t>
      </w:r>
      <w:r>
        <w:rPr>
          <w:rFonts w:ascii="Times New Roman" w:hAnsi="Times New Roman"/>
          <w:sz w:val="15"/>
          <w:szCs w:val="15"/>
          <w:highlight w:val="none"/>
        </w:rPr>
        <w:fldChar w:fldCharType="end"/>
      </w:r>
      <w:r>
        <w:rPr>
          <w:rFonts w:ascii="Times New Roman" w:hAnsi="Times New Roman"/>
          <w:sz w:val="15"/>
          <w:szCs w:val="15"/>
          <w:highlight w:val="none"/>
        </w:rPr>
        <w:t xml:space="preserve">, et al.Infigratinib Mediates Vascular Normalization, Impairs Metastasis, and Improves Chemotherapy in Hepatocellular Carcinoma[J]. </w:t>
      </w:r>
      <w:r>
        <w:rPr>
          <w:highlight w:val="none"/>
        </w:rPr>
        <w:fldChar w:fldCharType="begin"/>
      </w:r>
      <w:r>
        <w:rPr>
          <w:highlight w:val="none"/>
        </w:rPr>
        <w:instrText xml:space="preserve"> HYPERLINK "https://www.ncbi.nlm.nih.gov/pubmed/30575985" \o "Hepatology (Baltimore, Md.)." </w:instrText>
      </w:r>
      <w:r>
        <w:rPr>
          <w:highlight w:val="none"/>
        </w:rPr>
        <w:fldChar w:fldCharType="separate"/>
      </w:r>
      <w:r>
        <w:rPr>
          <w:rFonts w:ascii="Times New Roman" w:hAnsi="Times New Roman"/>
          <w:sz w:val="15"/>
          <w:szCs w:val="15"/>
          <w:highlight w:val="none"/>
        </w:rPr>
        <w:t>Hepatology,</w:t>
      </w:r>
      <w:r>
        <w:rPr>
          <w:rFonts w:ascii="Times New Roman" w:hAnsi="Times New Roman"/>
          <w:sz w:val="15"/>
          <w:szCs w:val="15"/>
          <w:highlight w:val="none"/>
        </w:rPr>
        <w:fldChar w:fldCharType="end"/>
      </w:r>
      <w:r>
        <w:rPr>
          <w:rFonts w:ascii="Times New Roman" w:hAnsi="Times New Roman"/>
          <w:sz w:val="15"/>
          <w:szCs w:val="15"/>
          <w:highlight w:val="none"/>
        </w:rPr>
        <w:t> 2019, 69(3):943-958. </w:t>
      </w:r>
    </w:p>
    <w:p>
      <w:pPr>
        <w:widowControl/>
        <w:numPr>
          <w:ilvl w:val="0"/>
          <w:numId w:val="3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"https://www.ncbi.nlm.nih.gov/pubmed/?term=Andr%C3%A9%20F%5BAuthor%5D&amp;cauthor=true&amp;cauthor_uid=23658459" </w:instrText>
      </w:r>
      <w:r>
        <w:rPr>
          <w:highlight w:val="none"/>
        </w:rPr>
        <w:fldChar w:fldCharType="separate"/>
      </w:r>
      <w:r>
        <w:rPr>
          <w:rFonts w:ascii="Times New Roman" w:hAnsi="Times New Roman"/>
          <w:sz w:val="15"/>
          <w:szCs w:val="15"/>
          <w:highlight w:val="none"/>
        </w:rPr>
        <w:t>André F</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"https://www.ncbi.nlm.nih.gov/pubmed/?term=Bachelot%20T%5BAuthor%5D&amp;cauthor=true&amp;cauthor_uid=23658459" </w:instrText>
      </w:r>
      <w:r>
        <w:rPr>
          <w:highlight w:val="none"/>
        </w:rPr>
        <w:fldChar w:fldCharType="separate"/>
      </w:r>
      <w:r>
        <w:rPr>
          <w:rFonts w:ascii="Times New Roman" w:hAnsi="Times New Roman"/>
          <w:sz w:val="15"/>
          <w:szCs w:val="15"/>
          <w:highlight w:val="none"/>
        </w:rPr>
        <w:t>Bachelot T</w:t>
      </w:r>
      <w:r>
        <w:rPr>
          <w:rFonts w:ascii="Times New Roman" w:hAnsi="Times New Roman"/>
          <w:sz w:val="15"/>
          <w:szCs w:val="15"/>
          <w:highlight w:val="none"/>
        </w:rPr>
        <w:fldChar w:fldCharType="end"/>
      </w:r>
      <w:r>
        <w:rPr>
          <w:rFonts w:ascii="Times New Roman" w:hAnsi="Times New Roman"/>
          <w:sz w:val="15"/>
          <w:szCs w:val="15"/>
          <w:highlight w:val="none"/>
        </w:rPr>
        <w:t xml:space="preserve">, </w:t>
      </w:r>
      <w:r>
        <w:rPr>
          <w:highlight w:val="none"/>
        </w:rPr>
        <w:fldChar w:fldCharType="begin"/>
      </w:r>
      <w:r>
        <w:rPr>
          <w:highlight w:val="none"/>
        </w:rPr>
        <w:instrText xml:space="preserve"> HYPERLINK "https://www.ncbi.nlm.nih.gov/pubmed/?term=Campone%20M%5BAuthor%5D&amp;cauthor=true&amp;cauthor_uid=23658459" </w:instrText>
      </w:r>
      <w:r>
        <w:rPr>
          <w:highlight w:val="none"/>
        </w:rPr>
        <w:fldChar w:fldCharType="separate"/>
      </w:r>
      <w:r>
        <w:rPr>
          <w:rFonts w:ascii="Times New Roman" w:hAnsi="Times New Roman"/>
          <w:sz w:val="15"/>
          <w:szCs w:val="15"/>
          <w:highlight w:val="none"/>
        </w:rPr>
        <w:t>Campone M</w:t>
      </w:r>
      <w:r>
        <w:rPr>
          <w:rFonts w:ascii="Times New Roman" w:hAnsi="Times New Roman"/>
          <w:sz w:val="15"/>
          <w:szCs w:val="15"/>
          <w:highlight w:val="none"/>
        </w:rPr>
        <w:fldChar w:fldCharType="end"/>
      </w:r>
      <w:r>
        <w:rPr>
          <w:rFonts w:ascii="Times New Roman" w:hAnsi="Times New Roman"/>
          <w:sz w:val="15"/>
          <w:szCs w:val="15"/>
          <w:highlight w:val="none"/>
        </w:rPr>
        <w:t xml:space="preserve">, et al. Targeting FGFR with dovitinib (TKI258): preclinical and clinical data in breast cancer[J]. </w:t>
      </w:r>
      <w:r>
        <w:rPr>
          <w:highlight w:val="none"/>
        </w:rPr>
        <w:fldChar w:fldCharType="begin"/>
      </w:r>
      <w:r>
        <w:rPr>
          <w:highlight w:val="none"/>
        </w:rPr>
        <w:instrText xml:space="preserve"> HYPERLINK "https://www.ncbi.nlm.nih.gov/pubmed/23658459"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2013, 19(13):3693-702.</w:t>
      </w:r>
    </w:p>
    <w:p>
      <w:pPr>
        <w:numPr>
          <w:ilvl w:val="0"/>
          <w:numId w:val="34"/>
        </w:numPr>
        <w:spacing w:after="84" w:line="260" w:lineRule="auto"/>
        <w:rPr>
          <w:rFonts w:ascii="Times New Roman" w:hAnsi="Times New Roman"/>
          <w:sz w:val="15"/>
          <w:szCs w:val="15"/>
          <w:highlight w:val="none"/>
        </w:rPr>
      </w:pPr>
      <w:r>
        <w:rPr>
          <w:rFonts w:hint="eastAsia" w:ascii="Times New Roman" w:hAnsi="Times New Roman" w:cs="Times New Roman"/>
          <w:sz w:val="15"/>
          <w:szCs w:val="15"/>
          <w:highlight w:val="none"/>
        </w:rPr>
        <w:t>Abou-Alfa GK, Sahai V, Hollebecque A, et al. Pemigatinib for</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previously treated, locally advanced or metastatic cholangiocarcinoma: a</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multicentre, open-label, phase 2 study</w:t>
      </w:r>
      <w:r>
        <w:rPr>
          <w:rFonts w:ascii="Times New Roman" w:hAnsi="Times New Roman" w:cs="Times New Roman"/>
          <w:sz w:val="15"/>
          <w:szCs w:val="15"/>
          <w:highlight w:val="none"/>
        </w:rPr>
        <w:t>[J]</w:t>
      </w:r>
      <w:r>
        <w:rPr>
          <w:rFonts w:hint="eastAsia" w:ascii="Times New Roman" w:hAnsi="Times New Roman" w:cs="Times New Roman"/>
          <w:sz w:val="15"/>
          <w:szCs w:val="15"/>
          <w:highlight w:val="none"/>
        </w:rPr>
        <w:t>. Lancet Oncol 2020</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 xml:space="preserve">21(5):671-684. </w:t>
      </w:r>
    </w:p>
    <w:p>
      <w:pPr>
        <w:numPr>
          <w:ilvl w:val="0"/>
          <w:numId w:val="34"/>
        </w:numPr>
        <w:spacing w:after="84" w:line="260" w:lineRule="auto"/>
        <w:rPr>
          <w:rFonts w:ascii="Times New Roman" w:hAnsi="Times New Roman"/>
          <w:sz w:val="15"/>
          <w:szCs w:val="15"/>
          <w:highlight w:val="none"/>
        </w:rPr>
      </w:pPr>
      <w:r>
        <w:rPr>
          <w:rFonts w:hint="eastAsia" w:ascii="Times New Roman" w:hAnsi="Times New Roman" w:cs="Times New Roman"/>
          <w:sz w:val="15"/>
          <w:szCs w:val="15"/>
          <w:highlight w:val="none"/>
        </w:rPr>
        <w:fldChar w:fldCharType="begin"/>
      </w:r>
      <w:r>
        <w:rPr>
          <w:rFonts w:hint="eastAsia" w:ascii="Times New Roman" w:hAnsi="Times New Roman" w:cs="Times New Roman"/>
          <w:sz w:val="15"/>
          <w:szCs w:val="15"/>
          <w:highlight w:val="none"/>
        </w:rPr>
        <w:instrText xml:space="preserve"> HYPERLINK "https://pubmed.ncbi.nlm.nih.gov/?term=Javle+M&amp;cauthor_id=29182496" </w:instrText>
      </w:r>
      <w:r>
        <w:rPr>
          <w:rFonts w:hint="eastAsia" w:ascii="Times New Roman" w:hAnsi="Times New Roman" w:cs="Times New Roman"/>
          <w:sz w:val="15"/>
          <w:szCs w:val="15"/>
          <w:highlight w:val="none"/>
        </w:rPr>
        <w:fldChar w:fldCharType="separate"/>
      </w:r>
      <w:r>
        <w:rPr>
          <w:rFonts w:hint="default" w:ascii="Times New Roman" w:hAnsi="Times New Roman" w:cs="Times New Roman"/>
          <w:sz w:val="15"/>
          <w:szCs w:val="15"/>
          <w:highlight w:val="none"/>
        </w:rPr>
        <w:t>Milind J</w:t>
      </w:r>
      <w:r>
        <w:rPr>
          <w:rFonts w:hint="default" w:ascii="Times New Roman" w:hAnsi="Times New Roman" w:cs="Times New Roman"/>
          <w:sz w:val="15"/>
          <w:szCs w:val="15"/>
          <w:highlight w:val="none"/>
        </w:rPr>
        <w:fldChar w:fldCharType="end"/>
      </w:r>
      <w:r>
        <w:rPr>
          <w:rFonts w:hint="default" w:ascii="Times New Roman" w:hAnsi="Times New Roman" w:cs="Times New Roman"/>
          <w:sz w:val="15"/>
          <w:szCs w:val="15"/>
          <w:highlight w:val="none"/>
        </w:rPr>
        <w:t>, </w:t>
      </w:r>
      <w:r>
        <w:rPr>
          <w:rFonts w:hint="default" w:ascii="Times New Roman" w:hAnsi="Times New Roman" w:cs="Times New Roman"/>
          <w:sz w:val="15"/>
          <w:szCs w:val="15"/>
          <w:highlight w:val="none"/>
        </w:rPr>
        <w:fldChar w:fldCharType="begin"/>
      </w:r>
      <w:r>
        <w:rPr>
          <w:rFonts w:hint="default" w:ascii="Times New Roman" w:hAnsi="Times New Roman" w:cs="Times New Roman"/>
          <w:sz w:val="15"/>
          <w:szCs w:val="15"/>
          <w:highlight w:val="none"/>
        </w:rPr>
        <w:instrText xml:space="preserve"> HYPERLINK "https://pubmed.ncbi.nlm.nih.gov/?term=Lowery+M&amp;cauthor_id=29182496" </w:instrText>
      </w:r>
      <w:r>
        <w:rPr>
          <w:rFonts w:hint="default" w:ascii="Times New Roman" w:hAnsi="Times New Roman" w:cs="Times New Roman"/>
          <w:sz w:val="15"/>
          <w:szCs w:val="15"/>
          <w:highlight w:val="none"/>
        </w:rPr>
        <w:fldChar w:fldCharType="separate"/>
      </w:r>
      <w:r>
        <w:rPr>
          <w:rFonts w:hint="default" w:ascii="Times New Roman" w:hAnsi="Times New Roman" w:cs="Times New Roman"/>
          <w:sz w:val="15"/>
          <w:szCs w:val="15"/>
          <w:highlight w:val="none"/>
        </w:rPr>
        <w:t>Maeve L</w:t>
      </w:r>
      <w:r>
        <w:rPr>
          <w:rFonts w:hint="default" w:ascii="Times New Roman" w:hAnsi="Times New Roman" w:cs="Times New Roman"/>
          <w:sz w:val="15"/>
          <w:szCs w:val="15"/>
          <w:highlight w:val="none"/>
        </w:rPr>
        <w:fldChar w:fldCharType="end"/>
      </w:r>
      <w:r>
        <w:rPr>
          <w:rFonts w:hint="default" w:ascii="Times New Roman" w:hAnsi="Times New Roman" w:cs="Times New Roman"/>
          <w:sz w:val="15"/>
          <w:szCs w:val="15"/>
          <w:highlight w:val="none"/>
        </w:rPr>
        <w:t>, </w:t>
      </w:r>
      <w:r>
        <w:rPr>
          <w:rFonts w:hint="default" w:ascii="Times New Roman" w:hAnsi="Times New Roman" w:cs="Times New Roman"/>
          <w:sz w:val="15"/>
          <w:szCs w:val="15"/>
          <w:highlight w:val="none"/>
        </w:rPr>
        <w:fldChar w:fldCharType="begin"/>
      </w:r>
      <w:r>
        <w:rPr>
          <w:rFonts w:hint="default" w:ascii="Times New Roman" w:hAnsi="Times New Roman" w:cs="Times New Roman"/>
          <w:sz w:val="15"/>
          <w:szCs w:val="15"/>
          <w:highlight w:val="none"/>
        </w:rPr>
        <w:instrText xml:space="preserve"> HYPERLINK "https://pubmed.ncbi.nlm.nih.gov/?term=Shroff+RT&amp;cauthor_id=29182496" </w:instrText>
      </w:r>
      <w:r>
        <w:rPr>
          <w:rFonts w:hint="default" w:ascii="Times New Roman" w:hAnsi="Times New Roman" w:cs="Times New Roman"/>
          <w:sz w:val="15"/>
          <w:szCs w:val="15"/>
          <w:highlight w:val="none"/>
        </w:rPr>
        <w:fldChar w:fldCharType="separate"/>
      </w:r>
      <w:r>
        <w:rPr>
          <w:rFonts w:hint="default" w:ascii="Times New Roman" w:hAnsi="Times New Roman" w:cs="Times New Roman"/>
          <w:sz w:val="15"/>
          <w:szCs w:val="15"/>
          <w:highlight w:val="none"/>
        </w:rPr>
        <w:t>Rachna T</w:t>
      </w:r>
      <w:r>
        <w:rPr>
          <w:rFonts w:hint="eastAsia" w:ascii="Times New Roman" w:hAnsi="Times New Roman" w:cs="Times New Roman"/>
          <w:sz w:val="15"/>
          <w:szCs w:val="15"/>
          <w:highlight w:val="none"/>
          <w:lang w:val="en-US" w:eastAsia="zh-CN"/>
        </w:rPr>
        <w:t>, et al.</w:t>
      </w:r>
      <w:r>
        <w:rPr>
          <w:rFonts w:hint="default" w:ascii="Times New Roman" w:hAnsi="Times New Roman" w:cs="Times New Roman"/>
          <w:sz w:val="15"/>
          <w:szCs w:val="15"/>
          <w:highlight w:val="none"/>
        </w:rPr>
        <w:fldChar w:fldCharType="end"/>
      </w:r>
      <w:r>
        <w:rPr>
          <w:rFonts w:hint="eastAsia" w:ascii="Times New Roman" w:hAnsi="Times New Roman" w:cs="Times New Roman"/>
          <w:sz w:val="15"/>
          <w:szCs w:val="15"/>
          <w:highlight w:val="none"/>
          <w:lang w:val="en-US" w:eastAsia="zh-CN"/>
        </w:rPr>
        <w:t xml:space="preserve"> Phase II study of BGJ398 in patients with FGFR-altered advanced cholangiocarcinoma</w:t>
      </w:r>
      <w:r>
        <w:rPr>
          <w:rFonts w:ascii="Times New Roman" w:hAnsi="Times New Roman" w:cs="Times New Roman"/>
          <w:sz w:val="15"/>
          <w:szCs w:val="15"/>
          <w:highlight w:val="none"/>
        </w:rPr>
        <w:t>[J]</w:t>
      </w:r>
      <w:r>
        <w:rPr>
          <w:rFonts w:hint="eastAsia" w:ascii="Times New Roman" w:hAnsi="Times New Roman" w:cs="Times New Roman"/>
          <w:sz w:val="15"/>
          <w:szCs w:val="15"/>
          <w:highlight w:val="none"/>
          <w:lang w:val="en-US" w:eastAsia="zh-CN"/>
        </w:rPr>
        <w:t>. J Clin Oncol, 18, 36(3):276-282.</w:t>
      </w:r>
    </w:p>
    <w:p>
      <w:pPr>
        <w:numPr>
          <w:ilvl w:val="0"/>
          <w:numId w:val="34"/>
        </w:numPr>
        <w:spacing w:after="84" w:line="260" w:lineRule="auto"/>
        <w:rPr>
          <w:rFonts w:ascii="Times New Roman" w:hAnsi="Times New Roman"/>
          <w:sz w:val="15"/>
          <w:szCs w:val="15"/>
          <w:highlight w:val="none"/>
        </w:rPr>
      </w:pPr>
      <w:r>
        <w:rPr>
          <w:rFonts w:hint="eastAsia" w:ascii="Times New Roman" w:hAnsi="Times New Roman" w:cs="Times New Roman"/>
          <w:sz w:val="15"/>
          <w:szCs w:val="15"/>
          <w:highlight w:val="none"/>
        </w:rPr>
        <w:t>Josep T, Rastislav B, Rodrigo D</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et al. Phase I dose-escalation study of JNJ-42756493, an oral pan-fibroblast growth factor receptor inhibitor, in patients with advanced solid tumors</w:t>
      </w:r>
      <w:r>
        <w:rPr>
          <w:rFonts w:ascii="Times New Roman" w:hAnsi="Times New Roman" w:cs="Times New Roman"/>
          <w:sz w:val="15"/>
          <w:szCs w:val="15"/>
          <w:highlight w:val="none"/>
        </w:rPr>
        <w:t>[J]</w:t>
      </w:r>
      <w:r>
        <w:rPr>
          <w:rFonts w:hint="eastAsia" w:ascii="Times New Roman" w:hAnsi="Times New Roman" w:cs="Times New Roman"/>
          <w:sz w:val="15"/>
          <w:szCs w:val="15"/>
          <w:highlight w:val="none"/>
          <w:lang w:val="en-US" w:eastAsia="zh-CN"/>
        </w:rPr>
        <w:t>.</w:t>
      </w:r>
      <w:r>
        <w:rPr>
          <w:rFonts w:hint="eastAsia" w:ascii="Times New Roman" w:hAnsi="Times New Roman" w:cs="Times New Roman"/>
          <w:sz w:val="15"/>
          <w:szCs w:val="15"/>
          <w:highlight w:val="none"/>
        </w:rPr>
        <w:t xml:space="preserve"> J Clin Oncol</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2015</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33(30):3401-8.</w:t>
      </w:r>
    </w:p>
    <w:p>
      <w:pPr>
        <w:widowControl/>
        <w:numPr>
          <w:ilvl w:val="0"/>
          <w:numId w:val="3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"https://www.ncbi.nlm.nih.gov/pubmed/?term=Moore%20AR%5BAuthor%5D&amp;cauthor=true&amp;cauthor_uid=29490280" </w:instrText>
      </w:r>
      <w:r>
        <w:rPr>
          <w:highlight w:val="none"/>
        </w:rPr>
        <w:fldChar w:fldCharType="separate"/>
      </w:r>
      <w:r>
        <w:rPr>
          <w:rFonts w:ascii="Times New Roman" w:hAnsi="Times New Roman"/>
          <w:sz w:val="15"/>
          <w:szCs w:val="15"/>
          <w:highlight w:val="none"/>
        </w:rPr>
        <w:t>Moore AR</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"https://www.ncbi.nlm.nih.gov/pubmed/?term=Ran%20L%5BAuthor%5D&amp;cauthor=true&amp;cauthor_uid=29490280" </w:instrText>
      </w:r>
      <w:r>
        <w:rPr>
          <w:highlight w:val="none"/>
        </w:rPr>
        <w:fldChar w:fldCharType="separate"/>
      </w:r>
      <w:r>
        <w:rPr>
          <w:rFonts w:ascii="Times New Roman" w:hAnsi="Times New Roman"/>
          <w:sz w:val="15"/>
          <w:szCs w:val="15"/>
          <w:highlight w:val="none"/>
        </w:rPr>
        <w:t>Ran 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"https://www.ncbi.nlm.nih.gov/pubmed/?term=Guan%20Y%5BAuthor%5D&amp;cauthor=true&amp;cauthor_uid=29490280" </w:instrText>
      </w:r>
      <w:r>
        <w:rPr>
          <w:highlight w:val="none"/>
        </w:rPr>
        <w:fldChar w:fldCharType="separate"/>
      </w:r>
      <w:r>
        <w:rPr>
          <w:rFonts w:ascii="Times New Roman" w:hAnsi="Times New Roman"/>
          <w:sz w:val="15"/>
          <w:szCs w:val="15"/>
          <w:highlight w:val="none"/>
        </w:rPr>
        <w:t>Guan Y</w:t>
      </w:r>
      <w:r>
        <w:rPr>
          <w:rFonts w:ascii="Times New Roman" w:hAnsi="Times New Roman"/>
          <w:sz w:val="15"/>
          <w:szCs w:val="15"/>
          <w:highlight w:val="none"/>
        </w:rPr>
        <w:fldChar w:fldCharType="end"/>
      </w:r>
      <w:r>
        <w:rPr>
          <w:rFonts w:ascii="Times New Roman" w:hAnsi="Times New Roman"/>
          <w:sz w:val="15"/>
          <w:szCs w:val="15"/>
          <w:highlight w:val="none"/>
        </w:rPr>
        <w:t xml:space="preserve">, et al. GNA11 Q209L Mouse Model Reveals RasGRP3 as an Essential Signaling Node in Uveal Melanoma. </w:t>
      </w:r>
      <w:r>
        <w:rPr>
          <w:highlight w:val="none"/>
        </w:rPr>
        <w:fldChar w:fldCharType="begin"/>
      </w:r>
      <w:r>
        <w:rPr>
          <w:highlight w:val="none"/>
        </w:rPr>
        <w:instrText xml:space="preserve"> HYPERLINK "https://www.ncbi.nlm.nih.gov/pubmed/29490280" \o "Cell reports." </w:instrText>
      </w:r>
      <w:r>
        <w:rPr>
          <w:highlight w:val="none"/>
        </w:rPr>
        <w:fldChar w:fldCharType="separate"/>
      </w:r>
      <w:r>
        <w:rPr>
          <w:rFonts w:ascii="Times New Roman" w:hAnsi="Times New Roman"/>
          <w:sz w:val="15"/>
          <w:szCs w:val="15"/>
          <w:highlight w:val="none"/>
        </w:rPr>
        <w:t>Cell Rep[J].</w:t>
      </w:r>
      <w:r>
        <w:rPr>
          <w:rFonts w:ascii="Times New Roman" w:hAnsi="Times New Roman"/>
          <w:sz w:val="15"/>
          <w:szCs w:val="15"/>
          <w:highlight w:val="none"/>
        </w:rPr>
        <w:fldChar w:fldCharType="end"/>
      </w:r>
      <w:r>
        <w:rPr>
          <w:rFonts w:ascii="Times New Roman" w:hAnsi="Times New Roman"/>
          <w:sz w:val="15"/>
          <w:szCs w:val="15"/>
          <w:highlight w:val="none"/>
        </w:rPr>
        <w:t> 2018, 22(9):2455-2468.</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Khalili J S, Yu X, Wang J, et al. Combination small molecule MEK and PI3K inhibition enhances uveal melanoma cell death in a mutant GNAQ- and GNA11-dependent manner[J]. Clinical Cancer Research, 2012, 18(16):4345-4355.</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Kim D W, Patel S P. Profile of selumetinib and its potential in the treatment of melanoma[J]. OncoTargets and Therapy, 2014, 7:1631-1639.</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Kalinec G, et al. GTPase inhibiting mutations activate the alpha chain of Gs and stimulate adenylyl cyclase in human pituitary tumours[J]. Nature, 1989, 340(6236): 692-696.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Landis CA, et al. Mutated alpha subunit of the Gq protein induces malignant transformation in NIH 3T3 cells[J]. Mol Cell Biol, 1992, 12(10): 4687-4693.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Van Raamsdonk C D, et al. Frequent somatic mutations of GNAQ in uveal melanoma and blue naevi[J]. Nature, 2009, 457(7229): 599-602.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Richard D Carvajal, Jeffrey A Sosman, Jorge Fernando Quevedo, et al. Effect of Selumetinib vs Chemotherapy on Progression-Free Survival in Uveal Melanoma: A Randomized Clinical Trial[J]. JAMA, 2014, 311(23):2397-405.</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"https://www.ncbi.nlm.nih.gov/pubmed/?term=Fabi%20A%5BAuthor%5D&amp;cauthor=true&amp;cauthor_uid=29182361" </w:instrText>
      </w:r>
      <w:r>
        <w:rPr>
          <w:highlight w:val="none"/>
        </w:rPr>
        <w:fldChar w:fldCharType="separate"/>
      </w:r>
      <w:r>
        <w:rPr>
          <w:rFonts w:ascii="Times New Roman" w:hAnsi="Times New Roman"/>
          <w:sz w:val="15"/>
          <w:szCs w:val="15"/>
          <w:highlight w:val="none"/>
        </w:rPr>
        <w:t>Fabi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"https://www.ncbi.nlm.nih.gov/pubmed/?term=Giannarelli%20D%5BAuthor%5D&amp;cauthor=true&amp;cauthor_uid=29182361" </w:instrText>
      </w:r>
      <w:r>
        <w:rPr>
          <w:highlight w:val="none"/>
        </w:rPr>
        <w:fldChar w:fldCharType="separate"/>
      </w:r>
      <w:r>
        <w:rPr>
          <w:rFonts w:ascii="Times New Roman" w:hAnsi="Times New Roman"/>
          <w:sz w:val="15"/>
          <w:szCs w:val="15"/>
          <w:highlight w:val="none"/>
        </w:rPr>
        <w:t>Giannarelli 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"https://www.ncbi.nlm.nih.gov/pubmed/?term=Moscetti%20L%5BAuthor%5D&amp;cauthor=true&amp;cauthor_uid=29182361" </w:instrText>
      </w:r>
      <w:r>
        <w:rPr>
          <w:highlight w:val="none"/>
        </w:rPr>
        <w:fldChar w:fldCharType="separate"/>
      </w:r>
      <w:r>
        <w:rPr>
          <w:rFonts w:ascii="Times New Roman" w:hAnsi="Times New Roman"/>
          <w:sz w:val="15"/>
          <w:szCs w:val="15"/>
          <w:highlight w:val="none"/>
        </w:rPr>
        <w:t>Moscetti L</w:t>
      </w:r>
      <w:r>
        <w:rPr>
          <w:rFonts w:ascii="Times New Roman" w:hAnsi="Times New Roman"/>
          <w:sz w:val="15"/>
          <w:szCs w:val="15"/>
          <w:highlight w:val="none"/>
        </w:rPr>
        <w:fldChar w:fldCharType="end"/>
      </w:r>
      <w:r>
        <w:rPr>
          <w:rFonts w:ascii="Times New Roman" w:hAnsi="Times New Roman"/>
          <w:sz w:val="15"/>
          <w:szCs w:val="15"/>
          <w:highlight w:val="none"/>
        </w:rPr>
        <w:t xml:space="preserve">, et al. Ado-trastuzumab emtansine (T-DM1) in HER2+ advanced breast cancer patients: does pretreatment with pertuzumab matter[J]. </w:t>
      </w:r>
      <w:r>
        <w:rPr>
          <w:highlight w:val="none"/>
        </w:rPr>
        <w:fldChar w:fldCharType="begin"/>
      </w:r>
      <w:r>
        <w:rPr>
          <w:highlight w:val="none"/>
        </w:rPr>
        <w:instrText xml:space="preserve"> HYPERLINK "https://www.ncbi.nlm.nih.gov/pubmed/29182361" \o "Future oncology (London, England)." </w:instrText>
      </w:r>
      <w:r>
        <w:rPr>
          <w:highlight w:val="none"/>
        </w:rPr>
        <w:fldChar w:fldCharType="separate"/>
      </w:r>
      <w:r>
        <w:rPr>
          <w:rFonts w:ascii="Times New Roman" w:hAnsi="Times New Roman"/>
          <w:sz w:val="15"/>
          <w:szCs w:val="15"/>
          <w:highlight w:val="none"/>
        </w:rPr>
        <w:t>Future Oncol,</w:t>
      </w:r>
      <w:r>
        <w:rPr>
          <w:rFonts w:ascii="Times New Roman" w:hAnsi="Times New Roman"/>
          <w:sz w:val="15"/>
          <w:szCs w:val="15"/>
          <w:highlight w:val="none"/>
        </w:rPr>
        <w:fldChar w:fldCharType="end"/>
      </w:r>
      <w:r>
        <w:rPr>
          <w:rFonts w:ascii="Times New Roman" w:hAnsi="Times New Roman"/>
          <w:sz w:val="15"/>
          <w:szCs w:val="15"/>
          <w:highlight w:val="none"/>
        </w:rPr>
        <w:t> 2017, 13(30):2791-2797. </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"https://www.ncbi.nlm.nih.gov/pubmed/?term=J%C3%B8rgensen%20JT%5BAuthor%5D&amp;cauthor=true&amp;cauthor_uid=24782605" </w:instrText>
      </w:r>
      <w:r>
        <w:rPr>
          <w:highlight w:val="none"/>
        </w:rPr>
        <w:fldChar w:fldCharType="separate"/>
      </w:r>
      <w:r>
        <w:rPr>
          <w:rFonts w:ascii="Times New Roman" w:hAnsi="Times New Roman" w:cs="Times New Roman"/>
          <w:sz w:val="15"/>
          <w:szCs w:val="15"/>
          <w:highlight w:val="none"/>
        </w:rPr>
        <w:t>Jørgensen JT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1. Role of human epidermal growth factor receptor 2 in gastric cancer: biological and pharmacological aspects[J]. </w:t>
      </w:r>
      <w:r>
        <w:rPr>
          <w:highlight w:val="none"/>
        </w:rPr>
        <w:fldChar w:fldCharType="begin"/>
      </w:r>
      <w:r>
        <w:rPr>
          <w:highlight w:val="none"/>
        </w:rPr>
        <w:instrText xml:space="preserve"> HYPERLINK "https://www.ncbi.nlm.nih.gov/pubmed/24782605" \o "World journal of gastroenterology." </w:instrText>
      </w:r>
      <w:r>
        <w:rPr>
          <w:highlight w:val="none"/>
        </w:rPr>
        <w:fldChar w:fldCharType="separate"/>
      </w:r>
      <w:r>
        <w:rPr>
          <w:rFonts w:ascii="Times New Roman" w:hAnsi="Times New Roman" w:cs="Times New Roman"/>
          <w:sz w:val="15"/>
          <w:szCs w:val="15"/>
          <w:highlight w:val="none"/>
        </w:rPr>
        <w:t>World J Gastroenterol,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2014, 20(16):4526-35.</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"https://www.ncbi.nlm.nih.gov/pubmed/?term=Li%20BT%5BAuthor%5D&amp;cauthor=true&amp;cauthor_uid=29989854" </w:instrText>
      </w:r>
      <w:r>
        <w:rPr>
          <w:highlight w:val="none"/>
        </w:rPr>
        <w:fldChar w:fldCharType="separate"/>
      </w:r>
      <w:r>
        <w:rPr>
          <w:rFonts w:ascii="Times New Roman" w:hAnsi="Times New Roman" w:cs="Times New Roman"/>
          <w:sz w:val="15"/>
          <w:szCs w:val="15"/>
          <w:highlight w:val="none"/>
        </w:rPr>
        <w:t>Li BT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"https://www.ncbi.nlm.nih.gov/pubmed/?term=Shen%20R%5BAuthor%5D&amp;cauthor=true&amp;cauthor_uid=29989854" </w:instrText>
      </w:r>
      <w:r>
        <w:rPr>
          <w:highlight w:val="none"/>
        </w:rPr>
        <w:fldChar w:fldCharType="separate"/>
      </w:r>
      <w:r>
        <w:rPr>
          <w:rFonts w:ascii="Times New Roman" w:hAnsi="Times New Roman" w:cs="Times New Roman"/>
          <w:sz w:val="15"/>
          <w:szCs w:val="15"/>
          <w:highlight w:val="none"/>
        </w:rPr>
        <w:t>Shen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"https://www.ncbi.nlm.nih.gov/pubmed/?term=Buonocore%20D%5BAuthor%5D&amp;cauthor=true&amp;cauthor_uid=29989854" </w:instrText>
      </w:r>
      <w:r>
        <w:rPr>
          <w:highlight w:val="none"/>
        </w:rPr>
        <w:fldChar w:fldCharType="separate"/>
      </w:r>
      <w:r>
        <w:rPr>
          <w:rFonts w:ascii="Times New Roman" w:hAnsi="Times New Roman" w:cs="Times New Roman"/>
          <w:sz w:val="15"/>
          <w:szCs w:val="15"/>
          <w:highlight w:val="none"/>
        </w:rPr>
        <w:t>Buonocore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Ado-Trastuzumab Emtansine for Patients With HER2-Mutant Lung Cancers: Results From a Phase II Basket Trial[J].</w:t>
      </w:r>
      <w:r>
        <w:rPr>
          <w:rFonts w:ascii="Times New Roman" w:hAnsi="Times New Roman" w:eastAsia="Times New Roman" w:cs="Times New Roman"/>
          <w:color w:val="000000"/>
          <w:sz w:val="17"/>
          <w:szCs w:val="17"/>
          <w:highlight w:val="none"/>
        </w:rPr>
        <w:t xml:space="preserve"> </w:t>
      </w:r>
      <w:r>
        <w:rPr>
          <w:highlight w:val="none"/>
        </w:rPr>
        <w:fldChar w:fldCharType="begin"/>
      </w:r>
      <w:r>
        <w:rPr>
          <w:highlight w:val="none"/>
        </w:rPr>
        <w:instrText xml:space="preserve"> HYPERLINK "https://www.ncbi.nlm.nih.gov/pubmed/29989854" \o "Journal of clinical oncology : official journal of the American Society of Clinical Oncology." </w:instrText>
      </w:r>
      <w:r>
        <w:rPr>
          <w:highlight w:val="none"/>
        </w:rPr>
        <w:fldChar w:fldCharType="separate"/>
      </w:r>
      <w:r>
        <w:rPr>
          <w:rFonts w:ascii="Times New Roman" w:hAnsi="Times New Roman" w:cs="Times New Roman"/>
          <w:sz w:val="15"/>
          <w:szCs w:val="15"/>
          <w:highlight w:val="none"/>
        </w:rPr>
        <w:t>J Clin Oncol,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36(24):2532-2537. </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Finn R S, Crown J P, Lang I, et al. The cyclin-dependent kinase 4/6 inhibitorPalbociclib in combination withLetrozole versus Letrozole alone as first-line treatment of oestrogen receptor-positive, HER2-negative, advanced breast cancer (PALOMA-1/TRIO-18): a randomised phase 2 study[J]. The Lancet Oncology, 2015, 16(1):25-35.</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Cristina Grávalos, Carlos Gómez-Martín, Rivera F , et al. Phase II study of Brastuzumab and cisplatin as first-line therapy in patients with HER2-positive advanced gastric or gastroesophageal junction cancer[J]. Clinical &amp; Translational Oncology, 2011, 13(3):179-184.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SATOH, Taroh, XU, et al. Lapatinib plus paclitaxel versus Paclitaxelalone in the second-line treatment of HER2-amplified advanced gastric cancer in Asian populations: tytan—arandomized, phase III study[J]. Journal of Clinical Oncology, 2016, 32(19):2039-2049.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Martinelli E , Troiani T , Sforza V , et al. Sequential HER2 blockade as effective therapy in chemorefractory, HER2 gene-amplified, RAS wild-type, metastatic colorectal cancer: learning from a clinical case[J]. ESMO Open, 2018, 3(1):e000299.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Sartorebianchi A , Trusolino L , Martino C , et al. Dual-targeted therapy with Trastuzumab and Lapatinib in treatment-refractory, KRAS codon 12/13 wild-type, HER2-positive metastatic colorectal cancer (HERACLES): a proof-of-concept, multicentre, open-label, phase 2 trial[J]. Lancet Oncology, 2016, 17(6):738-746.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Nam A R, Kim J W, Cha Y, et al. Therapeutic implication of HER2 in advanced biliary tract cancer[J]. Oncotarget, 2014, 7(36):58007-58021.</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Kavuri S M, Jain N, Galimi F, et al. HER2 activating mutations are targets for colorectal cancer treatment[J]. Cancer Discovery, 2015, 5(8):832.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Wolff A C, et al. Recommendations for human epidermal growth factor receptor 2 testing in breast cancer: American Society of Clinical Oncology/College of American Pathologists clinical practice guideline update[J]. Archives of Pathology &amp; Laboratory Medicine, 2013, 31(31):3997.</w:t>
      </w:r>
    </w:p>
    <w:p>
      <w:pPr>
        <w:widowControl/>
        <w:numPr>
          <w:ilvl w:val="0"/>
          <w:numId w:val="34"/>
        </w:numPr>
        <w:spacing w:after="32"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 Greve J, et al. Clinical activity of Afatinib (BIBW 2992) in patients with lung adenocarcinoma with mutations in the kinase domain of HER2/neu[J].Lung Cancer, 2012, 76(1): 123-127.</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Arcila, et al. Prevalence, clinicopathologic associations, and molecular spectrum of ERBB2 (HER2) tyrosine kinase mutations in lung adenocarcinomas[J]. Clinical Cancer Research, 2012, 18(18): 4910-4918.</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Andersson M, López-Vega JM, Petit T, et al. Efficacy and Safety of Pertuzumab and Trastuzumab Administered in a Single Infusion Bag, Followed by Vinorelbine: VELVET Cohort 2 Final Results[J]. Oncologist, 2017, 22(10):1160-1168.</w:t>
      </w:r>
    </w:p>
    <w:p>
      <w:pPr>
        <w:widowControl/>
        <w:numPr>
          <w:ilvl w:val="0"/>
          <w:numId w:val="34"/>
        </w:numPr>
        <w:spacing w:after="84" w:line="256" w:lineRule="auto"/>
        <w:rPr>
          <w:rFonts w:ascii="Times New Roman" w:hAnsi="Times New Roman"/>
          <w:sz w:val="15"/>
          <w:szCs w:val="15"/>
          <w:highlight w:val="none"/>
        </w:rPr>
      </w:pPr>
      <w:r>
        <w:rPr>
          <w:rFonts w:ascii="Times New Roman" w:hAnsi="Times New Roman"/>
          <w:sz w:val="15"/>
          <w:szCs w:val="15"/>
          <w:highlight w:val="none"/>
        </w:rPr>
        <w:t>Y Wang, T Jiang, et al. HER2 exon 20 insertions in non-small-cell lung cancer are sensitive to the irreversible pan-HER receptor tyrosine kinase inhibitor pyrotinib[J]. Oncol, 2019, 30(3):447-455.</w:t>
      </w:r>
    </w:p>
    <w:p>
      <w:pPr>
        <w:numPr>
          <w:ilvl w:val="0"/>
          <w:numId w:val="34"/>
        </w:numPr>
        <w:spacing w:after="84" w:line="260" w:lineRule="auto"/>
        <w:rPr>
          <w:rFonts w:hint="eastAsia" w:ascii="Times New Roman" w:hAnsi="Times New Roman" w:cs="Times New Roman"/>
          <w:sz w:val="15"/>
          <w:szCs w:val="15"/>
          <w:highlight w:val="none"/>
        </w:rPr>
      </w:pPr>
      <w:r>
        <w:rPr>
          <w:rFonts w:hint="eastAsia" w:ascii="Times New Roman" w:hAnsi="Times New Roman" w:cs="Times New Roman"/>
          <w:sz w:val="15"/>
          <w:szCs w:val="15"/>
          <w:highlight w:val="none"/>
        </w:rPr>
        <w:t>José B, Javier C, Sung-Bae K, et al.</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Pertuzumab plus trastuzumab plus docetaxel for metastatic breast cancer</w:t>
      </w:r>
      <w:r>
        <w:rPr>
          <w:rFonts w:ascii="Times New Roman" w:hAnsi="Times New Roman" w:cs="Times New Roman"/>
          <w:sz w:val="15"/>
          <w:szCs w:val="15"/>
          <w:highlight w:val="none"/>
        </w:rPr>
        <w:t>[J]</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N Engl J Med</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2012</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366(2):109-19.</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Xavier Pivot, Alexey Manikhas, Bogdan Żurawski, et al. CEREBEL (EGF111438): A Phase III, Randomized, Open-Label Study of Lapatinib Plus Capecitabine Versus Trastuzumab Plus Capecitabine in Patients With Human Epidermal Growth Factor Receptor 2-Positive Metastatic Breast Cancer[J]. J Clin Oncol, 2015, 33(14):1564-73.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Julien M, et al. Lung cancer that harbors a HER2 mutation: Epidemiologic characteristics and therapeutic perspectives[J]. Journal of Clinical Oncology, 2013, 31(16):1997-U307.</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Edward H Romond, Edith A Perez, John Bryant, et al. Trastuzumab Plus Adjuvant Chemotherapy for Operable HER2-positive Breast Cancer[J]. N Engl J Med, 2005, 353(16): 1673-84.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Michael F Press, Catherine E Ellis, Robert C Gagnon, et al. HER2 Status in Advanced or Metastatic Gastric, Esophageal, or Gastroesophageal Adenocarcinoma for Entry to the TRIO-013/LOGiC Trial of Lapatinib[J]. Mol Cancer Ther, 2017, 16(1): 228-238.</w:t>
      </w:r>
    </w:p>
    <w:p>
      <w:pPr>
        <w:pStyle w:val="31"/>
        <w:numPr>
          <w:ilvl w:val="0"/>
          <w:numId w:val="34"/>
        </w:numPr>
        <w:ind w:firstLineChars="0"/>
        <w:rPr>
          <w:rFonts w:ascii="Times New Roman" w:hAnsi="Times New Roman" w:cs="Times New Roman"/>
          <w:sz w:val="15"/>
          <w:szCs w:val="15"/>
          <w:highlight w:val="none"/>
        </w:rPr>
      </w:pPr>
      <w:r>
        <w:rPr>
          <w:rFonts w:ascii="Times New Roman" w:hAnsi="Times New Roman" w:cs="Times New Roman"/>
          <w:sz w:val="15"/>
          <w:szCs w:val="15"/>
          <w:highlight w:val="none"/>
        </w:rPr>
        <w:t>Stephen E Jones, Rufus Collea, et al. Adjuvant docetaxel and cyclophosphamide plus trastuzumab in patients with HER2-amplified early stage breast cancer: a single-group, open-label, phase 2 study[J]. Lancet Oncol, 2013, 14(11):1121-1128.</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"https://www.ncbi.nlm.nih.gov/pubmed/?term=Sherman%20SI%5BAuthor%5D&amp;cauthor=true&amp;cauthor_uid=27525386" </w:instrText>
      </w:r>
      <w:r>
        <w:rPr>
          <w:highlight w:val="none"/>
        </w:rPr>
        <w:fldChar w:fldCharType="separate"/>
      </w:r>
      <w:r>
        <w:rPr>
          <w:rFonts w:ascii="Times New Roman" w:hAnsi="Times New Roman" w:cs="Times New Roman"/>
          <w:sz w:val="15"/>
          <w:szCs w:val="15"/>
          <w:highlight w:val="none"/>
        </w:rPr>
        <w:t>Sherman SI</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"https://www.ncbi.nlm.nih.gov/pubmed/?term=Clary%20DO%5BAuthor%5D&amp;cauthor=true&amp;cauthor_uid=27525386" </w:instrText>
      </w:r>
      <w:r>
        <w:rPr>
          <w:highlight w:val="none"/>
        </w:rPr>
        <w:fldChar w:fldCharType="separate"/>
      </w:r>
      <w:r>
        <w:rPr>
          <w:rFonts w:ascii="Times New Roman" w:hAnsi="Times New Roman" w:cs="Times New Roman"/>
          <w:sz w:val="15"/>
          <w:szCs w:val="15"/>
          <w:highlight w:val="none"/>
        </w:rPr>
        <w:t>Clary DO</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"https://www.ncbi.nlm.nih.gov/pubmed/?term=Elisei%20R%5BAuthor%5D&amp;cauthor=true&amp;cauthor_uid=27525386" </w:instrText>
      </w:r>
      <w:r>
        <w:rPr>
          <w:highlight w:val="none"/>
        </w:rPr>
        <w:fldChar w:fldCharType="separate"/>
      </w:r>
      <w:r>
        <w:rPr>
          <w:rFonts w:ascii="Times New Roman" w:hAnsi="Times New Roman" w:cs="Times New Roman"/>
          <w:sz w:val="15"/>
          <w:szCs w:val="15"/>
          <w:highlight w:val="none"/>
        </w:rPr>
        <w:t>Elisei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Correlative analyses of RET and RAS mutations in a phase 3 trial of cabozantinib in patients with progressive, metastatic medullary thyroid cancer[J]. </w:t>
      </w:r>
      <w:r>
        <w:rPr>
          <w:highlight w:val="none"/>
        </w:rPr>
        <w:fldChar w:fldCharType="begin"/>
      </w:r>
      <w:r>
        <w:rPr>
          <w:highlight w:val="none"/>
        </w:rPr>
        <w:instrText xml:space="preserve"> HYPERLINK "https://www.ncbi.nlm.nih.gov/pubmed/?term=27525386%5D" \o "Cancer." </w:instrText>
      </w:r>
      <w:r>
        <w:rPr>
          <w:highlight w:val="none"/>
        </w:rPr>
        <w:fldChar w:fldCharType="separate"/>
      </w:r>
      <w:r>
        <w:rPr>
          <w:rFonts w:ascii="Times New Roman" w:hAnsi="Times New Roman" w:cs="Times New Roman"/>
          <w:sz w:val="15"/>
          <w:szCs w:val="15"/>
          <w:highlight w:val="none"/>
        </w:rPr>
        <w:t>Cancer,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2016, 122(24):3856-3864.</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"https://www.ncbi.nlm.nih.gov/pubmed/?term=Chen%20W%5BAuthor%5D&amp;cauthor=true&amp;cauthor_uid=28760855" </w:instrText>
      </w:r>
      <w:r>
        <w:rPr>
          <w:highlight w:val="none"/>
        </w:rPr>
        <w:fldChar w:fldCharType="separate"/>
      </w:r>
      <w:r>
        <w:rPr>
          <w:rFonts w:ascii="Times New Roman" w:hAnsi="Times New Roman" w:cs="Times New Roman"/>
          <w:sz w:val="15"/>
          <w:szCs w:val="15"/>
          <w:highlight w:val="none"/>
        </w:rPr>
        <w:t>Chen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"https://www.ncbi.nlm.nih.gov/pubmed/?term=Kuang%20Y%5BAuthor%5D&amp;cauthor=true&amp;cauthor_uid=28760855" </w:instrText>
      </w:r>
      <w:r>
        <w:rPr>
          <w:highlight w:val="none"/>
        </w:rPr>
        <w:fldChar w:fldCharType="separate"/>
      </w:r>
      <w:r>
        <w:rPr>
          <w:rFonts w:ascii="Times New Roman" w:hAnsi="Times New Roman" w:cs="Times New Roman"/>
          <w:sz w:val="15"/>
          <w:szCs w:val="15"/>
          <w:highlight w:val="none"/>
        </w:rPr>
        <w:t>Kuang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"https://www.ncbi.nlm.nih.gov/pubmed/?term=Qiu%20HB%5BAuthor%5D&amp;cauthor=true&amp;cauthor_uid=28760855" </w:instrText>
      </w:r>
      <w:r>
        <w:rPr>
          <w:highlight w:val="none"/>
        </w:rPr>
        <w:fldChar w:fldCharType="separate"/>
      </w:r>
      <w:r>
        <w:rPr>
          <w:rFonts w:ascii="Times New Roman" w:hAnsi="Times New Roman" w:cs="Times New Roman"/>
          <w:sz w:val="15"/>
          <w:szCs w:val="15"/>
          <w:highlight w:val="none"/>
        </w:rPr>
        <w:t>Qiu HB</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Dual Targeting of Insulin Receptor and KIT in Imatinib-Resistant Gastrointestinal Stromal Tumors[J]. </w:t>
      </w:r>
      <w:r>
        <w:rPr>
          <w:highlight w:val="none"/>
        </w:rPr>
        <w:fldChar w:fldCharType="begin"/>
      </w:r>
      <w:r>
        <w:rPr>
          <w:highlight w:val="none"/>
        </w:rPr>
        <w:instrText xml:space="preserve"> HYPERLINK "https://www.ncbi.nlm.nih.gov/pubmed/28760855" \o "Cancer research." </w:instrText>
      </w:r>
      <w:r>
        <w:rPr>
          <w:highlight w:val="none"/>
        </w:rPr>
        <w:fldChar w:fldCharType="separate"/>
      </w:r>
      <w:r>
        <w:rPr>
          <w:rFonts w:ascii="Times New Roman" w:hAnsi="Times New Roman" w:cs="Times New Roman"/>
          <w:sz w:val="15"/>
          <w:szCs w:val="15"/>
          <w:highlight w:val="none"/>
        </w:rPr>
        <w:t>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77(18):5107-5117. </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"https://www.ncbi.nlm.nih.gov/pubmed/?term=Poveda%20A%5BAuthor%5D&amp;cauthor=true&amp;cauthor_uid=28351781" </w:instrText>
      </w:r>
      <w:r>
        <w:rPr>
          <w:highlight w:val="none"/>
        </w:rPr>
        <w:fldChar w:fldCharType="separate"/>
      </w:r>
      <w:r>
        <w:rPr>
          <w:rFonts w:ascii="Times New Roman" w:hAnsi="Times New Roman"/>
          <w:sz w:val="15"/>
          <w:szCs w:val="15"/>
          <w:highlight w:val="none"/>
        </w:rPr>
        <w:t>Poveda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"https://www.ncbi.nlm.nih.gov/pubmed/?term=Garc%C3%ADa%20Del%20Muro%20X%5BAuthor%5D&amp;cauthor=true&amp;cauthor_uid=28351781" </w:instrText>
      </w:r>
      <w:r>
        <w:rPr>
          <w:highlight w:val="none"/>
        </w:rPr>
        <w:fldChar w:fldCharType="separate"/>
      </w:r>
      <w:r>
        <w:rPr>
          <w:rFonts w:ascii="Times New Roman" w:hAnsi="Times New Roman"/>
          <w:sz w:val="15"/>
          <w:szCs w:val="15"/>
          <w:highlight w:val="none"/>
        </w:rPr>
        <w:t>García Del Muro X</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"https://www.ncbi.nlm.nih.gov/pubmed/?term=L%C3%B3pez-Guerrero%20JA%5BAuthor%5D&amp;cauthor=true&amp;cauthor_uid=28351781" </w:instrText>
      </w:r>
      <w:r>
        <w:rPr>
          <w:highlight w:val="none"/>
        </w:rPr>
        <w:fldChar w:fldCharType="separate"/>
      </w:r>
      <w:r>
        <w:rPr>
          <w:rFonts w:ascii="Times New Roman" w:hAnsi="Times New Roman"/>
          <w:sz w:val="15"/>
          <w:szCs w:val="15"/>
          <w:highlight w:val="none"/>
        </w:rPr>
        <w:t>López-Guerrero JA</w:t>
      </w:r>
      <w:r>
        <w:rPr>
          <w:rFonts w:ascii="Times New Roman" w:hAnsi="Times New Roman"/>
          <w:sz w:val="15"/>
          <w:szCs w:val="15"/>
          <w:highlight w:val="none"/>
        </w:rPr>
        <w:fldChar w:fldCharType="end"/>
      </w:r>
      <w:r>
        <w:rPr>
          <w:rFonts w:ascii="Times New Roman" w:hAnsi="Times New Roman"/>
          <w:sz w:val="15"/>
          <w:szCs w:val="15"/>
          <w:highlight w:val="none"/>
        </w:rPr>
        <w:t xml:space="preserve">, et al. GEIS guidelines for gastrointestinal sarcomas (GIST). </w:t>
      </w:r>
      <w:r>
        <w:rPr>
          <w:highlight w:val="none"/>
        </w:rPr>
        <w:fldChar w:fldCharType="begin"/>
      </w:r>
      <w:r>
        <w:rPr>
          <w:highlight w:val="none"/>
        </w:rPr>
        <w:instrText xml:space="preserve"> HYPERLINK "https://www.ncbi.nlm.nih.gov/pubmed/28351781" \o "Cancer treatment reviews." </w:instrText>
      </w:r>
      <w:r>
        <w:rPr>
          <w:highlight w:val="none"/>
        </w:rPr>
        <w:fldChar w:fldCharType="separate"/>
      </w:r>
      <w:r>
        <w:rPr>
          <w:rFonts w:ascii="Times New Roman" w:hAnsi="Times New Roman"/>
          <w:sz w:val="15"/>
          <w:szCs w:val="15"/>
          <w:highlight w:val="none"/>
        </w:rPr>
        <w:t>Cancer Treat Rev[J].</w:t>
      </w:r>
      <w:r>
        <w:rPr>
          <w:rFonts w:ascii="Times New Roman" w:hAnsi="Times New Roman"/>
          <w:sz w:val="15"/>
          <w:szCs w:val="15"/>
          <w:highlight w:val="none"/>
        </w:rPr>
        <w:fldChar w:fldCharType="end"/>
      </w:r>
      <w:r>
        <w:rPr>
          <w:rFonts w:ascii="Times New Roman" w:hAnsi="Times New Roman"/>
          <w:sz w:val="15"/>
          <w:szCs w:val="15"/>
          <w:highlight w:val="none"/>
        </w:rPr>
        <w:t> 2017, 55:107-119. </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Buti S, et al. Impressive response with imatinib in a heavily pretreated patient with metastatic c-KIT mutated thymic carcinoma[J]. Journal of Clinical Oncology, 2011, 29(33): e803-e805.</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Carvajal R D, et al. KIT as a therapeutic target in metastatic melanoma[J]. Journal of Investigative Dermatology, 2010, 130(9):2169-2172.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Corless C L, et al. Relation of tumor pathologic and molecular features to outcome after surgical resection of localized primary gastrointestinal stromaltumor (GIST): results of the intergroup phase III trial ACOSOG Z9001[J]. J Clin Oncol, 2010, 28:15.</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Disel, et al. Promising efficacy of sorafenib in a relapsed thymic carcinoma with C-KIT exon 11 deletion mutation[J]. Lung Cancer, 2011, 71(1): 109-112.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Joensuu H F, et al. Vatalanib for metastatic gastrointestinal stromal tumour (GIST) resistant to imatinib: final results of a phase II study[J]. British Journal of Cancer, 2011, 104(11): 1686-1690.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Kong Yan, et al. Large-scale analysis of KIT aberrations in Chinese patients with melanoma[J]. Clinical Cancer Research, 2011, 17(7): 1684-1691.</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Park, et al. Prognostic impact of c-KIT mutations in core binding factor acute myeloid leukemia[J]. Leukemia Research, 2011, 10: 1376-1383.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Terheyden, et al. Response to Imatinib mesylate depends on the presence of the V559A-mutated KIT oncogene[J]. Journal of Investigative Dermatology,2010, 130(1): 314-316.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Minor D R, et al. Sunitinib therapy for melanoma patients with KIT mutations[J]. Clin Cancer Res, 2012, 18(5): 1457-1463.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Guo T, et al. Sorafenib inhibits the Imatinib-resistant KIT T670I gatekeeper mutation in gastrointestinal stromal tumor[J]. Clin Cancer Res, 2007, 13(16):4874-4881.</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"https://www.ncbi.nlm.nih.gov/pubmed/?term=Abbaspour%20Babaei%20M%5BAuthor%5D&amp;cauthor=true&amp;cauthor_uid=27536065" </w:instrText>
      </w:r>
      <w:r>
        <w:rPr>
          <w:highlight w:val="none"/>
        </w:rPr>
        <w:fldChar w:fldCharType="separate"/>
      </w:r>
      <w:r>
        <w:rPr>
          <w:rFonts w:ascii="Times New Roman" w:hAnsi="Times New Roman"/>
          <w:sz w:val="15"/>
          <w:szCs w:val="15"/>
          <w:highlight w:val="none"/>
        </w:rPr>
        <w:t>Abbaspour Babaei M</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"https://www.ncbi.nlm.nih.gov/pubmed/?term=Kamalidehghan%20B%5BAuthor%5D&amp;cauthor=true&amp;cauthor_uid=27536065" </w:instrText>
      </w:r>
      <w:r>
        <w:rPr>
          <w:highlight w:val="none"/>
        </w:rPr>
        <w:fldChar w:fldCharType="separate"/>
      </w:r>
      <w:r>
        <w:rPr>
          <w:rFonts w:ascii="Times New Roman" w:hAnsi="Times New Roman"/>
          <w:sz w:val="15"/>
          <w:szCs w:val="15"/>
          <w:highlight w:val="none"/>
        </w:rPr>
        <w:t>Kamalidehghan B</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"https://www.ncbi.nlm.nih.gov/pubmed/?term=Saleem%20M%5BAuthor%5D&amp;cauthor=true&amp;cauthor_uid=27536065" </w:instrText>
      </w:r>
      <w:r>
        <w:rPr>
          <w:highlight w:val="none"/>
        </w:rPr>
        <w:fldChar w:fldCharType="separate"/>
      </w:r>
      <w:r>
        <w:rPr>
          <w:rFonts w:ascii="Times New Roman" w:hAnsi="Times New Roman"/>
          <w:sz w:val="15"/>
          <w:szCs w:val="15"/>
          <w:highlight w:val="none"/>
        </w:rPr>
        <w:t>Saleem M</w:t>
      </w:r>
      <w:r>
        <w:rPr>
          <w:rFonts w:ascii="Times New Roman" w:hAnsi="Times New Roman"/>
          <w:sz w:val="15"/>
          <w:szCs w:val="15"/>
          <w:highlight w:val="none"/>
        </w:rPr>
        <w:fldChar w:fldCharType="end"/>
      </w:r>
      <w:r>
        <w:rPr>
          <w:rFonts w:ascii="Times New Roman" w:hAnsi="Times New Roman"/>
          <w:sz w:val="15"/>
          <w:szCs w:val="15"/>
          <w:highlight w:val="none"/>
        </w:rPr>
        <w:t xml:space="preserve">, Receptor tyrosine kinase (c-Kit) inhibitors: a potential therapeutic target in cancer cells. </w:t>
      </w:r>
      <w:r>
        <w:rPr>
          <w:highlight w:val="none"/>
        </w:rPr>
        <w:fldChar w:fldCharType="begin"/>
      </w:r>
      <w:r>
        <w:rPr>
          <w:highlight w:val="none"/>
        </w:rPr>
        <w:instrText xml:space="preserve"> HYPERLINK "https://www.ncbi.nlm.nih.gov/pubmed/27536065" \o "Drug design, development and therapy." </w:instrText>
      </w:r>
      <w:r>
        <w:rPr>
          <w:highlight w:val="none"/>
        </w:rPr>
        <w:fldChar w:fldCharType="separate"/>
      </w:r>
      <w:r>
        <w:rPr>
          <w:rFonts w:ascii="Times New Roman" w:hAnsi="Times New Roman"/>
          <w:sz w:val="15"/>
          <w:szCs w:val="15"/>
          <w:highlight w:val="none"/>
        </w:rPr>
        <w:t>Drug Des Devel Ther[J].</w:t>
      </w:r>
      <w:r>
        <w:rPr>
          <w:rFonts w:ascii="Times New Roman" w:hAnsi="Times New Roman"/>
          <w:sz w:val="15"/>
          <w:szCs w:val="15"/>
          <w:highlight w:val="none"/>
        </w:rPr>
        <w:fldChar w:fldCharType="end"/>
      </w:r>
      <w:r>
        <w:rPr>
          <w:rFonts w:ascii="Times New Roman" w:hAnsi="Times New Roman"/>
          <w:sz w:val="15"/>
          <w:szCs w:val="15"/>
          <w:highlight w:val="none"/>
        </w:rPr>
        <w:t> 2016, 10:2443-59.</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"https://www.ncbi.nlm.nih.gov/pubmed/?term=Lim%20KT%5BAuthor%5D&amp;cauthor=true&amp;cauthor_uid=28785140" </w:instrText>
      </w:r>
      <w:r>
        <w:rPr>
          <w:highlight w:val="none"/>
        </w:rPr>
        <w:fldChar w:fldCharType="separate"/>
      </w:r>
      <w:r>
        <w:rPr>
          <w:rFonts w:ascii="Times New Roman" w:hAnsi="Times New Roman" w:cs="Times New Roman"/>
          <w:sz w:val="15"/>
          <w:szCs w:val="15"/>
          <w:highlight w:val="none"/>
        </w:rPr>
        <w:t>Lim KT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"https://www.ncbi.nlm.nih.gov/pubmed/?term=Tan%20KY%5BAuthor%5D&amp;cauthor=true&amp;cauthor_uid=28785140" </w:instrText>
      </w:r>
      <w:r>
        <w:rPr>
          <w:highlight w:val="none"/>
        </w:rPr>
        <w:fldChar w:fldCharType="separate"/>
      </w:r>
      <w:r>
        <w:rPr>
          <w:rFonts w:ascii="Times New Roman" w:hAnsi="Times New Roman" w:cs="Times New Roman"/>
          <w:sz w:val="15"/>
          <w:szCs w:val="15"/>
          <w:highlight w:val="none"/>
        </w:rPr>
        <w:t>Tan KY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Current research and treatment for gastrointestinal stromal tumors[J]. </w:t>
      </w:r>
      <w:r>
        <w:rPr>
          <w:highlight w:val="none"/>
        </w:rPr>
        <w:fldChar w:fldCharType="begin"/>
      </w:r>
      <w:r>
        <w:rPr>
          <w:highlight w:val="none"/>
        </w:rPr>
        <w:instrText xml:space="preserve"> HYPERLINK "https://www.ncbi.nlm.nih.gov/pubmed/28785140" \o "World journal of gastroenterology." </w:instrText>
      </w:r>
      <w:r>
        <w:rPr>
          <w:highlight w:val="none"/>
        </w:rPr>
        <w:fldChar w:fldCharType="separate"/>
      </w:r>
      <w:r>
        <w:rPr>
          <w:rFonts w:ascii="Times New Roman" w:hAnsi="Times New Roman" w:cs="Times New Roman"/>
          <w:sz w:val="15"/>
          <w:szCs w:val="15"/>
          <w:highlight w:val="none"/>
        </w:rPr>
        <w:t>World J Gastroenterol.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23(27):4856-4866.</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Fulvio Massaro, Matteo Molica, Massimo Breccia. Ponatinib: A Review of Efficacy and Safety Curr Cancer Drug Targets[J]. Curr Cancer Drug Targets, 2018, 18(9):847-856.</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Michael M</w:t>
      </w:r>
      <w:r>
        <w:rPr>
          <w:rFonts w:ascii="Times New Roman" w:hAnsi="Times New Roman" w:cs="Times New Roman"/>
          <w:sz w:val="15"/>
          <w:szCs w:val="15"/>
          <w:highlight w:val="none"/>
        </w:rPr>
        <w:t>, et al</w:t>
      </w:r>
      <w:r>
        <w:rPr>
          <w:rFonts w:ascii="Times New Roman" w:hAnsi="Times New Roman"/>
          <w:sz w:val="15"/>
          <w:szCs w:val="15"/>
          <w:highlight w:val="none"/>
        </w:rPr>
        <w:t>. Long-term outcome of dasatinib first-line treatment in gastrointestinal stromal tumor: A multicenter, 2-stage phase 2 trial (Swiss Group for Clinical Cancer Research 56/07)[J]. Clinical Trial Cancer, 2018, 124(7): 1449-1454.</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"https://www.ncbi.nlm.nih.gov/pubmed/?term=Petrelli%20F%5BAuthor%5D&amp;cauthor=true&amp;cauthor_uid=29393280" </w:instrText>
      </w:r>
      <w:r>
        <w:rPr>
          <w:highlight w:val="none"/>
        </w:rPr>
        <w:fldChar w:fldCharType="separate"/>
      </w:r>
      <w:r>
        <w:rPr>
          <w:rFonts w:ascii="Times New Roman" w:hAnsi="Times New Roman" w:cs="Times New Roman"/>
          <w:sz w:val="15"/>
          <w:szCs w:val="15"/>
          <w:highlight w:val="none"/>
        </w:rPr>
        <w:t>Petrelli F</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"https://www.ncbi.nlm.nih.gov/pubmed/?term=Ardito%20R%5BAuthor%5D&amp;cauthor=true&amp;cauthor_uid=29393280" </w:instrText>
      </w:r>
      <w:r>
        <w:rPr>
          <w:highlight w:val="none"/>
        </w:rPr>
        <w:fldChar w:fldCharType="separate"/>
      </w:r>
      <w:r>
        <w:rPr>
          <w:rFonts w:ascii="Times New Roman" w:hAnsi="Times New Roman" w:cs="Times New Roman"/>
          <w:sz w:val="15"/>
          <w:szCs w:val="15"/>
          <w:highlight w:val="none"/>
        </w:rPr>
        <w:t>Ardito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"https://www.ncbi.nlm.nih.gov/pubmed/?term=Ghidini%20A%5BAuthor%5D&amp;cauthor=true&amp;cauthor_uid=29393280" </w:instrText>
      </w:r>
      <w:r>
        <w:rPr>
          <w:highlight w:val="none"/>
        </w:rPr>
        <w:fldChar w:fldCharType="separate"/>
      </w:r>
      <w:r>
        <w:rPr>
          <w:rFonts w:ascii="Times New Roman" w:hAnsi="Times New Roman" w:cs="Times New Roman"/>
          <w:sz w:val="15"/>
          <w:szCs w:val="15"/>
          <w:highlight w:val="none"/>
        </w:rPr>
        <w:t>Ghidini A</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Different Toxicity of Cetuximab and Panitumumab in Metastatic Colorectal Cancer Treatment: A Systematic Review and Meta-Analysis[J]. </w:t>
      </w:r>
      <w:r>
        <w:rPr>
          <w:highlight w:val="none"/>
        </w:rPr>
        <w:fldChar w:fldCharType="begin"/>
      </w:r>
      <w:r>
        <w:rPr>
          <w:highlight w:val="none"/>
        </w:rPr>
        <w:instrText xml:space="preserve"> HYPERLINK "https://www.ncbi.nlm.nih.gov/pubmed/29393280" \o "Oncology." </w:instrText>
      </w:r>
      <w:r>
        <w:rPr>
          <w:highlight w:val="none"/>
        </w:rPr>
        <w:fldChar w:fldCharType="separate"/>
      </w:r>
      <w:r>
        <w:rPr>
          <w:rFonts w:ascii="Times New Roman" w:hAnsi="Times New Roman" w:cs="Times New Roman"/>
          <w:sz w:val="15"/>
          <w:szCs w:val="15"/>
          <w:highlight w:val="none"/>
        </w:rPr>
        <w:t>Oncology,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94(4):191-199. </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"https://www.ncbi.nlm.nih.gov/pubmed/?term=Huxley%20N%5BAuthor%5D&amp;cauthor=true&amp;cauthor_uid=28682222" </w:instrText>
      </w:r>
      <w:r>
        <w:rPr>
          <w:highlight w:val="none"/>
        </w:rPr>
        <w:fldChar w:fldCharType="separate"/>
      </w:r>
      <w:r>
        <w:rPr>
          <w:rFonts w:ascii="Times New Roman" w:hAnsi="Times New Roman" w:cs="Times New Roman"/>
          <w:sz w:val="15"/>
          <w:szCs w:val="15"/>
          <w:highlight w:val="none"/>
        </w:rPr>
        <w:t>Huxley N</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"https://www.ncbi.nlm.nih.gov/pubmed/?term=Crathorne%20L%5BAuthor%5D&amp;cauthor=true&amp;cauthor_uid=28682222" </w:instrText>
      </w:r>
      <w:r>
        <w:rPr>
          <w:highlight w:val="none"/>
        </w:rPr>
        <w:fldChar w:fldCharType="separate"/>
      </w:r>
      <w:r>
        <w:rPr>
          <w:rFonts w:ascii="Times New Roman" w:hAnsi="Times New Roman" w:cs="Times New Roman"/>
          <w:sz w:val="15"/>
          <w:szCs w:val="15"/>
          <w:highlight w:val="none"/>
        </w:rPr>
        <w:t>Crathorne 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"https://www.ncbi.nlm.nih.gov/pubmed/?term=Varley-Campbell%20J%5BAuthor%5D&amp;cauthor=true&amp;cauthor_uid=28682222" </w:instrText>
      </w:r>
      <w:r>
        <w:rPr>
          <w:highlight w:val="none"/>
        </w:rPr>
        <w:fldChar w:fldCharType="separate"/>
      </w:r>
      <w:r>
        <w:rPr>
          <w:rFonts w:ascii="Times New Roman" w:hAnsi="Times New Roman" w:cs="Times New Roman"/>
          <w:sz w:val="15"/>
          <w:szCs w:val="15"/>
          <w:highlight w:val="none"/>
        </w:rPr>
        <w:t>Varley-Campbell J</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The clinical effectiveness and cost-effectiveness of cetuximab (review of technology appraisal no. 176) and panitumumab (partial review of technology appraisal no. 240) for previously untreated metastatic colorectal cancer: a systematic review and economic evaluation[J]. </w:t>
      </w:r>
      <w:r>
        <w:rPr>
          <w:highlight w:val="none"/>
        </w:rPr>
        <w:fldChar w:fldCharType="begin"/>
      </w:r>
      <w:r>
        <w:rPr>
          <w:highlight w:val="none"/>
        </w:rPr>
        <w:instrText xml:space="preserve"> HYPERLINK "https://www.ncbi.nlm.nih.gov/pubmed/28682222" \o "Health technology assessment (Winchester, England)." </w:instrText>
      </w:r>
      <w:r>
        <w:rPr>
          <w:highlight w:val="none"/>
        </w:rPr>
        <w:fldChar w:fldCharType="separate"/>
      </w:r>
      <w:r>
        <w:rPr>
          <w:rFonts w:ascii="Times New Roman" w:hAnsi="Times New Roman" w:cs="Times New Roman"/>
          <w:sz w:val="15"/>
          <w:szCs w:val="15"/>
          <w:highlight w:val="none"/>
        </w:rPr>
        <w:t>Health Technol Assess,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21(38):1-294. </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Kavuri S M, Jain N, Galimi F, et al. HER2 activating mutations are targets for colorectal cancer treatment[J]. Cancer Discovery, 2015, 5(8):832.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Chaft J E , Litvak A , Arcila M E , et al. Phase II study of the GI-4000 KRAS vaccine after curative therapy in patients with stage I-III lung adenocarcinoma harboring a KRAS G12C, G12D, or G12V mutation[J]. Clinical Lung Cancer, 2014, 15(6):405-410.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Price K A , Azzoli C G , Krug L M , et al. Phase II trial of Gefitinib and Everolimus in advanced non-small cell lung cancer[J]. Journal of Thoracic Oncology, 2010, 5(10):1623-1629.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Marks J L, et al. Novel MEK1 mutation identified by mutational analysis of epidermal growth factor receptor signaling pathway genes in lung adenocar-cinoma[J]. Cancer Research, 2008, 68(14): 5524-5528.</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"https://www.ncbi.nlm.nih.gov/pubmed/?term=Heist%20RS%5BAuthor%5D&amp;cauthor=true&amp;cauthor_uid=27343442" </w:instrText>
      </w:r>
      <w:r>
        <w:rPr>
          <w:highlight w:val="none"/>
        </w:rPr>
        <w:fldChar w:fldCharType="separate"/>
      </w:r>
      <w:r>
        <w:rPr>
          <w:rFonts w:ascii="Times New Roman" w:hAnsi="Times New Roman" w:cs="Times New Roman"/>
          <w:sz w:val="15"/>
          <w:szCs w:val="15"/>
          <w:highlight w:val="none"/>
        </w:rPr>
        <w:t>Heist RS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"https://www.ncbi.nlm.nih.gov/pubmed/?term=Sequist%20LV%5BAuthor%5D&amp;cauthor=true&amp;cauthor_uid=27343442" </w:instrText>
      </w:r>
      <w:r>
        <w:rPr>
          <w:highlight w:val="none"/>
        </w:rPr>
        <w:fldChar w:fldCharType="separate"/>
      </w:r>
      <w:r>
        <w:rPr>
          <w:rFonts w:ascii="Times New Roman" w:hAnsi="Times New Roman" w:cs="Times New Roman"/>
          <w:sz w:val="15"/>
          <w:szCs w:val="15"/>
          <w:highlight w:val="none"/>
        </w:rPr>
        <w:t>Sequist LV</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"https://www.ncbi.nlm.nih.gov/pubmed/?term=Borger%20D%5BAuthor%5D&amp;cauthor=true&amp;cauthor_uid=27343442" </w:instrText>
      </w:r>
      <w:r>
        <w:rPr>
          <w:highlight w:val="none"/>
        </w:rPr>
        <w:fldChar w:fldCharType="separate"/>
      </w:r>
      <w:r>
        <w:rPr>
          <w:rFonts w:ascii="Times New Roman" w:hAnsi="Times New Roman" w:cs="Times New Roman"/>
          <w:sz w:val="15"/>
          <w:szCs w:val="15"/>
          <w:highlight w:val="none"/>
        </w:rPr>
        <w:t>Borger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Acquired Resistance to Crizotinib in NSCLC with MET Exon 14 Skipping[J]. </w:t>
      </w:r>
      <w:r>
        <w:rPr>
          <w:highlight w:val="none"/>
        </w:rPr>
        <w:fldChar w:fldCharType="begin"/>
      </w:r>
      <w:r>
        <w:rPr>
          <w:highlight w:val="none"/>
        </w:rPr>
        <w:instrText xml:space="preserve"> HYPERLINK "https://www.ncbi.nlm.nih.gov/pubmed/27343442" \o "Journal of thoracic oncology : official publication of the International Association for the Study of Lung Cancer." </w:instrText>
      </w:r>
      <w:r>
        <w:rPr>
          <w:highlight w:val="none"/>
        </w:rPr>
        <w:fldChar w:fldCharType="separate"/>
      </w:r>
      <w:r>
        <w:rPr>
          <w:rFonts w:ascii="Times New Roman" w:hAnsi="Times New Roman" w:cs="Times New Roman"/>
          <w:sz w:val="15"/>
          <w:szCs w:val="15"/>
          <w:highlight w:val="none"/>
        </w:rPr>
        <w:t>J Thorac Oncol,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2016, 11(8):1242-1245.</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"https://www.ncbi.nlm.nih.gov/pubmed/?term=Nanjo%20S%5BAuthor%5D&amp;cauthor=true&amp;cauthor_uid=28138027" </w:instrText>
      </w:r>
      <w:r>
        <w:rPr>
          <w:highlight w:val="none"/>
        </w:rPr>
        <w:fldChar w:fldCharType="separate"/>
      </w:r>
      <w:r>
        <w:rPr>
          <w:rFonts w:ascii="Times New Roman" w:hAnsi="Times New Roman" w:cs="Times New Roman"/>
          <w:sz w:val="15"/>
          <w:szCs w:val="15"/>
          <w:highlight w:val="none"/>
        </w:rPr>
        <w:t>Nanjo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"https://www.ncbi.nlm.nih.gov/pubmed/?term=Arai%20S%5BAuthor%5D&amp;cauthor=true&amp;cauthor_uid=28138027" </w:instrText>
      </w:r>
      <w:r>
        <w:rPr>
          <w:highlight w:val="none"/>
        </w:rPr>
        <w:fldChar w:fldCharType="separate"/>
      </w:r>
      <w:r>
        <w:rPr>
          <w:rFonts w:ascii="Times New Roman" w:hAnsi="Times New Roman" w:cs="Times New Roman"/>
          <w:sz w:val="15"/>
          <w:szCs w:val="15"/>
          <w:highlight w:val="none"/>
        </w:rPr>
        <w:t>Arai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"https://www.ncbi.nlm.nih.gov/pubmed/?term=Wang%20W%5BAuthor%5D&amp;cauthor=true&amp;cauthor_uid=28138027" </w:instrText>
      </w:r>
      <w:r>
        <w:rPr>
          <w:highlight w:val="none"/>
        </w:rPr>
        <w:fldChar w:fldCharType="separate"/>
      </w:r>
      <w:r>
        <w:rPr>
          <w:rFonts w:ascii="Times New Roman" w:hAnsi="Times New Roman" w:cs="Times New Roman"/>
          <w:sz w:val="15"/>
          <w:szCs w:val="15"/>
          <w:highlight w:val="none"/>
        </w:rPr>
        <w:t>Wang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MET Copy Number Gain Is Associated with Gefitinib Resistance in Leptomeningeal Carcinomatosis of EGFR-mutant Lung Cancer[J]. </w:t>
      </w:r>
      <w:r>
        <w:rPr>
          <w:highlight w:val="none"/>
        </w:rPr>
        <w:fldChar w:fldCharType="begin"/>
      </w:r>
      <w:r>
        <w:rPr>
          <w:highlight w:val="none"/>
        </w:rPr>
        <w:instrText xml:space="preserve"> HYPERLINK "https://www.ncbi.nlm.nih.gov/pubmed/28138027" \o "Molecular cancer therapeutics." </w:instrText>
      </w:r>
      <w:r>
        <w:rPr>
          <w:highlight w:val="none"/>
        </w:rPr>
        <w:fldChar w:fldCharType="separate"/>
      </w:r>
      <w:r>
        <w:rPr>
          <w:rFonts w:ascii="Times New Roman" w:hAnsi="Times New Roman" w:cs="Times New Roman"/>
          <w:sz w:val="15"/>
          <w:szCs w:val="15"/>
          <w:highlight w:val="none"/>
        </w:rPr>
        <w:t>Mol Cancer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16(3):506-515.</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"https://www.ncbi.nlm.nih.gov/pubmed/?term=Feng%20W%5BAuthor%5D&amp;cauthor=true&amp;cauthor_uid=29624806" </w:instrText>
      </w:r>
      <w:r>
        <w:rPr>
          <w:highlight w:val="none"/>
        </w:rPr>
        <w:fldChar w:fldCharType="separate"/>
      </w:r>
      <w:r>
        <w:rPr>
          <w:rFonts w:ascii="Times New Roman" w:hAnsi="Times New Roman" w:cs="Times New Roman"/>
          <w:sz w:val="15"/>
          <w:szCs w:val="15"/>
          <w:highlight w:val="none"/>
        </w:rPr>
        <w:t>Feng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"https://www.ncbi.nlm.nih.gov/pubmed/?term=Xie%20Q%5BAuthor%5D&amp;cauthor=true&amp;cauthor_uid=29624806" </w:instrText>
      </w:r>
      <w:r>
        <w:rPr>
          <w:highlight w:val="none"/>
        </w:rPr>
        <w:fldChar w:fldCharType="separate"/>
      </w:r>
      <w:r>
        <w:rPr>
          <w:rFonts w:ascii="Times New Roman" w:hAnsi="Times New Roman" w:cs="Times New Roman"/>
          <w:sz w:val="15"/>
          <w:szCs w:val="15"/>
          <w:highlight w:val="none"/>
        </w:rPr>
        <w:t>Xie Q</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"https://www.ncbi.nlm.nih.gov/pubmed/?term=Liu%20S%5BAuthor%5D&amp;cauthor=true&amp;cauthor_uid=29624806" </w:instrText>
      </w:r>
      <w:r>
        <w:rPr>
          <w:highlight w:val="none"/>
        </w:rPr>
        <w:fldChar w:fldCharType="separate"/>
      </w:r>
      <w:r>
        <w:rPr>
          <w:rFonts w:ascii="Times New Roman" w:hAnsi="Times New Roman" w:cs="Times New Roman"/>
          <w:sz w:val="15"/>
          <w:szCs w:val="15"/>
          <w:highlight w:val="none"/>
        </w:rPr>
        <w:t>Liu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Krüppel-like factor 4 promotes c-Met amplification-mediated gefitinib resistance in non-small-cell lung cancer[J]. </w:t>
      </w:r>
      <w:r>
        <w:rPr>
          <w:highlight w:val="none"/>
        </w:rPr>
        <w:fldChar w:fldCharType="begin"/>
      </w:r>
      <w:r>
        <w:rPr>
          <w:highlight w:val="none"/>
        </w:rPr>
        <w:instrText xml:space="preserve"> HYPERLINK "https://www.ncbi.nlm.nih.gov/pubmed/29624806" \o "Cancer science." </w:instrText>
      </w:r>
      <w:r>
        <w:rPr>
          <w:highlight w:val="none"/>
        </w:rPr>
        <w:fldChar w:fldCharType="separate"/>
      </w:r>
      <w:r>
        <w:rPr>
          <w:rFonts w:ascii="Times New Roman" w:hAnsi="Times New Roman" w:cs="Times New Roman"/>
          <w:sz w:val="15"/>
          <w:szCs w:val="15"/>
          <w:highlight w:val="none"/>
        </w:rPr>
        <w:t>Cancer Sci,</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109(6):1775-1786. </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"https://www.ncbi.nlm.nih.gov/pubmed/?term=Cao%20X%5BAuthor%5D&amp;cauthor=true&amp;cauthor_uid=28592790" </w:instrText>
      </w:r>
      <w:r>
        <w:rPr>
          <w:highlight w:val="none"/>
        </w:rPr>
        <w:fldChar w:fldCharType="separate"/>
      </w:r>
      <w:r>
        <w:rPr>
          <w:rFonts w:ascii="Times New Roman" w:hAnsi="Times New Roman" w:cs="Times New Roman"/>
          <w:sz w:val="15"/>
          <w:szCs w:val="15"/>
          <w:highlight w:val="none"/>
        </w:rPr>
        <w:t>Cao X</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"https://www.ncbi.nlm.nih.gov/pubmed/?term=Lai%20S%5BAuthor%5D&amp;cauthor=true&amp;cauthor_uid=28592790" </w:instrText>
      </w:r>
      <w:r>
        <w:rPr>
          <w:highlight w:val="none"/>
        </w:rPr>
        <w:fldChar w:fldCharType="separate"/>
      </w:r>
      <w:r>
        <w:rPr>
          <w:rFonts w:ascii="Times New Roman" w:hAnsi="Times New Roman" w:cs="Times New Roman"/>
          <w:sz w:val="15"/>
          <w:szCs w:val="15"/>
          <w:highlight w:val="none"/>
        </w:rPr>
        <w:t>Lai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"https://www.ncbi.nlm.nih.gov/pubmed/?term=Hu%20F%5BAuthor%5D&amp;cauthor=true&amp;cauthor_uid=28592790" </w:instrText>
      </w:r>
      <w:r>
        <w:rPr>
          <w:highlight w:val="none"/>
        </w:rPr>
        <w:fldChar w:fldCharType="separate"/>
      </w:r>
      <w:r>
        <w:rPr>
          <w:rFonts w:ascii="Times New Roman" w:hAnsi="Times New Roman" w:cs="Times New Roman"/>
          <w:sz w:val="15"/>
          <w:szCs w:val="15"/>
          <w:highlight w:val="none"/>
        </w:rPr>
        <w:t>Hu F</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miR-19a contributes to gefitinib resistance and epithelial mesenchymal transition in non-small cell lung cancer cells by targeting c-Met[J]. </w:t>
      </w:r>
      <w:r>
        <w:rPr>
          <w:highlight w:val="none"/>
        </w:rPr>
        <w:fldChar w:fldCharType="begin"/>
      </w:r>
      <w:r>
        <w:rPr>
          <w:highlight w:val="none"/>
        </w:rPr>
        <w:instrText xml:space="preserve"> HYPERLINK "https://www.ncbi.nlm.nih.gov/pubmed/28592790" \o "Scientific reports." </w:instrText>
      </w:r>
      <w:r>
        <w:rPr>
          <w:highlight w:val="none"/>
        </w:rPr>
        <w:fldChar w:fldCharType="separate"/>
      </w:r>
      <w:r>
        <w:rPr>
          <w:rFonts w:ascii="Times New Roman" w:hAnsi="Times New Roman" w:cs="Times New Roman"/>
          <w:sz w:val="15"/>
          <w:szCs w:val="15"/>
          <w:highlight w:val="none"/>
        </w:rPr>
        <w:t>Sci Rep,</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7(1):2939. </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"https://www.ncbi.nlm.nih.gov/pubmed/?term=Huang%20K%5BAuthor%5D&amp;cauthor=true&amp;cauthor_uid=30233210" </w:instrText>
      </w:r>
      <w:r>
        <w:rPr>
          <w:highlight w:val="none"/>
        </w:rPr>
        <w:fldChar w:fldCharType="separate"/>
      </w:r>
      <w:r>
        <w:rPr>
          <w:rFonts w:ascii="Times New Roman" w:hAnsi="Times New Roman" w:cs="Times New Roman"/>
          <w:sz w:val="15"/>
          <w:szCs w:val="15"/>
          <w:highlight w:val="none"/>
        </w:rPr>
        <w:t>Huang K</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"https://www.ncbi.nlm.nih.gov/pubmed/?term=Liu%20D%5BAuthor%5D&amp;cauthor=true&amp;cauthor_uid=30233210" </w:instrText>
      </w:r>
      <w:r>
        <w:rPr>
          <w:highlight w:val="none"/>
        </w:rPr>
        <w:fldChar w:fldCharType="separate"/>
      </w:r>
      <w:r>
        <w:rPr>
          <w:rFonts w:ascii="Times New Roman" w:hAnsi="Times New Roman" w:cs="Times New Roman"/>
          <w:sz w:val="15"/>
          <w:szCs w:val="15"/>
          <w:highlight w:val="none"/>
        </w:rPr>
        <w:t>Liu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Suppression of c-MET overcomes erlotinib resistance in tongue cancer cells[J]. </w:t>
      </w:r>
      <w:r>
        <w:rPr>
          <w:highlight w:val="none"/>
        </w:rPr>
        <w:fldChar w:fldCharType="begin"/>
      </w:r>
      <w:r>
        <w:rPr>
          <w:highlight w:val="none"/>
        </w:rPr>
        <w:instrText xml:space="preserve"> HYPERLINK "https://www.ncbi.nlm.nih.gov/pubmed/30233210" \o "OncoTargets and therapy." </w:instrText>
      </w:r>
      <w:r>
        <w:rPr>
          <w:highlight w:val="none"/>
        </w:rPr>
        <w:fldChar w:fldCharType="separate"/>
      </w:r>
      <w:r>
        <w:rPr>
          <w:rFonts w:ascii="Times New Roman" w:hAnsi="Times New Roman" w:cs="Times New Roman"/>
          <w:sz w:val="15"/>
          <w:szCs w:val="15"/>
          <w:highlight w:val="none"/>
        </w:rPr>
        <w:t>Onco Targets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11:5499-5508.</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"https://www.ncbi.nlm.nih.gov/pubmed/?term=Demuth%20C%5BAuthor%5D&amp;cauthor=true&amp;cauthor_uid=28978110" </w:instrText>
      </w:r>
      <w:r>
        <w:rPr>
          <w:highlight w:val="none"/>
        </w:rPr>
        <w:fldChar w:fldCharType="separate"/>
      </w:r>
      <w:r>
        <w:rPr>
          <w:rFonts w:ascii="Times New Roman" w:hAnsi="Times New Roman" w:cs="Times New Roman"/>
          <w:sz w:val="15"/>
          <w:szCs w:val="15"/>
          <w:highlight w:val="none"/>
        </w:rPr>
        <w:t>Demuth C</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"https://www.ncbi.nlm.nih.gov/pubmed/?term=Andersen%20MN%5BAuthor%5D&amp;cauthor=true&amp;cauthor_uid=28978110" </w:instrText>
      </w:r>
      <w:r>
        <w:rPr>
          <w:highlight w:val="none"/>
        </w:rPr>
        <w:fldChar w:fldCharType="separate"/>
      </w:r>
      <w:r>
        <w:rPr>
          <w:rFonts w:ascii="Times New Roman" w:hAnsi="Times New Roman" w:cs="Times New Roman"/>
          <w:sz w:val="15"/>
          <w:szCs w:val="15"/>
          <w:highlight w:val="none"/>
        </w:rPr>
        <w:t>Andersen MN</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"https://www.ncbi.nlm.nih.gov/pubmed/?term=Jakobsen%20KR%5BAuthor%5D&amp;cauthor=true&amp;cauthor_uid=28978110" </w:instrText>
      </w:r>
      <w:r>
        <w:rPr>
          <w:highlight w:val="none"/>
        </w:rPr>
        <w:fldChar w:fldCharType="separate"/>
      </w:r>
      <w:r>
        <w:rPr>
          <w:rFonts w:ascii="Times New Roman" w:hAnsi="Times New Roman" w:cs="Times New Roman"/>
          <w:sz w:val="15"/>
          <w:szCs w:val="15"/>
          <w:highlight w:val="none"/>
        </w:rPr>
        <w:t>Jakobsen KR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Increased PD-L1 expression in erlotinib-resistant NSCLC cells with MET gene amplification is reversed upon MET-TKI treatment[J]. </w:t>
      </w:r>
      <w:r>
        <w:rPr>
          <w:highlight w:val="none"/>
        </w:rPr>
        <w:fldChar w:fldCharType="begin"/>
      </w:r>
      <w:r>
        <w:rPr>
          <w:highlight w:val="none"/>
        </w:rPr>
        <w:instrText xml:space="preserve"> HYPERLINK "https://www.ncbi.nlm.nih.gov/pubmed/28978110" \o "Oncotarget." </w:instrText>
      </w:r>
      <w:r>
        <w:rPr>
          <w:highlight w:val="none"/>
        </w:rPr>
        <w:fldChar w:fldCharType="separate"/>
      </w:r>
      <w:r>
        <w:rPr>
          <w:rFonts w:ascii="Times New Roman" w:hAnsi="Times New Roman" w:cs="Times New Roman"/>
          <w:sz w:val="15"/>
          <w:szCs w:val="15"/>
          <w:highlight w:val="none"/>
        </w:rPr>
        <w:t>Oncotarget,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8(40):68221-68229.</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"https://www.ncbi.nlm.nih.gov/pubmed/?term=Hussmann%20D%5BAuthor%5D&amp;cauthor=true&amp;cauthor_uid=28418902" </w:instrText>
      </w:r>
      <w:r>
        <w:rPr>
          <w:highlight w:val="none"/>
        </w:rPr>
        <w:fldChar w:fldCharType="separate"/>
      </w:r>
      <w:r>
        <w:rPr>
          <w:rFonts w:ascii="Times New Roman" w:hAnsi="Times New Roman"/>
          <w:sz w:val="15"/>
          <w:szCs w:val="15"/>
          <w:highlight w:val="none"/>
        </w:rPr>
        <w:t>Hussmann 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"https://www.ncbi.nlm.nih.gov/pubmed/?term=Madsen%20AT%5BAuthor%5D&amp;cauthor=true&amp;cauthor_uid=28418902" </w:instrText>
      </w:r>
      <w:r>
        <w:rPr>
          <w:highlight w:val="none"/>
        </w:rPr>
        <w:fldChar w:fldCharType="separate"/>
      </w:r>
      <w:r>
        <w:rPr>
          <w:rFonts w:ascii="Times New Roman" w:hAnsi="Times New Roman"/>
          <w:sz w:val="15"/>
          <w:szCs w:val="15"/>
          <w:highlight w:val="none"/>
        </w:rPr>
        <w:t>Madsen AT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"https://www.ncbi.nlm.nih.gov/pubmed/?term=Jakobsen%20KR%5BAuthor%5D&amp;cauthor=true&amp;cauthor_uid=28418902" </w:instrText>
      </w:r>
      <w:r>
        <w:rPr>
          <w:highlight w:val="none"/>
        </w:rPr>
        <w:fldChar w:fldCharType="separate"/>
      </w:r>
      <w:r>
        <w:rPr>
          <w:rFonts w:ascii="Times New Roman" w:hAnsi="Times New Roman"/>
          <w:sz w:val="15"/>
          <w:szCs w:val="15"/>
          <w:highlight w:val="none"/>
        </w:rPr>
        <w:t>Jakobsen KR</w:t>
      </w:r>
      <w:r>
        <w:rPr>
          <w:rFonts w:ascii="Times New Roman" w:hAnsi="Times New Roman"/>
          <w:sz w:val="15"/>
          <w:szCs w:val="15"/>
          <w:highlight w:val="none"/>
        </w:rPr>
        <w:fldChar w:fldCharType="end"/>
      </w:r>
      <w:r>
        <w:rPr>
          <w:rFonts w:ascii="Times New Roman" w:hAnsi="Times New Roman"/>
          <w:sz w:val="15"/>
          <w:szCs w:val="15"/>
          <w:highlight w:val="none"/>
        </w:rPr>
        <w:t xml:space="preserve">, et al. IGF1R depletion facilitates MET-amplification as mechanism of acquired resistance to erlotinib in HCC827 NSCLC cells[J]. </w:t>
      </w:r>
      <w:r>
        <w:rPr>
          <w:highlight w:val="none"/>
        </w:rPr>
        <w:fldChar w:fldCharType="begin"/>
      </w:r>
      <w:r>
        <w:rPr>
          <w:highlight w:val="none"/>
        </w:rPr>
        <w:instrText xml:space="preserve"> HYPERLINK "https://www.ncbi.nlm.nih.gov/pubmed/28418902" \o "Oncotarget." </w:instrText>
      </w:r>
      <w:r>
        <w:rPr>
          <w:highlight w:val="none"/>
        </w:rPr>
        <w:fldChar w:fldCharType="separate"/>
      </w:r>
      <w:r>
        <w:rPr>
          <w:rFonts w:ascii="Times New Roman" w:hAnsi="Times New Roman"/>
          <w:sz w:val="15"/>
          <w:szCs w:val="15"/>
          <w:highlight w:val="none"/>
        </w:rPr>
        <w:t>Oncotarget,</w:t>
      </w:r>
      <w:r>
        <w:rPr>
          <w:rFonts w:ascii="Times New Roman" w:hAnsi="Times New Roman"/>
          <w:sz w:val="15"/>
          <w:szCs w:val="15"/>
          <w:highlight w:val="none"/>
        </w:rPr>
        <w:fldChar w:fldCharType="end"/>
      </w:r>
      <w:r>
        <w:rPr>
          <w:rFonts w:ascii="Times New Roman" w:hAnsi="Times New Roman"/>
          <w:sz w:val="15"/>
          <w:szCs w:val="15"/>
          <w:highlight w:val="none"/>
        </w:rPr>
        <w:t> 2017, 8(20):33300-33315.</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"https://www.ncbi.nlm.nih.gov/pubmed/?term=Yang%20T%5BAuthor%5D&amp;cauthor=true&amp;cauthor_uid=27563407" </w:instrText>
      </w:r>
      <w:r>
        <w:rPr>
          <w:highlight w:val="none"/>
        </w:rPr>
        <w:fldChar w:fldCharType="separate"/>
      </w:r>
      <w:r>
        <w:rPr>
          <w:rFonts w:ascii="Times New Roman" w:hAnsi="Times New Roman" w:cs="Times New Roman"/>
          <w:sz w:val="15"/>
          <w:szCs w:val="15"/>
          <w:highlight w:val="none"/>
        </w:rPr>
        <w:t>Yang 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"https://www.ncbi.nlm.nih.gov/pubmed/?term=Ng%20WH%5BAuthor%5D&amp;cauthor=true&amp;cauthor_uid=27563407" </w:instrText>
      </w:r>
      <w:r>
        <w:rPr>
          <w:highlight w:val="none"/>
        </w:rPr>
        <w:fldChar w:fldCharType="separate"/>
      </w:r>
      <w:r>
        <w:rPr>
          <w:rFonts w:ascii="Times New Roman" w:hAnsi="Times New Roman" w:cs="Times New Roman"/>
          <w:sz w:val="15"/>
          <w:szCs w:val="15"/>
          <w:highlight w:val="none"/>
        </w:rPr>
        <w:t>Ng WH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"https://www.ncbi.nlm.nih.gov/pubmed/?term=Chen%20H%5BAuthor%5D&amp;cauthor=true&amp;cauthor_uid=27563407" </w:instrText>
      </w:r>
      <w:r>
        <w:rPr>
          <w:highlight w:val="none"/>
        </w:rPr>
        <w:fldChar w:fldCharType="separate"/>
      </w:r>
      <w:r>
        <w:rPr>
          <w:rFonts w:ascii="Times New Roman" w:hAnsi="Times New Roman" w:cs="Times New Roman"/>
          <w:sz w:val="15"/>
          <w:szCs w:val="15"/>
          <w:highlight w:val="none"/>
        </w:rPr>
        <w:t>Chen 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Mitochondrial-Targeting MET Kinase Inhibitor Kills Erlotinib-Resistant Lung Cancer Cells[J]. </w:t>
      </w:r>
      <w:r>
        <w:rPr>
          <w:highlight w:val="none"/>
        </w:rPr>
        <w:fldChar w:fldCharType="begin"/>
      </w:r>
      <w:r>
        <w:rPr>
          <w:highlight w:val="none"/>
        </w:rPr>
        <w:instrText xml:space="preserve"> HYPERLINK "https://www.ncbi.nlm.nih.gov/pubmed/27563407" \o "ACS medicinal chemistry letters." </w:instrText>
      </w:r>
      <w:r>
        <w:rPr>
          <w:highlight w:val="none"/>
        </w:rPr>
        <w:fldChar w:fldCharType="separate"/>
      </w:r>
      <w:r>
        <w:rPr>
          <w:rFonts w:ascii="Times New Roman" w:hAnsi="Times New Roman" w:cs="Times New Roman"/>
          <w:sz w:val="15"/>
          <w:szCs w:val="15"/>
          <w:highlight w:val="none"/>
        </w:rPr>
        <w:t>ACS Med Chem Lett,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2016, 7(8):807-12.</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"https://www.ncbi.nlm.nih.gov/pubmed/?term=Yu%20W%5BAuthor%5D&amp;cauthor=true&amp;cauthor_uid=28749535" </w:instrText>
      </w:r>
      <w:r>
        <w:rPr>
          <w:highlight w:val="none"/>
        </w:rPr>
        <w:fldChar w:fldCharType="separate"/>
      </w:r>
      <w:r>
        <w:rPr>
          <w:rFonts w:ascii="Times New Roman" w:hAnsi="Times New Roman" w:cs="Times New Roman"/>
          <w:sz w:val="15"/>
          <w:szCs w:val="15"/>
          <w:highlight w:val="none"/>
        </w:rPr>
        <w:t>Yu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"https://www.ncbi.nlm.nih.gov/pubmed/?term=Lu%20W%5BAuthor%5D&amp;cauthor=true&amp;cauthor_uid=28749535" </w:instrText>
      </w:r>
      <w:r>
        <w:rPr>
          <w:highlight w:val="none"/>
        </w:rPr>
        <w:fldChar w:fldCharType="separate"/>
      </w:r>
      <w:r>
        <w:rPr>
          <w:rFonts w:ascii="Times New Roman" w:hAnsi="Times New Roman" w:cs="Times New Roman"/>
          <w:sz w:val="15"/>
          <w:szCs w:val="15"/>
          <w:highlight w:val="none"/>
        </w:rPr>
        <w:t>Lu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"https://www.ncbi.nlm.nih.gov/pubmed/?term=Chen%20G%5BAuthor%5D&amp;cauthor=true&amp;cauthor_uid=28749535" </w:instrText>
      </w:r>
      <w:r>
        <w:rPr>
          <w:highlight w:val="none"/>
        </w:rPr>
        <w:fldChar w:fldCharType="separate"/>
      </w:r>
      <w:r>
        <w:rPr>
          <w:rFonts w:ascii="Times New Roman" w:hAnsi="Times New Roman" w:cs="Times New Roman"/>
          <w:sz w:val="15"/>
          <w:szCs w:val="15"/>
          <w:highlight w:val="none"/>
        </w:rPr>
        <w:t>Chen G</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Inhibition of histone deacetylases sensitizes EGF receptor-TK inhibitor-resistant non-small-cell lung cancer cells to erlotinib in vitro and in vivo[J]. </w:t>
      </w:r>
      <w:r>
        <w:rPr>
          <w:highlight w:val="none"/>
        </w:rPr>
        <w:fldChar w:fldCharType="begin"/>
      </w:r>
      <w:r>
        <w:rPr>
          <w:highlight w:val="none"/>
        </w:rPr>
        <w:instrText xml:space="preserve"> HYPERLINK "https://www.ncbi.nlm.nih.gov/pubmed/28749535" \o "British journal of pharmacology." </w:instrText>
      </w:r>
      <w:r>
        <w:rPr>
          <w:highlight w:val="none"/>
        </w:rPr>
        <w:fldChar w:fldCharType="separate"/>
      </w:r>
      <w:r>
        <w:rPr>
          <w:rFonts w:ascii="Times New Roman" w:hAnsi="Times New Roman" w:cs="Times New Roman"/>
          <w:sz w:val="15"/>
          <w:szCs w:val="15"/>
          <w:highlight w:val="none"/>
        </w:rPr>
        <w:t>Br J Pharmacol,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174(20):3608-3622.</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"https://www.ncbi.nlm.nih.gov/pubmed/?term=Ebert%20K%5BAuthor%5D&amp;cauthor=true&amp;cauthor_uid=31557260" </w:instrText>
      </w:r>
      <w:r>
        <w:rPr>
          <w:highlight w:val="none"/>
        </w:rPr>
        <w:fldChar w:fldCharType="separate"/>
      </w:r>
      <w:r>
        <w:rPr>
          <w:rFonts w:ascii="Times New Roman" w:hAnsi="Times New Roman"/>
          <w:sz w:val="15"/>
          <w:szCs w:val="15"/>
          <w:highlight w:val="none"/>
        </w:rPr>
        <w:t>Ebert K</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"https://www.ncbi.nlm.nih.gov/pubmed/?term=Mattes%20J%5BAuthor%5D&amp;cauthor=true&amp;cauthor_uid=31557260" </w:instrText>
      </w:r>
      <w:r>
        <w:rPr>
          <w:highlight w:val="none"/>
        </w:rPr>
        <w:fldChar w:fldCharType="separate"/>
      </w:r>
      <w:r>
        <w:rPr>
          <w:rFonts w:ascii="Times New Roman" w:hAnsi="Times New Roman"/>
          <w:sz w:val="15"/>
          <w:szCs w:val="15"/>
          <w:highlight w:val="none"/>
        </w:rPr>
        <w:t>Mattes 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"https://www.ncbi.nlm.nih.gov/pubmed/?term=Kunzke%20T%5BAuthor%5D&amp;cauthor=true&amp;cauthor_uid=31557260" </w:instrText>
      </w:r>
      <w:r>
        <w:rPr>
          <w:highlight w:val="none"/>
        </w:rPr>
        <w:fldChar w:fldCharType="separate"/>
      </w:r>
      <w:r>
        <w:rPr>
          <w:rFonts w:ascii="Times New Roman" w:hAnsi="Times New Roman"/>
          <w:sz w:val="15"/>
          <w:szCs w:val="15"/>
          <w:highlight w:val="none"/>
        </w:rPr>
        <w:t>Kunzke T</w:t>
      </w:r>
      <w:r>
        <w:rPr>
          <w:rFonts w:ascii="Times New Roman" w:hAnsi="Times New Roman"/>
          <w:sz w:val="15"/>
          <w:szCs w:val="15"/>
          <w:highlight w:val="none"/>
        </w:rPr>
        <w:fldChar w:fldCharType="end"/>
      </w:r>
      <w:r>
        <w:rPr>
          <w:rFonts w:ascii="Times New Roman" w:hAnsi="Times New Roman"/>
          <w:sz w:val="15"/>
          <w:szCs w:val="15"/>
          <w:highlight w:val="none"/>
        </w:rPr>
        <w:t xml:space="preserve">, et al. MET as resistance factor for afatinib therapy and motility driver in gastric cancer cells. </w:t>
      </w:r>
      <w:r>
        <w:rPr>
          <w:highlight w:val="none"/>
        </w:rPr>
        <w:fldChar w:fldCharType="begin"/>
      </w:r>
      <w:r>
        <w:rPr>
          <w:highlight w:val="none"/>
        </w:rPr>
        <w:instrText xml:space="preserve"> HYPERLINK "https://www.ncbi.nlm.nih.gov/pubmed/31557260" \o "PloS one." </w:instrText>
      </w:r>
      <w:r>
        <w:rPr>
          <w:highlight w:val="none"/>
        </w:rPr>
        <w:fldChar w:fldCharType="separate"/>
      </w:r>
      <w:r>
        <w:rPr>
          <w:rFonts w:ascii="Times New Roman" w:hAnsi="Times New Roman"/>
          <w:sz w:val="15"/>
          <w:szCs w:val="15"/>
          <w:highlight w:val="none"/>
        </w:rPr>
        <w:t>PLoS One.</w:t>
      </w:r>
      <w:r>
        <w:rPr>
          <w:rFonts w:ascii="Times New Roman" w:hAnsi="Times New Roman"/>
          <w:sz w:val="15"/>
          <w:szCs w:val="15"/>
          <w:highlight w:val="none"/>
        </w:rPr>
        <w:fldChar w:fldCharType="end"/>
      </w:r>
      <w:r>
        <w:rPr>
          <w:rFonts w:ascii="Times New Roman" w:hAnsi="Times New Roman"/>
          <w:sz w:val="15"/>
          <w:szCs w:val="15"/>
          <w:highlight w:val="none"/>
        </w:rPr>
        <w:t> 2019 Sep 26;14(9):e0223225.</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"https://www.ncbi.nlm.nih.gov/pubmed/?term=Li%20JW%5BAuthor%5D&amp;cauthor=true&amp;cauthor_uid=31131689" </w:instrText>
      </w:r>
      <w:r>
        <w:rPr>
          <w:highlight w:val="none"/>
        </w:rPr>
        <w:fldChar w:fldCharType="separate"/>
      </w:r>
      <w:r>
        <w:rPr>
          <w:rFonts w:ascii="Times New Roman" w:hAnsi="Times New Roman" w:cs="Times New Roman"/>
          <w:sz w:val="15"/>
          <w:szCs w:val="15"/>
          <w:highlight w:val="none"/>
        </w:rPr>
        <w:t>Li JW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"https://www.ncbi.nlm.nih.gov/pubmed/?term=Cao%20SH%5BAuthor%5D&amp;cauthor=true&amp;cauthor_uid=31131689" </w:instrText>
      </w:r>
      <w:r>
        <w:rPr>
          <w:highlight w:val="none"/>
        </w:rPr>
        <w:fldChar w:fldCharType="separate"/>
      </w:r>
      <w:r>
        <w:rPr>
          <w:rFonts w:ascii="Times New Roman" w:hAnsi="Times New Roman" w:cs="Times New Roman"/>
          <w:sz w:val="15"/>
          <w:szCs w:val="15"/>
          <w:highlight w:val="none"/>
        </w:rPr>
        <w:t>Cao SH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"https://www.ncbi.nlm.nih.gov/pubmed/?term=Xu%20JL%5BAuthor%5D&amp;cauthor=true&amp;cauthor_uid=31131689" </w:instrText>
      </w:r>
      <w:r>
        <w:rPr>
          <w:highlight w:val="none"/>
        </w:rPr>
        <w:fldChar w:fldCharType="separate"/>
      </w:r>
      <w:r>
        <w:rPr>
          <w:rFonts w:ascii="Times New Roman" w:hAnsi="Times New Roman" w:cs="Times New Roman"/>
          <w:sz w:val="15"/>
          <w:szCs w:val="15"/>
          <w:highlight w:val="none"/>
        </w:rPr>
        <w:t>Xu JL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De novo MET amplification promotes intrinsic resistance to first-generation EGFR tyrosine kinase inhibitors[J]. </w:t>
      </w:r>
      <w:r>
        <w:rPr>
          <w:highlight w:val="none"/>
        </w:rPr>
        <w:fldChar w:fldCharType="begin"/>
      </w:r>
      <w:r>
        <w:rPr>
          <w:highlight w:val="none"/>
        </w:rPr>
        <w:instrText xml:space="preserve"> HYPERLINK "https://www.ncbi.nlm.nih.gov/pubmed/31131689" \o "Cancer biology &amp; therapy." </w:instrText>
      </w:r>
      <w:r>
        <w:rPr>
          <w:highlight w:val="none"/>
        </w:rPr>
        <w:fldChar w:fldCharType="separate"/>
      </w:r>
      <w:r>
        <w:rPr>
          <w:rFonts w:ascii="Times New Roman" w:hAnsi="Times New Roman" w:cs="Times New Roman"/>
          <w:sz w:val="15"/>
          <w:szCs w:val="15"/>
          <w:highlight w:val="none"/>
        </w:rPr>
        <w:t>Cancer Biol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2019, 20(9):1183-1186. </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"https://www.ncbi.nlm.nih.gov/pubmed/?term=Jin%20Y%5BAuthor%5D&amp;cauthor=true&amp;cauthor_uid=27528220" </w:instrText>
      </w:r>
      <w:r>
        <w:rPr>
          <w:highlight w:val="none"/>
        </w:rPr>
        <w:fldChar w:fldCharType="separate"/>
      </w:r>
      <w:r>
        <w:rPr>
          <w:rFonts w:ascii="Times New Roman" w:hAnsi="Times New Roman"/>
          <w:sz w:val="15"/>
          <w:szCs w:val="15"/>
          <w:highlight w:val="none"/>
        </w:rPr>
        <w:t>Jin Y</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"https://www.ncbi.nlm.nih.gov/pubmed/?term=Shao%20Y%5BAuthor%5D&amp;cauthor=true&amp;cauthor_uid=27528220" </w:instrText>
      </w:r>
      <w:r>
        <w:rPr>
          <w:highlight w:val="none"/>
        </w:rPr>
        <w:fldChar w:fldCharType="separate"/>
      </w:r>
      <w:r>
        <w:rPr>
          <w:rFonts w:ascii="Times New Roman" w:hAnsi="Times New Roman"/>
          <w:sz w:val="15"/>
          <w:szCs w:val="15"/>
          <w:highlight w:val="none"/>
        </w:rPr>
        <w:t>Shao Y</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"https://www.ncbi.nlm.nih.gov/pubmed/?term=Shi%20X%5BAuthor%5D&amp;cauthor=true&amp;cauthor_uid=27528220" </w:instrText>
      </w:r>
      <w:r>
        <w:rPr>
          <w:highlight w:val="none"/>
        </w:rPr>
        <w:fldChar w:fldCharType="separate"/>
      </w:r>
      <w:r>
        <w:rPr>
          <w:rFonts w:ascii="Times New Roman" w:hAnsi="Times New Roman"/>
          <w:sz w:val="15"/>
          <w:szCs w:val="15"/>
          <w:highlight w:val="none"/>
        </w:rPr>
        <w:t>Shi X</w:t>
      </w:r>
      <w:r>
        <w:rPr>
          <w:rFonts w:ascii="Times New Roman" w:hAnsi="Times New Roman"/>
          <w:sz w:val="15"/>
          <w:szCs w:val="15"/>
          <w:highlight w:val="none"/>
        </w:rPr>
        <w:fldChar w:fldCharType="end"/>
      </w:r>
      <w:r>
        <w:rPr>
          <w:rFonts w:ascii="Times New Roman" w:hAnsi="Times New Roman"/>
          <w:sz w:val="15"/>
          <w:szCs w:val="15"/>
          <w:highlight w:val="none"/>
        </w:rPr>
        <w:t xml:space="preserve">, et al. Mutational profiling of non-small-cell lung cancer patients resistant to first-generation EGFR tyrosine kinase inhibitors using next generation sequencing[J]. </w:t>
      </w:r>
      <w:r>
        <w:rPr>
          <w:highlight w:val="none"/>
        </w:rPr>
        <w:fldChar w:fldCharType="begin"/>
      </w:r>
      <w:r>
        <w:rPr>
          <w:highlight w:val="none"/>
        </w:rPr>
        <w:instrText xml:space="preserve"> HYPERLINK "https://www.ncbi.nlm.nih.gov/pubmed/27528220" \o "Oncotarget." </w:instrText>
      </w:r>
      <w:r>
        <w:rPr>
          <w:highlight w:val="none"/>
        </w:rPr>
        <w:fldChar w:fldCharType="separate"/>
      </w:r>
      <w:r>
        <w:rPr>
          <w:rFonts w:ascii="Times New Roman" w:hAnsi="Times New Roman"/>
          <w:sz w:val="15"/>
          <w:szCs w:val="15"/>
          <w:highlight w:val="none"/>
        </w:rPr>
        <w:t>Oncotarget,</w:t>
      </w:r>
      <w:r>
        <w:rPr>
          <w:rFonts w:ascii="Times New Roman" w:hAnsi="Times New Roman"/>
          <w:sz w:val="15"/>
          <w:szCs w:val="15"/>
          <w:highlight w:val="none"/>
        </w:rPr>
        <w:fldChar w:fldCharType="end"/>
      </w:r>
      <w:r>
        <w:rPr>
          <w:rFonts w:ascii="Times New Roman" w:hAnsi="Times New Roman"/>
          <w:sz w:val="15"/>
          <w:szCs w:val="15"/>
          <w:highlight w:val="none"/>
        </w:rPr>
        <w:t> 2016, 7(38):61755-61763. </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"https://www.ncbi.nlm.nih.gov/pubmed/?term=Martinez-Marti%20A%5BAuthor%5D&amp;cauthor=true&amp;cauthor_uid=28961841" </w:instrText>
      </w:r>
      <w:r>
        <w:rPr>
          <w:highlight w:val="none"/>
        </w:rPr>
        <w:fldChar w:fldCharType="separate"/>
      </w:r>
      <w:r>
        <w:rPr>
          <w:rFonts w:ascii="Times New Roman" w:hAnsi="Times New Roman"/>
          <w:sz w:val="15"/>
          <w:szCs w:val="15"/>
          <w:highlight w:val="none"/>
        </w:rPr>
        <w:t>Martinez-Marti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"https://www.ncbi.nlm.nih.gov/pubmed/?term=Felip%20E%5BAuthor%5D&amp;cauthor=true&amp;cauthor_uid=28961841" </w:instrText>
      </w:r>
      <w:r>
        <w:rPr>
          <w:highlight w:val="none"/>
        </w:rPr>
        <w:fldChar w:fldCharType="separate"/>
      </w:r>
      <w:r>
        <w:rPr>
          <w:rFonts w:ascii="Times New Roman" w:hAnsi="Times New Roman"/>
          <w:sz w:val="15"/>
          <w:szCs w:val="15"/>
          <w:highlight w:val="none"/>
        </w:rPr>
        <w:t>Felip E</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"https://www.ncbi.nlm.nih.gov/pubmed/?term=Matito%20J%5BAuthor%5D&amp;cauthor=true&amp;cauthor_uid=28961841" </w:instrText>
      </w:r>
      <w:r>
        <w:rPr>
          <w:highlight w:val="none"/>
        </w:rPr>
        <w:fldChar w:fldCharType="separate"/>
      </w:r>
      <w:r>
        <w:rPr>
          <w:rFonts w:ascii="Times New Roman" w:hAnsi="Times New Roman"/>
          <w:sz w:val="15"/>
          <w:szCs w:val="15"/>
          <w:highlight w:val="none"/>
        </w:rPr>
        <w:t>Matito J</w:t>
      </w:r>
      <w:r>
        <w:rPr>
          <w:rFonts w:ascii="Times New Roman" w:hAnsi="Times New Roman"/>
          <w:sz w:val="15"/>
          <w:szCs w:val="15"/>
          <w:highlight w:val="none"/>
        </w:rPr>
        <w:fldChar w:fldCharType="end"/>
      </w:r>
      <w:r>
        <w:rPr>
          <w:rFonts w:ascii="Times New Roman" w:hAnsi="Times New Roman"/>
          <w:sz w:val="15"/>
          <w:szCs w:val="15"/>
          <w:highlight w:val="none"/>
        </w:rPr>
        <w:t xml:space="preserve">, et al. Dual MET and ERBB inhibition overcomes intratumor plasticity in osimertinib-resistant-advanced non-small-cell lung cancer (NSCLC)[J]. </w:t>
      </w:r>
      <w:r>
        <w:rPr>
          <w:highlight w:val="none"/>
        </w:rPr>
        <w:fldChar w:fldCharType="begin"/>
      </w:r>
      <w:r>
        <w:rPr>
          <w:highlight w:val="none"/>
        </w:rPr>
        <w:instrText xml:space="preserve"> HYPERLINK "https://www.ncbi.nlm.nih.gov/pubmed/28961841" \o "Annals of oncology : official journal of the European Society for Medical Oncology." </w:instrText>
      </w:r>
      <w:r>
        <w:rPr>
          <w:highlight w:val="none"/>
        </w:rPr>
        <w:fldChar w:fldCharType="separate"/>
      </w:r>
      <w:r>
        <w:rPr>
          <w:rFonts w:ascii="Times New Roman" w:hAnsi="Times New Roman"/>
          <w:sz w:val="15"/>
          <w:szCs w:val="15"/>
          <w:highlight w:val="none"/>
        </w:rPr>
        <w:t>Ann Oncol,</w:t>
      </w:r>
      <w:r>
        <w:rPr>
          <w:rFonts w:ascii="Times New Roman" w:hAnsi="Times New Roman"/>
          <w:sz w:val="15"/>
          <w:szCs w:val="15"/>
          <w:highlight w:val="none"/>
        </w:rPr>
        <w:fldChar w:fldCharType="end"/>
      </w:r>
      <w:r>
        <w:rPr>
          <w:rFonts w:ascii="Times New Roman" w:hAnsi="Times New Roman"/>
          <w:sz w:val="15"/>
          <w:szCs w:val="15"/>
          <w:highlight w:val="none"/>
        </w:rPr>
        <w:t> 2017, 28(10):2451-2457. </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"https://www.ncbi.nlm.nih.gov/pubmed/?term=Wang%20Y%5BAuthor%5D&amp;cauthor=true&amp;cauthor_uid=29571987" </w:instrText>
      </w:r>
      <w:r>
        <w:rPr>
          <w:highlight w:val="none"/>
        </w:rPr>
        <w:fldChar w:fldCharType="separate"/>
      </w:r>
      <w:r>
        <w:rPr>
          <w:rFonts w:ascii="Times New Roman" w:hAnsi="Times New Roman"/>
          <w:sz w:val="15"/>
          <w:szCs w:val="15"/>
          <w:highlight w:val="none"/>
        </w:rPr>
        <w:t>Wang Y</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"https://www.ncbi.nlm.nih.gov/pubmed/?term=Li%20L%5BAuthor%5D&amp;cauthor=true&amp;cauthor_uid=29571987" </w:instrText>
      </w:r>
      <w:r>
        <w:rPr>
          <w:highlight w:val="none"/>
        </w:rPr>
        <w:fldChar w:fldCharType="separate"/>
      </w:r>
      <w:r>
        <w:rPr>
          <w:rFonts w:ascii="Times New Roman" w:hAnsi="Times New Roman"/>
          <w:sz w:val="15"/>
          <w:szCs w:val="15"/>
          <w:highlight w:val="none"/>
        </w:rPr>
        <w:t>Li 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"https://www.ncbi.nlm.nih.gov/pubmed/?term=Han%20R%5BAuthor%5D&amp;cauthor=true&amp;cauthor_uid=29571987" </w:instrText>
      </w:r>
      <w:r>
        <w:rPr>
          <w:highlight w:val="none"/>
        </w:rPr>
        <w:fldChar w:fldCharType="separate"/>
      </w:r>
      <w:r>
        <w:rPr>
          <w:rFonts w:ascii="Times New Roman" w:hAnsi="Times New Roman"/>
          <w:sz w:val="15"/>
          <w:szCs w:val="15"/>
          <w:highlight w:val="none"/>
        </w:rPr>
        <w:t>Han R</w:t>
      </w:r>
      <w:r>
        <w:rPr>
          <w:rFonts w:ascii="Times New Roman" w:hAnsi="Times New Roman"/>
          <w:sz w:val="15"/>
          <w:szCs w:val="15"/>
          <w:highlight w:val="none"/>
        </w:rPr>
        <w:fldChar w:fldCharType="end"/>
      </w:r>
      <w:r>
        <w:rPr>
          <w:rFonts w:ascii="Times New Roman" w:hAnsi="Times New Roman"/>
          <w:sz w:val="15"/>
          <w:szCs w:val="15"/>
          <w:highlight w:val="none"/>
        </w:rPr>
        <w:t xml:space="preserve">, et al. Clinical analysis by next-generation sequencing for NSCLC patients with MET amplification resistant to osimertinib[J]. </w:t>
      </w:r>
      <w:r>
        <w:rPr>
          <w:highlight w:val="none"/>
        </w:rPr>
        <w:fldChar w:fldCharType="begin"/>
      </w:r>
      <w:r>
        <w:rPr>
          <w:highlight w:val="none"/>
        </w:rPr>
        <w:instrText xml:space="preserve"> HYPERLINK "https://www.ncbi.nlm.nih.gov/pubmed/29571987" \o "Lung cancer (Amsterdam, Netherlands)." </w:instrText>
      </w:r>
      <w:r>
        <w:rPr>
          <w:highlight w:val="none"/>
        </w:rPr>
        <w:fldChar w:fldCharType="separate"/>
      </w:r>
      <w:r>
        <w:rPr>
          <w:rFonts w:ascii="Times New Roman" w:hAnsi="Times New Roman"/>
          <w:sz w:val="15"/>
          <w:szCs w:val="15"/>
          <w:highlight w:val="none"/>
        </w:rPr>
        <w:t>Lung Cancer,</w:t>
      </w:r>
      <w:r>
        <w:rPr>
          <w:rFonts w:ascii="Times New Roman" w:hAnsi="Times New Roman"/>
          <w:sz w:val="15"/>
          <w:szCs w:val="15"/>
          <w:highlight w:val="none"/>
        </w:rPr>
        <w:fldChar w:fldCharType="end"/>
      </w:r>
      <w:r>
        <w:rPr>
          <w:rFonts w:ascii="Times New Roman" w:hAnsi="Times New Roman"/>
          <w:sz w:val="15"/>
          <w:szCs w:val="15"/>
          <w:highlight w:val="none"/>
        </w:rPr>
        <w:t> 2018, 118:105-110. </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"https://www.ncbi.nlm.nih.gov/pubmed/?term=Ou%20SI%5BAuthor%5D&amp;cauthor=true&amp;cauthor_uid=27393507" </w:instrText>
      </w:r>
      <w:r>
        <w:rPr>
          <w:highlight w:val="none"/>
        </w:rPr>
        <w:fldChar w:fldCharType="separate"/>
      </w:r>
      <w:r>
        <w:rPr>
          <w:rFonts w:ascii="Times New Roman" w:hAnsi="Times New Roman"/>
          <w:sz w:val="15"/>
          <w:szCs w:val="15"/>
          <w:highlight w:val="none"/>
        </w:rPr>
        <w:t>Ou SI</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"https://www.ncbi.nlm.nih.gov/pubmed/?term=Agarwal%20N%5BAuthor%5D&amp;cauthor=true&amp;cauthor_uid=27393507" </w:instrText>
      </w:r>
      <w:r>
        <w:rPr>
          <w:highlight w:val="none"/>
        </w:rPr>
        <w:fldChar w:fldCharType="separate"/>
      </w:r>
      <w:r>
        <w:rPr>
          <w:rFonts w:ascii="Times New Roman" w:hAnsi="Times New Roman"/>
          <w:sz w:val="15"/>
          <w:szCs w:val="15"/>
          <w:highlight w:val="none"/>
        </w:rPr>
        <w:t>Agarwal N</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"https://www.ncbi.nlm.nih.gov/pubmed/?term=Ali%20SM%5BAuthor%5D&amp;cauthor=true&amp;cauthor_uid=27393507" </w:instrText>
      </w:r>
      <w:r>
        <w:rPr>
          <w:highlight w:val="none"/>
        </w:rPr>
        <w:fldChar w:fldCharType="separate"/>
      </w:r>
      <w:r>
        <w:rPr>
          <w:rFonts w:ascii="Times New Roman" w:hAnsi="Times New Roman"/>
          <w:sz w:val="15"/>
          <w:szCs w:val="15"/>
          <w:highlight w:val="none"/>
        </w:rPr>
        <w:t>Ali SM</w:t>
      </w:r>
      <w:r>
        <w:rPr>
          <w:rFonts w:ascii="Times New Roman" w:hAnsi="Times New Roman"/>
          <w:sz w:val="15"/>
          <w:szCs w:val="15"/>
          <w:highlight w:val="none"/>
        </w:rPr>
        <w:fldChar w:fldCharType="end"/>
      </w:r>
      <w:r>
        <w:rPr>
          <w:rFonts w:ascii="Times New Roman" w:hAnsi="Times New Roman"/>
          <w:sz w:val="15"/>
          <w:szCs w:val="15"/>
          <w:highlight w:val="none"/>
        </w:rPr>
        <w:t xml:space="preserve">, et al. High MET amplification level as a resistance mechanism to osimertinib (AZD9291) in a patient that symptomatically responded to crizotinib treatment post-osimertinib progression[J]. </w:t>
      </w:r>
      <w:r>
        <w:rPr>
          <w:highlight w:val="none"/>
        </w:rPr>
        <w:fldChar w:fldCharType="begin"/>
      </w:r>
      <w:r>
        <w:rPr>
          <w:highlight w:val="none"/>
        </w:rPr>
        <w:instrText xml:space="preserve"> HYPERLINK "https://www.ncbi.nlm.nih.gov/pubmed/27393507" \o "Lung cancer (Amsterdam, Netherlands)." </w:instrText>
      </w:r>
      <w:r>
        <w:rPr>
          <w:highlight w:val="none"/>
        </w:rPr>
        <w:fldChar w:fldCharType="separate"/>
      </w:r>
      <w:r>
        <w:rPr>
          <w:rFonts w:ascii="Times New Roman" w:hAnsi="Times New Roman"/>
          <w:sz w:val="15"/>
          <w:szCs w:val="15"/>
          <w:highlight w:val="none"/>
        </w:rPr>
        <w:t>Lung Cancer,</w:t>
      </w:r>
      <w:r>
        <w:rPr>
          <w:rFonts w:ascii="Times New Roman" w:hAnsi="Times New Roman"/>
          <w:sz w:val="15"/>
          <w:szCs w:val="15"/>
          <w:highlight w:val="none"/>
        </w:rPr>
        <w:fldChar w:fldCharType="end"/>
      </w:r>
      <w:r>
        <w:rPr>
          <w:rFonts w:ascii="Times New Roman" w:hAnsi="Times New Roman"/>
          <w:sz w:val="15"/>
          <w:szCs w:val="15"/>
          <w:highlight w:val="none"/>
        </w:rPr>
        <w:t> 2016,98:59-61. </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"https://www.ncbi.nlm.nih.gov/pubmed/?term=Yang%20Z%5BAuthor%5D&amp;cauthor=true&amp;cauthor_uid=29506987" </w:instrText>
      </w:r>
      <w:r>
        <w:rPr>
          <w:highlight w:val="none"/>
        </w:rPr>
        <w:fldChar w:fldCharType="separate"/>
      </w:r>
      <w:r>
        <w:rPr>
          <w:rFonts w:ascii="Times New Roman" w:hAnsi="Times New Roman"/>
          <w:sz w:val="15"/>
          <w:szCs w:val="15"/>
          <w:highlight w:val="none"/>
        </w:rPr>
        <w:t>Yang Z</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"https://www.ncbi.nlm.nih.gov/pubmed/?term=Yang%20N%5BAuthor%5D&amp;cauthor=true&amp;cauthor_uid=29506987" </w:instrText>
      </w:r>
      <w:r>
        <w:rPr>
          <w:highlight w:val="none"/>
        </w:rPr>
        <w:fldChar w:fldCharType="separate"/>
      </w:r>
      <w:r>
        <w:rPr>
          <w:rFonts w:ascii="Times New Roman" w:hAnsi="Times New Roman"/>
          <w:sz w:val="15"/>
          <w:szCs w:val="15"/>
          <w:highlight w:val="none"/>
        </w:rPr>
        <w:t>Yang N</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"https://www.ncbi.nlm.nih.gov/pubmed/?term=Ou%20Q%5BAuthor%5D&amp;cauthor=true&amp;cauthor_uid=29506987" </w:instrText>
      </w:r>
      <w:r>
        <w:rPr>
          <w:highlight w:val="none"/>
        </w:rPr>
        <w:fldChar w:fldCharType="separate"/>
      </w:r>
      <w:r>
        <w:rPr>
          <w:rFonts w:ascii="Times New Roman" w:hAnsi="Times New Roman"/>
          <w:sz w:val="15"/>
          <w:szCs w:val="15"/>
          <w:highlight w:val="none"/>
        </w:rPr>
        <w:t>Ou Q</w:t>
      </w:r>
      <w:r>
        <w:rPr>
          <w:rFonts w:ascii="Times New Roman" w:hAnsi="Times New Roman"/>
          <w:sz w:val="15"/>
          <w:szCs w:val="15"/>
          <w:highlight w:val="none"/>
        </w:rPr>
        <w:fldChar w:fldCharType="end"/>
      </w:r>
      <w:r>
        <w:rPr>
          <w:rFonts w:ascii="Times New Roman" w:hAnsi="Times New Roman"/>
          <w:sz w:val="15"/>
          <w:szCs w:val="15"/>
          <w:highlight w:val="none"/>
        </w:rPr>
        <w:t xml:space="preserve">, et al. Investigating Novel Resistance Mechanisms to Third-Generation EGFR Tyrosine Kinase Inhibitor Osimertinib in Non-Small Cell Lung Cancer Patients[J]. </w:t>
      </w:r>
      <w:r>
        <w:rPr>
          <w:highlight w:val="none"/>
        </w:rPr>
        <w:fldChar w:fldCharType="begin"/>
      </w:r>
      <w:r>
        <w:rPr>
          <w:highlight w:val="none"/>
        </w:rPr>
        <w:instrText xml:space="preserve"> HYPERLINK "https://www.ncbi.nlm.nih.gov/pubmed/29506987"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2018, 24(13):3097-3107. </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"https://www.ncbi.nlm.nih.gov/pubmed/?term=Wang%20Q%5BAuthor%5D&amp;cauthor=true&amp;cauthor_uid=31227004" </w:instrText>
      </w:r>
      <w:r>
        <w:rPr>
          <w:highlight w:val="none"/>
        </w:rPr>
        <w:fldChar w:fldCharType="separate"/>
      </w:r>
      <w:r>
        <w:rPr>
          <w:rFonts w:ascii="Times New Roman" w:hAnsi="Times New Roman"/>
          <w:sz w:val="15"/>
          <w:szCs w:val="15"/>
          <w:highlight w:val="none"/>
        </w:rPr>
        <w:t>Wang Q</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"https://www.ncbi.nlm.nih.gov/pubmed/?term=Yang%20S%5BAuthor%5D&amp;cauthor=true&amp;cauthor_uid=31227004" </w:instrText>
      </w:r>
      <w:r>
        <w:rPr>
          <w:highlight w:val="none"/>
        </w:rPr>
        <w:fldChar w:fldCharType="separate"/>
      </w:r>
      <w:r>
        <w:rPr>
          <w:rFonts w:ascii="Times New Roman" w:hAnsi="Times New Roman"/>
          <w:sz w:val="15"/>
          <w:szCs w:val="15"/>
          <w:highlight w:val="none"/>
        </w:rPr>
        <w:t>Yang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"https://www.ncbi.nlm.nih.gov/pubmed/?term=Wang%20K%5BAuthor%5D&amp;cauthor=true&amp;cauthor_uid=31227004" </w:instrText>
      </w:r>
      <w:r>
        <w:rPr>
          <w:highlight w:val="none"/>
        </w:rPr>
        <w:fldChar w:fldCharType="separate"/>
      </w:r>
      <w:r>
        <w:rPr>
          <w:rFonts w:ascii="Times New Roman" w:hAnsi="Times New Roman"/>
          <w:sz w:val="15"/>
          <w:szCs w:val="15"/>
          <w:highlight w:val="none"/>
        </w:rPr>
        <w:t>Wang K</w:t>
      </w:r>
      <w:r>
        <w:rPr>
          <w:rFonts w:ascii="Times New Roman" w:hAnsi="Times New Roman"/>
          <w:sz w:val="15"/>
          <w:szCs w:val="15"/>
          <w:highlight w:val="none"/>
        </w:rPr>
        <w:fldChar w:fldCharType="end"/>
      </w:r>
      <w:r>
        <w:rPr>
          <w:rFonts w:ascii="Times New Roman" w:hAnsi="Times New Roman"/>
          <w:sz w:val="15"/>
          <w:szCs w:val="15"/>
          <w:highlight w:val="none"/>
        </w:rPr>
        <w:t xml:space="preserve">, et al. MET inhibitors for targeted therapy of EGFR TKI-resistant lung cancer[J]. </w:t>
      </w:r>
      <w:r>
        <w:rPr>
          <w:highlight w:val="none"/>
        </w:rPr>
        <w:fldChar w:fldCharType="begin"/>
      </w:r>
      <w:r>
        <w:rPr>
          <w:highlight w:val="none"/>
        </w:rPr>
        <w:instrText xml:space="preserve"> HYPERLINK "https://www.ncbi.nlm.nih.gov/pubmed/31227004" \o "Journal of hematology &amp; oncology." </w:instrText>
      </w:r>
      <w:r>
        <w:rPr>
          <w:highlight w:val="none"/>
        </w:rPr>
        <w:fldChar w:fldCharType="separate"/>
      </w:r>
      <w:r>
        <w:rPr>
          <w:rFonts w:ascii="Times New Roman" w:hAnsi="Times New Roman"/>
          <w:sz w:val="15"/>
          <w:szCs w:val="15"/>
          <w:highlight w:val="none"/>
        </w:rPr>
        <w:t>J Hematol Oncol,</w:t>
      </w:r>
      <w:r>
        <w:rPr>
          <w:rFonts w:ascii="Times New Roman" w:hAnsi="Times New Roman"/>
          <w:sz w:val="15"/>
          <w:szCs w:val="15"/>
          <w:highlight w:val="none"/>
        </w:rPr>
        <w:fldChar w:fldCharType="end"/>
      </w:r>
      <w:r>
        <w:rPr>
          <w:rFonts w:ascii="Times New Roman" w:hAnsi="Times New Roman"/>
          <w:sz w:val="15"/>
          <w:szCs w:val="15"/>
          <w:highlight w:val="none"/>
        </w:rPr>
        <w:t> 2019, 12(1):63. </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"https://www.ncbi.nlm.nih.gov/pubmed/?term=Hsu%20HC%5BAuthor%5D&amp;cauthor=true&amp;cauthor_uid=26989027" </w:instrText>
      </w:r>
      <w:r>
        <w:rPr>
          <w:highlight w:val="none"/>
        </w:rPr>
        <w:fldChar w:fldCharType="separate"/>
      </w:r>
      <w:r>
        <w:rPr>
          <w:rFonts w:ascii="Times New Roman" w:hAnsi="Times New Roman"/>
          <w:sz w:val="15"/>
          <w:szCs w:val="15"/>
          <w:highlight w:val="none"/>
        </w:rPr>
        <w:t>Hsu HC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"https://www.ncbi.nlm.nih.gov/pubmed/?term=Thiam%20TK%5BAuthor%5D&amp;cauthor=true&amp;cauthor_uid=26989027" </w:instrText>
      </w:r>
      <w:r>
        <w:rPr>
          <w:highlight w:val="none"/>
        </w:rPr>
        <w:fldChar w:fldCharType="separate"/>
      </w:r>
      <w:r>
        <w:rPr>
          <w:rFonts w:ascii="Times New Roman" w:hAnsi="Times New Roman"/>
          <w:sz w:val="15"/>
          <w:szCs w:val="15"/>
          <w:highlight w:val="none"/>
        </w:rPr>
        <w:t>Thiam TK</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"https://www.ncbi.nlm.nih.gov/pubmed/?term=Lu%20YJ%5BAuthor%5D&amp;cauthor=true&amp;cauthor_uid=26989027" </w:instrText>
      </w:r>
      <w:r>
        <w:rPr>
          <w:highlight w:val="none"/>
        </w:rPr>
        <w:fldChar w:fldCharType="separate"/>
      </w:r>
      <w:r>
        <w:rPr>
          <w:rFonts w:ascii="Times New Roman" w:hAnsi="Times New Roman"/>
          <w:sz w:val="15"/>
          <w:szCs w:val="15"/>
          <w:highlight w:val="none"/>
        </w:rPr>
        <w:t>Lu YJ</w:t>
      </w:r>
      <w:r>
        <w:rPr>
          <w:rFonts w:ascii="Times New Roman" w:hAnsi="Times New Roman"/>
          <w:sz w:val="15"/>
          <w:szCs w:val="15"/>
          <w:highlight w:val="none"/>
        </w:rPr>
        <w:fldChar w:fldCharType="end"/>
      </w:r>
      <w:r>
        <w:rPr>
          <w:rFonts w:ascii="Times New Roman" w:hAnsi="Times New Roman"/>
          <w:sz w:val="15"/>
          <w:szCs w:val="15"/>
          <w:highlight w:val="none"/>
        </w:rPr>
        <w:t xml:space="preserve">, et al. Mutations of KRAS/NRAS/BRAF predict cetuximab resistance in metastatic colorectal cancer patients[J]. </w:t>
      </w:r>
      <w:r>
        <w:rPr>
          <w:highlight w:val="none"/>
        </w:rPr>
        <w:fldChar w:fldCharType="begin"/>
      </w:r>
      <w:r>
        <w:rPr>
          <w:highlight w:val="none"/>
        </w:rPr>
        <w:instrText xml:space="preserve"> HYPERLINK "https://www.ncbi.nlm.nih.gov/pubmed/26989027" \o "Oncotarget." </w:instrText>
      </w:r>
      <w:r>
        <w:rPr>
          <w:highlight w:val="none"/>
        </w:rPr>
        <w:fldChar w:fldCharType="separate"/>
      </w:r>
      <w:r>
        <w:rPr>
          <w:rFonts w:ascii="Times New Roman" w:hAnsi="Times New Roman"/>
          <w:sz w:val="15"/>
          <w:szCs w:val="15"/>
          <w:highlight w:val="none"/>
        </w:rPr>
        <w:t>Oncotarget,</w:t>
      </w:r>
      <w:r>
        <w:rPr>
          <w:rFonts w:ascii="Times New Roman" w:hAnsi="Times New Roman"/>
          <w:sz w:val="15"/>
          <w:szCs w:val="15"/>
          <w:highlight w:val="none"/>
        </w:rPr>
        <w:fldChar w:fldCharType="end"/>
      </w:r>
      <w:r>
        <w:rPr>
          <w:rFonts w:ascii="Times New Roman" w:hAnsi="Times New Roman"/>
          <w:sz w:val="15"/>
          <w:szCs w:val="15"/>
          <w:highlight w:val="none"/>
        </w:rPr>
        <w:t> 2016, 7(16):22257-70. </w:t>
      </w:r>
    </w:p>
    <w:p>
      <w:pPr>
        <w:numPr>
          <w:ilvl w:val="0"/>
          <w:numId w:val="34"/>
        </w:numPr>
        <w:rPr>
          <w:rFonts w:ascii="Times New Roman" w:hAnsi="Times New Roman"/>
          <w:sz w:val="15"/>
          <w:szCs w:val="15"/>
          <w:highlight w:val="none"/>
        </w:rPr>
      </w:pPr>
      <w:r>
        <w:rPr>
          <w:rFonts w:ascii="Times New Roman" w:hAnsi="Times New Roman"/>
          <w:sz w:val="15"/>
          <w:szCs w:val="15"/>
          <w:highlight w:val="none"/>
        </w:rPr>
        <w:t>Johan FV, Charlotte VDK, Els Wauters, et al. Capmatinib for the Treatment of Non-Small Cell Lung Cancer[J].Expert Rev Anticancer Ther, 2019,19(8):659-671.</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"https://www.ncbi.nlm.nih.gov/pubmed/?term=Shapiro%20JD%5BAuthor%5D&amp;cauthor=true&amp;cauthor_uid=30463680" </w:instrText>
      </w:r>
      <w:r>
        <w:rPr>
          <w:highlight w:val="none"/>
        </w:rPr>
        <w:fldChar w:fldCharType="separate"/>
      </w:r>
      <w:r>
        <w:rPr>
          <w:rFonts w:ascii="Times New Roman" w:hAnsi="Times New Roman"/>
          <w:sz w:val="15"/>
          <w:szCs w:val="15"/>
          <w:highlight w:val="none"/>
        </w:rPr>
        <w:t>Shapiro JD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"https://www.ncbi.nlm.nih.gov/pubmed/?term=Thavaneswaran%20S%5BAuthor%5D&amp;cauthor=true&amp;cauthor_uid=30463680" </w:instrText>
      </w:r>
      <w:r>
        <w:rPr>
          <w:highlight w:val="none"/>
        </w:rPr>
        <w:fldChar w:fldCharType="separate"/>
      </w:r>
      <w:r>
        <w:rPr>
          <w:rFonts w:ascii="Times New Roman" w:hAnsi="Times New Roman"/>
          <w:sz w:val="15"/>
          <w:szCs w:val="15"/>
          <w:highlight w:val="none"/>
        </w:rPr>
        <w:t>Thavaneswaran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"https://www.ncbi.nlm.nih.gov/pubmed/?term=Underhill%20CR%5BAuthor%5D&amp;cauthor=true&amp;cauthor_uid=30463680" </w:instrText>
      </w:r>
      <w:r>
        <w:rPr>
          <w:highlight w:val="none"/>
        </w:rPr>
        <w:fldChar w:fldCharType="separate"/>
      </w:r>
      <w:r>
        <w:rPr>
          <w:rFonts w:ascii="Times New Roman" w:hAnsi="Times New Roman"/>
          <w:sz w:val="15"/>
          <w:szCs w:val="15"/>
          <w:highlight w:val="none"/>
        </w:rPr>
        <w:t>Underhill CR</w:t>
      </w:r>
      <w:r>
        <w:rPr>
          <w:rFonts w:ascii="Times New Roman" w:hAnsi="Times New Roman"/>
          <w:sz w:val="15"/>
          <w:szCs w:val="15"/>
          <w:highlight w:val="none"/>
        </w:rPr>
        <w:fldChar w:fldCharType="end"/>
      </w:r>
      <w:r>
        <w:rPr>
          <w:rFonts w:ascii="Times New Roman" w:hAnsi="Times New Roman"/>
          <w:sz w:val="15"/>
          <w:szCs w:val="15"/>
          <w:highlight w:val="none"/>
        </w:rPr>
        <w:t xml:space="preserve">, et al. Cetuximab Alone or With Irinotecan for Resistant KRAS-, NRAS-, BRAF- and PIK3CA-wild-typeMetastatic Colorectal Cancer: The AGITG Randomized Phase II ICECREAM Study[J]. </w:t>
      </w:r>
      <w:r>
        <w:rPr>
          <w:highlight w:val="none"/>
        </w:rPr>
        <w:fldChar w:fldCharType="begin"/>
      </w:r>
      <w:r>
        <w:rPr>
          <w:highlight w:val="none"/>
        </w:rPr>
        <w:instrText xml:space="preserve"> HYPERLINK "https://www.ncbi.nlm.nih.gov/pubmed/30463680" \o "Clinical colorectal cancer." </w:instrText>
      </w:r>
      <w:r>
        <w:rPr>
          <w:highlight w:val="none"/>
        </w:rPr>
        <w:fldChar w:fldCharType="separate"/>
      </w:r>
      <w:r>
        <w:rPr>
          <w:rFonts w:ascii="Times New Roman" w:hAnsi="Times New Roman"/>
          <w:sz w:val="15"/>
          <w:szCs w:val="15"/>
          <w:highlight w:val="none"/>
        </w:rPr>
        <w:t>Clin Colorectal Cancer,</w:t>
      </w:r>
      <w:r>
        <w:rPr>
          <w:rFonts w:ascii="Times New Roman" w:hAnsi="Times New Roman"/>
          <w:sz w:val="15"/>
          <w:szCs w:val="15"/>
          <w:highlight w:val="none"/>
        </w:rPr>
        <w:fldChar w:fldCharType="end"/>
      </w:r>
      <w:r>
        <w:rPr>
          <w:rFonts w:ascii="Times New Roman" w:hAnsi="Times New Roman"/>
          <w:sz w:val="15"/>
          <w:szCs w:val="15"/>
          <w:highlight w:val="none"/>
        </w:rPr>
        <w:t> 2018, 17(4):313-319. </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"https://www.ncbi.nlm.nih.gov/pubmed/?term=Geredeli%20C%5BAuthor%5D&amp;cauthor=true&amp;cauthor_uid=29587749" </w:instrText>
      </w:r>
      <w:r>
        <w:rPr>
          <w:highlight w:val="none"/>
        </w:rPr>
        <w:fldChar w:fldCharType="separate"/>
      </w:r>
      <w:r>
        <w:rPr>
          <w:rFonts w:ascii="Times New Roman" w:hAnsi="Times New Roman"/>
          <w:sz w:val="15"/>
          <w:szCs w:val="15"/>
          <w:highlight w:val="none"/>
        </w:rPr>
        <w:t>Geredeli 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"https://www.ncbi.nlm.nih.gov/pubmed/?term=Yasar%20N%5BAuthor%5D&amp;cauthor=true&amp;cauthor_uid=29587749" </w:instrText>
      </w:r>
      <w:r>
        <w:rPr>
          <w:highlight w:val="none"/>
        </w:rPr>
        <w:fldChar w:fldCharType="separate"/>
      </w:r>
      <w:r>
        <w:rPr>
          <w:rFonts w:ascii="Times New Roman" w:hAnsi="Times New Roman"/>
          <w:sz w:val="15"/>
          <w:szCs w:val="15"/>
          <w:highlight w:val="none"/>
        </w:rPr>
        <w:t>Yasar N</w:t>
      </w:r>
      <w:r>
        <w:rPr>
          <w:rFonts w:ascii="Times New Roman" w:hAnsi="Times New Roman"/>
          <w:sz w:val="15"/>
          <w:szCs w:val="15"/>
          <w:highlight w:val="none"/>
        </w:rPr>
        <w:fldChar w:fldCharType="end"/>
      </w:r>
      <w:r>
        <w:rPr>
          <w:rFonts w:ascii="Times New Roman" w:hAnsi="Times New Roman"/>
          <w:sz w:val="15"/>
          <w:szCs w:val="15"/>
          <w:highlight w:val="none"/>
        </w:rPr>
        <w:t xml:space="preserve">. FOLFIRI plus panitumumab in the treatment of wild-type KRAS and wild-type NRAS metastatic colorectal cancer[J]. </w:t>
      </w:r>
      <w:r>
        <w:rPr>
          <w:highlight w:val="none"/>
        </w:rPr>
        <w:fldChar w:fldCharType="begin"/>
      </w:r>
      <w:r>
        <w:rPr>
          <w:highlight w:val="none"/>
        </w:rPr>
        <w:instrText xml:space="preserve"> HYPERLINK "https://www.ncbi.nlm.nih.gov/pubmed/29587749" \o "World journal of surgical oncology." </w:instrText>
      </w:r>
      <w:r>
        <w:rPr>
          <w:highlight w:val="none"/>
        </w:rPr>
        <w:fldChar w:fldCharType="separate"/>
      </w:r>
      <w:r>
        <w:rPr>
          <w:rFonts w:ascii="Times New Roman" w:hAnsi="Times New Roman"/>
          <w:sz w:val="15"/>
          <w:szCs w:val="15"/>
          <w:highlight w:val="none"/>
        </w:rPr>
        <w:t>World J Surg Oncol,</w:t>
      </w:r>
      <w:r>
        <w:rPr>
          <w:rFonts w:ascii="Times New Roman" w:hAnsi="Times New Roman"/>
          <w:sz w:val="15"/>
          <w:szCs w:val="15"/>
          <w:highlight w:val="none"/>
        </w:rPr>
        <w:fldChar w:fldCharType="end"/>
      </w:r>
      <w:r>
        <w:rPr>
          <w:rFonts w:ascii="Times New Roman" w:hAnsi="Times New Roman"/>
          <w:sz w:val="15"/>
          <w:szCs w:val="15"/>
          <w:highlight w:val="none"/>
        </w:rPr>
        <w:t> 2018, 16(1):67.</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"https://www.ncbi.nlm.nih.gov/pubmed/?term=McGregor%20M%5BAuthor%5D&amp;cauthor=true&amp;cauthor_uid=29737864" </w:instrText>
      </w:r>
      <w:r>
        <w:rPr>
          <w:highlight w:val="none"/>
        </w:rPr>
        <w:fldChar w:fldCharType="separate"/>
      </w:r>
      <w:r>
        <w:rPr>
          <w:rFonts w:ascii="Times New Roman" w:hAnsi="Times New Roman"/>
          <w:sz w:val="15"/>
          <w:szCs w:val="15"/>
          <w:highlight w:val="none"/>
        </w:rPr>
        <w:t>McGregor M</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"https://www.ncbi.nlm.nih.gov/pubmed/?term=Price%20TJ%5BAuthor%5D&amp;cauthor=true&amp;cauthor_uid=29737864" </w:instrText>
      </w:r>
      <w:r>
        <w:rPr>
          <w:highlight w:val="none"/>
        </w:rPr>
        <w:fldChar w:fldCharType="separate"/>
      </w:r>
      <w:r>
        <w:rPr>
          <w:rFonts w:ascii="Times New Roman" w:hAnsi="Times New Roman"/>
          <w:sz w:val="15"/>
          <w:szCs w:val="15"/>
          <w:highlight w:val="none"/>
        </w:rPr>
        <w:t>Price TJ</w:t>
      </w:r>
      <w:r>
        <w:rPr>
          <w:rFonts w:ascii="Times New Roman" w:hAnsi="Times New Roman"/>
          <w:sz w:val="15"/>
          <w:szCs w:val="15"/>
          <w:highlight w:val="none"/>
        </w:rPr>
        <w:fldChar w:fldCharType="end"/>
      </w:r>
      <w:r>
        <w:rPr>
          <w:rFonts w:ascii="Times New Roman" w:hAnsi="Times New Roman"/>
          <w:sz w:val="15"/>
          <w:szCs w:val="15"/>
          <w:highlight w:val="none"/>
        </w:rPr>
        <w:t xml:space="preserve">. Panitumumab in the treatment of metastatic colorectal cancer, including wild-type RAS,KRAS and NRAS mCRC[J]. </w:t>
      </w:r>
      <w:r>
        <w:rPr>
          <w:highlight w:val="none"/>
        </w:rPr>
        <w:fldChar w:fldCharType="begin"/>
      </w:r>
      <w:r>
        <w:rPr>
          <w:highlight w:val="none"/>
        </w:rPr>
        <w:instrText xml:space="preserve"> HYPERLINK "https://www.ncbi.nlm.nih.gov/pubmed/29737864" \o "Future oncology (London, England)." </w:instrText>
      </w:r>
      <w:r>
        <w:rPr>
          <w:highlight w:val="none"/>
        </w:rPr>
        <w:fldChar w:fldCharType="separate"/>
      </w:r>
      <w:r>
        <w:rPr>
          <w:rFonts w:ascii="Times New Roman" w:hAnsi="Times New Roman"/>
          <w:sz w:val="15"/>
          <w:szCs w:val="15"/>
          <w:highlight w:val="none"/>
        </w:rPr>
        <w:t>Future Oncol,</w:t>
      </w:r>
      <w:r>
        <w:rPr>
          <w:rFonts w:ascii="Times New Roman" w:hAnsi="Times New Roman"/>
          <w:sz w:val="15"/>
          <w:szCs w:val="15"/>
          <w:highlight w:val="none"/>
        </w:rPr>
        <w:fldChar w:fldCharType="end"/>
      </w:r>
      <w:r>
        <w:rPr>
          <w:rFonts w:ascii="Times New Roman" w:hAnsi="Times New Roman"/>
          <w:sz w:val="15"/>
          <w:szCs w:val="15"/>
          <w:highlight w:val="none"/>
        </w:rPr>
        <w:t> 2018, 14(24):2437-2459.</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"https://www.ncbi.nlm.nih.gov/pubmed/?term=Yoshino%20T%5BAuthor%5D&amp;cauthor=true&amp;cauthor_uid=28237539" </w:instrText>
      </w:r>
      <w:r>
        <w:rPr>
          <w:highlight w:val="none"/>
        </w:rPr>
        <w:fldChar w:fldCharType="separate"/>
      </w:r>
      <w:r>
        <w:rPr>
          <w:rFonts w:ascii="Times New Roman" w:hAnsi="Times New Roman"/>
          <w:sz w:val="15"/>
          <w:szCs w:val="15"/>
          <w:highlight w:val="none"/>
        </w:rPr>
        <w:t>Yoshino 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"https://www.ncbi.nlm.nih.gov/pubmed/?term=Uetake%20H%5BAuthor%5D&amp;cauthor=true&amp;cauthor_uid=28237539" </w:instrText>
      </w:r>
      <w:r>
        <w:rPr>
          <w:highlight w:val="none"/>
        </w:rPr>
        <w:fldChar w:fldCharType="separate"/>
      </w:r>
      <w:r>
        <w:rPr>
          <w:rFonts w:ascii="Times New Roman" w:hAnsi="Times New Roman"/>
          <w:sz w:val="15"/>
          <w:szCs w:val="15"/>
          <w:highlight w:val="none"/>
        </w:rPr>
        <w:t>Uetake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"https://www.ncbi.nlm.nih.gov/pubmed/?term=Tsuchihara%20K%5BAuthor%5D&amp;cauthor=true&amp;cauthor_uid=28237539" </w:instrText>
      </w:r>
      <w:r>
        <w:rPr>
          <w:highlight w:val="none"/>
        </w:rPr>
        <w:fldChar w:fldCharType="separate"/>
      </w:r>
      <w:r>
        <w:rPr>
          <w:rFonts w:ascii="Times New Roman" w:hAnsi="Times New Roman"/>
          <w:sz w:val="15"/>
          <w:szCs w:val="15"/>
          <w:highlight w:val="none"/>
        </w:rPr>
        <w:t>Tsuchihara K</w:t>
      </w:r>
      <w:r>
        <w:rPr>
          <w:rFonts w:ascii="Times New Roman" w:hAnsi="Times New Roman"/>
          <w:sz w:val="15"/>
          <w:szCs w:val="15"/>
          <w:highlight w:val="none"/>
        </w:rPr>
        <w:fldChar w:fldCharType="end"/>
      </w:r>
      <w:r>
        <w:rPr>
          <w:rFonts w:ascii="Times New Roman" w:hAnsi="Times New Roman"/>
          <w:sz w:val="15"/>
          <w:szCs w:val="15"/>
          <w:highlight w:val="none"/>
        </w:rPr>
        <w:t xml:space="preserve">, et al. Rationale for and Design of the PARADIGM Study: Randomized Phase III Study of mFOLFOX6 Plus Bevacizumab or Panitumumab in Chemotherapy-naïve Patients With RAS (KRAS/NRAS) Wild-type, Metastatic Colorectal Cancer[J]. </w:t>
      </w:r>
      <w:r>
        <w:rPr>
          <w:highlight w:val="none"/>
        </w:rPr>
        <w:fldChar w:fldCharType="begin"/>
      </w:r>
      <w:r>
        <w:rPr>
          <w:highlight w:val="none"/>
        </w:rPr>
        <w:instrText xml:space="preserve"> HYPERLINK "https://www.ncbi.nlm.nih.gov/pubmed/28237539" \o "Clinical colorectal cancer." </w:instrText>
      </w:r>
      <w:r>
        <w:rPr>
          <w:highlight w:val="none"/>
        </w:rPr>
        <w:fldChar w:fldCharType="separate"/>
      </w:r>
      <w:r>
        <w:rPr>
          <w:rFonts w:ascii="Times New Roman" w:hAnsi="Times New Roman"/>
          <w:sz w:val="15"/>
          <w:szCs w:val="15"/>
          <w:highlight w:val="none"/>
        </w:rPr>
        <w:t>Clin Colorectal Cancer,</w:t>
      </w:r>
      <w:r>
        <w:rPr>
          <w:rFonts w:ascii="Times New Roman" w:hAnsi="Times New Roman"/>
          <w:sz w:val="15"/>
          <w:szCs w:val="15"/>
          <w:highlight w:val="none"/>
        </w:rPr>
        <w:fldChar w:fldCharType="end"/>
      </w:r>
      <w:r>
        <w:rPr>
          <w:rFonts w:ascii="Times New Roman" w:hAnsi="Times New Roman"/>
          <w:sz w:val="15"/>
          <w:szCs w:val="15"/>
          <w:highlight w:val="none"/>
        </w:rPr>
        <w:t> 2017, 16(2):158-163.</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"https://www.ncbi.nlm.nih.gov/pubmed/?term=Seymour%20MT%5BAuthor%5D&amp;cauthor=true&amp;cauthor_uid=23725851" </w:instrText>
      </w:r>
      <w:r>
        <w:rPr>
          <w:highlight w:val="none"/>
        </w:rPr>
        <w:fldChar w:fldCharType="separate"/>
      </w:r>
      <w:r>
        <w:rPr>
          <w:rFonts w:ascii="Times New Roman" w:hAnsi="Times New Roman"/>
          <w:sz w:val="15"/>
          <w:szCs w:val="15"/>
          <w:highlight w:val="none"/>
        </w:rPr>
        <w:t>Seymour MT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"https://www.ncbi.nlm.nih.gov/pubmed/?term=Brown%20SR%5BAuthor%5D&amp;cauthor=true&amp;cauthor_uid=23725851" </w:instrText>
      </w:r>
      <w:r>
        <w:rPr>
          <w:highlight w:val="none"/>
        </w:rPr>
        <w:fldChar w:fldCharType="separate"/>
      </w:r>
      <w:r>
        <w:rPr>
          <w:rFonts w:ascii="Times New Roman" w:hAnsi="Times New Roman"/>
          <w:sz w:val="15"/>
          <w:szCs w:val="15"/>
          <w:highlight w:val="none"/>
        </w:rPr>
        <w:t>Brown SR</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"https://www.ncbi.nlm.nih.gov/pubmed/?term=Middleton%20G%5BAuthor%5D&amp;cauthor=true&amp;cauthor_uid=23725851" </w:instrText>
      </w:r>
      <w:r>
        <w:rPr>
          <w:highlight w:val="none"/>
        </w:rPr>
        <w:fldChar w:fldCharType="separate"/>
      </w:r>
      <w:r>
        <w:rPr>
          <w:rFonts w:ascii="Times New Roman" w:hAnsi="Times New Roman"/>
          <w:sz w:val="15"/>
          <w:szCs w:val="15"/>
          <w:highlight w:val="none"/>
        </w:rPr>
        <w:t>Middleton G</w:t>
      </w:r>
      <w:r>
        <w:rPr>
          <w:rFonts w:ascii="Times New Roman" w:hAnsi="Times New Roman"/>
          <w:sz w:val="15"/>
          <w:szCs w:val="15"/>
          <w:highlight w:val="none"/>
        </w:rPr>
        <w:fldChar w:fldCharType="end"/>
      </w:r>
      <w:r>
        <w:rPr>
          <w:rFonts w:ascii="Times New Roman" w:hAnsi="Times New Roman"/>
          <w:sz w:val="15"/>
          <w:szCs w:val="15"/>
          <w:highlight w:val="none"/>
        </w:rPr>
        <w:t xml:space="preserve">. Panitumumab and irinotecan versus irinotecan alone for patients with KRAS wild-type, fluorouracil-resistant advanced colorectal cancer (PICCOLO): a prospectively stratified randomised trial[J]. </w:t>
      </w:r>
      <w:r>
        <w:rPr>
          <w:highlight w:val="none"/>
        </w:rPr>
        <w:fldChar w:fldCharType="begin"/>
      </w:r>
      <w:r>
        <w:rPr>
          <w:highlight w:val="none"/>
        </w:rPr>
        <w:instrText xml:space="preserve"> HYPERLINK "https://www.ncbi.nlm.nih.gov/pubmed/23725851" \o "The Lancet. Oncology." </w:instrText>
      </w:r>
      <w:r>
        <w:rPr>
          <w:highlight w:val="none"/>
        </w:rPr>
        <w:fldChar w:fldCharType="separate"/>
      </w:r>
      <w:r>
        <w:rPr>
          <w:rFonts w:ascii="Times New Roman" w:hAnsi="Times New Roman"/>
          <w:sz w:val="15"/>
          <w:szCs w:val="15"/>
          <w:highlight w:val="none"/>
        </w:rPr>
        <w:t>Lancet Oncol,</w:t>
      </w:r>
      <w:r>
        <w:rPr>
          <w:rFonts w:ascii="Times New Roman" w:hAnsi="Times New Roman"/>
          <w:sz w:val="15"/>
          <w:szCs w:val="15"/>
          <w:highlight w:val="none"/>
        </w:rPr>
        <w:fldChar w:fldCharType="end"/>
      </w:r>
      <w:r>
        <w:rPr>
          <w:rFonts w:ascii="Times New Roman" w:hAnsi="Times New Roman"/>
          <w:sz w:val="15"/>
          <w:szCs w:val="15"/>
          <w:highlight w:val="none"/>
        </w:rPr>
        <w:t> 2013, 14(8):749-59.</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"https://www.ncbi.nlm.nih.gov/pubmed/?term=Kim%20TW%5BAuthor%5D&amp;cauthor=true&amp;cauthor_uid=27736842" </w:instrText>
      </w:r>
      <w:r>
        <w:rPr>
          <w:highlight w:val="none"/>
        </w:rPr>
        <w:fldChar w:fldCharType="separate"/>
      </w:r>
      <w:r>
        <w:rPr>
          <w:rFonts w:ascii="Times New Roman" w:hAnsi="Times New Roman"/>
          <w:sz w:val="15"/>
          <w:szCs w:val="15"/>
          <w:highlight w:val="none"/>
        </w:rPr>
        <w:t>Kim TW</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"https://www.ncbi.nlm.nih.gov/pubmed/?term=Elme%20A%5BAuthor%5D&amp;cauthor=true&amp;cauthor_uid=27736842" </w:instrText>
      </w:r>
      <w:r>
        <w:rPr>
          <w:highlight w:val="none"/>
        </w:rPr>
        <w:fldChar w:fldCharType="separate"/>
      </w:r>
      <w:r>
        <w:rPr>
          <w:rFonts w:ascii="Times New Roman" w:hAnsi="Times New Roman"/>
          <w:sz w:val="15"/>
          <w:szCs w:val="15"/>
          <w:highlight w:val="none"/>
        </w:rPr>
        <w:t>Elme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"https://www.ncbi.nlm.nih.gov/pubmed/?term=Kusic%20Z%5BAuthor%5D&amp;cauthor=true&amp;cauthor_uid=27736842" </w:instrText>
      </w:r>
      <w:r>
        <w:rPr>
          <w:highlight w:val="none"/>
        </w:rPr>
        <w:fldChar w:fldCharType="separate"/>
      </w:r>
      <w:r>
        <w:rPr>
          <w:rFonts w:ascii="Times New Roman" w:hAnsi="Times New Roman"/>
          <w:sz w:val="15"/>
          <w:szCs w:val="15"/>
          <w:highlight w:val="none"/>
        </w:rPr>
        <w:t>Kusic Z</w:t>
      </w:r>
      <w:r>
        <w:rPr>
          <w:rFonts w:ascii="Times New Roman" w:hAnsi="Times New Roman"/>
          <w:sz w:val="15"/>
          <w:szCs w:val="15"/>
          <w:highlight w:val="none"/>
        </w:rPr>
        <w:fldChar w:fldCharType="end"/>
      </w:r>
      <w:r>
        <w:rPr>
          <w:rFonts w:ascii="Times New Roman" w:hAnsi="Times New Roman"/>
          <w:sz w:val="15"/>
          <w:szCs w:val="15"/>
          <w:highlight w:val="none"/>
        </w:rPr>
        <w:t xml:space="preserve">, et al. A phase 3 trial evaluating panitumumab plus best supportive care vs best supportive care in chemorefractory wild-type KRAS or RAS metastatic colorectal cancer[J]. </w:t>
      </w:r>
      <w:r>
        <w:rPr>
          <w:highlight w:val="none"/>
        </w:rPr>
        <w:fldChar w:fldCharType="begin"/>
      </w:r>
      <w:r>
        <w:rPr>
          <w:highlight w:val="none"/>
        </w:rPr>
        <w:instrText xml:space="preserve"> HYPERLINK "https://www.ncbi.nlm.nih.gov/pubmed/27736842" \o "British journal of cancer." </w:instrText>
      </w:r>
      <w:r>
        <w:rPr>
          <w:highlight w:val="none"/>
        </w:rPr>
        <w:fldChar w:fldCharType="separate"/>
      </w:r>
      <w:r>
        <w:rPr>
          <w:rFonts w:ascii="Times New Roman" w:hAnsi="Times New Roman"/>
          <w:sz w:val="15"/>
          <w:szCs w:val="15"/>
          <w:highlight w:val="none"/>
        </w:rPr>
        <w:t>Br J Cancer,</w:t>
      </w:r>
      <w:r>
        <w:rPr>
          <w:rFonts w:ascii="Times New Roman" w:hAnsi="Times New Roman"/>
          <w:sz w:val="15"/>
          <w:szCs w:val="15"/>
          <w:highlight w:val="none"/>
        </w:rPr>
        <w:fldChar w:fldCharType="end"/>
      </w:r>
      <w:r>
        <w:rPr>
          <w:rFonts w:ascii="Times New Roman" w:hAnsi="Times New Roman"/>
          <w:sz w:val="15"/>
          <w:szCs w:val="15"/>
          <w:highlight w:val="none"/>
        </w:rPr>
        <w:t> 2016, 115(10):1206-1214.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Dazhi L, Michael O, Stephen H, et al. Entrectinib: an orally available, selective tyrosine kinase inhibitor for the treatment of NTRK, ROS1, and ALK fusion-positive solid tumors[J]. Therapeutics and Clinical Risk Management, 2018, Volume 14:1247-1252.</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"https://www.ncbi.nlm.nih.gov/pubmed/?term=Joensuu%20H%5BAuthor%5D&amp;cauthor=true&amp;cauthor_uid=28334365" </w:instrText>
      </w:r>
      <w:r>
        <w:rPr>
          <w:highlight w:val="none"/>
        </w:rPr>
        <w:fldChar w:fldCharType="separate"/>
      </w:r>
      <w:r>
        <w:rPr>
          <w:rFonts w:ascii="Times New Roman" w:hAnsi="Times New Roman"/>
          <w:sz w:val="15"/>
          <w:szCs w:val="15"/>
          <w:highlight w:val="none"/>
        </w:rPr>
        <w:t>Joensuu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"https://www.ncbi.nlm.nih.gov/pubmed/?term=Wardelmann%20E%5BAuthor%5D&amp;cauthor=true&amp;cauthor_uid=28334365" </w:instrText>
      </w:r>
      <w:r>
        <w:rPr>
          <w:highlight w:val="none"/>
        </w:rPr>
        <w:fldChar w:fldCharType="separate"/>
      </w:r>
      <w:r>
        <w:rPr>
          <w:rFonts w:ascii="Times New Roman" w:hAnsi="Times New Roman"/>
          <w:sz w:val="15"/>
          <w:szCs w:val="15"/>
          <w:highlight w:val="none"/>
        </w:rPr>
        <w:t>Wardelmann E</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"https://www.ncbi.nlm.nih.gov/pubmed/?term=Sihto%20H%5BAuthor%5D&amp;cauthor=true&amp;cauthor_uid=28334365" </w:instrText>
      </w:r>
      <w:r>
        <w:rPr>
          <w:highlight w:val="none"/>
        </w:rPr>
        <w:fldChar w:fldCharType="separate"/>
      </w:r>
      <w:r>
        <w:rPr>
          <w:rFonts w:ascii="Times New Roman" w:hAnsi="Times New Roman"/>
          <w:sz w:val="15"/>
          <w:szCs w:val="15"/>
          <w:highlight w:val="none"/>
        </w:rPr>
        <w:t>Sihto H</w:t>
      </w:r>
      <w:r>
        <w:rPr>
          <w:rFonts w:ascii="Times New Roman" w:hAnsi="Times New Roman"/>
          <w:sz w:val="15"/>
          <w:szCs w:val="15"/>
          <w:highlight w:val="none"/>
        </w:rPr>
        <w:fldChar w:fldCharType="end"/>
      </w:r>
      <w:r>
        <w:rPr>
          <w:rFonts w:ascii="Times New Roman" w:hAnsi="Times New Roman"/>
          <w:sz w:val="15"/>
          <w:szCs w:val="15"/>
          <w:highlight w:val="none"/>
        </w:rPr>
        <w:t xml:space="preserve">, et al. Effect of KIT and PDGFRA Mutations on Survival in Patients With Gastrointestinal Stromal Tumors Treated With Adjuvant Imatinib: An Exploratory Analysis of a Randomized Clinical Trial[J]. </w:t>
      </w:r>
      <w:r>
        <w:rPr>
          <w:highlight w:val="none"/>
        </w:rPr>
        <w:fldChar w:fldCharType="begin"/>
      </w:r>
      <w:r>
        <w:rPr>
          <w:highlight w:val="none"/>
        </w:rPr>
        <w:instrText xml:space="preserve"> HYPERLINK "https://www.ncbi.nlm.nih.gov/pubmed/28334365" \o "JAMA oncology." </w:instrText>
      </w:r>
      <w:r>
        <w:rPr>
          <w:highlight w:val="none"/>
        </w:rPr>
        <w:fldChar w:fldCharType="separate"/>
      </w:r>
      <w:r>
        <w:rPr>
          <w:rFonts w:ascii="Times New Roman" w:hAnsi="Times New Roman"/>
          <w:sz w:val="15"/>
          <w:szCs w:val="15"/>
          <w:highlight w:val="none"/>
        </w:rPr>
        <w:t>JAMA Oncol,</w:t>
      </w:r>
      <w:r>
        <w:rPr>
          <w:rFonts w:ascii="Times New Roman" w:hAnsi="Times New Roman"/>
          <w:sz w:val="15"/>
          <w:szCs w:val="15"/>
          <w:highlight w:val="none"/>
        </w:rPr>
        <w:fldChar w:fldCharType="end"/>
      </w:r>
      <w:r>
        <w:rPr>
          <w:rFonts w:ascii="Times New Roman" w:hAnsi="Times New Roman"/>
          <w:sz w:val="15"/>
          <w:szCs w:val="15"/>
          <w:highlight w:val="none"/>
        </w:rPr>
        <w:t xml:space="preserve"> 2017 , 3(5):602-609. </w:t>
      </w:r>
    </w:p>
    <w:p>
      <w:pPr>
        <w:numPr>
          <w:ilvl w:val="0"/>
          <w:numId w:val="34"/>
        </w:numPr>
        <w:topLinePunct/>
        <w:autoSpaceDE w:val="0"/>
        <w:rPr>
          <w:rFonts w:ascii="Times New Roman" w:hAnsi="Times New Roman"/>
          <w:sz w:val="15"/>
          <w:szCs w:val="15"/>
          <w:highlight w:val="none"/>
        </w:rPr>
      </w:pPr>
      <w:r>
        <w:rPr>
          <w:highlight w:val="none"/>
        </w:rPr>
        <w:fldChar w:fldCharType="begin"/>
      </w:r>
      <w:r>
        <w:rPr>
          <w:highlight w:val="none"/>
        </w:rPr>
        <w:instrText xml:space="preserve"> HYPERLINK "https://www.ncbi.nlm.nih.gov/pubmed/?term=Dewaele%20B%5BAuthor%5D&amp;cauthor=true&amp;cauthor_uid=18794084" </w:instrText>
      </w:r>
      <w:r>
        <w:rPr>
          <w:highlight w:val="none"/>
        </w:rPr>
        <w:fldChar w:fldCharType="separate"/>
      </w:r>
      <w:r>
        <w:rPr>
          <w:rFonts w:ascii="Times New Roman" w:hAnsi="Times New Roman"/>
          <w:sz w:val="15"/>
          <w:szCs w:val="15"/>
          <w:highlight w:val="none"/>
        </w:rPr>
        <w:t>Dewaele B</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"https://www.ncbi.nlm.nih.gov/pubmed/?term=Wasag%20B%5BAuthor%5D&amp;cauthor=true&amp;cauthor_uid=18794084" </w:instrText>
      </w:r>
      <w:r>
        <w:rPr>
          <w:highlight w:val="none"/>
        </w:rPr>
        <w:fldChar w:fldCharType="separate"/>
      </w:r>
      <w:r>
        <w:rPr>
          <w:rFonts w:ascii="Times New Roman" w:hAnsi="Times New Roman"/>
          <w:sz w:val="15"/>
          <w:szCs w:val="15"/>
          <w:highlight w:val="none"/>
        </w:rPr>
        <w:t>Wasag B</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"https://www.ncbi.nlm.nih.gov/pubmed/?term=Cools%20J%5BAuthor%5D&amp;cauthor=true&amp;cauthor_uid=18794084" </w:instrText>
      </w:r>
      <w:r>
        <w:rPr>
          <w:highlight w:val="none"/>
        </w:rPr>
        <w:fldChar w:fldCharType="separate"/>
      </w:r>
      <w:r>
        <w:rPr>
          <w:rFonts w:ascii="Times New Roman" w:hAnsi="Times New Roman"/>
          <w:sz w:val="15"/>
          <w:szCs w:val="15"/>
          <w:highlight w:val="none"/>
        </w:rPr>
        <w:t>Cools J</w:t>
      </w:r>
      <w:r>
        <w:rPr>
          <w:rFonts w:ascii="Times New Roman" w:hAnsi="Times New Roman"/>
          <w:sz w:val="15"/>
          <w:szCs w:val="15"/>
          <w:highlight w:val="none"/>
        </w:rPr>
        <w:fldChar w:fldCharType="end"/>
      </w:r>
      <w:r>
        <w:rPr>
          <w:rFonts w:ascii="Times New Roman" w:hAnsi="Times New Roman"/>
          <w:sz w:val="15"/>
          <w:szCs w:val="15"/>
          <w:highlight w:val="none"/>
        </w:rPr>
        <w:t xml:space="preserve">, et al. Activity of dasatinib, a dual SRC/ABL kinase inhibitor, and IPI-504, a heat shock protein 90 inhibitor, against gastrointestinal stromal tumor-associated PDGFRAD842V mutation[J]. </w:t>
      </w:r>
      <w:r>
        <w:rPr>
          <w:highlight w:val="none"/>
        </w:rPr>
        <w:fldChar w:fldCharType="begin"/>
      </w:r>
      <w:r>
        <w:rPr>
          <w:highlight w:val="none"/>
        </w:rPr>
        <w:instrText xml:space="preserve"> HYPERLINK "https://www.ncbi.nlm.nih.gov/pubmed/18794084"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2008, 14(18):5749-58. </w:t>
      </w:r>
    </w:p>
    <w:p>
      <w:pPr>
        <w:numPr>
          <w:ilvl w:val="0"/>
          <w:numId w:val="34"/>
        </w:numPr>
        <w:topLinePunct/>
        <w:autoSpaceDE w:val="0"/>
        <w:rPr>
          <w:rFonts w:ascii="Times New Roman" w:hAnsi="Times New Roman"/>
          <w:sz w:val="15"/>
          <w:szCs w:val="15"/>
          <w:highlight w:val="none"/>
        </w:rPr>
      </w:pPr>
      <w:r>
        <w:rPr>
          <w:highlight w:val="none"/>
        </w:rPr>
        <w:fldChar w:fldCharType="begin"/>
      </w:r>
      <w:r>
        <w:rPr>
          <w:highlight w:val="none"/>
        </w:rPr>
        <w:instrText xml:space="preserve"> HYPERLINK "https://www.ncbi.nlm.nih.gov/pubmed/?term=Heinrich%20MC%5BAuthor%5D&amp;cauthor=true&amp;cauthor_uid=22745105" </w:instrText>
      </w:r>
      <w:r>
        <w:rPr>
          <w:highlight w:val="none"/>
        </w:rPr>
        <w:fldChar w:fldCharType="separate"/>
      </w:r>
      <w:r>
        <w:rPr>
          <w:rFonts w:ascii="Times New Roman" w:hAnsi="Times New Roman"/>
          <w:sz w:val="15"/>
          <w:szCs w:val="15"/>
          <w:highlight w:val="none"/>
        </w:rPr>
        <w:t>Heinrich MC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"https://www.ncbi.nlm.nih.gov/pubmed/?term=Griffith%20D%5BAuthor%5D&amp;cauthor=true&amp;cauthor_uid=22745105" </w:instrText>
      </w:r>
      <w:r>
        <w:rPr>
          <w:highlight w:val="none"/>
        </w:rPr>
        <w:fldChar w:fldCharType="separate"/>
      </w:r>
      <w:r>
        <w:rPr>
          <w:rFonts w:ascii="Times New Roman" w:hAnsi="Times New Roman"/>
          <w:sz w:val="15"/>
          <w:szCs w:val="15"/>
          <w:highlight w:val="none"/>
        </w:rPr>
        <w:t>Griffith 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"https://www.ncbi.nlm.nih.gov/pubmed/?term=McKinley%20A%5BAuthor%5D&amp;cauthor=true&amp;cauthor_uid=22745105" </w:instrText>
      </w:r>
      <w:r>
        <w:rPr>
          <w:highlight w:val="none"/>
        </w:rPr>
        <w:fldChar w:fldCharType="separate"/>
      </w:r>
      <w:r>
        <w:rPr>
          <w:rFonts w:ascii="Times New Roman" w:hAnsi="Times New Roman"/>
          <w:sz w:val="15"/>
          <w:szCs w:val="15"/>
          <w:highlight w:val="none"/>
        </w:rPr>
        <w:t>McKinley A</w:t>
      </w:r>
      <w:r>
        <w:rPr>
          <w:rFonts w:ascii="Times New Roman" w:hAnsi="Times New Roman"/>
          <w:sz w:val="15"/>
          <w:szCs w:val="15"/>
          <w:highlight w:val="none"/>
        </w:rPr>
        <w:fldChar w:fldCharType="end"/>
      </w:r>
      <w:r>
        <w:rPr>
          <w:rFonts w:ascii="Times New Roman" w:hAnsi="Times New Roman"/>
          <w:sz w:val="15"/>
          <w:szCs w:val="15"/>
          <w:highlight w:val="none"/>
        </w:rPr>
        <w:t xml:space="preserve">, et al. Crenolanib inhibits the drug-resistant PDGFRA D842V mutation associated with imatinib-resistant gastrointestinal stromal tumors[J]. </w:t>
      </w:r>
      <w:r>
        <w:rPr>
          <w:highlight w:val="none"/>
        </w:rPr>
        <w:fldChar w:fldCharType="begin"/>
      </w:r>
      <w:r>
        <w:rPr>
          <w:highlight w:val="none"/>
        </w:rPr>
        <w:instrText xml:space="preserve"> HYPERLINK "https://www.ncbi.nlm.nih.gov/pubmed/22745105"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2012, 18(16):4375-84.</w:t>
      </w:r>
    </w:p>
    <w:p>
      <w:pPr>
        <w:numPr>
          <w:ilvl w:val="0"/>
          <w:numId w:val="34"/>
        </w:numPr>
        <w:topLinePunct/>
        <w:autoSpaceDE w:val="0"/>
        <w:rPr>
          <w:rFonts w:ascii="Times New Roman" w:hAnsi="Times New Roman"/>
          <w:sz w:val="15"/>
          <w:szCs w:val="15"/>
          <w:highlight w:val="none"/>
        </w:rPr>
      </w:pPr>
      <w:r>
        <w:rPr>
          <w:highlight w:val="none"/>
        </w:rPr>
        <w:fldChar w:fldCharType="begin"/>
      </w:r>
      <w:r>
        <w:rPr>
          <w:highlight w:val="none"/>
        </w:rPr>
        <w:instrText xml:space="preserve"> HYPERLINK "https://www.ncbi.nlm.nih.gov/pubmed/?term=Corless%20CL%5BAuthor%5D&amp;cauthor=true&amp;cauthor_uid=15928335" </w:instrText>
      </w:r>
      <w:r>
        <w:rPr>
          <w:highlight w:val="none"/>
        </w:rPr>
        <w:fldChar w:fldCharType="separate"/>
      </w:r>
      <w:r>
        <w:rPr>
          <w:rFonts w:ascii="Times New Roman" w:hAnsi="Times New Roman"/>
          <w:sz w:val="15"/>
          <w:szCs w:val="15"/>
          <w:highlight w:val="none"/>
        </w:rPr>
        <w:t>Corless CL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"https://www.ncbi.nlm.nih.gov/pubmed/?term=Schroeder%20A%5BAuthor%5D&amp;cauthor=true&amp;cauthor_uid=15928335" </w:instrText>
      </w:r>
      <w:r>
        <w:rPr>
          <w:highlight w:val="none"/>
        </w:rPr>
        <w:fldChar w:fldCharType="separate"/>
      </w:r>
      <w:r>
        <w:rPr>
          <w:rFonts w:ascii="Times New Roman" w:hAnsi="Times New Roman"/>
          <w:sz w:val="15"/>
          <w:szCs w:val="15"/>
          <w:highlight w:val="none"/>
        </w:rPr>
        <w:t>Schroeder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"https://www.ncbi.nlm.nih.gov/pubmed/?term=Griffith%20D%5BAuthor%5D&amp;cauthor=true&amp;cauthor_uid=15928335" </w:instrText>
      </w:r>
      <w:r>
        <w:rPr>
          <w:highlight w:val="none"/>
        </w:rPr>
        <w:fldChar w:fldCharType="separate"/>
      </w:r>
      <w:r>
        <w:rPr>
          <w:rFonts w:ascii="Times New Roman" w:hAnsi="Times New Roman"/>
          <w:sz w:val="15"/>
          <w:szCs w:val="15"/>
          <w:highlight w:val="none"/>
        </w:rPr>
        <w:t>Griffith D</w:t>
      </w:r>
      <w:r>
        <w:rPr>
          <w:rFonts w:ascii="Times New Roman" w:hAnsi="Times New Roman"/>
          <w:sz w:val="15"/>
          <w:szCs w:val="15"/>
          <w:highlight w:val="none"/>
        </w:rPr>
        <w:fldChar w:fldCharType="end"/>
      </w:r>
      <w:r>
        <w:rPr>
          <w:rFonts w:ascii="Times New Roman" w:hAnsi="Times New Roman"/>
          <w:sz w:val="15"/>
          <w:szCs w:val="15"/>
          <w:highlight w:val="none"/>
        </w:rPr>
        <w:t xml:space="preserve">, et al. PDGFRA mutations in gastrointestinal stromal tumors: frequency, spectrum and in vitro sensitivity to imatinib[J]. </w:t>
      </w:r>
      <w:r>
        <w:rPr>
          <w:highlight w:val="none"/>
        </w:rPr>
        <w:fldChar w:fldCharType="begin"/>
      </w:r>
      <w:r>
        <w:rPr>
          <w:highlight w:val="none"/>
        </w:rPr>
        <w:instrText xml:space="preserve"> HYPERLINK "https://www.ncbi.nlm.nih.gov/pubmed/15928335" \o "Journal of clinical oncology : official journal of the American Society of Clinical Oncology." </w:instrText>
      </w:r>
      <w:r>
        <w:rPr>
          <w:highlight w:val="none"/>
        </w:rPr>
        <w:fldChar w:fldCharType="separate"/>
      </w:r>
      <w:r>
        <w:rPr>
          <w:rFonts w:ascii="Times New Roman" w:hAnsi="Times New Roman"/>
          <w:sz w:val="15"/>
          <w:szCs w:val="15"/>
          <w:highlight w:val="none"/>
        </w:rPr>
        <w:t>J Clin Oncol,</w:t>
      </w:r>
      <w:r>
        <w:rPr>
          <w:rFonts w:ascii="Times New Roman" w:hAnsi="Times New Roman"/>
          <w:sz w:val="15"/>
          <w:szCs w:val="15"/>
          <w:highlight w:val="none"/>
        </w:rPr>
        <w:fldChar w:fldCharType="end"/>
      </w:r>
      <w:r>
        <w:rPr>
          <w:rFonts w:ascii="Times New Roman" w:hAnsi="Times New Roman"/>
          <w:sz w:val="15"/>
          <w:szCs w:val="15"/>
          <w:highlight w:val="none"/>
        </w:rPr>
        <w:t> 2005, 23(23):5357-64. </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Indio V, Astolfi A, Tarantino G, et al. Integrated Molecular Characterization of Gastrointestinal Stromal Tumors (GIST) Harboring the Rare D842V Mutation in PDGFRA Gene[J]. Int J Mol Sci, 2018, 19(3).</w:t>
      </w:r>
    </w:p>
    <w:p>
      <w:pPr>
        <w:widowControl/>
        <w:numPr>
          <w:ilvl w:val="0"/>
          <w:numId w:val="34"/>
        </w:numPr>
        <w:spacing w:after="84" w:line="259" w:lineRule="auto"/>
        <w:rPr>
          <w:rFonts w:ascii="Times New Roman" w:hAnsi="Times New Roman"/>
          <w:sz w:val="15"/>
          <w:szCs w:val="15"/>
          <w:highlight w:val="none"/>
        </w:rPr>
      </w:pPr>
      <w:r>
        <w:rPr>
          <w:rFonts w:ascii="Times New Roman" w:hAnsi="Times New Roman"/>
          <w:sz w:val="15"/>
          <w:szCs w:val="15"/>
          <w:highlight w:val="none"/>
        </w:rPr>
        <w:t>Rapid Responses to Avapritinib (BLU-285) in MastocytosisCancer Discov[J]. Cancer Discov, 2018, 8(2):133.</w:t>
      </w:r>
    </w:p>
    <w:p>
      <w:pPr>
        <w:numPr>
          <w:ilvl w:val="0"/>
          <w:numId w:val="34"/>
        </w:numPr>
        <w:topLinePunct/>
        <w:autoSpaceDE w:val="0"/>
        <w:ind w:left="357" w:hanging="357"/>
        <w:rPr>
          <w:rFonts w:ascii="Times New Roman" w:hAnsi="Times New Roman"/>
          <w:sz w:val="15"/>
          <w:szCs w:val="15"/>
          <w:highlight w:val="none"/>
        </w:rPr>
      </w:pPr>
      <w:r>
        <w:rPr>
          <w:highlight w:val="none"/>
        </w:rPr>
        <w:fldChar w:fldCharType="begin"/>
      </w:r>
      <w:r>
        <w:rPr>
          <w:highlight w:val="none"/>
        </w:rPr>
        <w:instrText xml:space="preserve"> HYPERLINK "https://www.ncbi.nlm.nih.gov/pubmed/?term=Foley%20TM%5BAuthor%5D&amp;cauthor=true&amp;cauthor_uid=28184015" </w:instrText>
      </w:r>
      <w:r>
        <w:rPr>
          <w:highlight w:val="none"/>
        </w:rPr>
        <w:fldChar w:fldCharType="separate"/>
      </w:r>
      <w:r>
        <w:rPr>
          <w:rFonts w:ascii="Times New Roman" w:hAnsi="Times New Roman"/>
          <w:sz w:val="15"/>
          <w:szCs w:val="15"/>
          <w:highlight w:val="none"/>
        </w:rPr>
        <w:t>Foley TM</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"https://www.ncbi.nlm.nih.gov/pubmed/?term=Payne%20SN%5BAuthor%5D&amp;cauthor=true&amp;cauthor_uid=28184015" </w:instrText>
      </w:r>
      <w:r>
        <w:rPr>
          <w:highlight w:val="none"/>
        </w:rPr>
        <w:fldChar w:fldCharType="separate"/>
      </w:r>
      <w:r>
        <w:rPr>
          <w:rFonts w:ascii="Times New Roman" w:hAnsi="Times New Roman"/>
          <w:sz w:val="15"/>
          <w:szCs w:val="15"/>
          <w:highlight w:val="none"/>
        </w:rPr>
        <w:t>Payne SN</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"https://www.ncbi.nlm.nih.gov/pubmed/?term=Pasch%20CA%5BAuthor%5D&amp;cauthor=true&amp;cauthor_uid=28184015" </w:instrText>
      </w:r>
      <w:r>
        <w:rPr>
          <w:highlight w:val="none"/>
        </w:rPr>
        <w:fldChar w:fldCharType="separate"/>
      </w:r>
      <w:r>
        <w:rPr>
          <w:rFonts w:ascii="Times New Roman" w:hAnsi="Times New Roman"/>
          <w:sz w:val="15"/>
          <w:szCs w:val="15"/>
          <w:highlight w:val="none"/>
        </w:rPr>
        <w:t>Pasch CA</w:t>
      </w:r>
      <w:r>
        <w:rPr>
          <w:rFonts w:ascii="Times New Roman" w:hAnsi="Times New Roman"/>
          <w:sz w:val="15"/>
          <w:szCs w:val="15"/>
          <w:highlight w:val="none"/>
        </w:rPr>
        <w:fldChar w:fldCharType="end"/>
      </w:r>
      <w:r>
        <w:rPr>
          <w:rFonts w:ascii="Times New Roman" w:hAnsi="Times New Roman"/>
          <w:sz w:val="15"/>
          <w:szCs w:val="15"/>
          <w:highlight w:val="none"/>
        </w:rPr>
        <w:t xml:space="preserve">, et al. Dual PI3K/mTOR Inhibition in Colorectal Cancers with APC and PIK3CA Mutations[J]. </w:t>
      </w:r>
      <w:r>
        <w:rPr>
          <w:highlight w:val="none"/>
        </w:rPr>
        <w:fldChar w:fldCharType="begin"/>
      </w:r>
      <w:r>
        <w:rPr>
          <w:highlight w:val="none"/>
        </w:rPr>
        <w:instrText xml:space="preserve"> HYPERLINK "https://www.ncbi.nlm.nih.gov/pubmed/28184015" \o "Molecular cancer research : MCR." </w:instrText>
      </w:r>
      <w:r>
        <w:rPr>
          <w:highlight w:val="none"/>
        </w:rPr>
        <w:fldChar w:fldCharType="separate"/>
      </w:r>
      <w:r>
        <w:rPr>
          <w:rFonts w:ascii="Times New Roman" w:hAnsi="Times New Roman"/>
          <w:sz w:val="15"/>
          <w:szCs w:val="15"/>
          <w:highlight w:val="none"/>
        </w:rPr>
        <w:t>Mol Cancer Res,</w:t>
      </w:r>
      <w:r>
        <w:rPr>
          <w:rFonts w:ascii="Times New Roman" w:hAnsi="Times New Roman"/>
          <w:sz w:val="15"/>
          <w:szCs w:val="15"/>
          <w:highlight w:val="none"/>
        </w:rPr>
        <w:fldChar w:fldCharType="end"/>
      </w:r>
      <w:r>
        <w:rPr>
          <w:rFonts w:ascii="Times New Roman" w:hAnsi="Times New Roman"/>
          <w:sz w:val="15"/>
          <w:szCs w:val="15"/>
          <w:highlight w:val="none"/>
        </w:rPr>
        <w:t> 2017, 15(3):317-327.</w:t>
      </w:r>
    </w:p>
    <w:p>
      <w:pPr>
        <w:numPr>
          <w:ilvl w:val="0"/>
          <w:numId w:val="34"/>
        </w:numPr>
        <w:topLinePunct/>
        <w:autoSpaceDE w:val="0"/>
        <w:ind w:left="357" w:hanging="357"/>
        <w:rPr>
          <w:rFonts w:ascii="Times New Roman" w:hAnsi="Times New Roman"/>
          <w:sz w:val="15"/>
          <w:szCs w:val="15"/>
          <w:highlight w:val="none"/>
        </w:rPr>
      </w:pPr>
      <w:r>
        <w:rPr>
          <w:highlight w:val="none"/>
        </w:rPr>
        <w:fldChar w:fldCharType="begin"/>
      </w:r>
      <w:r>
        <w:rPr>
          <w:highlight w:val="none"/>
        </w:rPr>
        <w:instrText xml:space="preserve"> HYPERLINK "https://www.ncbi.nlm.nih.gov/pubmed/?term=Asati%20V%5BAuthor%5D&amp;cauthor=true&amp;cauthor_uid=27296758" </w:instrText>
      </w:r>
      <w:r>
        <w:rPr>
          <w:highlight w:val="none"/>
        </w:rPr>
        <w:fldChar w:fldCharType="separate"/>
      </w:r>
      <w:r>
        <w:rPr>
          <w:rFonts w:ascii="Times New Roman" w:hAnsi="Times New Roman"/>
          <w:sz w:val="15"/>
          <w:szCs w:val="15"/>
          <w:highlight w:val="none"/>
        </w:rPr>
        <w:t>Asati V</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"https://www.ncbi.nlm.nih.gov/pubmed/?term=Bharti%20SK%5BAuthor%5D&amp;cauthor=true&amp;cauthor_uid=27296758" </w:instrText>
      </w:r>
      <w:r>
        <w:rPr>
          <w:highlight w:val="none"/>
        </w:rPr>
        <w:fldChar w:fldCharType="separate"/>
      </w:r>
      <w:r>
        <w:rPr>
          <w:rFonts w:ascii="Times New Roman" w:hAnsi="Times New Roman"/>
          <w:sz w:val="15"/>
          <w:szCs w:val="15"/>
          <w:highlight w:val="none"/>
        </w:rPr>
        <w:t>Bharti SK</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"https://www.ncbi.nlm.nih.gov/pubmed/?term=Mahapatra%20DK%5BAuthor%5D&amp;cauthor=true&amp;cauthor_uid=27296758" </w:instrText>
      </w:r>
      <w:r>
        <w:rPr>
          <w:highlight w:val="none"/>
        </w:rPr>
        <w:fldChar w:fldCharType="separate"/>
      </w:r>
      <w:r>
        <w:rPr>
          <w:rFonts w:ascii="Times New Roman" w:hAnsi="Times New Roman"/>
          <w:sz w:val="15"/>
          <w:szCs w:val="15"/>
          <w:highlight w:val="none"/>
        </w:rPr>
        <w:t>Mahapatra DK</w:t>
      </w:r>
      <w:r>
        <w:rPr>
          <w:rFonts w:ascii="Times New Roman" w:hAnsi="Times New Roman"/>
          <w:sz w:val="15"/>
          <w:szCs w:val="15"/>
          <w:highlight w:val="none"/>
        </w:rPr>
        <w:fldChar w:fldCharType="end"/>
      </w:r>
      <w:r>
        <w:rPr>
          <w:rFonts w:ascii="Times New Roman" w:hAnsi="Times New Roman"/>
          <w:sz w:val="15"/>
          <w:szCs w:val="15"/>
          <w:highlight w:val="none"/>
        </w:rPr>
        <w:t xml:space="preserve">, et al. Triggering PIK3CA Mutations in PI3K/Akt/mTOR Axis: Exploration of Newer Inhibitors and Rational Preventive Strategies[J]. </w:t>
      </w:r>
      <w:r>
        <w:rPr>
          <w:highlight w:val="none"/>
        </w:rPr>
        <w:fldChar w:fldCharType="begin"/>
      </w:r>
      <w:r>
        <w:rPr>
          <w:highlight w:val="none"/>
        </w:rPr>
        <w:instrText xml:space="preserve"> HYPERLINK "https://www.ncbi.nlm.nih.gov/pubmed/27296758" \o "Current pharmaceutical design." </w:instrText>
      </w:r>
      <w:r>
        <w:rPr>
          <w:highlight w:val="none"/>
        </w:rPr>
        <w:fldChar w:fldCharType="separate"/>
      </w:r>
      <w:r>
        <w:rPr>
          <w:rFonts w:ascii="Times New Roman" w:hAnsi="Times New Roman"/>
          <w:sz w:val="15"/>
          <w:szCs w:val="15"/>
          <w:highlight w:val="none"/>
        </w:rPr>
        <w:t>Curr Pharm Des,</w:t>
      </w:r>
      <w:r>
        <w:rPr>
          <w:rFonts w:ascii="Times New Roman" w:hAnsi="Times New Roman"/>
          <w:sz w:val="15"/>
          <w:szCs w:val="15"/>
          <w:highlight w:val="none"/>
        </w:rPr>
        <w:fldChar w:fldCharType="end"/>
      </w:r>
      <w:r>
        <w:rPr>
          <w:rFonts w:ascii="Times New Roman" w:hAnsi="Times New Roman"/>
          <w:sz w:val="15"/>
          <w:szCs w:val="15"/>
          <w:highlight w:val="none"/>
        </w:rPr>
        <w:t> 2016, 22(39):6039-6054.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Ng K, Tabernero J, Hwang J, et al. Phase II study of everolimus in patients with metastatic colorectal adenocarcinoma previously treated with Bevacizumab-, Fluoropyrimidine-, Oxaliplatin-, and irinotecan-based regimens[J]. Clinical Cancer Research, 2013, 19(14):3987-3995.</w:t>
      </w:r>
    </w:p>
    <w:p>
      <w:pPr>
        <w:pStyle w:val="31"/>
        <w:widowControl/>
        <w:numPr>
          <w:ilvl w:val="0"/>
          <w:numId w:val="34"/>
        </w:numPr>
        <w:spacing w:after="84" w:line="259" w:lineRule="auto"/>
        <w:ind w:firstLineChars="0"/>
        <w:rPr>
          <w:rFonts w:ascii="Times New Roman" w:hAnsi="Times New Roman" w:cs="Times New Roman"/>
          <w:sz w:val="15"/>
          <w:szCs w:val="15"/>
          <w:highlight w:val="none"/>
        </w:rPr>
      </w:pPr>
      <w:r>
        <w:rPr>
          <w:rFonts w:ascii="Times New Roman" w:hAnsi="Times New Roman" w:cs="Times New Roman"/>
          <w:sz w:val="15"/>
          <w:szCs w:val="15"/>
          <w:highlight w:val="none"/>
        </w:rPr>
        <w:t>Fabrice A, Eva C, Gabor R</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et al. Alpelisib for PIK3CA-Mutated, Hormone Receptor-Positive Advanced Breast Cancer [J]</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The new england journal of medicine, 2019, 380(20):1929-1940.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Yao J C, Fazio N, Singh S, et al. Everolimus for the treatment of advanced, non-functional neuroendocrine tumours of the lung or gastrointestinal tract (RADIANT-4): a randomised, placebo-controlled, phase 3 study[J]. Lancet, 2016, 387(10022):968.</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 B Y Ma, B C Goh, W T Lim, et al. Multicenter Phase II Study of the AKT Inhibitor MK-2206 in Recurrent or Metastatic Nasopharyngeal Carcinoma From Patients in the Mayo Phase II Consortium and the Cancer Therapeutics Research Group (MC1079)[J]. New Drugs, 2015, 33(4):985-91.</w:t>
      </w:r>
    </w:p>
    <w:p>
      <w:pPr>
        <w:numPr>
          <w:ilvl w:val="0"/>
          <w:numId w:val="34"/>
        </w:numPr>
        <w:topLinePunct/>
        <w:autoSpaceDE w:val="0"/>
        <w:ind w:left="357" w:hanging="357"/>
        <w:rPr>
          <w:rFonts w:ascii="Times New Roman" w:hAnsi="Times New Roman"/>
          <w:sz w:val="15"/>
          <w:szCs w:val="15"/>
          <w:highlight w:val="none"/>
        </w:rPr>
      </w:pPr>
      <w:r>
        <w:rPr>
          <w:highlight w:val="none"/>
        </w:rPr>
        <w:fldChar w:fldCharType="begin"/>
      </w:r>
      <w:r>
        <w:rPr>
          <w:highlight w:val="none"/>
        </w:rPr>
        <w:instrText xml:space="preserve"> HYPERLINK "https://www.ncbi.nlm.nih.gov/pubmed/?term=Kim%20ST%5BAuthor%5D&amp;cauthor=true&amp;cauthor_uid=28330462" </w:instrText>
      </w:r>
      <w:r>
        <w:rPr>
          <w:highlight w:val="none"/>
        </w:rPr>
        <w:fldChar w:fldCharType="separate"/>
      </w:r>
      <w:r>
        <w:rPr>
          <w:rFonts w:ascii="Times New Roman" w:hAnsi="Times New Roman"/>
          <w:sz w:val="15"/>
          <w:szCs w:val="15"/>
          <w:highlight w:val="none"/>
        </w:rPr>
        <w:t>Kim ST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"https://www.ncbi.nlm.nih.gov/pubmed/?term=Lee%20J%5BAuthor%5D&amp;cauthor=true&amp;cauthor_uid=28330462" </w:instrText>
      </w:r>
      <w:r>
        <w:rPr>
          <w:highlight w:val="none"/>
        </w:rPr>
        <w:fldChar w:fldCharType="separate"/>
      </w:r>
      <w:r>
        <w:rPr>
          <w:rFonts w:ascii="Times New Roman" w:hAnsi="Times New Roman"/>
          <w:sz w:val="15"/>
          <w:szCs w:val="15"/>
          <w:highlight w:val="none"/>
        </w:rPr>
        <w:t>Lee 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"https://www.ncbi.nlm.nih.gov/pubmed/?term=Park%20SH%5BAuthor%5D&amp;cauthor=true&amp;cauthor_uid=28330462" </w:instrText>
      </w:r>
      <w:r>
        <w:rPr>
          <w:highlight w:val="none"/>
        </w:rPr>
        <w:fldChar w:fldCharType="separate"/>
      </w:r>
      <w:r>
        <w:rPr>
          <w:rFonts w:ascii="Times New Roman" w:hAnsi="Times New Roman"/>
          <w:sz w:val="15"/>
          <w:szCs w:val="15"/>
          <w:highlight w:val="none"/>
        </w:rPr>
        <w:t>Park SH</w:t>
      </w:r>
      <w:r>
        <w:rPr>
          <w:rFonts w:ascii="Times New Roman" w:hAnsi="Times New Roman"/>
          <w:sz w:val="15"/>
          <w:szCs w:val="15"/>
          <w:highlight w:val="none"/>
        </w:rPr>
        <w:fldChar w:fldCharType="end"/>
      </w:r>
      <w:r>
        <w:rPr>
          <w:rFonts w:ascii="Times New Roman" w:hAnsi="Times New Roman"/>
          <w:sz w:val="15"/>
          <w:szCs w:val="15"/>
          <w:highlight w:val="none"/>
        </w:rPr>
        <w:t xml:space="preserve">, et al. Prospective phase II trial of everolimus in PIK3CA amplification/mutation and/or PTEN loss patients with advanced solid tumors refractory to standard therapy[J]. </w:t>
      </w:r>
      <w:r>
        <w:rPr>
          <w:highlight w:val="none"/>
        </w:rPr>
        <w:fldChar w:fldCharType="begin"/>
      </w:r>
      <w:r>
        <w:rPr>
          <w:highlight w:val="none"/>
        </w:rPr>
        <w:instrText xml:space="preserve"> HYPERLINK "https://www.ncbi.nlm.nih.gov/pubmed/28330462" \o "BMC cancer." </w:instrText>
      </w:r>
      <w:r>
        <w:rPr>
          <w:highlight w:val="none"/>
        </w:rPr>
        <w:fldChar w:fldCharType="separate"/>
      </w:r>
      <w:r>
        <w:rPr>
          <w:rFonts w:ascii="Times New Roman" w:hAnsi="Times New Roman"/>
          <w:sz w:val="15"/>
          <w:szCs w:val="15"/>
          <w:highlight w:val="none"/>
        </w:rPr>
        <w:t>BMC Cancer,</w:t>
      </w:r>
      <w:r>
        <w:rPr>
          <w:rFonts w:ascii="Times New Roman" w:hAnsi="Times New Roman"/>
          <w:sz w:val="15"/>
          <w:szCs w:val="15"/>
          <w:highlight w:val="none"/>
        </w:rPr>
        <w:fldChar w:fldCharType="end"/>
      </w:r>
      <w:r>
        <w:rPr>
          <w:rFonts w:ascii="Times New Roman" w:hAnsi="Times New Roman"/>
          <w:sz w:val="15"/>
          <w:szCs w:val="15"/>
          <w:highlight w:val="none"/>
        </w:rPr>
        <w:t> 2017, 17(1):211. </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Yao J C, Fazio N, Singh S, et al. Everolimus for the treatment of advanced, non-functional neuroendocrine tumours of the lung or gastrointestinal tract (RADIANT-4): a randomised, placebo-controlled, phase 3 study[J]. Lancet, 2016, 387(10022):968.</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Neshat M S, et al. Enhanced sensitivity of PTEN-deficient tumors to inhibition of FRAP/mTOR[J]. Proceedings of the National Academy of Sciences,2001, 98(18): 10314-10319.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Laurent-Puig P, et al. Analysis of PTEN, BRAF, and EGFR status in determining benefit from cetuximab therapy in wild-type KRAS metastatic coloncancer[J]. Journal of Clinical Oncology, 2009, 27(35): 5924-5930.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Loupakis F, et al. PTEN expression and KRAS mutations on primary tumors and metastases in the prediction of benefit from cetuximab plus irinotecanfor patients with metastatic colorectal cancer[J]. Journal of Clinical Oncology, 2009, 27(16):2622-2629.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Sartore-Bianchi A, et al. Multi-determinants analysis of molecular alterations for predicting clinical benefit to EGFR-targeted monoclonal antibodiesin colorectal cancer[J]. PloS One, 2009, 4(10): e7287.</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 Roock W, et al. KRAS, BRAF, PIK3CA, and PTEN mutations: implications for targeted therapies in metastatic colorectal cancer[J]. Lancet Oncol,2011, 12(6): 594-603.</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"https://www.ncbi.nlm.nih.gov/pubmed/?term=Yang%20L%5BAuthor%5D&amp;cauthor=true&amp;cauthor_uid=18559622" </w:instrText>
      </w:r>
      <w:r>
        <w:rPr>
          <w:highlight w:val="none"/>
        </w:rPr>
        <w:fldChar w:fldCharType="separate"/>
      </w:r>
      <w:r>
        <w:rPr>
          <w:rFonts w:ascii="Times New Roman" w:hAnsi="Times New Roman" w:cs="Times New Roman"/>
          <w:sz w:val="15"/>
          <w:szCs w:val="15"/>
          <w:highlight w:val="none"/>
        </w:rPr>
        <w:t>Yang 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"https://www.ncbi.nlm.nih.gov/pubmed/?term=Clarke%20MJ%5BAuthor%5D&amp;cauthor=true&amp;cauthor_uid=18559622" </w:instrText>
      </w:r>
      <w:r>
        <w:rPr>
          <w:highlight w:val="none"/>
        </w:rPr>
        <w:fldChar w:fldCharType="separate"/>
      </w:r>
      <w:r>
        <w:rPr>
          <w:rFonts w:ascii="Times New Roman" w:hAnsi="Times New Roman" w:cs="Times New Roman"/>
          <w:sz w:val="15"/>
          <w:szCs w:val="15"/>
          <w:highlight w:val="none"/>
        </w:rPr>
        <w:t>Clarke MJ</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"https://www.ncbi.nlm.nih.gov/pubmed/?term=Carlson%20BL%5BAuthor%5D&amp;cauthor=true&amp;cauthor_uid=18559622" </w:instrText>
      </w:r>
      <w:r>
        <w:rPr>
          <w:highlight w:val="none"/>
        </w:rPr>
        <w:fldChar w:fldCharType="separate"/>
      </w:r>
      <w:r>
        <w:rPr>
          <w:rFonts w:ascii="Times New Roman" w:hAnsi="Times New Roman" w:cs="Times New Roman"/>
          <w:sz w:val="15"/>
          <w:szCs w:val="15"/>
          <w:highlight w:val="none"/>
        </w:rPr>
        <w:t>Carlson BL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PTEN loss does not predict for response to RAD001 (Everolimus) in a glioblastoma orthotopic xenograft test panel[J]. </w:t>
      </w:r>
      <w:r>
        <w:rPr>
          <w:highlight w:val="none"/>
        </w:rPr>
        <w:fldChar w:fldCharType="begin"/>
      </w:r>
      <w:r>
        <w:rPr>
          <w:highlight w:val="none"/>
        </w:rPr>
        <w:instrText xml:space="preserve"> HYPERLINK "https://www.ncbi.nlm.nih.gov/pubmed/18559622" \o "Clinical cancer research : an official journal of the American Association for Cancer Research." </w:instrText>
      </w:r>
      <w:r>
        <w:rPr>
          <w:highlight w:val="none"/>
        </w:rPr>
        <w:fldChar w:fldCharType="separate"/>
      </w:r>
      <w:r>
        <w:rPr>
          <w:rFonts w:ascii="Times New Roman" w:hAnsi="Times New Roman" w:cs="Times New Roman"/>
          <w:sz w:val="15"/>
          <w:szCs w:val="15"/>
          <w:highlight w:val="none"/>
        </w:rPr>
        <w:t>Clin 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2008, 14(12):3993-4001. </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Schneider T C, De W D, Links T P, et al. Beneficial effects of the mTOR inhibitor everolimus in patients with advanced medullary thyroid carcinoma: subgroup results of a phase II trial[J]. International Journal of Endocrinology, 2015, 2015:1-8.</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Sherman S I, Clary D O, Elisei R, et al. Correlative analyses of RET and RAS mutations in a phase 3 trial of cabozantinib in patients with progressive, metastatic medullary thyroid cancer[J]. Cancer, 2016, 122(24):3856-3864.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Drilon A, et al. Response to Cabozantinib in patients with RET fusion- positive lung adenocarcinomas[J]. Cancer Discov, 2013, 3(6): 630-635.</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"https://www.ncbi.nlm.nih.gov/pubmed/?term=Yoh%20K%5BAuthor%5D&amp;cauthor=true&amp;cauthor_uid=27825616" </w:instrText>
      </w:r>
      <w:r>
        <w:rPr>
          <w:highlight w:val="none"/>
        </w:rPr>
        <w:fldChar w:fldCharType="separate"/>
      </w:r>
      <w:r>
        <w:rPr>
          <w:rFonts w:ascii="Times New Roman" w:hAnsi="Times New Roman" w:cs="Times New Roman"/>
          <w:sz w:val="15"/>
          <w:szCs w:val="15"/>
          <w:highlight w:val="none"/>
        </w:rPr>
        <w:t>Yoh K</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"https://www.ncbi.nlm.nih.gov/pubmed/?term=Seto%20T%5BAuthor%5D&amp;cauthor=true&amp;cauthor_uid=27825616" </w:instrText>
      </w:r>
      <w:r>
        <w:rPr>
          <w:highlight w:val="none"/>
        </w:rPr>
        <w:fldChar w:fldCharType="separate"/>
      </w:r>
      <w:r>
        <w:rPr>
          <w:rFonts w:ascii="Times New Roman" w:hAnsi="Times New Roman" w:cs="Times New Roman"/>
          <w:sz w:val="15"/>
          <w:szCs w:val="15"/>
          <w:highlight w:val="none"/>
        </w:rPr>
        <w:t>Seto 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"https://www.ncbi.nlm.nih.gov/pubmed/?term=Satouchi%20M%5BAuthor%5D&amp;cauthor=true&amp;cauthor_uid=27825616" </w:instrText>
      </w:r>
      <w:r>
        <w:rPr>
          <w:highlight w:val="none"/>
        </w:rPr>
        <w:fldChar w:fldCharType="separate"/>
      </w:r>
      <w:r>
        <w:rPr>
          <w:rFonts w:ascii="Times New Roman" w:hAnsi="Times New Roman" w:cs="Times New Roman"/>
          <w:sz w:val="15"/>
          <w:szCs w:val="15"/>
          <w:highlight w:val="none"/>
        </w:rPr>
        <w:t>Satouchi 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Vandetanib in patients with previously treated RET-rearranged advanced non-small-cell lung cancer (LURET): an open-label, multicentre phase 2 trial[J]. </w:t>
      </w:r>
      <w:r>
        <w:rPr>
          <w:highlight w:val="none"/>
        </w:rPr>
        <w:fldChar w:fldCharType="begin"/>
      </w:r>
      <w:r>
        <w:rPr>
          <w:highlight w:val="none"/>
        </w:rPr>
        <w:instrText xml:space="preserve"> HYPERLINK "https://www.ncbi.nlm.nih.gov/pubmed/27825616" \o "The Lancet. Respiratory medicine." </w:instrText>
      </w:r>
      <w:r>
        <w:rPr>
          <w:highlight w:val="none"/>
        </w:rPr>
        <w:fldChar w:fldCharType="separate"/>
      </w:r>
      <w:r>
        <w:rPr>
          <w:rFonts w:ascii="Times New Roman" w:hAnsi="Times New Roman" w:cs="Times New Roman"/>
          <w:sz w:val="15"/>
          <w:szCs w:val="15"/>
          <w:highlight w:val="none"/>
        </w:rPr>
        <w:t>Lancet Respir Med,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5(1):42-50.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Takeuchi, et al. RET, ROS1 and ALK fusions in lung cancer[J]. Nature Medicine, 2012, 18(3): 378-381.</w:t>
      </w:r>
    </w:p>
    <w:p>
      <w:pPr>
        <w:numPr>
          <w:ilvl w:val="0"/>
          <w:numId w:val="3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"https://www.ncbi.nlm.nih.gov/pubmed/?term=Wu%20YL%5BAuthor%5D&amp;cauthor=true&amp;cauthor_uid=29596029" </w:instrText>
      </w:r>
      <w:r>
        <w:rPr>
          <w:highlight w:val="none"/>
        </w:rPr>
        <w:fldChar w:fldCharType="separate"/>
      </w:r>
      <w:r>
        <w:rPr>
          <w:rFonts w:ascii="Times New Roman" w:hAnsi="Times New Roman"/>
          <w:sz w:val="15"/>
          <w:szCs w:val="15"/>
          <w:highlight w:val="none"/>
        </w:rPr>
        <w:t>Wu YL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"https://www.ncbi.nlm.nih.gov/pubmed/?term=Yang%20JC%5BAuthor%5D&amp;cauthor=true&amp;cauthor_uid=29596029" </w:instrText>
      </w:r>
      <w:r>
        <w:rPr>
          <w:highlight w:val="none"/>
        </w:rPr>
        <w:fldChar w:fldCharType="separate"/>
      </w:r>
      <w:r>
        <w:rPr>
          <w:rFonts w:ascii="Times New Roman" w:hAnsi="Times New Roman"/>
          <w:sz w:val="15"/>
          <w:szCs w:val="15"/>
          <w:highlight w:val="none"/>
        </w:rPr>
        <w:t>Yang JC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"https://www.ncbi.nlm.nih.gov/pubmed/?term=Kim%20DW%5BAuthor%5D&amp;cauthor=true&amp;cauthor_uid=29596029" </w:instrText>
      </w:r>
      <w:r>
        <w:rPr>
          <w:highlight w:val="none"/>
        </w:rPr>
        <w:fldChar w:fldCharType="separate"/>
      </w:r>
      <w:r>
        <w:rPr>
          <w:rFonts w:ascii="Times New Roman" w:hAnsi="Times New Roman"/>
          <w:sz w:val="15"/>
          <w:szCs w:val="15"/>
          <w:highlight w:val="none"/>
        </w:rPr>
        <w:t>Kim DW</w:t>
      </w:r>
      <w:r>
        <w:rPr>
          <w:rFonts w:ascii="Times New Roman" w:hAnsi="Times New Roman"/>
          <w:sz w:val="15"/>
          <w:szCs w:val="15"/>
          <w:highlight w:val="none"/>
        </w:rPr>
        <w:fldChar w:fldCharType="end"/>
      </w:r>
      <w:r>
        <w:rPr>
          <w:rFonts w:ascii="Times New Roman" w:hAnsi="Times New Roman"/>
          <w:sz w:val="15"/>
          <w:szCs w:val="15"/>
          <w:highlight w:val="none"/>
        </w:rPr>
        <w:t xml:space="preserve">, et al. Phase II Study of Crizotinib in East Asian Patients With ROS1-Positive Advanced Non-Small-Cell Lung Cancer[J]. </w:t>
      </w:r>
      <w:r>
        <w:rPr>
          <w:highlight w:val="none"/>
        </w:rPr>
        <w:fldChar w:fldCharType="begin"/>
      </w:r>
      <w:r>
        <w:rPr>
          <w:highlight w:val="none"/>
        </w:rPr>
        <w:instrText xml:space="preserve"> HYPERLINK "https://www.ncbi.nlm.nih.gov/pubmed/29596029" \o "Journal of clinical oncology : official journal of the American Society of Clinical Oncology." </w:instrText>
      </w:r>
      <w:r>
        <w:rPr>
          <w:highlight w:val="none"/>
        </w:rPr>
        <w:fldChar w:fldCharType="separate"/>
      </w:r>
      <w:r>
        <w:rPr>
          <w:rFonts w:ascii="Times New Roman" w:hAnsi="Times New Roman"/>
          <w:sz w:val="15"/>
          <w:szCs w:val="15"/>
          <w:highlight w:val="none"/>
        </w:rPr>
        <w:t>J Clin Oncol,</w:t>
      </w:r>
      <w:r>
        <w:rPr>
          <w:rFonts w:ascii="Times New Roman" w:hAnsi="Times New Roman"/>
          <w:sz w:val="15"/>
          <w:szCs w:val="15"/>
          <w:highlight w:val="none"/>
        </w:rPr>
        <w:fldChar w:fldCharType="end"/>
      </w:r>
      <w:r>
        <w:rPr>
          <w:rFonts w:ascii="Times New Roman" w:hAnsi="Times New Roman"/>
          <w:sz w:val="15"/>
          <w:szCs w:val="15"/>
          <w:highlight w:val="none"/>
        </w:rPr>
        <w:t> 2018, 36(14):1405-1411. </w:t>
      </w:r>
    </w:p>
    <w:p>
      <w:pPr>
        <w:numPr>
          <w:ilvl w:val="0"/>
          <w:numId w:val="34"/>
        </w:numPr>
        <w:rPr>
          <w:rFonts w:ascii="Times New Roman" w:hAnsi="Times New Roman"/>
          <w:sz w:val="15"/>
          <w:szCs w:val="15"/>
          <w:highlight w:val="none"/>
        </w:rPr>
      </w:pPr>
      <w:r>
        <w:rPr>
          <w:rFonts w:ascii="Times New Roman" w:hAnsi="Times New Roman"/>
          <w:sz w:val="15"/>
          <w:szCs w:val="15"/>
          <w:highlight w:val="none"/>
        </w:rPr>
        <w:t>Andrew YL , Michael GM, et al. RET Fusions in Solid Tumors[J]. Cancer Treat Rev, 2019, 81:101911.</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"https://www.ncbi.nlm.nih.gov/pubmed/?term=Chen%20H%5BAuthor%5D&amp;cauthor=true&amp;cauthor_uid=30568455" </w:instrText>
      </w:r>
      <w:r>
        <w:rPr>
          <w:highlight w:val="none"/>
        </w:rPr>
        <w:fldChar w:fldCharType="separate"/>
      </w:r>
      <w:r>
        <w:rPr>
          <w:rFonts w:ascii="Times New Roman" w:hAnsi="Times New Roman" w:cs="Times New Roman"/>
          <w:sz w:val="15"/>
          <w:szCs w:val="15"/>
          <w:highlight w:val="none"/>
        </w:rPr>
        <w:t>Chen 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1, </w:t>
      </w:r>
      <w:r>
        <w:rPr>
          <w:highlight w:val="none"/>
        </w:rPr>
        <w:fldChar w:fldCharType="begin"/>
      </w:r>
      <w:r>
        <w:rPr>
          <w:highlight w:val="none"/>
        </w:rPr>
        <w:instrText xml:space="preserve"> HYPERLINK "https://www.ncbi.nlm.nih.gov/pubmed/?term=Zhang%20Q%5BAuthor%5D&amp;cauthor=true&amp;cauthor_uid=30568455" </w:instrText>
      </w:r>
      <w:r>
        <w:rPr>
          <w:highlight w:val="none"/>
        </w:rPr>
        <w:fldChar w:fldCharType="separate"/>
      </w:r>
      <w:r>
        <w:rPr>
          <w:rFonts w:ascii="Times New Roman" w:hAnsi="Times New Roman" w:cs="Times New Roman"/>
          <w:sz w:val="15"/>
          <w:szCs w:val="15"/>
          <w:highlight w:val="none"/>
        </w:rPr>
        <w:t>Zhang Q</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"https://www.ncbi.nlm.nih.gov/pubmed/?term=Zhang%20Y%5BAuthor%5D&amp;cauthor=true&amp;cauthor_uid=30568455" </w:instrText>
      </w:r>
      <w:r>
        <w:rPr>
          <w:highlight w:val="none"/>
        </w:rPr>
        <w:fldChar w:fldCharType="separate"/>
      </w:r>
      <w:r>
        <w:rPr>
          <w:rFonts w:ascii="Times New Roman" w:hAnsi="Times New Roman" w:cs="Times New Roman"/>
          <w:sz w:val="15"/>
          <w:szCs w:val="15"/>
          <w:highlight w:val="none"/>
        </w:rPr>
        <w:t>Zhang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Afatinib reverses ceritinib resistance (CR) in ALK/ROS1-positive non-small-cell lung cancer cell (NSCLC) via suppression of NRG1 pathway[J]. </w:t>
      </w:r>
      <w:r>
        <w:rPr>
          <w:highlight w:val="none"/>
        </w:rPr>
        <w:fldChar w:fldCharType="begin"/>
      </w:r>
      <w:r>
        <w:rPr>
          <w:highlight w:val="none"/>
        </w:rPr>
        <w:instrText xml:space="preserve"> HYPERLINK "https://www.ncbi.nlm.nih.gov/pubmed/30568455" \o "OncoTargets and therapy." </w:instrText>
      </w:r>
      <w:r>
        <w:rPr>
          <w:highlight w:val="none"/>
        </w:rPr>
        <w:fldChar w:fldCharType="separate"/>
      </w:r>
      <w:r>
        <w:rPr>
          <w:rFonts w:ascii="Times New Roman" w:hAnsi="Times New Roman" w:cs="Times New Roman"/>
          <w:sz w:val="15"/>
          <w:szCs w:val="15"/>
          <w:highlight w:val="none"/>
        </w:rPr>
        <w:t>Onco Targets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11:8201-8209. </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"https://www.ncbi.nlm.nih.gov/pubmed/?term=Ku%20BM%5BAuthor%5D&amp;cauthor=true&amp;cauthor_uid=31124056" </w:instrText>
      </w:r>
      <w:r>
        <w:rPr>
          <w:highlight w:val="none"/>
        </w:rPr>
        <w:fldChar w:fldCharType="separate"/>
      </w:r>
      <w:r>
        <w:rPr>
          <w:rFonts w:ascii="Times New Roman" w:hAnsi="Times New Roman" w:cs="Times New Roman"/>
          <w:sz w:val="15"/>
          <w:szCs w:val="15"/>
          <w:highlight w:val="none"/>
        </w:rPr>
        <w:t>Ku BM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"https://www.ncbi.nlm.nih.gov/pubmed/?term=Bae%20YH%5BAuthor%5D&amp;cauthor=true&amp;cauthor_uid=31124056" </w:instrText>
      </w:r>
      <w:r>
        <w:rPr>
          <w:highlight w:val="none"/>
        </w:rPr>
        <w:fldChar w:fldCharType="separate"/>
      </w:r>
      <w:r>
        <w:rPr>
          <w:rFonts w:ascii="Times New Roman" w:hAnsi="Times New Roman" w:cs="Times New Roman"/>
          <w:sz w:val="15"/>
          <w:szCs w:val="15"/>
          <w:highlight w:val="none"/>
        </w:rPr>
        <w:t>Bae YH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"https://www.ncbi.nlm.nih.gov/pubmed/?term=Lee%20KY%5BAuthor%5D&amp;cauthor=true&amp;cauthor_uid=31124056" </w:instrText>
      </w:r>
      <w:r>
        <w:rPr>
          <w:highlight w:val="none"/>
        </w:rPr>
        <w:fldChar w:fldCharType="separate"/>
      </w:r>
      <w:r>
        <w:rPr>
          <w:rFonts w:ascii="Times New Roman" w:hAnsi="Times New Roman" w:cs="Times New Roman"/>
          <w:sz w:val="15"/>
          <w:szCs w:val="15"/>
          <w:highlight w:val="none"/>
        </w:rPr>
        <w:t>Lee KY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Entrectinib resistance mechanisms in ROS1-rearranged non-small cell lung cancer[J]. </w:t>
      </w:r>
      <w:r>
        <w:rPr>
          <w:highlight w:val="none"/>
        </w:rPr>
        <w:fldChar w:fldCharType="begin"/>
      </w:r>
      <w:r>
        <w:rPr>
          <w:highlight w:val="none"/>
        </w:rPr>
        <w:instrText xml:space="preserve"> HYPERLINK "https://www.ncbi.nlm.nih.gov/pubmed/31124056" \o "Investigational new drugs." </w:instrText>
      </w:r>
      <w:r>
        <w:rPr>
          <w:highlight w:val="none"/>
        </w:rPr>
        <w:fldChar w:fldCharType="separate"/>
      </w:r>
      <w:r>
        <w:rPr>
          <w:rFonts w:ascii="Times New Roman" w:hAnsi="Times New Roman" w:cs="Times New Roman"/>
          <w:sz w:val="15"/>
          <w:szCs w:val="15"/>
          <w:highlight w:val="none"/>
        </w:rPr>
        <w:t>Invest New Drugs,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Alice T Shaw, Benjamin J Solomon, Rita Chiari. Lorlatinib in Advanced ROS1-positive Non-Small-Cell Lung Cancer: A Multicentre, Open-Label, Single-Arm, Phase 1-2 Trial[J]. Lancet Oncol, 2019, 20(12):1691-1701.</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Metcalfe, et al. Hedgehog fights back: mechanisms of acquired resistance against smoothened antagonists[J]. Cancer Research 2011, 71(15): 5057-5061.</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"https://www.ncbi.nlm.nih.gov/pubmed/?term=Pricl%20S%5BAuthor%5D&amp;cauthor=true&amp;cauthor_uid=25306392" </w:instrText>
      </w:r>
      <w:r>
        <w:rPr>
          <w:highlight w:val="none"/>
        </w:rPr>
        <w:fldChar w:fldCharType="separate"/>
      </w:r>
      <w:r>
        <w:rPr>
          <w:rFonts w:ascii="Times New Roman" w:hAnsi="Times New Roman" w:cs="Times New Roman"/>
          <w:sz w:val="15"/>
          <w:szCs w:val="15"/>
          <w:highlight w:val="none"/>
        </w:rPr>
        <w:t>Pricl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"https://www.ncbi.nlm.nih.gov/pubmed/?term=Cortelazzi%20B%5BAuthor%5D&amp;cauthor=true&amp;cauthor_uid=25306392" </w:instrText>
      </w:r>
      <w:r>
        <w:rPr>
          <w:highlight w:val="none"/>
        </w:rPr>
        <w:fldChar w:fldCharType="separate"/>
      </w:r>
      <w:r>
        <w:rPr>
          <w:rFonts w:ascii="Times New Roman" w:hAnsi="Times New Roman" w:cs="Times New Roman"/>
          <w:sz w:val="15"/>
          <w:szCs w:val="15"/>
          <w:highlight w:val="none"/>
        </w:rPr>
        <w:t>Cortelazzi B</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"https://www.ncbi.nlm.nih.gov/pubmed/?term=Dal%20Col%20V%5BAuthor%5D&amp;cauthor=true&amp;cauthor_uid=25306392" </w:instrText>
      </w:r>
      <w:r>
        <w:rPr>
          <w:highlight w:val="none"/>
        </w:rPr>
        <w:fldChar w:fldCharType="separate"/>
      </w:r>
      <w:r>
        <w:rPr>
          <w:rFonts w:ascii="Times New Roman" w:hAnsi="Times New Roman" w:cs="Times New Roman"/>
          <w:sz w:val="15"/>
          <w:szCs w:val="15"/>
          <w:highlight w:val="none"/>
        </w:rPr>
        <w:t>Dal Col V</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Smoothened (SMO) receptor mutations dictate resistance to vismodegib in basal cell carcinoma[J]. </w:t>
      </w:r>
      <w:r>
        <w:rPr>
          <w:highlight w:val="none"/>
        </w:rPr>
        <w:fldChar w:fldCharType="begin"/>
      </w:r>
      <w:r>
        <w:rPr>
          <w:highlight w:val="none"/>
        </w:rPr>
        <w:instrText xml:space="preserve"> HYPERLINK "https://www.ncbi.nlm.nih.gov/pubmed/25306392" \o "Molecular oncology." </w:instrText>
      </w:r>
      <w:r>
        <w:rPr>
          <w:highlight w:val="none"/>
        </w:rPr>
        <w:fldChar w:fldCharType="separate"/>
      </w:r>
      <w:r>
        <w:rPr>
          <w:rFonts w:ascii="Times New Roman" w:hAnsi="Times New Roman" w:cs="Times New Roman"/>
          <w:sz w:val="15"/>
          <w:szCs w:val="15"/>
          <w:highlight w:val="none"/>
        </w:rPr>
        <w:t>Mol Oncol,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2015, 9(2):389-97. </w:t>
      </w:r>
    </w:p>
    <w:p>
      <w:pPr>
        <w:widowControl/>
        <w:numPr>
          <w:ilvl w:val="0"/>
          <w:numId w:val="3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"https://www.ncbi.nlm.nih.gov/pubmed/?term=Voss%20MH%5BAuthor%5D&amp;cauthor=true&amp;cauthor_uid=30327302" </w:instrText>
      </w:r>
      <w:r>
        <w:rPr>
          <w:highlight w:val="none"/>
        </w:rPr>
        <w:fldChar w:fldCharType="separate"/>
      </w:r>
      <w:r>
        <w:rPr>
          <w:rFonts w:ascii="Times New Roman" w:hAnsi="Times New Roman" w:cs="Times New Roman"/>
          <w:sz w:val="15"/>
          <w:szCs w:val="15"/>
          <w:highlight w:val="none"/>
        </w:rPr>
        <w:t>Voss MH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"https://www.ncbi.nlm.nih.gov/pubmed/?term=Chen%20D%5BAuthor%5D&amp;cauthor=true&amp;cauthor_uid=30327302" </w:instrText>
      </w:r>
      <w:r>
        <w:rPr>
          <w:highlight w:val="none"/>
        </w:rPr>
        <w:fldChar w:fldCharType="separate"/>
      </w:r>
      <w:r>
        <w:rPr>
          <w:rFonts w:ascii="Times New Roman" w:hAnsi="Times New Roman" w:cs="Times New Roman"/>
          <w:sz w:val="15"/>
          <w:szCs w:val="15"/>
          <w:highlight w:val="none"/>
        </w:rPr>
        <w:t>Chen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"https://www.ncbi.nlm.nih.gov/pubmed/?term=Reising%20A%5BAuthor%5D&amp;cauthor=true&amp;cauthor_uid=30327302" </w:instrText>
      </w:r>
      <w:r>
        <w:rPr>
          <w:highlight w:val="none"/>
        </w:rPr>
        <w:fldChar w:fldCharType="separate"/>
      </w:r>
      <w:r>
        <w:rPr>
          <w:rFonts w:ascii="Times New Roman" w:hAnsi="Times New Roman" w:cs="Times New Roman"/>
          <w:sz w:val="15"/>
          <w:szCs w:val="15"/>
          <w:highlight w:val="none"/>
        </w:rPr>
        <w:t>Reising A</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PTEN Expression, Not Mutation Status in TSC1, TSC2, or mTOR, Correlates with the Outcome on Everolimus in Patients with Renal Cell Carcinoma Treated on the Randomized RECORD-3 Trial[J]. </w:t>
      </w:r>
      <w:r>
        <w:rPr>
          <w:highlight w:val="none"/>
        </w:rPr>
        <w:fldChar w:fldCharType="begin"/>
      </w:r>
      <w:r>
        <w:rPr>
          <w:highlight w:val="none"/>
        </w:rPr>
        <w:instrText xml:space="preserve"> HYPERLINK "https://www.ncbi.nlm.nih.gov/pubmed/30327302" \o "Clinical cancer research : an official journal of the American Association for Cancer Research." </w:instrText>
      </w:r>
      <w:r>
        <w:rPr>
          <w:highlight w:val="none"/>
        </w:rPr>
        <w:fldChar w:fldCharType="separate"/>
      </w:r>
      <w:r>
        <w:rPr>
          <w:rFonts w:ascii="Times New Roman" w:hAnsi="Times New Roman" w:cs="Times New Roman"/>
          <w:sz w:val="15"/>
          <w:szCs w:val="15"/>
          <w:highlight w:val="none"/>
        </w:rPr>
        <w:t>Clin 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2019, 25(2):506-514.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Iyer, et al. Genome sequencing identifies a basis for everolimus sensitivity[J]. Science, 2012, 338(6104): 221-221. </w:t>
      </w:r>
    </w:p>
    <w:p>
      <w:pPr>
        <w:widowControl/>
        <w:numPr>
          <w:ilvl w:val="0"/>
          <w:numId w:val="34"/>
        </w:numPr>
        <w:spacing w:after="84" w:line="259" w:lineRule="auto"/>
        <w:rPr>
          <w:rFonts w:ascii="Times New Roman" w:hAnsi="Times New Roman" w:cs="Times New Roman"/>
          <w:sz w:val="15"/>
          <w:szCs w:val="15"/>
          <w:highlight w:val="none"/>
        </w:rPr>
      </w:pPr>
      <w:r>
        <w:rPr>
          <w:rFonts w:hint="eastAsia" w:ascii="Times New Roman" w:hAnsi="Times New Roman" w:cs="Times New Roman"/>
          <w:sz w:val="15"/>
          <w:szCs w:val="15"/>
          <w:highlight w:val="none"/>
        </w:rPr>
        <w:t>C</w:t>
      </w:r>
      <w:r>
        <w:rPr>
          <w:rFonts w:ascii="Times New Roman" w:hAnsi="Times New Roman" w:cs="Times New Roman"/>
          <w:sz w:val="15"/>
          <w:szCs w:val="15"/>
          <w:highlight w:val="none"/>
        </w:rPr>
        <w:t>uadrado A, Nebreda AR. Mechanisms and functions of p38 MAPK signaling</w:t>
      </w:r>
      <w:r>
        <w:rPr>
          <w:rFonts w:ascii="Times New Roman" w:hAnsi="Times New Roman" w:cs="Times New Roman"/>
          <w:sz w:val="15"/>
          <w:szCs w:val="15"/>
          <w:highlight w:val="none"/>
          <w:lang w:eastAsia="zh-CN"/>
        </w:rPr>
        <w:t>[J]</w:t>
      </w:r>
      <w:r>
        <w:rPr>
          <w:rFonts w:ascii="Times New Roman" w:hAnsi="Times New Roman" w:cs="Times New Roman"/>
          <w:sz w:val="15"/>
          <w:szCs w:val="15"/>
          <w:highlight w:val="none"/>
        </w:rPr>
        <w:t>. Biochem. J</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2010, 429(3), 403-417.</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Del Barco Barrantes I, Nebreda AR, et al. Roles of p38 MAPKs in invasion and metastasis[J]. Biochem. Soc. Trans, 2012, 40(1), 79-84.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Romeo Y, Zhang X, Roux PP, et al. Regulation and function of the RSK family of protein kinases[J]. Biochem. J, 2012, 441(2), 553-569.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Roskoski R, et al. MEK1/2 dual-specificity protein kinases: structure and regulation[J]. Biochem. Biophys. Res. Commun, 2012, 417(1), 5-10.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Hers I, Vincent EE, Tavaré JM, et al. Akt signalling in health and disease[J]. Cell. Signal. 2012, 23(10), 1515-1527.</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Dowling RJ, Topisirovic I, Fonseca BD, Sonenberg N, et al. Dissecting the role of mTOR: lessons from mTOR inhibitors[J]. Biochim Biophys Acta. 2010, 1804(3), 433-439.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Hoeffer CA, Klann E, et al. mTOR signaling: at the crossroads of plasticity, memory and disease[J]. Trends Neurosci, 2010, 33(2), 67-75.</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Laplante M, Sabatini DM, et al. Regulation of mTORC1 and its impact on gene expression at a glance[J]. J. Cell. Sci, 2013, 126(Pt 8), 1713-1719.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Laplante M, Sabatini DM, et al. mTOR signaling in growth control and disease[J]. Cell, 2012, 149(2), 274-293.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Fenton TR, Gout IT, et al. Functions and regulation of the 70kDa ribosomal S6 kinases[J]. Int. J. Biochem. Cell Biol, 2011, 43(1), 47-59.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Graff JR, Konicek BW, Carter JH, Marcusson EG, 2008. Targeting the eukaryotic translation initiation factor 4E for cancer therapy[J]. Cancer Res, 2008, 68(3),</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631-634.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Magnuson B, Ekim B, Fingar DC, et al. Regulation and function of ribosomal protein S6 kinase (S6K) within mTOR signalling networks[J]. Biochem.J, 2012, 441(1), 1-21.</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Ruvinsky I, Meyuhas O, et al. Ribosomal protein S6 phosphorylation: from protein synthesis to cell size[J]. Trends Biochem. Sci, 2006,</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31(6), 342-348.</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Goldsmith ZG, Dhanasekaran DN, et al. G protein regulation of MAPK networks</w:t>
      </w:r>
      <w:r>
        <w:rPr>
          <w:rFonts w:ascii="Times New Roman" w:hAnsi="Times New Roman" w:cs="Times New Roman"/>
          <w:sz w:val="15"/>
          <w:szCs w:val="15"/>
          <w:highlight w:val="none"/>
          <w:lang w:eastAsia="zh-CN"/>
        </w:rPr>
        <w:t>[J]</w:t>
      </w:r>
      <w:r>
        <w:rPr>
          <w:rFonts w:ascii="Times New Roman" w:hAnsi="Times New Roman" w:cs="Times New Roman"/>
          <w:sz w:val="15"/>
          <w:szCs w:val="15"/>
          <w:highlight w:val="none"/>
        </w:rPr>
        <w:t>. Oncogene, 2007, 26(22), 3122-3142.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Kim EK, Choi EJ, et al. Pathological roles of MAPK signaling pathways in human diseases[J]. Biochim. Biophys. Acta, 2010, 1802(4), 396-405.</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McKay MM, Morrison DK, et al. Integrating signals from RTKs to ERK/MAPK[J]. Oncogene, 2007, 26(22), 3113-3121.</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Chen F, et al. JNK-induced apoptosis, compensatory growth, and cancer stem cells[J]. Cancer Res, 2012, 72(2), 379-386.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Davies C, TournierC, et al. Exploring the function of the JNK (c-Jun N-terminal kinase) signalling pathway in physiological and pathological processes</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to design novel therapeutic strategies[J]. Biochem. Soc. Trans, 2012, 40(1), 85-89.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Haeusgen W, Herdegen T, Waetzig V, et al. The bottleneck of JNK signaling: molecular and functional characteristics of MKK4 and MKK7[J]. Eur. J.Cell Biol, 2011, 90(6-7), 536-544.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Verma G, Datta M</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critical role of JNK in the ER-mitochondrial crosstalk during apoptotic cell death[J]. J. Cell. Physiol, 2012, 227(5), 1791-1795.</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Arteaga CL, Engelman JA, et al. ERBB receptors: from oncogene discovery to basic science to mechanism-based cancer therapeutics[J]. Cancer Cell, 2014, 25(3), 282-303.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Tebbutt N, Pedersen MW, Johns TG, et al. Targeting the ERBB family in cancer: couples therapy[J]. Nat. Rev. Cancer, 2013, 13(9), 663-673.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Yarden Y, Pines G, et al. The ERBB network: at last, cancer therapy meets systems biology[J]. Nat. Rev. Cancer, 2012, 12(8), 553-563.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Guo S, et al. Insulin signaling, resistance, and the metabolic syndrome: insights from mouse models into disease mechanisms[J]. J. Endocrinol, 2014, 220(2), T1-T23.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Rowland AF, Fazakerley DJ, James DE, et al. Mapping insulin/GLUT4 circuitry[J]. Traffic, 2011, 12(6), 672-681.</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Corina E. Antal, et al. Cancer-</w:t>
      </w:r>
      <w:r>
        <w:rPr>
          <w:rFonts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ssociated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rotein </w:t>
      </w:r>
      <w:r>
        <w:rPr>
          <w:rFonts w:hint="eastAsia" w:ascii="Times New Roman" w:hAnsi="Times New Roman" w:cs="Times New Roman"/>
          <w:sz w:val="15"/>
          <w:szCs w:val="15"/>
          <w:highlight w:val="none"/>
          <w:lang w:eastAsia="zh-CN"/>
        </w:rPr>
        <w:t>k</w:t>
      </w:r>
      <w:r>
        <w:rPr>
          <w:rFonts w:ascii="Times New Roman" w:hAnsi="Times New Roman" w:cs="Times New Roman"/>
          <w:sz w:val="15"/>
          <w:szCs w:val="15"/>
          <w:highlight w:val="none"/>
        </w:rPr>
        <w:t xml:space="preserve">inase C </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rPr>
        <w:t xml:space="preserve">utations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eveal </w:t>
      </w:r>
      <w:r>
        <w:rPr>
          <w:rFonts w:hint="eastAsia" w:ascii="Times New Roman" w:hAnsi="Times New Roman" w:cs="Times New Roman"/>
          <w:sz w:val="15"/>
          <w:szCs w:val="15"/>
          <w:highlight w:val="none"/>
          <w:lang w:eastAsia="zh-CN"/>
        </w:rPr>
        <w:t>k</w:t>
      </w:r>
      <w:r>
        <w:rPr>
          <w:rFonts w:ascii="Times New Roman" w:hAnsi="Times New Roman" w:cs="Times New Roman"/>
          <w:sz w:val="15"/>
          <w:szCs w:val="15"/>
          <w:highlight w:val="none"/>
        </w:rPr>
        <w:t xml:space="preserve">inase’s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ole as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 xml:space="preserve">umor </w:t>
      </w:r>
      <w:r>
        <w:rPr>
          <w:rFonts w:hint="eastAsia" w:ascii="Times New Roman" w:hAnsi="Times New Roman" w:cs="Times New Roman"/>
          <w:sz w:val="15"/>
          <w:szCs w:val="15"/>
          <w:highlight w:val="none"/>
          <w:lang w:eastAsia="zh-CN"/>
        </w:rPr>
        <w:t>s</w:t>
      </w:r>
      <w:r>
        <w:rPr>
          <w:rFonts w:ascii="Times New Roman" w:hAnsi="Times New Roman" w:cs="Times New Roman"/>
          <w:sz w:val="15"/>
          <w:szCs w:val="15"/>
          <w:highlight w:val="none"/>
        </w:rPr>
        <w:t>uppressor[J]. Cell, 2015, 160 (3), 489-502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Besson A, Dowdy SF, Roberts JM, et al. CDK inhibitors: cell cycle regulators and beyond[J]. Dev. Cell, 2008, 14(2), 159-169.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Malumbres M, Barbacid M, et al. Cell cycle, CDKs and cancer: a changing paradigm[J]. Nat. Rev. Cancer, 2009, 9(3), 153-166.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Al-Ejeh F, Kumar R, Wiegmans A, Lakhani SR, Brown MP, Khanna KK, et al. Harnessing the complexity of DNA-damage response pathways to</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improve cancer treatment outcomes[J]. Oncogene, 2010, 29(46), 6085-6098.</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Freed-Pastor WA, Prives C, et al. Mutant p53: one name, many proteins[J]. Genes Dev, 2012, 26(12), 1268-1286.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Kee Y, D’Andrea AD, et al. Expanded roles of the Fanconi anemia pathway in preserving genomic stability[J]. Genes Dev, 2010, 24(16), 1680-1694.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Reinhardt HC, Yaffe MB, et al. Kinases that control the cell cycle in response to DNA damage: Chk1, Chk2, and MK2[J]. Curr. Opin. Cell Biol, 2009, 21(2),</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245-255.</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Lester SN, Li K, et al. Toll-like receptors in antiviral innate immunity[J]. J. Mol. Biol, 2014, 426(6), 1246-1264.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Li X, Jiang S, Tapping RI, et al. Toll-like receptor signaling in cell proliferation and survival[J]. Cytokine, 2010, 49(1), 1-9.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Reuven EM, Fink A, Shai Y, et al. Regulation of innate immune responses by transmembrane interactions: lessons from the TLR family[J]. Biochim.</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Biophys. Acta, 2014, 1838(6), 1586-1593.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Kurosaki T, Shinohara H, Baba Y, et al. B cell signaling and fate decision[J]. Annu. Rev.Immunol, 2010, 28, 21-55.</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Burbach BJ, Medeiros RB, Mueller KL, Shimizu Y, et al. T-cell receptor signaling to integrins[J]. Immunol. Rev, 2007, 218, 65-81.</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Chen L, Flies DB, et al. Molecular mechanisms of T cell co-stimulation and co-inhibition[J]. Nat. Rev. Immunol, 2013, 13(4), 227-242.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Sansone P, Bromberg J, et al. Targeting the interleukin-6/Jak/stat pathway in human malignancies[J]. J. Clin. Oncol, 2012, 30(9), 1005-1014.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Vainchenker W, Constantinescu SN, et al. JAK/STAT signaling in hematological malignancies[J]. Oncogene, 2013, 32(21), 2601-2613.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Yu H, Pardoll D, Jove R, et al. STATs in cancer inflammation and immunity: a leading role for STAT3[J]. Nat. Rev. Cancer, 2009, 9(11), 798-809.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Horbelt D, Denkis A, Knaus P, et al. A portrait of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 xml:space="preserve">ransforming </w:t>
      </w:r>
      <w:r>
        <w:rPr>
          <w:rFonts w:hint="eastAsia" w:ascii="Times New Roman" w:hAnsi="Times New Roman" w:cs="Times New Roman"/>
          <w:sz w:val="15"/>
          <w:szCs w:val="15"/>
          <w:highlight w:val="none"/>
          <w:lang w:eastAsia="zh-CN"/>
        </w:rPr>
        <w:t>g</w:t>
      </w:r>
      <w:r>
        <w:rPr>
          <w:rFonts w:ascii="Times New Roman" w:hAnsi="Times New Roman" w:cs="Times New Roman"/>
          <w:sz w:val="15"/>
          <w:szCs w:val="15"/>
          <w:highlight w:val="none"/>
        </w:rPr>
        <w:t xml:space="preserve">rowth </w:t>
      </w:r>
      <w:r>
        <w:rPr>
          <w:rFonts w:hint="eastAsia" w:ascii="Times New Roman" w:hAnsi="Times New Roman" w:cs="Times New Roman"/>
          <w:sz w:val="15"/>
          <w:szCs w:val="15"/>
          <w:highlight w:val="none"/>
          <w:lang w:eastAsia="zh-CN"/>
        </w:rPr>
        <w:t>f</w:t>
      </w:r>
      <w:r>
        <w:rPr>
          <w:rFonts w:ascii="Times New Roman" w:hAnsi="Times New Roman" w:cs="Times New Roman"/>
          <w:sz w:val="15"/>
          <w:szCs w:val="15"/>
          <w:highlight w:val="none"/>
        </w:rPr>
        <w:t xml:space="preserve">actor β superfamily signalling: Background matters[J]. </w:t>
      </w:r>
      <w:r>
        <w:rPr>
          <w:rFonts w:ascii="Times New Roman" w:hAnsi="Times New Roman" w:cs="Times New Roman"/>
          <w:sz w:val="15"/>
          <w:szCs w:val="15"/>
          <w:highlight w:val="none"/>
          <w:lang w:eastAsia="zh-CN"/>
        </w:rPr>
        <w:t>In</w:t>
      </w:r>
      <w:r>
        <w:rPr>
          <w:rFonts w:hint="eastAsia" w:ascii="Times New Roman" w:hAnsi="Times New Roman" w:cs="Times New Roman"/>
          <w:sz w:val="15"/>
          <w:szCs w:val="15"/>
          <w:highlight w:val="none"/>
          <w:lang w:eastAsia="zh-CN"/>
        </w:rPr>
        <w:t>ternational Journal of Biochemistry&amp; Cell Biology,</w:t>
      </w:r>
      <w:r>
        <w:rPr>
          <w:rFonts w:ascii="Times New Roman" w:hAnsi="Times New Roman" w:cs="Times New Roman"/>
          <w:sz w:val="15"/>
          <w:szCs w:val="15"/>
          <w:highlight w:val="none"/>
        </w:rPr>
        <w:t xml:space="preserve"> 2012, 44(3), 469-474.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Ikushima H, Miyazono K, et al. TGFbeta signalling: a complex web in cancer progression[J]. Nat. Rev. Cancer, 2010, 10(6), 415-424.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Schmierer B, Hill CS, et al. TGFbeta-SMAD signal transduction: molecular specificity and functional flexibility[J]. Nat. Rev. Mol. Cell</w:t>
      </w:r>
      <w:r>
        <w:rPr>
          <w:rFonts w:hint="eastAsia"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Biol, 2017, 8(12),</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970-982.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Zhang L, Zhou F, et al. TRAF4 promotes TGF-β receptor signaling and drives breast cancer metastasis[J]. Mol. Cell, 2013, 51(5), 559-572.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Hayden MS, Ghosh S, et al. Shared principles in NF-kappaB signaling[J]. Cell, 2008, 132(3), 344-362.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Sun SC, et al. The noncanonical NF-κB pathway[J]. Immunol. Rev, 2012, 246(1), 125-140.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Chen J, Chen ZJ, et al. Regulation of NF-κB by ubiquitination[J]. Curr. Opin. Immunol, 2013, 25(1), 4-12.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Anitei M, Hoflack B, et al. Bridging membrane and cytoskeleton dynamics in the secretory and endocytic pathways[J]. Nat. Cell Biol, 2012, 14(1), 11-19.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 Forges H, Bouissou A, Perez F, et al. Interplay between microtubule dynamics and intracellular organization[J]. Int. J. Biochem. Cell Biol, 2012, 44(2),</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266-274.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Etienne-Manneville S, et al. From signaling pathways to microtubule dynamics: the key players[J]. Curr. Opin. Cell Biol, 2010, 22(1), 104-111.</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Poukkula M, Kremneva E, Serlachius M, Lappalainen P, et al. Actin-depolymerizing factor homology domain: a conserved fold performing diverse</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roles in cytoskeletal dynamics[J]. Cytoskeleton (Hoboken), 2011, 68(9), 471-490.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Rottner K, Stradal TE, et al. Actin dynamics and turn</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over in cell motility[J]. Curr. Opin. Cell Biol, 2011, 23(5), 569-578.</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Guo C, Buranych A, Sarkar D, Fisher PB, Wang XY, et al. The role of tumor-associated macrophages in tumor vascularization[J]. Vasc Cell, 2013, 5(1), 20.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Sakurai T, Kudo M, et al. Signaling pathways governing tumor angiogenesis[J]. Oncology, 2011, 81 Suppl 1, 24-29.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Senger DR, Davis GE, et al. Angiogenesis[J]. Cold Spring Harb Perspect</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Biol, 2011, 3(8), a005090.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Van Hinsbergh VW, Koolwijk P, et al. Endothelial sprouting and angiogenesis: matrix metalloproteinases in the lead[J]. Cardiovasc. Res, 2008, 78(2), 203-212.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Sullivan K. D., Gallant-Behm C. L., Henry R. E., Fraikin J. L.</w:t>
      </w:r>
      <w:r>
        <w:rPr>
          <w:rFonts w:hint="eastAsia"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Espinosa J. M, et al. The p53 circuit board[J]. Biochim. Biophys. Acta, 2012, 1825,</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229-244.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Hong, H. et al. Suppression of induced pluripotent stem cell generation by the p53-p21 pathway</w:t>
      </w:r>
      <w:r>
        <w:rPr>
          <w:rFonts w:ascii="Times New Roman" w:hAnsi="Times New Roman" w:cs="Times New Roman"/>
          <w:sz w:val="15"/>
          <w:szCs w:val="15"/>
          <w:highlight w:val="none"/>
          <w:lang w:eastAsia="zh-CN"/>
        </w:rPr>
        <w:t>[J]</w:t>
      </w:r>
      <w:r>
        <w:rPr>
          <w:rFonts w:ascii="Times New Roman" w:hAnsi="Times New Roman" w:cs="Times New Roman"/>
          <w:sz w:val="15"/>
          <w:szCs w:val="15"/>
          <w:highlight w:val="none"/>
        </w:rPr>
        <w:t>. Nature, 2009, 460, 1132</w:t>
      </w:r>
      <w:r>
        <w:rPr>
          <w:rFonts w:hint="eastAsia" w:cs="Times New Roman"/>
          <w:sz w:val="15"/>
          <w:szCs w:val="15"/>
          <w:highlight w:val="none"/>
          <w:lang w:eastAsia="zh-CN"/>
        </w:rPr>
        <w:t>-</w:t>
      </w:r>
      <w:r>
        <w:rPr>
          <w:rFonts w:ascii="Times New Roman" w:hAnsi="Times New Roman" w:cs="Times New Roman"/>
          <w:sz w:val="15"/>
          <w:szCs w:val="15"/>
          <w:highlight w:val="none"/>
        </w:rPr>
        <w:t>1135.</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Lee, I. H. et al. Atg7 modulates p53 activity to regulate cell cycle and survival during metabolic stress[J]. Science, 2012, 336, 225-228.</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Schlereth, K. et al. DNA binding cooperativity of p53 modulates the decision between cell-cycle arrest and apoptosis[J]. Mol. Cell, 2010, 38, 356-368.</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Ahmadian M, Suh JM, Hah N, Liddle C, Atkins AR, Downes M, Evans RM, et al. PPARγ signaling and metabolism: the good, the bad and the future[J].Nat. Med, 2013, 19(5), 557-566.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Evans RM, Mangelsdorf DJ, et al. Nuclear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eceptors, RXR, and the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 xml:space="preserve">ig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ang[J]. Cell, 2014, 157(1), 255-266.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Kojetin DJ, Burris TP, et al. REV-ERB and ROR nuclear receptors as drug targets[J]. Nat Rev Drug Discov, 2014, 13(3), 197-216.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Kurakula K, Koenis DS, van Tiel CM, de Vries CJ, et al. NR4A nuclear receptors are orphans but not lonesome[J]. Biochim. Biophys. Acta, 2014, 1843(11),</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2543-2555.</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Zhou W, Slingerland JM, et al. Links between oestrogen receptor activation and proteolysis: relevance to hormone-regulated cancer therapy[J]. Nat. Rev. Cancer, 2014, 14(1), 26-38.</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Fulda S, Vucic D, et al. Targeting IAP proteins for therapeutic intervention in cancer[J]. Nat Rev Drug Discov, 2012, 11(2), 109-124.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Kaufmann T, Strasser A, Jost PJ, et al. Fas death receptor signalling: roles of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id and XIAP[J]. Cell Death Differ, 2012, 19(1), 42-50.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Lindsay J, Esposti MD, Gilmore AP</w:t>
      </w:r>
      <w:r>
        <w:rPr>
          <w:rFonts w:ascii="Times New Roman" w:hAnsi="Times New Roman" w:cs="Times New Roman"/>
          <w:sz w:val="15"/>
          <w:szCs w:val="15"/>
          <w:highlight w:val="none"/>
          <w:lang w:eastAsia="zh-CN"/>
        </w:rPr>
        <w:t>, et al.</w:t>
      </w:r>
      <w:r>
        <w:rPr>
          <w:rFonts w:ascii="Times New Roman" w:hAnsi="Times New Roman" w:cs="Times New Roman"/>
          <w:sz w:val="15"/>
          <w:szCs w:val="15"/>
          <w:highlight w:val="none"/>
        </w:rPr>
        <w:t xml:space="preserve"> Bcl-2 proteins and mitochondria-specificity in membrane targeting for death[J]. Biochim. Biophys. Acta, 2011, 1813(4), 532-539.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Pradelli LA, Bénéteau M, Ricci JE, et al. Mitochondrial control of caspase-dependent and -independent cell death[J]. Cell Mol. Life Sci, 2010, 67(10),</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1589-1597.</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Fuchs Y, Steller H, et al. Programmed cell death in animal development and disease[J]. Cell, 2011, 147(4), 742-758.</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Kantari C, Walczak H, et al. Caspase-8 and bid: caught in the act between death receptors and mitochondria[J]. Biochim. Biophys. Acta, 2011, 1813(4),</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558-563.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Kaufmann T, Strasser A, Jost PJ, et al. Fas death receptor signalling: roles of Bid and XIAP[J]. Cell Death Differ, 2012, 19(1), 42-50.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Lavrik IN, Krammer PH, et al</w:t>
      </w:r>
      <w:r>
        <w:rPr>
          <w:rFonts w:hint="eastAsia"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w:t>
      </w:r>
      <w:bookmarkStart w:id="515" w:name="OLE_LINK19"/>
      <w:r>
        <w:rPr>
          <w:rFonts w:ascii="Times New Roman" w:hAnsi="Times New Roman" w:cs="Times New Roman"/>
          <w:sz w:val="15"/>
          <w:szCs w:val="15"/>
          <w:highlight w:val="none"/>
        </w:rPr>
        <w:t>Regulation of CD95/Fas signaling at the DISC</w:t>
      </w:r>
      <w:bookmarkEnd w:id="515"/>
      <w:r>
        <w:rPr>
          <w:rFonts w:ascii="Times New Roman" w:hAnsi="Times New Roman" w:cs="Times New Roman"/>
          <w:sz w:val="15"/>
          <w:szCs w:val="15"/>
          <w:highlight w:val="none"/>
        </w:rPr>
        <w:t>[J]. Cell Death Differ, 2012, 19(1), 36-41.</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Wajant H, Scheurich P, et al. TNFR1-induced activation of the classical NF-κB pathway[J]. FEBS J, 2011, 278(6), 862-876.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Alers S, Löffler AS, Wesselborg S, Stork B, et al. Role of AMPK-mTOR-Ulk1/2 in the regulation of autophagy: cross talk, shortcuts, and feedbacks[J].Mol. Cell Biol, 2012, 32(1), 2-11.</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Schneider JL, Cuervo AM, et al. Autophagy and human disease: </w:t>
      </w:r>
      <w:r>
        <w:rPr>
          <w:rFonts w:hint="eastAsia" w:ascii="Times New Roman" w:hAnsi="Times New Roman" w:cs="Times New Roman"/>
          <w:sz w:val="15"/>
          <w:szCs w:val="15"/>
          <w:highlight w:val="none"/>
          <w:lang w:eastAsia="zh-CN"/>
        </w:rPr>
        <w:t>E</w:t>
      </w:r>
      <w:r>
        <w:rPr>
          <w:rFonts w:ascii="Times New Roman" w:hAnsi="Times New Roman" w:cs="Times New Roman"/>
          <w:sz w:val="15"/>
          <w:szCs w:val="15"/>
          <w:highlight w:val="none"/>
        </w:rPr>
        <w:t>merging themes[J]. Curr. Opin. Genet. Dev, 2014, 26, 16-23.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Carling D, Mayer FV, Sanders MJ, Gamblin SJ, et al. AMP-activated protein kinase: nature’s energy sensor[J]. Nat. Chem. Biol, 2011, 7(8), 512-518.</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Hardie DG, et al. AMP-activated protein kinase: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n energy sensor that regulates all aspects of cell function[J]. Genes Dev, 2011, 25(18), 1895-1908.</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Hardie DG, Ross FA, Hawley SA</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MP-</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ctivated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rotein </w:t>
      </w:r>
      <w:r>
        <w:rPr>
          <w:rFonts w:hint="eastAsia" w:ascii="Times New Roman" w:hAnsi="Times New Roman" w:cs="Times New Roman"/>
          <w:sz w:val="15"/>
          <w:szCs w:val="15"/>
          <w:highlight w:val="none"/>
          <w:lang w:eastAsia="zh-CN"/>
        </w:rPr>
        <w:t>k</w:t>
      </w:r>
      <w:r>
        <w:rPr>
          <w:rFonts w:ascii="Times New Roman" w:hAnsi="Times New Roman" w:cs="Times New Roman"/>
          <w:sz w:val="15"/>
          <w:szCs w:val="15"/>
          <w:highlight w:val="none"/>
        </w:rPr>
        <w:t xml:space="preserve">inase: A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 xml:space="preserve">arget for </w:t>
      </w:r>
      <w:r>
        <w:rPr>
          <w:rFonts w:hint="eastAsia" w:ascii="Times New Roman" w:hAnsi="Times New Roman" w:cs="Times New Roman"/>
          <w:sz w:val="15"/>
          <w:szCs w:val="15"/>
          <w:highlight w:val="none"/>
          <w:lang w:eastAsia="zh-CN"/>
        </w:rPr>
        <w:t>d</w:t>
      </w:r>
      <w:r>
        <w:rPr>
          <w:rFonts w:ascii="Times New Roman" w:hAnsi="Times New Roman" w:cs="Times New Roman"/>
          <w:sz w:val="15"/>
          <w:szCs w:val="15"/>
          <w:highlight w:val="none"/>
        </w:rPr>
        <w:t xml:space="preserve">rugs both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ncient and </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rPr>
        <w:t xml:space="preserve">odern[J]. Chem. Biol, 2012, 19(10), 1222-1236. </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Mihaylova MM, Shaw RJ, et al. The AMPK signalling pathway coordinates cell growth, autophagy and metabolism[J]. Nat. Cell Biol, 2011, 13(9), 1016-1023.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Kaelin WG, McKnight SL</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I</w:t>
      </w:r>
      <w:r>
        <w:rPr>
          <w:rFonts w:ascii="Times New Roman" w:hAnsi="Times New Roman" w:cs="Times New Roman"/>
          <w:sz w:val="15"/>
          <w:szCs w:val="15"/>
          <w:highlight w:val="none"/>
        </w:rPr>
        <w:t>nfluence of metabolism on epigenetics and disease[J]. Cell, 2013, 153(1), 56-69.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Gogvadze V, Zhivotovsky B, Orrenius S, et al. The Warburg effect and mitochondrial stability in cancer cells[J]. Mol. Aspects Med, 2010, 31(1), 60-74.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Genevet A, Tapon N</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Hippo pathway and apico-basal cell polarity[J]. Biochem. J, 2011, 436(2), 213-224.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Sudol M, Harvey KF, et al. Modularity in the </w:t>
      </w:r>
      <w:r>
        <w:rPr>
          <w:rFonts w:hint="eastAsia" w:ascii="Times New Roman" w:hAnsi="Times New Roman" w:cs="Times New Roman"/>
          <w:sz w:val="15"/>
          <w:szCs w:val="15"/>
          <w:highlight w:val="none"/>
          <w:lang w:eastAsia="zh-CN"/>
        </w:rPr>
        <w:t>H</w:t>
      </w:r>
      <w:r>
        <w:rPr>
          <w:rFonts w:ascii="Times New Roman" w:hAnsi="Times New Roman" w:cs="Times New Roman"/>
          <w:sz w:val="15"/>
          <w:szCs w:val="15"/>
          <w:highlight w:val="none"/>
        </w:rPr>
        <w:t>ippo signaling pathway[J]. Trends Biochem. Sci, 2010, 35(11), 627-633.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Yu FX, Guan KL, et al. </w:t>
      </w:r>
      <w:bookmarkStart w:id="516" w:name="OLE_LINK17"/>
      <w:bookmarkStart w:id="517" w:name="OLE_LINK16"/>
      <w:r>
        <w:rPr>
          <w:rFonts w:ascii="Times New Roman" w:hAnsi="Times New Roman" w:cs="Times New Roman"/>
          <w:sz w:val="15"/>
          <w:szCs w:val="15"/>
          <w:highlight w:val="none"/>
        </w:rPr>
        <w:t>The Hippo pathway: regulators and regulations</w:t>
      </w:r>
      <w:bookmarkEnd w:id="516"/>
      <w:bookmarkEnd w:id="517"/>
      <w:r>
        <w:rPr>
          <w:rFonts w:ascii="Times New Roman" w:hAnsi="Times New Roman" w:cs="Times New Roman"/>
          <w:sz w:val="15"/>
          <w:szCs w:val="15"/>
          <w:highlight w:val="none"/>
        </w:rPr>
        <w:t>[J]. Genes Dev, 2013, 27(4), 355-371.</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Zhao B, Tumaneng K, Guan KL, et al. The Hippo pathway in organ size control, tissue regeneration and stem cell self-renewal[J]. Nat. Cell Biol, 2011, 13(8),</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877-883.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Dalton S, et al. Signaling networks in human pluripotent stem cells[J]. Curr. Opin. Cell Biol, 2013, 25(2), 241-246.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Jaenisch R, Young R, et al. Stem cells, the molecular circuitry of pluripotency and nuclear reprogramming[J]. Cell, 2008, 132(4), 567-582.</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Ng HH, Surani MA, et al. The transcriptional and signalling networks of pluripotency[J]. Nat. Cell Biol, 2011, 13(5), 490-496.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Young RA, et al. Control of the embryonic stem cell state[J]. Cell, 2011, 144(6), 940-954.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Cadigan KM, Waterman ML, et al. TCF/LEFs and Wnt signaling in the nucleus[J]. Cold Spring Harb Perspect Biol, 2012, 4(11):a007906-a007906.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Clevers H, Nusse R, et al. Wnt/β-catenin signaling and disease[J]. Cell, 2012, 149(6), 1192-1205.</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Lau W de, Peng WC, Gros P, Clevers H</w:t>
      </w:r>
      <w:r>
        <w:rPr>
          <w:rFonts w:ascii="Times New Roman" w:hAnsi="Times New Roman" w:cs="Times New Roman"/>
          <w:sz w:val="15"/>
          <w:szCs w:val="15"/>
          <w:highlight w:val="none"/>
          <w:lang w:eastAsia="zh-CN"/>
        </w:rPr>
        <w:t xml:space="preserve">, et al. </w:t>
      </w:r>
      <w:bookmarkStart w:id="518" w:name="OLE_LINK14"/>
      <w:bookmarkStart w:id="519" w:name="OLE_LINK25"/>
      <w:bookmarkStart w:id="520" w:name="OLE_LINK15"/>
      <w:bookmarkStart w:id="521" w:name="OLE_LINK24"/>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R-spondin/Lgr5/Rnf43 module: regulator of Wnt signal strength</w:t>
      </w:r>
      <w:bookmarkEnd w:id="518"/>
      <w:bookmarkEnd w:id="519"/>
      <w:bookmarkEnd w:id="520"/>
      <w:bookmarkEnd w:id="521"/>
      <w:r>
        <w:rPr>
          <w:rFonts w:ascii="Times New Roman" w:hAnsi="Times New Roman" w:cs="Times New Roman"/>
          <w:sz w:val="15"/>
          <w:szCs w:val="15"/>
          <w:highlight w:val="none"/>
        </w:rPr>
        <w:t>[J]. Genes Dev, 2014, 28(4), 305-316.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Niehrs C</w:t>
      </w:r>
      <w:r>
        <w:rPr>
          <w:rFonts w:ascii="Times New Roman" w:hAnsi="Times New Roman" w:cs="Times New Roman"/>
          <w:sz w:val="15"/>
          <w:szCs w:val="15"/>
          <w:highlight w:val="none"/>
          <w:lang w:eastAsia="zh-CN"/>
        </w:rPr>
        <w:t xml:space="preserve">, et al. </w:t>
      </w:r>
      <w:r>
        <w:rPr>
          <w:rFonts w:ascii="Times New Roman" w:hAnsi="Times New Roman" w:cs="Times New Roman"/>
          <w:sz w:val="15"/>
          <w:szCs w:val="15"/>
          <w:highlight w:val="none"/>
        </w:rPr>
        <w:t>The complex world of WNT receptor signaling[J]. Nat. Rev. Mol. Cell Biol, 2012, 13(12), 767-779.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Sokol SY, et al. Maintaining embryonic stem cell pluripotency with Wnt signaling[J]. Development, 2011, 138(20), 4341-4350.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Andersson ER, Lendahl U, et al. Therapeutic modulation of Notch signalling-are we there yet[J]. Nat Rev Drug Discov, 2014, 13(5), 357-378.</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Aster JC, Blacklow SC, Pear WS, et al. Notch signalling in T-cell lymphoblastic leukaemia/lymphoma and other haematological malignancies[J]. J.Pathol, 2011, 223(2), 262-273.</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Ntziachristos P, Lim JS, Sage J, Aifantis I, et al. From fly wings to targeted cancer therapies: a centennial for notch signaling[J]. Cancer Cell, 2014, 25(3),</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318-334.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Ranganathan P, Weaver KL, Capobianco AJ, et al. Notch signalling in solid tumours: a little bit of everything but not all the time[J]. Nat. Rev. Cancer, 2011, 11(5), 338-351.</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Ingham PW, Nakano Y, Seger C, et al. Mechanisms and functions of Hedgehog signalling across the metazoan[J]. Nat. Rev. Genet, 2011, 12(6), 393-406.</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Ng JM, Curran T, et al. The Hedgehog’s tale: developing strategies for targeting cancer[J]. Nat. Rev. Cancer, 2011, 11(7), 493-501.</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Briscoe J, Thérond PP</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mechanisms of Hedgehog signalling and its roles in development and disease[J]. Nat. Rev. Mol. Cell Biol, 2013, 14(7),</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416-429.</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Falkenstein KN, Vokes SA, et al. Transcriptional regulation of graded Hedgehog signaling[J]. Semin. Cell Dev. Biol, 2014, 33, 73-80.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Winston Timp, Andrew P. Feinberg</w:t>
      </w:r>
      <w:r>
        <w:rPr>
          <w:rFonts w:ascii="Times New Roman" w:hAnsi="Times New Roman" w:cs="Times New Roman"/>
          <w:sz w:val="15"/>
          <w:szCs w:val="15"/>
          <w:highlight w:val="none"/>
          <w:lang w:eastAsia="zh-CN"/>
        </w:rPr>
        <w:t>, et al.</w:t>
      </w:r>
      <w:r>
        <w:rPr>
          <w:rFonts w:hint="eastAsia" w:ascii="Times New Roman" w:hAnsi="Times New Roman" w:cs="Times New Roman"/>
          <w:sz w:val="15"/>
          <w:szCs w:val="15"/>
          <w:highlight w:val="none"/>
          <w:lang w:eastAsia="zh-CN"/>
        </w:rPr>
        <w:t xml:space="preserve"> </w:t>
      </w:r>
      <w:bookmarkStart w:id="522" w:name="OLE_LINK20"/>
      <w:bookmarkStart w:id="523" w:name="OLE_LINK21"/>
      <w:r>
        <w:rPr>
          <w:rFonts w:ascii="Times New Roman" w:hAnsi="Times New Roman" w:cs="Times New Roman"/>
          <w:sz w:val="15"/>
          <w:szCs w:val="15"/>
          <w:highlight w:val="none"/>
        </w:rPr>
        <w:t>Cancer as a dysregulated epigenome allowing cellular growth advantage at the expense of the host</w:t>
      </w:r>
      <w:bookmarkEnd w:id="522"/>
      <w:bookmarkEnd w:id="523"/>
      <w:r>
        <w:rPr>
          <w:rFonts w:ascii="Times New Roman" w:hAnsi="Times New Roman" w:cs="Times New Roman"/>
          <w:sz w:val="15"/>
          <w:szCs w:val="15"/>
          <w:highlight w:val="none"/>
        </w:rPr>
        <w:t>[J]. Nature</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Reviews Cancer, 2013, 13, 497-510.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Megan P. Hitchins, et al. Constitutional epimutation as a mechanism for cancer causality and heritability[J]. Nature Reviews Cancer, 2015, 15, 625-634.</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Christoph Plass, Stefan M. Pfister, et al. Mutations in regulators of the epigenome</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and their connections to global chromatin patterns in cancer[J]. Nature Reviews Genetics, 2013, 14, 765-780.</w:t>
      </w:r>
    </w:p>
    <w:p>
      <w:pPr>
        <w:widowControl/>
        <w:numPr>
          <w:ilvl w:val="0"/>
          <w:numId w:val="3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Koumenis, C. Hammond, E. Giaccia, A, et al. </w:t>
      </w:r>
      <w:bookmarkStart w:id="524" w:name="OLE_LINK23"/>
      <w:bookmarkStart w:id="525" w:name="OLE_LINK22"/>
      <w:r>
        <w:rPr>
          <w:rFonts w:ascii="Times New Roman" w:hAnsi="Times New Roman" w:cs="Times New Roman"/>
          <w:sz w:val="15"/>
          <w:szCs w:val="15"/>
          <w:highlight w:val="none"/>
        </w:rPr>
        <w:t>Tumor microenvironment and cellular stress: signaling, metabolism, imaging, and therapeutic targets</w:t>
      </w:r>
      <w:bookmarkEnd w:id="524"/>
      <w:bookmarkEnd w:id="525"/>
      <w:r>
        <w:rPr>
          <w:rFonts w:ascii="Times New Roman" w:hAnsi="Times New Roman" w:cs="Times New Roman"/>
          <w:sz w:val="15"/>
          <w:szCs w:val="15"/>
          <w:highlight w:val="none"/>
        </w:rPr>
        <w:t>[J].</w:t>
      </w:r>
    </w:p>
    <w:p>
      <w:pPr>
        <w:widowControl/>
        <w:spacing w:after="84" w:line="259" w:lineRule="auto"/>
        <w:ind w:firstLine="420"/>
        <w:rPr>
          <w:rFonts w:ascii="Times New Roman" w:hAnsi="Times New Roman" w:cs="Times New Roman"/>
          <w:sz w:val="15"/>
          <w:szCs w:val="15"/>
          <w:highlight w:val="none"/>
        </w:rPr>
      </w:pPr>
      <w:r>
        <w:rPr>
          <w:rFonts w:ascii="Times New Roman" w:hAnsi="Times New Roman" w:cs="Times New Roman"/>
          <w:sz w:val="15"/>
          <w:szCs w:val="15"/>
          <w:highlight w:val="none"/>
        </w:rPr>
        <w:t>Adv Exp Med Biol, 2014, 772, v-viii.</w:t>
      </w:r>
    </w:p>
    <w:p>
      <w:pPr>
        <w:widowControl/>
        <w:numPr>
          <w:ilvl w:val="0"/>
          <w:numId w:val="34"/>
        </w:numPr>
        <w:spacing w:after="84" w:line="259" w:lineRule="auto"/>
        <w:rPr>
          <w:rFonts w:ascii="Times New Roman" w:hAnsi="Times New Roman" w:cs="Times New Roman"/>
          <w:sz w:val="15"/>
          <w:szCs w:val="15"/>
          <w:highlight w:val="none"/>
        </w:rPr>
      </w:pPr>
      <w:r>
        <w:rPr>
          <w:rFonts w:hint="eastAsia" w:ascii="Times New Roman" w:hAnsi="Times New Roman" w:cs="Times New Roman"/>
          <w:sz w:val="15"/>
          <w:szCs w:val="15"/>
          <w:highlight w:val="none"/>
        </w:rPr>
        <w:t xml:space="preserve">Yun J, Lee SH, Kim SY, </w:t>
      </w:r>
      <w:r>
        <w:rPr>
          <w:rFonts w:hint="eastAsia" w:ascii="Times New Roman" w:hAnsi="Times New Roman" w:cs="Times New Roman"/>
          <w:sz w:val="15"/>
          <w:szCs w:val="15"/>
          <w:highlight w:val="none"/>
          <w:lang w:val="en-US" w:eastAsia="zh-CN"/>
        </w:rPr>
        <w:t>et al</w:t>
      </w:r>
      <w:r>
        <w:rPr>
          <w:rFonts w:hint="eastAsia" w:ascii="Times New Roman" w:hAnsi="Times New Roman" w:cs="Times New Roman"/>
          <w:sz w:val="15"/>
          <w:szCs w:val="15"/>
          <w:highlight w:val="none"/>
        </w:rPr>
        <w:t>. Antitumor Activity of Amivantamab (JNJ-61186372), an EGFR-MET Bispecific Antibody, in Diverse Models of EGFR Exon 20 Insertion-Driven NSCLC</w:t>
      </w:r>
      <w:r>
        <w:rPr>
          <w:rFonts w:ascii="Times New Roman" w:hAnsi="Times New Roman" w:cs="Times New Roman"/>
          <w:sz w:val="15"/>
          <w:szCs w:val="15"/>
          <w:highlight w:val="none"/>
        </w:rPr>
        <w:t>[J]</w:t>
      </w:r>
      <w:r>
        <w:rPr>
          <w:rFonts w:hint="eastAsia" w:ascii="Times New Roman" w:hAnsi="Times New Roman" w:cs="Times New Roman"/>
          <w:sz w:val="15"/>
          <w:szCs w:val="15"/>
          <w:highlight w:val="none"/>
        </w:rPr>
        <w:t>. Cancer Discov. 2020</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10(8):1194-1209.</w:t>
      </w:r>
    </w:p>
    <w:p>
      <w:pPr>
        <w:widowControl/>
        <w:numPr>
          <w:ilvl w:val="0"/>
          <w:numId w:val="34"/>
        </w:numPr>
        <w:spacing w:after="84" w:line="259" w:lineRule="auto"/>
        <w:rPr>
          <w:rFonts w:ascii="Times New Roman" w:hAnsi="Times New Roman" w:cs="Times New Roman"/>
          <w:sz w:val="15"/>
          <w:szCs w:val="15"/>
          <w:highlight w:val="none"/>
        </w:rPr>
      </w:pPr>
      <w:r>
        <w:rPr>
          <w:rFonts w:hint="eastAsia" w:ascii="Times New Roman" w:hAnsi="Times New Roman" w:cs="Times New Roman"/>
          <w:sz w:val="15"/>
          <w:szCs w:val="15"/>
          <w:highlight w:val="none"/>
        </w:rPr>
        <w:t xml:space="preserve">Hong DS, Fakih MG, Strickler JH, </w:t>
      </w:r>
      <w:r>
        <w:rPr>
          <w:rFonts w:hint="eastAsia" w:ascii="Times New Roman" w:hAnsi="Times New Roman" w:cs="Times New Roman"/>
          <w:sz w:val="15"/>
          <w:szCs w:val="15"/>
          <w:highlight w:val="none"/>
          <w:lang w:val="en-US" w:eastAsia="zh-CN"/>
        </w:rPr>
        <w:t>et al</w:t>
      </w:r>
      <w:r>
        <w:rPr>
          <w:rFonts w:hint="eastAsia" w:ascii="Times New Roman" w:hAnsi="Times New Roman" w:cs="Times New Roman"/>
          <w:sz w:val="15"/>
          <w:szCs w:val="15"/>
          <w:highlight w:val="none"/>
        </w:rPr>
        <w:t>. KRAS</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G12C Inhibition with Sotorasib in Advanced Solid Tumors</w:t>
      </w:r>
      <w:r>
        <w:rPr>
          <w:rFonts w:ascii="Times New Roman" w:hAnsi="Times New Roman" w:cs="Times New Roman"/>
          <w:sz w:val="15"/>
          <w:szCs w:val="15"/>
          <w:highlight w:val="none"/>
        </w:rPr>
        <w:t>[J]</w:t>
      </w:r>
      <w:r>
        <w:rPr>
          <w:rFonts w:hint="eastAsia" w:ascii="Times New Roman" w:hAnsi="Times New Roman" w:cs="Times New Roman"/>
          <w:sz w:val="15"/>
          <w:szCs w:val="15"/>
          <w:highlight w:val="none"/>
        </w:rPr>
        <w:t>. N Engl J Med. 2020</w:t>
      </w:r>
      <w:r>
        <w:rPr>
          <w:rFonts w:hint="eastAsia" w:ascii="Times New Roman" w:hAnsi="Times New Roman" w:cs="Times New Roman"/>
          <w:sz w:val="15"/>
          <w:szCs w:val="15"/>
          <w:highlight w:val="none"/>
          <w:lang w:val="en-US" w:eastAsia="zh-CN"/>
        </w:rPr>
        <w:t>,</w:t>
      </w:r>
      <w:r>
        <w:rPr>
          <w:rFonts w:hint="eastAsia" w:ascii="Times New Roman" w:hAnsi="Times New Roman" w:cs="Times New Roman"/>
          <w:sz w:val="15"/>
          <w:szCs w:val="15"/>
          <w:highlight w:val="none"/>
        </w:rPr>
        <w:t xml:space="preserve"> 24;383(13):1207-1217.</w:t>
      </w:r>
    </w:p>
    <w:p>
      <w:pPr>
        <w:widowControl/>
        <w:numPr>
          <w:ilvl w:val="0"/>
          <w:numId w:val="34"/>
        </w:numPr>
        <w:spacing w:after="84" w:line="259" w:lineRule="auto"/>
        <w:rPr>
          <w:rFonts w:ascii="Times New Roman" w:hAnsi="Times New Roman" w:cs="Times New Roman"/>
          <w:sz w:val="15"/>
          <w:szCs w:val="15"/>
          <w:highlight w:val="none"/>
        </w:rPr>
      </w:pPr>
      <w:r>
        <w:rPr>
          <w:rFonts w:hint="eastAsia" w:ascii="Times New Roman" w:hAnsi="Times New Roman" w:cs="Times New Roman"/>
          <w:sz w:val="15"/>
          <w:szCs w:val="15"/>
          <w:highlight w:val="none"/>
        </w:rPr>
        <w:t>Kopetz S,</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Mcdonough S L,</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 xml:space="preserve">Morris V K, et al. Randomized trial of </w:t>
      </w:r>
      <w:r>
        <w:rPr>
          <w:rFonts w:hint="eastAsia" w:ascii="Times New Roman" w:hAnsi="Times New Roman" w:cs="Times New Roman"/>
          <w:sz w:val="15"/>
          <w:szCs w:val="15"/>
          <w:highlight w:val="none"/>
          <w:lang w:val="en-US" w:eastAsia="zh-CN"/>
        </w:rPr>
        <w:t>I</w:t>
      </w:r>
      <w:r>
        <w:rPr>
          <w:rFonts w:hint="eastAsia" w:ascii="Times New Roman" w:hAnsi="Times New Roman" w:cs="Times New Roman"/>
          <w:sz w:val="15"/>
          <w:szCs w:val="15"/>
          <w:highlight w:val="none"/>
        </w:rPr>
        <w:t xml:space="preserve">rinotecan and </w:t>
      </w:r>
      <w:r>
        <w:rPr>
          <w:rFonts w:hint="eastAsia" w:ascii="Times New Roman" w:hAnsi="Times New Roman" w:cs="Times New Roman"/>
          <w:sz w:val="15"/>
          <w:szCs w:val="15"/>
          <w:highlight w:val="none"/>
          <w:lang w:val="en-US" w:eastAsia="zh-CN"/>
        </w:rPr>
        <w:t>C</w:t>
      </w:r>
      <w:r>
        <w:rPr>
          <w:rFonts w:hint="eastAsia" w:ascii="Times New Roman" w:hAnsi="Times New Roman" w:cs="Times New Roman"/>
          <w:sz w:val="15"/>
          <w:szCs w:val="15"/>
          <w:highlight w:val="none"/>
        </w:rPr>
        <w:t xml:space="preserve">etuximab with or without </w:t>
      </w:r>
      <w:r>
        <w:rPr>
          <w:rFonts w:hint="eastAsia" w:ascii="Times New Roman" w:hAnsi="Times New Roman" w:cs="Times New Roman"/>
          <w:sz w:val="15"/>
          <w:szCs w:val="15"/>
          <w:highlight w:val="none"/>
          <w:lang w:val="en-US" w:eastAsia="zh-CN"/>
        </w:rPr>
        <w:t>V</w:t>
      </w:r>
      <w:r>
        <w:rPr>
          <w:rFonts w:hint="eastAsia" w:ascii="Times New Roman" w:hAnsi="Times New Roman" w:cs="Times New Roman"/>
          <w:sz w:val="15"/>
          <w:szCs w:val="15"/>
          <w:highlight w:val="none"/>
        </w:rPr>
        <w:t>emurafenib in BRAF-mutant metastatic colorectal cancer (SWOG 1406).[J]. Journal of Clinical Oncology, 2017, 35(4_suppl):520-520.</w:t>
      </w:r>
    </w:p>
    <w:p>
      <w:pPr>
        <w:widowControl/>
        <w:numPr>
          <w:ilvl w:val="0"/>
          <w:numId w:val="34"/>
        </w:numPr>
        <w:spacing w:after="84" w:line="259" w:lineRule="auto"/>
        <w:rPr>
          <w:rFonts w:ascii="Times New Roman" w:hAnsi="Times New Roman" w:cs="Times New Roman"/>
          <w:sz w:val="15"/>
          <w:szCs w:val="15"/>
          <w:highlight w:val="none"/>
        </w:rPr>
      </w:pPr>
      <w:r>
        <w:rPr>
          <w:rFonts w:hint="eastAsia" w:ascii="Times New Roman" w:hAnsi="Times New Roman" w:cs="Times New Roman"/>
          <w:sz w:val="15"/>
          <w:szCs w:val="15"/>
          <w:highlight w:val="none"/>
        </w:rPr>
        <w:t>Fangusaro J, Onar-Thomas A, Poussaint TY, et al. Selumetinib in paediatric patients with BRAFaberrant or neurofibromatosis type 1-associated recurrent, refractory, or progressive low-grade glioma: a multicentre, phase 2 trial [article and supplementary appendix]. Lancet Oncol 2019;20:1011-1022</w:t>
      </w:r>
      <w:r>
        <w:rPr>
          <w:rFonts w:hint="eastAsia" w:ascii="Times New Roman" w:hAnsi="Times New Roman" w:cs="Times New Roman"/>
          <w:sz w:val="15"/>
          <w:szCs w:val="15"/>
          <w:highlight w:val="none"/>
          <w:lang w:val="en-US" w:eastAsia="zh-CN"/>
        </w:rPr>
        <w:t>.</w:t>
      </w:r>
    </w:p>
    <w:p>
      <w:pPr>
        <w:widowControl/>
        <w:numPr>
          <w:ilvl w:val="0"/>
          <w:numId w:val="34"/>
        </w:numPr>
        <w:spacing w:after="84" w:line="259" w:lineRule="auto"/>
        <w:rPr>
          <w:rFonts w:ascii="Times New Roman" w:hAnsi="Times New Roman" w:cs="Times New Roman"/>
          <w:sz w:val="15"/>
          <w:szCs w:val="15"/>
          <w:highlight w:val="none"/>
        </w:rPr>
      </w:pPr>
      <w:r>
        <w:rPr>
          <w:rFonts w:hint="eastAsia" w:ascii="Times New Roman" w:hAnsi="Times New Roman" w:cs="Times New Roman"/>
          <w:sz w:val="15"/>
          <w:szCs w:val="15"/>
          <w:highlight w:val="none"/>
        </w:rPr>
        <w:t>Chung HC, et al First-line pembrolizumab/placebo plus trastuzumab and chemotherapy in HER2-positive advanced gastric cancer: KEYNOTE-811. Future Oncol 2021 Feb;17(5):491-501.</w:t>
      </w:r>
    </w:p>
    <w:p>
      <w:pPr>
        <w:widowControl/>
        <w:numPr>
          <w:ilvl w:val="0"/>
          <w:numId w:val="0"/>
        </w:numPr>
        <w:spacing w:after="84" w:line="259" w:lineRule="auto"/>
        <w:ind w:leftChars="0"/>
        <w:rPr>
          <w:rFonts w:ascii="Times New Roman" w:hAnsi="Times New Roman" w:cs="Times New Roman"/>
          <w:sz w:val="15"/>
          <w:szCs w:val="15"/>
          <w:highlight w:val="none"/>
        </w:rPr>
      </w:pPr>
    </w:p>
    <w:sectPr>
      <w:footerReference r:id="rId7" w:type="default"/>
      <w:pgSz w:w="11910" w:h="16840"/>
      <w:pgMar w:top="1037" w:right="1020" w:bottom="981" w:left="1020" w:header="624" w:footer="567" w:gutter="0"/>
      <w:pgBorders>
        <w:top w:val="none" w:sz="0" w:space="0"/>
        <w:left w:val="none" w:sz="0" w:space="0"/>
        <w:bottom w:val="none" w:sz="0" w:space="0"/>
        <w:right w:val="none" w:sz="0" w:space="0"/>
      </w:pgBorders>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mc:AlternateContent>
        <mc:Choice Requires="wps">
          <w:drawing>
            <wp:anchor distT="0" distB="0" distL="114300" distR="114300" simplePos="0" relativeHeight="25167974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974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sz w:val="20"/>
      </w:rPr>
      <mc:AlternateContent>
        <mc:Choice Requires="wps">
          <w:drawing>
            <wp:anchor distT="0" distB="0" distL="114300" distR="114300" simplePos="0" relativeHeight="251680768"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8076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sz w:val="20"/>
      </w:rPr>
      <mc:AlternateContent>
        <mc:Choice Requires="wps">
          <w:drawing>
            <wp:anchor distT="0" distB="0" distL="114300" distR="114300" simplePos="0" relativeHeight="25168179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8179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color w:val="7F7F7F"/>
        <w:sz w:val="20"/>
        <w:szCs w:val="20"/>
        <w:lang w:eastAsia="zh-CN"/>
      </w:rPr>
    </w:pPr>
    <w:r>
      <w:rPr>
        <w:rFonts w:ascii="Times New Roman" w:hAnsi="Times New Roman" w:eastAsia="微软雅黑" w:cs="Times New Roman"/>
        <w:color w:val="7F7F7F"/>
        <w:sz w:val="20"/>
        <w:szCs w:val="20"/>
        <w:lang w:eastAsia="zh-CN"/>
      </w:rPr>
      <w:t>——泛癌种</w:t>
    </w:r>
    <w:r>
      <w:rPr>
        <w:rFonts w:hint="eastAsia" w:ascii="Times New Roman" w:hAnsi="Times New Roman" w:eastAsia="微软雅黑" w:cs="Times New Roman"/>
        <w:color w:val="7F7F7F"/>
        <w:sz w:val="20"/>
        <w:szCs w:val="20"/>
        <w:lang w:eastAsia="zh-CN"/>
      </w:rPr>
      <w:t>550</w:t>
    </w:r>
    <w:r>
      <w:rPr>
        <w:rFonts w:ascii="Times New Roman" w:hAnsi="Times New Roman" w:eastAsia="微软雅黑" w:cs="Times New Roman"/>
        <w:color w:val="7F7F7F"/>
        <w:sz w:val="20"/>
        <w:szCs w:val="20"/>
        <w:lang w:eastAsia="zh-CN"/>
      </w:rPr>
      <w:t>基因个体化治疗全景版——</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color w:val="7F7F7F"/>
        <w:sz w:val="20"/>
        <w:szCs w:val="20"/>
        <w:lang w:eastAsia="zh-CN"/>
      </w:rPr>
    </w:pPr>
    <w:r>
      <w:rPr>
        <w:rFonts w:ascii="Times New Roman" w:hAnsi="Times New Roman" w:eastAsia="微软雅黑" w:cs="Times New Roman"/>
        <w:color w:val="7F7F7F"/>
        <w:sz w:val="20"/>
        <w:szCs w:val="20"/>
        <w:lang w:eastAsia="zh-CN"/>
      </w:rPr>
      <w:t>——泛癌种</w:t>
    </w:r>
    <w:r>
      <w:rPr>
        <w:rFonts w:hint="eastAsia" w:ascii="Times New Roman" w:hAnsi="Times New Roman" w:eastAsia="微软雅黑" w:cs="Times New Roman"/>
        <w:color w:val="7F7F7F"/>
        <w:sz w:val="20"/>
        <w:szCs w:val="20"/>
        <w:lang w:eastAsia="zh-CN"/>
      </w:rPr>
      <w:t>550</w:t>
    </w:r>
    <w:r>
      <w:rPr>
        <w:rFonts w:ascii="Times New Roman" w:hAnsi="Times New Roman" w:eastAsia="微软雅黑" w:cs="Times New Roman"/>
        <w:color w:val="7F7F7F"/>
        <w:sz w:val="20"/>
        <w:szCs w:val="20"/>
        <w:lang w:eastAsia="zh-CN"/>
      </w:rPr>
      <w:t>基因个体化治疗全景版——</w:t>
    </w:r>
  </w:p>
  <w:p>
    <w:pPr>
      <w:spacing w:line="14" w:lineRule="auto"/>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51F0B7C"/>
    <w:multiLevelType w:val="singleLevel"/>
    <w:tmpl w:val="851F0B7C"/>
    <w:lvl w:ilvl="0" w:tentative="0">
      <w:start w:val="1"/>
      <w:numFmt w:val="decimal"/>
      <w:lvlText w:val="%1."/>
      <w:lvlJc w:val="left"/>
      <w:pPr>
        <w:ind w:left="425" w:hanging="425"/>
      </w:pPr>
      <w:rPr>
        <w:rFonts w:hint="default"/>
      </w:rPr>
    </w:lvl>
  </w:abstractNum>
  <w:abstractNum w:abstractNumId="1">
    <w:nsid w:val="87FE6F61"/>
    <w:multiLevelType w:val="singleLevel"/>
    <w:tmpl w:val="87FE6F61"/>
    <w:lvl w:ilvl="0" w:tentative="0">
      <w:start w:val="1"/>
      <w:numFmt w:val="decimal"/>
      <w:suff w:val="space"/>
      <w:lvlText w:val="%1."/>
      <w:lvlJc w:val="left"/>
    </w:lvl>
  </w:abstractNum>
  <w:abstractNum w:abstractNumId="2">
    <w:nsid w:val="A894AF16"/>
    <w:multiLevelType w:val="singleLevel"/>
    <w:tmpl w:val="A894AF16"/>
    <w:lvl w:ilvl="0" w:tentative="0">
      <w:start w:val="1"/>
      <w:numFmt w:val="decimal"/>
      <w:suff w:val="space"/>
      <w:lvlText w:val="%1."/>
      <w:lvlJc w:val="left"/>
    </w:lvl>
  </w:abstractNum>
  <w:abstractNum w:abstractNumId="3">
    <w:nsid w:val="FE6C8412"/>
    <w:multiLevelType w:val="singleLevel"/>
    <w:tmpl w:val="FE6C8412"/>
    <w:lvl w:ilvl="0" w:tentative="0">
      <w:start w:val="1"/>
      <w:numFmt w:val="decimal"/>
      <w:lvlText w:val="%1."/>
      <w:lvlJc w:val="left"/>
      <w:pPr>
        <w:ind w:left="425" w:hanging="425"/>
      </w:pPr>
      <w:rPr>
        <w:rFonts w:hint="default"/>
      </w:rPr>
    </w:lvl>
  </w:abstractNum>
  <w:abstractNum w:abstractNumId="4">
    <w:nsid w:val="01E44585"/>
    <w:multiLevelType w:val="multilevel"/>
    <w:tmpl w:val="01E44585"/>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023A2BF5"/>
    <w:multiLevelType w:val="multilevel"/>
    <w:tmpl w:val="023A2BF5"/>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07BE24B4"/>
    <w:multiLevelType w:val="multilevel"/>
    <w:tmpl w:val="07BE24B4"/>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12370302"/>
    <w:multiLevelType w:val="multilevel"/>
    <w:tmpl w:val="12370302"/>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144C6EF7"/>
    <w:multiLevelType w:val="multilevel"/>
    <w:tmpl w:val="144C6EF7"/>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rPr>
    </w:lvl>
  </w:abstractNum>
  <w:abstractNum w:abstractNumId="11">
    <w:nsid w:val="1BC22A68"/>
    <w:multiLevelType w:val="multilevel"/>
    <w:tmpl w:val="1BC22A68"/>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2EA1EA7"/>
    <w:multiLevelType w:val="multilevel"/>
    <w:tmpl w:val="22EA1EA7"/>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2CEC1C1C"/>
    <w:multiLevelType w:val="multilevel"/>
    <w:tmpl w:val="2CEC1C1C"/>
    <w:lvl w:ilvl="0" w:tentative="0">
      <w:start w:val="1"/>
      <w:numFmt w:val="bullet"/>
      <w:pStyle w:val="21"/>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0950848"/>
    <w:multiLevelType w:val="multilevel"/>
    <w:tmpl w:val="30950848"/>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5">
    <w:nsid w:val="34613CBC"/>
    <w:multiLevelType w:val="multilevel"/>
    <w:tmpl w:val="34613CBC"/>
    <w:lvl w:ilvl="0" w:tentative="0">
      <w:start w:val="1"/>
      <w:numFmt w:val="bullet"/>
      <w:pStyle w:val="23"/>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3FD2A38E"/>
    <w:multiLevelType w:val="singleLevel"/>
    <w:tmpl w:val="3FD2A38E"/>
    <w:lvl w:ilvl="0" w:tentative="0">
      <w:start w:val="1"/>
      <w:numFmt w:val="decimal"/>
      <w:lvlText w:val="%1."/>
      <w:lvlJc w:val="left"/>
      <w:pPr>
        <w:ind w:left="425" w:hanging="425"/>
      </w:pPr>
      <w:rPr>
        <w:rFonts w:hint="default"/>
      </w:rPr>
    </w:lvl>
  </w:abstractNum>
  <w:abstractNum w:abstractNumId="17">
    <w:nsid w:val="3FE2A38E"/>
    <w:multiLevelType w:val="singleLevel"/>
    <w:tmpl w:val="3FE2A38E"/>
    <w:lvl w:ilvl="0" w:tentative="0">
      <w:start w:val="1"/>
      <w:numFmt w:val="decimal"/>
      <w:lvlText w:val="%1."/>
      <w:lvlJc w:val="left"/>
      <w:pPr>
        <w:ind w:left="425" w:hanging="425"/>
      </w:pPr>
      <w:rPr>
        <w:rFonts w:hint="default"/>
      </w:rPr>
    </w:lvl>
  </w:abstractNum>
  <w:abstractNum w:abstractNumId="18">
    <w:nsid w:val="48F65794"/>
    <w:multiLevelType w:val="multilevel"/>
    <w:tmpl w:val="48F65794"/>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9">
    <w:nsid w:val="49AEB9FF"/>
    <w:multiLevelType w:val="singleLevel"/>
    <w:tmpl w:val="49AEB9FF"/>
    <w:lvl w:ilvl="0" w:tentative="0">
      <w:start w:val="1"/>
      <w:numFmt w:val="decimal"/>
      <w:lvlText w:val="%1."/>
      <w:lvlJc w:val="left"/>
      <w:pPr>
        <w:ind w:left="425" w:hanging="425"/>
      </w:pPr>
      <w:rPr>
        <w:rFonts w:hint="default"/>
      </w:rPr>
    </w:lvl>
  </w:abstractNum>
  <w:abstractNum w:abstractNumId="20">
    <w:nsid w:val="4EA30FE9"/>
    <w:multiLevelType w:val="multilevel"/>
    <w:tmpl w:val="4EA30FE9"/>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3C31D82"/>
    <w:multiLevelType w:val="multilevel"/>
    <w:tmpl w:val="53C31D82"/>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3">
    <w:nsid w:val="591D06A8"/>
    <w:multiLevelType w:val="multilevel"/>
    <w:tmpl w:val="591D06A8"/>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4">
    <w:nsid w:val="5B812BEF"/>
    <w:multiLevelType w:val="multilevel"/>
    <w:tmpl w:val="5B812BEF"/>
    <w:lvl w:ilvl="0" w:tentative="0">
      <w:start w:val="1"/>
      <w:numFmt w:val="bullet"/>
      <w:pStyle w:val="20"/>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416980"/>
    <w:multiLevelType w:val="singleLevel"/>
    <w:tmpl w:val="5D416980"/>
    <w:lvl w:ilvl="0" w:tentative="0">
      <w:start w:val="1"/>
      <w:numFmt w:val="bullet"/>
      <w:lvlText w:val=""/>
      <w:lvlJc w:val="left"/>
      <w:pPr>
        <w:ind w:left="420" w:hanging="420"/>
      </w:pPr>
      <w:rPr>
        <w:rFonts w:hint="default" w:ascii="Wingdings" w:hAnsi="Wingdings"/>
      </w:rPr>
    </w:lvl>
  </w:abstractNum>
  <w:abstractNum w:abstractNumId="26">
    <w:nsid w:val="5D42C715"/>
    <w:multiLevelType w:val="multilevel"/>
    <w:tmpl w:val="5D42C715"/>
    <w:lvl w:ilvl="0" w:tentative="0">
      <w:start w:val="1"/>
      <w:numFmt w:val="decimal"/>
      <w:lvlText w:val="%1."/>
      <w:lvlJc w:val="left"/>
      <w:pPr>
        <w:ind w:left="425" w:hanging="425"/>
      </w:pPr>
      <w:rPr>
        <w:rFonts w:hint="default" w:ascii="宋体" w:hAnsi="宋体" w:eastAsia="宋体" w:cs="宋体"/>
      </w:rPr>
    </w:lvl>
    <w:lvl w:ilvl="1" w:tentative="0">
      <w:start w:val="1"/>
      <w:numFmt w:val="upperRoman"/>
      <w:lvlText w:val="%1.%2."/>
      <w:lvlJc w:val="left"/>
      <w:pPr>
        <w:ind w:left="567" w:hanging="567"/>
      </w:pPr>
      <w:rPr>
        <w:rFonts w:hint="default"/>
      </w:rPr>
    </w:lvl>
    <w:lvl w:ilvl="2" w:tentative="0">
      <w:start w:val="1"/>
      <w:numFmt w:val="upperRoman"/>
      <w:lvlText w:val="%1.%2.%3."/>
      <w:lvlJc w:val="left"/>
      <w:pPr>
        <w:ind w:left="709" w:hanging="709"/>
      </w:pPr>
      <w:rPr>
        <w:rFonts w:hint="default"/>
      </w:rPr>
    </w:lvl>
    <w:lvl w:ilvl="3" w:tentative="0">
      <w:start w:val="1"/>
      <w:numFmt w:val="upperRoman"/>
      <w:lvlText w:val="%1.%2.%3.%4."/>
      <w:lvlJc w:val="left"/>
      <w:pPr>
        <w:ind w:left="850" w:hanging="850"/>
      </w:pPr>
      <w:rPr>
        <w:rFonts w:hint="default"/>
      </w:rPr>
    </w:lvl>
    <w:lvl w:ilvl="4" w:tentative="0">
      <w:start w:val="1"/>
      <w:numFmt w:val="upperRoman"/>
      <w:lvlText w:val="%1.%2.%3.%4.%5."/>
      <w:lvlJc w:val="left"/>
      <w:pPr>
        <w:ind w:left="991" w:hanging="991"/>
      </w:pPr>
      <w:rPr>
        <w:rFonts w:hint="default"/>
      </w:rPr>
    </w:lvl>
    <w:lvl w:ilvl="5" w:tentative="0">
      <w:start w:val="1"/>
      <w:numFmt w:val="upperRoman"/>
      <w:lvlText w:val="%1.%2.%3.%4.%5.%6."/>
      <w:lvlJc w:val="left"/>
      <w:pPr>
        <w:ind w:left="1134" w:hanging="1134"/>
      </w:pPr>
      <w:rPr>
        <w:rFonts w:hint="default"/>
      </w:rPr>
    </w:lvl>
    <w:lvl w:ilvl="6" w:tentative="0">
      <w:start w:val="1"/>
      <w:numFmt w:val="upperRoman"/>
      <w:lvlText w:val="%1.%2.%3.%4.%5.%6.%7."/>
      <w:lvlJc w:val="left"/>
      <w:pPr>
        <w:ind w:left="1275" w:hanging="1275"/>
      </w:pPr>
      <w:rPr>
        <w:rFonts w:hint="default"/>
      </w:rPr>
    </w:lvl>
    <w:lvl w:ilvl="7" w:tentative="0">
      <w:start w:val="1"/>
      <w:numFmt w:val="upperRoman"/>
      <w:lvlText w:val="%1.%2.%3.%4.%5.%6.%7.%8."/>
      <w:lvlJc w:val="left"/>
      <w:pPr>
        <w:ind w:left="1418" w:hanging="1418"/>
      </w:pPr>
      <w:rPr>
        <w:rFonts w:hint="default"/>
      </w:rPr>
    </w:lvl>
    <w:lvl w:ilvl="8" w:tentative="0">
      <w:start w:val="1"/>
      <w:numFmt w:val="upperRoman"/>
      <w:lvlText w:val="%1.%2.%3.%4.%5.%6.%7.%8.%9."/>
      <w:lvlJc w:val="left"/>
      <w:pPr>
        <w:ind w:left="1558" w:hanging="1558"/>
      </w:pPr>
      <w:rPr>
        <w:rFonts w:hint="default"/>
      </w:rPr>
    </w:lvl>
  </w:abstractNum>
  <w:abstractNum w:abstractNumId="27">
    <w:nsid w:val="5D4407B1"/>
    <w:multiLevelType w:val="multilevel"/>
    <w:tmpl w:val="5D4407B1"/>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8">
    <w:nsid w:val="60FA3459"/>
    <w:multiLevelType w:val="multilevel"/>
    <w:tmpl w:val="60FA3459"/>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0">
    <w:nsid w:val="678F23EB"/>
    <w:multiLevelType w:val="multilevel"/>
    <w:tmpl w:val="678F23EB"/>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1">
    <w:nsid w:val="7DF14831"/>
    <w:multiLevelType w:val="multilevel"/>
    <w:tmpl w:val="7DF14831"/>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2">
    <w:nsid w:val="7E224200"/>
    <w:multiLevelType w:val="multilevel"/>
    <w:tmpl w:val="7E224200"/>
    <w:lvl w:ilvl="0" w:tentative="0">
      <w:start w:val="1"/>
      <w:numFmt w:val="bullet"/>
      <w:lvlText w:val=""/>
      <w:lvlJc w:val="left"/>
      <w:pPr>
        <w:ind w:left="420" w:hanging="420"/>
      </w:pPr>
      <w:rPr>
        <w:rFonts w:hint="default" w:ascii="Wingdings" w:hAnsi="Wingdings"/>
        <w:color w:val="00B050"/>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3">
    <w:nsid w:val="7EDB7304"/>
    <w:multiLevelType w:val="multilevel"/>
    <w:tmpl w:val="7EDB7304"/>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1"/>
  </w:num>
  <w:num w:numId="2">
    <w:abstractNumId w:val="29"/>
  </w:num>
  <w:num w:numId="3">
    <w:abstractNumId w:val="24"/>
  </w:num>
  <w:num w:numId="4">
    <w:abstractNumId w:val="13"/>
  </w:num>
  <w:num w:numId="5">
    <w:abstractNumId w:val="15"/>
  </w:num>
  <w:num w:numId="6">
    <w:abstractNumId w:val="3"/>
  </w:num>
  <w:num w:numId="7">
    <w:abstractNumId w:val="7"/>
  </w:num>
  <w:num w:numId="8">
    <w:abstractNumId w:val="19"/>
  </w:num>
  <w:num w:numId="9">
    <w:abstractNumId w:val="10"/>
  </w:num>
  <w:num w:numId="10">
    <w:abstractNumId w:val="16"/>
  </w:num>
  <w:num w:numId="11">
    <w:abstractNumId w:val="26"/>
  </w:num>
  <w:num w:numId="12">
    <w:abstractNumId w:val="1"/>
  </w:num>
  <w:num w:numId="13">
    <w:abstractNumId w:val="2"/>
  </w:num>
  <w:num w:numId="14">
    <w:abstractNumId w:val="17"/>
  </w:num>
  <w:num w:numId="15">
    <w:abstractNumId w:val="25"/>
  </w:num>
  <w:num w:numId="16">
    <w:abstractNumId w:val="0"/>
  </w:num>
  <w:num w:numId="17">
    <w:abstractNumId w:val="28"/>
  </w:num>
  <w:num w:numId="18">
    <w:abstractNumId w:val="27"/>
  </w:num>
  <w:num w:numId="19">
    <w:abstractNumId w:val="18"/>
  </w:num>
  <w:num w:numId="20">
    <w:abstractNumId w:val="33"/>
  </w:num>
  <w:num w:numId="21">
    <w:abstractNumId w:val="12"/>
  </w:num>
  <w:num w:numId="22">
    <w:abstractNumId w:val="22"/>
  </w:num>
  <w:num w:numId="23">
    <w:abstractNumId w:val="9"/>
  </w:num>
  <w:num w:numId="24">
    <w:abstractNumId w:val="11"/>
  </w:num>
  <w:num w:numId="25">
    <w:abstractNumId w:val="6"/>
  </w:num>
  <w:num w:numId="26">
    <w:abstractNumId w:val="14"/>
  </w:num>
  <w:num w:numId="27">
    <w:abstractNumId w:val="23"/>
  </w:num>
  <w:num w:numId="28">
    <w:abstractNumId w:val="8"/>
  </w:num>
  <w:num w:numId="29">
    <w:abstractNumId w:val="31"/>
  </w:num>
  <w:num w:numId="30">
    <w:abstractNumId w:val="5"/>
  </w:num>
  <w:num w:numId="31">
    <w:abstractNumId w:val="30"/>
  </w:num>
  <w:num w:numId="32">
    <w:abstractNumId w:val="4"/>
  </w:num>
  <w:num w:numId="33">
    <w:abstractNumId w:val="32"/>
  </w:num>
  <w:num w:numId="3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06F4"/>
    <w:rsid w:val="0007718C"/>
    <w:rsid w:val="0014545B"/>
    <w:rsid w:val="00164610"/>
    <w:rsid w:val="00172A27"/>
    <w:rsid w:val="001A0EF2"/>
    <w:rsid w:val="001B7AED"/>
    <w:rsid w:val="00242C6C"/>
    <w:rsid w:val="002C52F0"/>
    <w:rsid w:val="00365382"/>
    <w:rsid w:val="00370EEE"/>
    <w:rsid w:val="00382A54"/>
    <w:rsid w:val="003954B5"/>
    <w:rsid w:val="00400921"/>
    <w:rsid w:val="0047539E"/>
    <w:rsid w:val="00557280"/>
    <w:rsid w:val="005915BA"/>
    <w:rsid w:val="00685B74"/>
    <w:rsid w:val="00914A34"/>
    <w:rsid w:val="00932202"/>
    <w:rsid w:val="00AF3323"/>
    <w:rsid w:val="00BE546E"/>
    <w:rsid w:val="00BF303C"/>
    <w:rsid w:val="00CB7F27"/>
    <w:rsid w:val="00CD5930"/>
    <w:rsid w:val="00D76AB9"/>
    <w:rsid w:val="00DA2F2F"/>
    <w:rsid w:val="00DE7543"/>
    <w:rsid w:val="00E10A22"/>
    <w:rsid w:val="00E66658"/>
    <w:rsid w:val="00F66009"/>
    <w:rsid w:val="00FF7BB1"/>
    <w:rsid w:val="0113302D"/>
    <w:rsid w:val="011A0D8B"/>
    <w:rsid w:val="01484E9E"/>
    <w:rsid w:val="017E748D"/>
    <w:rsid w:val="02CA5230"/>
    <w:rsid w:val="0344610A"/>
    <w:rsid w:val="0348273E"/>
    <w:rsid w:val="034A06C6"/>
    <w:rsid w:val="03851033"/>
    <w:rsid w:val="04006D36"/>
    <w:rsid w:val="04871837"/>
    <w:rsid w:val="04C17114"/>
    <w:rsid w:val="050D3322"/>
    <w:rsid w:val="0557619E"/>
    <w:rsid w:val="059E6526"/>
    <w:rsid w:val="05A47131"/>
    <w:rsid w:val="05A95EE6"/>
    <w:rsid w:val="06A52592"/>
    <w:rsid w:val="06B550DB"/>
    <w:rsid w:val="06D61F07"/>
    <w:rsid w:val="074043CC"/>
    <w:rsid w:val="07855F31"/>
    <w:rsid w:val="07B745E5"/>
    <w:rsid w:val="07DB59EB"/>
    <w:rsid w:val="080A3388"/>
    <w:rsid w:val="08420584"/>
    <w:rsid w:val="085A3383"/>
    <w:rsid w:val="092F43F7"/>
    <w:rsid w:val="0A043ABA"/>
    <w:rsid w:val="0B26748B"/>
    <w:rsid w:val="0B4B44C1"/>
    <w:rsid w:val="0BFD0A91"/>
    <w:rsid w:val="0C3A0C95"/>
    <w:rsid w:val="0C3E5385"/>
    <w:rsid w:val="0C96240B"/>
    <w:rsid w:val="0D36498A"/>
    <w:rsid w:val="0D877892"/>
    <w:rsid w:val="0E11445D"/>
    <w:rsid w:val="0E294EB5"/>
    <w:rsid w:val="0E542351"/>
    <w:rsid w:val="0EBD1C94"/>
    <w:rsid w:val="0EBF2A43"/>
    <w:rsid w:val="0ED843CC"/>
    <w:rsid w:val="0F14106E"/>
    <w:rsid w:val="0F3F2845"/>
    <w:rsid w:val="0F8328E5"/>
    <w:rsid w:val="0FB32BC0"/>
    <w:rsid w:val="0FB9297A"/>
    <w:rsid w:val="0FCB4ED3"/>
    <w:rsid w:val="0FEE6DE3"/>
    <w:rsid w:val="10732750"/>
    <w:rsid w:val="1107558D"/>
    <w:rsid w:val="119D7250"/>
    <w:rsid w:val="11BB19FD"/>
    <w:rsid w:val="11C95EF7"/>
    <w:rsid w:val="123617C8"/>
    <w:rsid w:val="12963DA1"/>
    <w:rsid w:val="12A71755"/>
    <w:rsid w:val="13183538"/>
    <w:rsid w:val="132965FE"/>
    <w:rsid w:val="13897526"/>
    <w:rsid w:val="139A5E8B"/>
    <w:rsid w:val="13AB527B"/>
    <w:rsid w:val="13E63C62"/>
    <w:rsid w:val="148972D9"/>
    <w:rsid w:val="14B930F2"/>
    <w:rsid w:val="15066AF4"/>
    <w:rsid w:val="15196B67"/>
    <w:rsid w:val="152E3223"/>
    <w:rsid w:val="153B4146"/>
    <w:rsid w:val="153F7D0D"/>
    <w:rsid w:val="15BB570E"/>
    <w:rsid w:val="15BE668C"/>
    <w:rsid w:val="16493DF6"/>
    <w:rsid w:val="16523C85"/>
    <w:rsid w:val="168C1F54"/>
    <w:rsid w:val="16E66EEA"/>
    <w:rsid w:val="175F5330"/>
    <w:rsid w:val="17AF12B1"/>
    <w:rsid w:val="17B81AED"/>
    <w:rsid w:val="17EF172D"/>
    <w:rsid w:val="18A23029"/>
    <w:rsid w:val="190564D7"/>
    <w:rsid w:val="19112499"/>
    <w:rsid w:val="1A2A3731"/>
    <w:rsid w:val="1B28649B"/>
    <w:rsid w:val="1BA0147A"/>
    <w:rsid w:val="1BA36B7F"/>
    <w:rsid w:val="1C7A05D0"/>
    <w:rsid w:val="1C98707F"/>
    <w:rsid w:val="1CC47C7C"/>
    <w:rsid w:val="1CFB3D7D"/>
    <w:rsid w:val="1D0E557F"/>
    <w:rsid w:val="1D736F2C"/>
    <w:rsid w:val="1DF40015"/>
    <w:rsid w:val="1E080090"/>
    <w:rsid w:val="1E50041A"/>
    <w:rsid w:val="1EAB0C6A"/>
    <w:rsid w:val="1EBE7730"/>
    <w:rsid w:val="1EEB2832"/>
    <w:rsid w:val="1EEF6065"/>
    <w:rsid w:val="1F28236B"/>
    <w:rsid w:val="1F430D30"/>
    <w:rsid w:val="1F967111"/>
    <w:rsid w:val="20205A20"/>
    <w:rsid w:val="204C09C2"/>
    <w:rsid w:val="20855B55"/>
    <w:rsid w:val="20864739"/>
    <w:rsid w:val="209432E5"/>
    <w:rsid w:val="212D65C2"/>
    <w:rsid w:val="216F18A9"/>
    <w:rsid w:val="218A1F99"/>
    <w:rsid w:val="22180203"/>
    <w:rsid w:val="22CA2C48"/>
    <w:rsid w:val="22D23469"/>
    <w:rsid w:val="235C2C2A"/>
    <w:rsid w:val="23DC4798"/>
    <w:rsid w:val="23FA0241"/>
    <w:rsid w:val="254219A7"/>
    <w:rsid w:val="26976104"/>
    <w:rsid w:val="269F2CA4"/>
    <w:rsid w:val="27630022"/>
    <w:rsid w:val="27870460"/>
    <w:rsid w:val="2897102C"/>
    <w:rsid w:val="289E6D5F"/>
    <w:rsid w:val="28B74238"/>
    <w:rsid w:val="295770E6"/>
    <w:rsid w:val="296F5B95"/>
    <w:rsid w:val="29D07A35"/>
    <w:rsid w:val="29DE0525"/>
    <w:rsid w:val="2A0B607C"/>
    <w:rsid w:val="2A0E1B30"/>
    <w:rsid w:val="2A123B1B"/>
    <w:rsid w:val="2A29756B"/>
    <w:rsid w:val="2A3716AB"/>
    <w:rsid w:val="2ACA1BDD"/>
    <w:rsid w:val="2ADE2A02"/>
    <w:rsid w:val="2BA11929"/>
    <w:rsid w:val="2C165FD1"/>
    <w:rsid w:val="2C427C83"/>
    <w:rsid w:val="2C8F5AA2"/>
    <w:rsid w:val="2DA540B4"/>
    <w:rsid w:val="2E0C0EE9"/>
    <w:rsid w:val="2E8272CB"/>
    <w:rsid w:val="2EB35A8A"/>
    <w:rsid w:val="2EEB3631"/>
    <w:rsid w:val="2F6D258F"/>
    <w:rsid w:val="2F7C00CB"/>
    <w:rsid w:val="30C329AF"/>
    <w:rsid w:val="30D96228"/>
    <w:rsid w:val="3109732A"/>
    <w:rsid w:val="31470504"/>
    <w:rsid w:val="32B71D27"/>
    <w:rsid w:val="32ED210E"/>
    <w:rsid w:val="330B36ED"/>
    <w:rsid w:val="33E178D3"/>
    <w:rsid w:val="34190791"/>
    <w:rsid w:val="346A3E69"/>
    <w:rsid w:val="34777EA9"/>
    <w:rsid w:val="349C1276"/>
    <w:rsid w:val="35493B01"/>
    <w:rsid w:val="357271DB"/>
    <w:rsid w:val="357E5409"/>
    <w:rsid w:val="35B3556B"/>
    <w:rsid w:val="35EC5FAA"/>
    <w:rsid w:val="35F5325E"/>
    <w:rsid w:val="3605345F"/>
    <w:rsid w:val="366004D5"/>
    <w:rsid w:val="36A12715"/>
    <w:rsid w:val="36B16B3D"/>
    <w:rsid w:val="36BD18D3"/>
    <w:rsid w:val="371E73E3"/>
    <w:rsid w:val="37AF4580"/>
    <w:rsid w:val="37E81DE8"/>
    <w:rsid w:val="38037CE6"/>
    <w:rsid w:val="38405071"/>
    <w:rsid w:val="3848012E"/>
    <w:rsid w:val="388F09C9"/>
    <w:rsid w:val="38EB6817"/>
    <w:rsid w:val="39306D4B"/>
    <w:rsid w:val="39A161AC"/>
    <w:rsid w:val="3A0E0DF7"/>
    <w:rsid w:val="3A527FB2"/>
    <w:rsid w:val="3AF15502"/>
    <w:rsid w:val="3B0F25BE"/>
    <w:rsid w:val="3B240830"/>
    <w:rsid w:val="3D1C54C3"/>
    <w:rsid w:val="3D6C60E9"/>
    <w:rsid w:val="3D855C98"/>
    <w:rsid w:val="3DF84023"/>
    <w:rsid w:val="3E3C6BBC"/>
    <w:rsid w:val="3EC949BD"/>
    <w:rsid w:val="3F3A57A7"/>
    <w:rsid w:val="3F902111"/>
    <w:rsid w:val="3FC0323C"/>
    <w:rsid w:val="405979F4"/>
    <w:rsid w:val="40730D81"/>
    <w:rsid w:val="40945432"/>
    <w:rsid w:val="40A339B6"/>
    <w:rsid w:val="40BA2B58"/>
    <w:rsid w:val="40F02FB5"/>
    <w:rsid w:val="40F418C8"/>
    <w:rsid w:val="41C73588"/>
    <w:rsid w:val="425A046E"/>
    <w:rsid w:val="4293265F"/>
    <w:rsid w:val="433F7DAE"/>
    <w:rsid w:val="4425454A"/>
    <w:rsid w:val="443B718D"/>
    <w:rsid w:val="44CB0F67"/>
    <w:rsid w:val="454A2BAB"/>
    <w:rsid w:val="454B6771"/>
    <w:rsid w:val="45D4644E"/>
    <w:rsid w:val="45F52915"/>
    <w:rsid w:val="461072D4"/>
    <w:rsid w:val="46842CD6"/>
    <w:rsid w:val="46E8351C"/>
    <w:rsid w:val="46EB27DF"/>
    <w:rsid w:val="46F35E8C"/>
    <w:rsid w:val="47300B2D"/>
    <w:rsid w:val="48BD7E4A"/>
    <w:rsid w:val="48C46C45"/>
    <w:rsid w:val="48E140E9"/>
    <w:rsid w:val="48E66270"/>
    <w:rsid w:val="49040CB9"/>
    <w:rsid w:val="49077A08"/>
    <w:rsid w:val="4A02135E"/>
    <w:rsid w:val="4A9949C5"/>
    <w:rsid w:val="4B315A79"/>
    <w:rsid w:val="4BA943A0"/>
    <w:rsid w:val="4C0C1194"/>
    <w:rsid w:val="4D370D20"/>
    <w:rsid w:val="4DC108F4"/>
    <w:rsid w:val="4E1E64C7"/>
    <w:rsid w:val="4E240D8F"/>
    <w:rsid w:val="4E62591E"/>
    <w:rsid w:val="4E9B0834"/>
    <w:rsid w:val="4EBD01A1"/>
    <w:rsid w:val="4ED24E8A"/>
    <w:rsid w:val="4F2E42D3"/>
    <w:rsid w:val="4F5378F8"/>
    <w:rsid w:val="4FC07B99"/>
    <w:rsid w:val="50411B1E"/>
    <w:rsid w:val="51BC0F31"/>
    <w:rsid w:val="51E45D30"/>
    <w:rsid w:val="52481DAD"/>
    <w:rsid w:val="52616580"/>
    <w:rsid w:val="529B4815"/>
    <w:rsid w:val="52D57909"/>
    <w:rsid w:val="5312550A"/>
    <w:rsid w:val="53DE69BF"/>
    <w:rsid w:val="54D723E8"/>
    <w:rsid w:val="55C15CC7"/>
    <w:rsid w:val="561D1FC0"/>
    <w:rsid w:val="56BE67A9"/>
    <w:rsid w:val="571E2EDF"/>
    <w:rsid w:val="57512AE1"/>
    <w:rsid w:val="577A3341"/>
    <w:rsid w:val="57C96345"/>
    <w:rsid w:val="580B14B0"/>
    <w:rsid w:val="581D1193"/>
    <w:rsid w:val="587550A2"/>
    <w:rsid w:val="58A44110"/>
    <w:rsid w:val="5927169E"/>
    <w:rsid w:val="59921674"/>
    <w:rsid w:val="5A700FE6"/>
    <w:rsid w:val="5AC24855"/>
    <w:rsid w:val="5AD55449"/>
    <w:rsid w:val="5B1F1527"/>
    <w:rsid w:val="5B472968"/>
    <w:rsid w:val="5BD100BC"/>
    <w:rsid w:val="5C807B24"/>
    <w:rsid w:val="5D090FC9"/>
    <w:rsid w:val="5D6F392E"/>
    <w:rsid w:val="5D733A64"/>
    <w:rsid w:val="5DAE61E7"/>
    <w:rsid w:val="5E8047E2"/>
    <w:rsid w:val="5F5D6873"/>
    <w:rsid w:val="5FA2526B"/>
    <w:rsid w:val="5FF55B74"/>
    <w:rsid w:val="5FF61953"/>
    <w:rsid w:val="600E54F4"/>
    <w:rsid w:val="607B75C7"/>
    <w:rsid w:val="60D51A59"/>
    <w:rsid w:val="60E566A6"/>
    <w:rsid w:val="60E82224"/>
    <w:rsid w:val="610D77AC"/>
    <w:rsid w:val="61B17DFE"/>
    <w:rsid w:val="626E16D9"/>
    <w:rsid w:val="62CE6014"/>
    <w:rsid w:val="62DB637F"/>
    <w:rsid w:val="62F36C1F"/>
    <w:rsid w:val="63A00164"/>
    <w:rsid w:val="640B7333"/>
    <w:rsid w:val="6451295E"/>
    <w:rsid w:val="6469117D"/>
    <w:rsid w:val="648D4936"/>
    <w:rsid w:val="64900D00"/>
    <w:rsid w:val="649F0108"/>
    <w:rsid w:val="64AB511C"/>
    <w:rsid w:val="64EC6C5A"/>
    <w:rsid w:val="64F92405"/>
    <w:rsid w:val="653B4348"/>
    <w:rsid w:val="65792BD6"/>
    <w:rsid w:val="65B119A5"/>
    <w:rsid w:val="65B9125A"/>
    <w:rsid w:val="65FA0F93"/>
    <w:rsid w:val="66016A06"/>
    <w:rsid w:val="66CC7AC8"/>
    <w:rsid w:val="670E76D1"/>
    <w:rsid w:val="671D1CE8"/>
    <w:rsid w:val="67D77C44"/>
    <w:rsid w:val="682C098C"/>
    <w:rsid w:val="68EB1BDC"/>
    <w:rsid w:val="68FB01BA"/>
    <w:rsid w:val="69B2073F"/>
    <w:rsid w:val="69BF2A91"/>
    <w:rsid w:val="6A90444F"/>
    <w:rsid w:val="6B2031BA"/>
    <w:rsid w:val="6B213629"/>
    <w:rsid w:val="6B6721F6"/>
    <w:rsid w:val="6BAE5990"/>
    <w:rsid w:val="6C385BB0"/>
    <w:rsid w:val="6C3C0D1E"/>
    <w:rsid w:val="6CBB52B3"/>
    <w:rsid w:val="6D712A1C"/>
    <w:rsid w:val="6DB41A78"/>
    <w:rsid w:val="6EC35514"/>
    <w:rsid w:val="6F302979"/>
    <w:rsid w:val="6FE71487"/>
    <w:rsid w:val="70184EA3"/>
    <w:rsid w:val="70CB53E1"/>
    <w:rsid w:val="70D5286F"/>
    <w:rsid w:val="70D915DD"/>
    <w:rsid w:val="71875B22"/>
    <w:rsid w:val="71CD5B3F"/>
    <w:rsid w:val="71DA3163"/>
    <w:rsid w:val="72002E14"/>
    <w:rsid w:val="7259341C"/>
    <w:rsid w:val="72F2671E"/>
    <w:rsid w:val="734521A8"/>
    <w:rsid w:val="734F1A76"/>
    <w:rsid w:val="735E0E55"/>
    <w:rsid w:val="73707E67"/>
    <w:rsid w:val="737D571B"/>
    <w:rsid w:val="739B1B3F"/>
    <w:rsid w:val="741F0C23"/>
    <w:rsid w:val="74BC7F66"/>
    <w:rsid w:val="755A0B86"/>
    <w:rsid w:val="75686B98"/>
    <w:rsid w:val="75B00288"/>
    <w:rsid w:val="75E50EA2"/>
    <w:rsid w:val="75F11BD5"/>
    <w:rsid w:val="763823AD"/>
    <w:rsid w:val="76566491"/>
    <w:rsid w:val="7663546B"/>
    <w:rsid w:val="76A021B3"/>
    <w:rsid w:val="76B3545D"/>
    <w:rsid w:val="76B664D7"/>
    <w:rsid w:val="76EB2B73"/>
    <w:rsid w:val="77D16924"/>
    <w:rsid w:val="780E200B"/>
    <w:rsid w:val="78326601"/>
    <w:rsid w:val="790F39DF"/>
    <w:rsid w:val="79DA74A2"/>
    <w:rsid w:val="7A0F6284"/>
    <w:rsid w:val="7AB02451"/>
    <w:rsid w:val="7B020729"/>
    <w:rsid w:val="7B3A50B0"/>
    <w:rsid w:val="7B7134EE"/>
    <w:rsid w:val="7BAE0521"/>
    <w:rsid w:val="7BB04526"/>
    <w:rsid w:val="7BCA3B47"/>
    <w:rsid w:val="7BD9270B"/>
    <w:rsid w:val="7C01614C"/>
    <w:rsid w:val="7C2029EA"/>
    <w:rsid w:val="7C7A37E0"/>
    <w:rsid w:val="7CDD33A2"/>
    <w:rsid w:val="7CDE54E8"/>
    <w:rsid w:val="7CE16AAE"/>
    <w:rsid w:val="7D793C28"/>
    <w:rsid w:val="7DD12474"/>
    <w:rsid w:val="7E6C2579"/>
    <w:rsid w:val="7E6E6EFA"/>
    <w:rsid w:val="7E971390"/>
    <w:rsid w:val="7EEE463C"/>
    <w:rsid w:val="7F1C4B16"/>
    <w:rsid w:val="7F2257F0"/>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qFormat/>
    <w:uiPriority w:val="1"/>
    <w:rPr>
      <w:sz w:val="18"/>
      <w:szCs w:val="18"/>
    </w:rPr>
  </w:style>
  <w:style w:type="paragraph" w:styleId="7">
    <w:name w:val="toc 3"/>
    <w:basedOn w:val="1"/>
    <w:next w:val="1"/>
    <w:qFormat/>
    <w:uiPriority w:val="0"/>
    <w:pPr>
      <w:ind w:left="840" w:leftChars="400"/>
    </w:pPr>
  </w:style>
  <w:style w:type="paragraph" w:styleId="8">
    <w:name w:val="footer"/>
    <w:basedOn w:val="1"/>
    <w:unhideWhenUsed/>
    <w:qFormat/>
    <w:uiPriority w:val="99"/>
    <w:pPr>
      <w:tabs>
        <w:tab w:val="center" w:pos="4153"/>
        <w:tab w:val="right" w:pos="8306"/>
      </w:tabs>
      <w:snapToGrid w:val="0"/>
    </w:pPr>
    <w:rPr>
      <w:sz w:val="18"/>
      <w:szCs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0">
    <w:name w:val="toc 1"/>
    <w:basedOn w:val="1"/>
    <w:next w:val="1"/>
    <w:unhideWhenUsed/>
    <w:qFormat/>
    <w:uiPriority w:val="39"/>
  </w:style>
  <w:style w:type="paragraph" w:styleId="11">
    <w:name w:val="toc 2"/>
    <w:basedOn w:val="1"/>
    <w:next w:val="1"/>
    <w:unhideWhenUsed/>
    <w:qFormat/>
    <w:uiPriority w:val="39"/>
    <w:pPr>
      <w:ind w:left="420" w:leftChars="200"/>
    </w:pPr>
  </w:style>
  <w:style w:type="table" w:styleId="13">
    <w:name w:val="Table Grid"/>
    <w:basedOn w:val="12"/>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5">
    <w:name w:val="Hyperlink"/>
    <w:basedOn w:val="14"/>
    <w:unhideWhenUsed/>
    <w:qFormat/>
    <w:uiPriority w:val="99"/>
    <w:rPr>
      <w:color w:val="0563C1" w:themeColor="hyperlink"/>
      <w:u w:val="single"/>
      <w14:textFill>
        <w14:solidFill>
          <w14:schemeClr w14:val="hlink"/>
        </w14:solidFill>
      </w14:textFill>
    </w:rPr>
  </w:style>
  <w:style w:type="character" w:styleId="16">
    <w:name w:val="annotation reference"/>
    <w:basedOn w:val="14"/>
    <w:qFormat/>
    <w:uiPriority w:val="0"/>
    <w:rPr>
      <w:sz w:val="21"/>
      <w:szCs w:val="21"/>
    </w:rPr>
  </w:style>
  <w:style w:type="paragraph" w:customStyle="1" w:styleId="17">
    <w:name w:val="Table Paragraph"/>
    <w:basedOn w:val="1"/>
    <w:qFormat/>
    <w:uiPriority w:val="1"/>
  </w:style>
  <w:style w:type="table" w:customStyle="1" w:styleId="18">
    <w:name w:val="Table Normal1"/>
    <w:unhideWhenUsed/>
    <w:qFormat/>
    <w:uiPriority w:val="2"/>
    <w:tblPr>
      <w:tblCellMar>
        <w:top w:w="0" w:type="dxa"/>
        <w:left w:w="0" w:type="dxa"/>
        <w:bottom w:w="0" w:type="dxa"/>
        <w:right w:w="0" w:type="dxa"/>
      </w:tblCellMar>
    </w:tblPr>
  </w:style>
  <w:style w:type="paragraph" w:customStyle="1" w:styleId="19">
    <w:name w:val="List Paragraph1"/>
    <w:basedOn w:val="1"/>
    <w:qFormat/>
    <w:uiPriority w:val="34"/>
    <w:rPr>
      <w:rFonts w:asciiTheme="minorHAnsi" w:hAnsiTheme="minorHAnsi" w:eastAsiaTheme="minorEastAsia" w:cstheme="minorBidi"/>
    </w:rPr>
  </w:style>
  <w:style w:type="paragraph" w:customStyle="1" w:styleId="20">
    <w:name w:val="标题1-1"/>
    <w:basedOn w:val="2"/>
    <w:next w:val="1"/>
    <w:qFormat/>
    <w:uiPriority w:val="1"/>
    <w:pPr>
      <w:numPr>
        <w:numId w:val="3"/>
      </w:numPr>
    </w:pPr>
    <w:rPr>
      <w:rFonts w:cs="Times New Roman"/>
      <w:bCs w:val="0"/>
      <w:color w:val="45A3A7"/>
    </w:rPr>
  </w:style>
  <w:style w:type="paragraph" w:customStyle="1" w:styleId="21">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2">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3">
    <w:name w:val="标题1-3"/>
    <w:basedOn w:val="2"/>
    <w:next w:val="1"/>
    <w:qFormat/>
    <w:uiPriority w:val="1"/>
    <w:pPr>
      <w:numPr>
        <w:numId w:val="5"/>
      </w:numPr>
    </w:pPr>
    <w:rPr>
      <w:rFonts w:cs="Times New Roman"/>
      <w:color w:val="416AAB"/>
      <w:szCs w:val="32"/>
    </w:rPr>
  </w:style>
  <w:style w:type="paragraph" w:customStyle="1" w:styleId="24">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5">
    <w:name w:val="WPSOffice手动目录 1"/>
    <w:qFormat/>
    <w:uiPriority w:val="0"/>
    <w:rPr>
      <w:rFonts w:asciiTheme="minorHAnsi" w:hAnsiTheme="minorHAnsi" w:eastAsiaTheme="minorHAnsi" w:cstheme="minorBidi"/>
      <w:lang w:val="en-US" w:eastAsia="zh-CN" w:bidi="ar-SA"/>
    </w:rPr>
  </w:style>
  <w:style w:type="paragraph" w:customStyle="1" w:styleId="26">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27">
    <w:name w:val="列出段落1"/>
    <w:basedOn w:val="1"/>
    <w:unhideWhenUsed/>
    <w:qFormat/>
    <w:uiPriority w:val="34"/>
    <w:pPr>
      <w:spacing w:before="42"/>
      <w:ind w:left="1699" w:hanging="380"/>
    </w:pPr>
    <w:rPr>
      <w:sz w:val="24"/>
    </w:rPr>
  </w:style>
  <w:style w:type="table" w:customStyle="1" w:styleId="28">
    <w:name w:val="ffzstable0"/>
    <w:basedOn w:val="13"/>
    <w:qFormat/>
    <w:uiPriority w:val="0"/>
    <w:pPr>
      <w:jc w:val="center"/>
    </w:pPr>
    <w:rPr>
      <w:rFonts w:ascii="Times New Roman" w:hAnsi="Times New Roman"/>
    </w:rPr>
    <w:tcPr>
      <w:vAlign w:val="center"/>
    </w:tcPr>
  </w:style>
  <w:style w:type="table" w:customStyle="1" w:styleId="29">
    <w:name w:val="ffzstable1"/>
    <w:basedOn w:val="13"/>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0">
    <w:name w:val="ffzstable4"/>
    <w:basedOn w:val="13"/>
    <w:qFormat/>
    <w:uiPriority w:val="0"/>
    <w:pPr>
      <w:widowControl/>
      <w:jc w:val="center"/>
    </w:pPr>
    <w:rPr>
      <w:rFonts w:ascii="微软雅黑" w:hAnsi="微软雅黑" w:eastAsia="微软雅黑" w:cs="微软雅黑"/>
      <w:i/>
      <w:kern w:val="2"/>
      <w:sz w:val="21"/>
      <w:szCs w:val="21"/>
    </w:rPr>
    <w:tcPr>
      <w:vAlign w:val="center"/>
    </w:tcPr>
  </w:style>
  <w:style w:type="paragraph" w:styleId="31">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5" Type="http://schemas.openxmlformats.org/officeDocument/2006/relationships/fontTable" Target="fontTable.xml"/><Relationship Id="rId34" Type="http://schemas.openxmlformats.org/officeDocument/2006/relationships/customXml" Target="../customXml/item2.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3.emf"/><Relationship Id="rId30" Type="http://schemas.openxmlformats.org/officeDocument/2006/relationships/image" Target="media/image22.emf"/><Relationship Id="rId3" Type="http://schemas.openxmlformats.org/officeDocument/2006/relationships/header" Target="header1.xml"/><Relationship Id="rId29" Type="http://schemas.openxmlformats.org/officeDocument/2006/relationships/image" Target="media/image21.emf"/><Relationship Id="rId28" Type="http://schemas.openxmlformats.org/officeDocument/2006/relationships/image" Target="media/image20.emf"/><Relationship Id="rId27" Type="http://schemas.openxmlformats.org/officeDocument/2006/relationships/image" Target="media/image19.emf"/><Relationship Id="rId26" Type="http://schemas.openxmlformats.org/officeDocument/2006/relationships/image" Target="media/image18.jpeg"/><Relationship Id="rId25" Type="http://schemas.openxmlformats.org/officeDocument/2006/relationships/image" Target="media/image17.jpeg"/><Relationship Id="rId24" Type="http://schemas.openxmlformats.org/officeDocument/2006/relationships/image" Target="media/image16.jpeg"/><Relationship Id="rId23" Type="http://schemas.openxmlformats.org/officeDocument/2006/relationships/image" Target="media/image15.jpeg"/><Relationship Id="rId22" Type="http://schemas.openxmlformats.org/officeDocument/2006/relationships/image" Target="media/image14.jpeg"/><Relationship Id="rId21" Type="http://schemas.openxmlformats.org/officeDocument/2006/relationships/image" Target="media/image13.jpe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jpeg"/><Relationship Id="rId18" Type="http://schemas.openxmlformats.org/officeDocument/2006/relationships/image" Target="media/image10.jpeg"/><Relationship Id="rId17" Type="http://schemas.openxmlformats.org/officeDocument/2006/relationships/image" Target="media/image9.jpeg"/><Relationship Id="rId16" Type="http://schemas.openxmlformats.org/officeDocument/2006/relationships/image" Target="media/image8.jpeg"/><Relationship Id="rId15" Type="http://schemas.openxmlformats.org/officeDocument/2006/relationships/image" Target="media/image7.jpeg"/><Relationship Id="rId14" Type="http://schemas.openxmlformats.org/officeDocument/2006/relationships/image" Target="media/image6.jpe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26.jpeg"/><Relationship Id="rId2" Type="http://schemas.openxmlformats.org/officeDocument/2006/relationships/image" Target="media/image25.jpeg"/><Relationship Id="rId1" Type="http://schemas.openxmlformats.org/officeDocument/2006/relationships/image" Target="media/image2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A77EC42-E431-4565-A1F0-E80CF495F0A0}">
  <ds:schemaRefs/>
</ds:datastoreItem>
</file>

<file path=docProps/app.xml><?xml version="1.0" encoding="utf-8"?>
<Properties xmlns="http://schemas.openxmlformats.org/officeDocument/2006/extended-properties" xmlns:vt="http://schemas.openxmlformats.org/officeDocument/2006/docPropsVTypes">
  <Template>Normal.dotm</Template>
  <Pages>73</Pages>
  <Words>25537</Words>
  <Characters>145564</Characters>
  <Lines>1213</Lines>
  <Paragraphs>341</Paragraphs>
  <TotalTime>0</TotalTime>
  <ScaleCrop>false</ScaleCrop>
  <LinksUpToDate>false</LinksUpToDate>
  <CharactersWithSpaces>170760</CharactersWithSpaces>
  <Application>WPS Office_11.1.0.10667_F1E327BC-269C-435d-A152-05C5408002CA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孤身一人</cp:lastModifiedBy>
  <dcterms:modified xsi:type="dcterms:W3CDTF">2021-07-15T09:17:23Z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2052-11.1.0.10667</vt:lpwstr>
  </property>
  <property fmtid="{D5CDD505-2E9C-101B-9397-08002B2CF9AE}" pid="3" name="ICV">
    <vt:lpwstr>79E975E6A58E439FAE570A6F9FC8284A</vt:lpwstr>
  </property>
</Properties>
</file>