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highlight w:val="none"/>
          <w:lang w:eastAsia="zh-CN"/>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sdt>
      <w:sdtPr>
        <w:rPr>
          <w:sz w:val="21"/>
          <w:highlight w:val="none"/>
        </w:rPr>
        <w:id w:val="147475785"/>
        <w15:color w:val="DBDBDB"/>
        <w:docPartObj>
          <w:docPartGallery w:val="Table of Contents"/>
          <w:docPartUnique/>
        </w:docPartObj>
      </w:sdtPr>
      <w:sdtEndPr>
        <w:rPr>
          <w:sz w:val="21"/>
          <w:highlight w:val="none"/>
        </w:rPr>
      </w:sdtEndPr>
      <w:sdtContent>
        <w:p>
          <w:pPr>
            <w:rPr>
              <w:highlight w:val="none"/>
            </w:rPr>
          </w:pPr>
        </w:p>
      </w:sdtContent>
    </w:sdt>
    <w:p>
      <w:pPr>
        <w:pStyle w:val="4"/>
        <w:jc w:val="center"/>
        <w:rPr>
          <w:sz w:val="48"/>
          <w:szCs w:val="48"/>
          <w:highlight w:val="none"/>
          <w:lang w:eastAsia="zh-CN"/>
        </w:rPr>
      </w:pPr>
      <w:bookmarkStart w:id="0" w:name="_Toc26189"/>
      <w:bookmarkStart w:id="1" w:name="_Toc12869"/>
      <w:r>
        <w:rPr>
          <w:rFonts w:hint="eastAsia"/>
          <w:sz w:val="48"/>
          <w:szCs w:val="48"/>
          <w:highlight w:val="none"/>
          <w:lang w:eastAsia="zh-CN"/>
        </w:rPr>
        <w:t>检测报告</w:t>
      </w:r>
      <w:bookmarkEnd w:id="0"/>
      <w:bookmarkEnd w:id="1"/>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Times New Roman" w:hAnsi="Times New Roman" w:eastAsia="微软雅黑" w:cs="Times New Roman"/>
          <w:sz w:val="30"/>
          <w:szCs w:val="30"/>
          <w:highlight w:val="none"/>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reportdate }}</w:t>
            </w:r>
          </w:p>
        </w:tc>
      </w:tr>
    </w:tbl>
    <w:p>
      <w:pPr>
        <w:tabs>
          <w:tab w:val="left" w:pos="6082"/>
          <w:tab w:val="left" w:pos="6324"/>
          <w:tab w:val="left" w:pos="9183"/>
        </w:tabs>
        <w:spacing w:before="411" w:line="308" w:lineRule="auto"/>
        <w:ind w:right="2699"/>
        <w:jc w:val="both"/>
        <w:rPr>
          <w:sz w:val="30"/>
          <w:highlight w:val="none"/>
          <w:u w:val="single"/>
          <w:lang w:eastAsia="zh-CN"/>
        </w:rPr>
        <w:sectPr>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highlight w:val="none"/>
          <w:lang w:eastAsia="zh-CN"/>
        </w:rPr>
      </w:pP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0528" behindDoc="0" locked="0" layoutInCell="1" allowOverlap="1">
                <wp:simplePos x="0" y="0"/>
                <wp:positionH relativeFrom="column">
                  <wp:posOffset>-790575</wp:posOffset>
                </wp:positionH>
                <wp:positionV relativeFrom="paragraph">
                  <wp:posOffset>301625</wp:posOffset>
                </wp:positionV>
                <wp:extent cx="2209800" cy="485775"/>
                <wp:effectExtent l="0" t="0" r="0" b="190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70528;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2576"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2576;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1552" behindDoc="0" locked="0" layoutInCell="1" allowOverlap="1">
                <wp:simplePos x="0" y="0"/>
                <wp:positionH relativeFrom="column">
                  <wp:posOffset>1419225</wp:posOffset>
                </wp:positionH>
                <wp:positionV relativeFrom="paragraph">
                  <wp:posOffset>67945</wp:posOffset>
                </wp:positionV>
                <wp:extent cx="1104900" cy="485775"/>
                <wp:effectExtent l="0" t="0" r="7620" b="190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1552;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6672"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6672;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highlight w:val="none"/>
          <w:lang w:eastAsia="zh-CN"/>
        </w:rPr>
      </w:pPr>
    </w:p>
    <w:sdt>
      <w:sdtPr>
        <w:rPr>
          <w:rFonts w:ascii="宋体" w:hAnsi="宋体" w:eastAsia="宋体" w:cs="宋体"/>
          <w:sz w:val="21"/>
          <w:szCs w:val="22"/>
          <w:lang w:val="en-US" w:eastAsia="en-US" w:bidi="ar-SA"/>
        </w:rPr>
        <w:id w:val="147458526"/>
        <w15:color w:val="DBDBDB"/>
        <w:docPartObj>
          <w:docPartGallery w:val="Table of Contents"/>
          <w:docPartUnique/>
        </w:docPartObj>
      </w:sdtPr>
      <w:sdtEndPr>
        <w:rPr>
          <w:rFonts w:ascii="宋体" w:hAnsi="宋体" w:eastAsia="宋体" w:cs="宋体"/>
          <w:b/>
          <w:sz w:val="22"/>
          <w:szCs w:val="22"/>
          <w:highlight w:val="none"/>
          <w:lang w:val="en-US" w:eastAsia="zh-CN" w:bidi="ar-SA"/>
        </w:rPr>
      </w:sdtEndPr>
      <w:sdtContent>
        <w:p>
          <w:pPr>
            <w:spacing w:before="0" w:beforeLines="0" w:after="0" w:afterLines="0" w:line="240" w:lineRule="auto"/>
            <w:ind w:left="0" w:leftChars="0" w:right="0" w:rightChars="0" w:firstLine="0" w:firstLineChars="0"/>
            <w:jc w:val="center"/>
          </w:pP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highlight w:val="none"/>
              <w:lang w:eastAsia="zh-CN"/>
            </w:rPr>
            <w:fldChar w:fldCharType="begin"/>
          </w:r>
          <w:r>
            <w:rPr>
              <w:highlight w:val="none"/>
              <w:lang w:eastAsia="zh-CN"/>
            </w:rPr>
            <w:instrText xml:space="preserve">TOC \o "1-2" \h \u </w:instrText>
          </w:r>
          <w:r>
            <w:rPr>
              <w:highlight w:val="none"/>
              <w:lang w:eastAsia="zh-CN"/>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_Toc7439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样本信息</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_Toc7439 \h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3</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_Toc11321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检测项目</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_Toc11321 \h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3</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_Toc31594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检测结果小结</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_Toc31594 \h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3</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_Toc21757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检测结果及用药提示</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_Toc21757 \h </w:instrTex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5</w:t>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_Toc31551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靶向药物用药提示</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_Toc31551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5</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_Toc5692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免疫药物用药提示</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_Toc5692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8</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_Toc26606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肿瘤遗传风险检测</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_Toc26606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17</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HYPERLINK \l _Toc26380 </w:instrText>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基因检测结果解析</w:t>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PAGEREF _Toc26380 \h </w:instrText>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18</w:t>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Fonts w:hint="eastAsia" w:ascii="Times New Roman" w:hAnsi="Times New Roman" w:eastAsia="微软雅黑" w:cs="Times New Roman"/>
              <w:sz w:val="24"/>
              <w:szCs w:val="24"/>
              <w:highlight w:val="none"/>
              <w:lang w:eastAsia="zh-CN"/>
            </w:rPr>
            <w:t>{% if drugAnalysisIndex == 'true'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_Toc14468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靶向药物检测解析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_Toc14468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18</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endif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_Toc5456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免疫检测结果解析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_Toc5456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21</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if crAnalysisIndex == 'true'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_Toc4670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遗传变异检测解析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_Toc4670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27</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endif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_Toc3249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化疗药物检测解析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_Toc3249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28</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HYPERLINK \l _Toc2066 </w:instrText>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附录</w:t>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PAGEREF _Toc2066 \h </w:instrText>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33</w:t>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_Toc23154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样本控制情况</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_Toc23154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33</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_Toc18360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常见靶向药物相关基因检测列表</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_Toc18360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34</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_Toc31974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靶向突变基因信号通路解析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_Toc31974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40</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_Toc10185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癌症相关的基因背景介绍</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_Toc10185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48</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_Toc17294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检测基因列表</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_Toc17294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66</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_Toc26594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检测流程</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_Toc26594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69</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lang w:eastAsia="zh-CN"/>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_Toc27946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参考文献</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_Toc27946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70</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r>
            <w:rPr>
              <w:b/>
              <w:highlight w:val="none"/>
              <w:lang w:eastAsia="zh-CN"/>
            </w:rPr>
            <w:fldChar w:fldCharType="end"/>
          </w:r>
        </w:p>
      </w:sdtContent>
    </w:sdt>
    <w:p>
      <w:pPr>
        <w:rPr>
          <w:highlight w:val="none"/>
          <w:lang w:eastAsia="zh-CN"/>
        </w:rPr>
      </w:pPr>
      <w:r>
        <w:rPr>
          <w:highlight w:val="none"/>
          <w:lang w:eastAsia="zh-CN"/>
        </w:rPr>
        <w:br w:type="page"/>
      </w:r>
    </w:p>
    <w:p>
      <w:pPr>
        <w:pStyle w:val="2"/>
        <w:rPr>
          <w:highlight w:val="none"/>
        </w:rPr>
      </w:pPr>
      <w:bookmarkStart w:id="2" w:name="_Toc21009_WPSOffice_Level1"/>
      <w:bookmarkStart w:id="3" w:name="_Toc7439"/>
      <w:bookmarkStart w:id="4" w:name="_Toc3619"/>
      <w:bookmarkStart w:id="5" w:name="_Toc21669"/>
      <w:bookmarkStart w:id="6" w:name="_Toc24178_WPSOffice_Level1"/>
      <w:bookmarkStart w:id="7" w:name="_Toc13806"/>
      <w:bookmarkStart w:id="8" w:name="_Toc30143_WPSOffice_Level1"/>
      <w:r>
        <w:rPr>
          <w:highlight w:val="none"/>
        </w:rPr>
        <w:t>样本信息</w:t>
      </w:r>
      <w:bookmarkEnd w:id="2"/>
      <w:bookmarkEnd w:id="3"/>
      <w:bookmarkEnd w:id="4"/>
      <w:bookmarkEnd w:id="5"/>
      <w:bookmarkEnd w:id="6"/>
      <w:bookmarkEnd w:id="7"/>
      <w:bookmarkEnd w:id="8"/>
    </w:p>
    <w:p>
      <w:pPr>
        <w:pStyle w:val="6"/>
        <w:rPr>
          <w:rFonts w:ascii="Times New Roman" w:hAnsi="Times New Roman" w:eastAsia="微软雅黑" w:cs="Times New Roman"/>
          <w:b/>
          <w:sz w:val="20"/>
          <w:highlight w:val="none"/>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姓名：</w:t>
            </w:r>
            <w:r>
              <w:rPr>
                <w:rFonts w:hint="eastAsia" w:ascii="Times New Roman" w:hAnsi="Times New Roman" w:eastAsia="微软雅黑" w:cs="Times New Roman"/>
                <w:bCs/>
                <w:color w:val="000000"/>
                <w:sz w:val="21"/>
                <w:szCs w:val="21"/>
                <w:highlight w:val="none"/>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送检医院：</w:t>
            </w:r>
            <w:r>
              <w:rPr>
                <w:rFonts w:hint="eastAsia" w:ascii="Times New Roman" w:hAnsi="Times New Roman" w:eastAsia="微软雅黑" w:cs="Times New Roman"/>
                <w:bCs/>
                <w:color w:val="000000"/>
                <w:sz w:val="21"/>
                <w:szCs w:val="21"/>
                <w:highlight w:val="none"/>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样本条码：</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性别：</w:t>
            </w:r>
            <w:r>
              <w:rPr>
                <w:rFonts w:hint="eastAsia" w:ascii="Times New Roman" w:hAnsi="Times New Roman" w:eastAsia="微软雅黑" w:cs="Times New Roman"/>
                <w:bCs/>
                <w:color w:val="000000"/>
                <w:sz w:val="21"/>
                <w:szCs w:val="21"/>
                <w:highlight w:val="none"/>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送检科室：</w:t>
            </w:r>
            <w:r>
              <w:rPr>
                <w:rFonts w:hint="eastAsia" w:ascii="Times New Roman" w:hAnsi="Times New Roman" w:eastAsia="微软雅黑" w:cs="Times New Roman"/>
                <w:color w:val="000000"/>
                <w:sz w:val="21"/>
                <w:szCs w:val="21"/>
                <w:highlight w:val="none"/>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样本编号：</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年龄：</w:t>
            </w:r>
            <w:r>
              <w:rPr>
                <w:rFonts w:hint="eastAsia" w:ascii="Times New Roman" w:hAnsi="Times New Roman" w:eastAsia="微软雅黑" w:cs="Times New Roman"/>
                <w:bCs/>
                <w:color w:val="000000"/>
                <w:sz w:val="21"/>
                <w:szCs w:val="21"/>
                <w:highlight w:val="none"/>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送检医生：</w:t>
            </w:r>
            <w:r>
              <w:rPr>
                <w:rFonts w:hint="eastAsia" w:ascii="Times New Roman" w:hAnsi="Times New Roman" w:eastAsia="微软雅黑" w:cs="Times New Roman"/>
                <w:color w:val="000000"/>
                <w:sz w:val="21"/>
                <w:szCs w:val="21"/>
                <w:highlight w:val="none"/>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门诊/住院号：</w:t>
            </w:r>
            <w:r>
              <w:rPr>
                <w:rFonts w:hint="eastAsia" w:ascii="Times New Roman" w:hAnsi="Times New Roman" w:eastAsia="微软雅黑" w:cs="Times New Roman"/>
                <w:bCs/>
                <w:color w:val="000000"/>
                <w:sz w:val="21"/>
                <w:szCs w:val="21"/>
                <w:highlight w:val="none"/>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联系电话：</w:t>
            </w:r>
            <w:r>
              <w:rPr>
                <w:rFonts w:hint="eastAsia" w:ascii="Times New Roman" w:hAnsi="Times New Roman" w:eastAsia="微软雅黑" w:cs="Times New Roman"/>
                <w:bCs/>
                <w:color w:val="000000"/>
                <w:sz w:val="21"/>
                <w:szCs w:val="21"/>
                <w:highlight w:val="none"/>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Times New Roman"/>
                <w:color w:val="000000"/>
                <w:sz w:val="21"/>
                <w:szCs w:val="21"/>
                <w:highlight w:val="none"/>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送检时间：</w:t>
            </w:r>
            <w:r>
              <w:rPr>
                <w:rFonts w:hint="eastAsia" w:ascii="Times New Roman" w:hAnsi="Times New Roman" w:eastAsia="微软雅黑" w:cs="Times New Roman"/>
                <w:bCs/>
                <w:color w:val="000000"/>
                <w:sz w:val="21"/>
                <w:szCs w:val="21"/>
                <w:highlight w:val="none"/>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临床诊断：</w:t>
            </w:r>
            <w:r>
              <w:rPr>
                <w:rFonts w:hint="eastAsia" w:ascii="Times New Roman" w:hAnsi="Times New Roman" w:eastAsia="微软雅黑" w:cs="Times New Roman"/>
                <w:bCs/>
                <w:color w:val="000000"/>
                <w:sz w:val="21"/>
                <w:szCs w:val="21"/>
                <w:highlight w:val="none"/>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订单编号：</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接收时间：</w:t>
            </w:r>
            <w:r>
              <w:rPr>
                <w:rFonts w:hint="eastAsia" w:ascii="Times New Roman" w:hAnsi="Times New Roman" w:eastAsia="微软雅黑" w:cs="Times New Roman"/>
                <w:bCs/>
                <w:color w:val="000000"/>
                <w:sz w:val="21"/>
                <w:szCs w:val="21"/>
                <w:highlight w:val="none"/>
                <w:lang w:eastAsia="zh-CN"/>
              </w:rPr>
              <w:t>{{ receiveddate }}</w:t>
            </w:r>
          </w:p>
        </w:tc>
      </w:tr>
    </w:tbl>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9" w:name="_Toc11015_WPSOffice_Level1"/>
      <w:bookmarkStart w:id="10" w:name="_Toc11321"/>
      <w:bookmarkStart w:id="11" w:name="_Toc17451"/>
      <w:bookmarkStart w:id="12" w:name="_Toc26731"/>
      <w:bookmarkStart w:id="13" w:name="_Toc18062_WPSOffice_Level1"/>
      <w:bookmarkStart w:id="14" w:name="_Toc7021_WPSOffice_Level1"/>
      <w:bookmarkStart w:id="15" w:name="_Toc3823"/>
      <w:r>
        <w:rPr>
          <w:highlight w:val="none"/>
        </w:rPr>
        <w:t>检测项目</w:t>
      </w:r>
      <w:bookmarkEnd w:id="9"/>
      <w:bookmarkEnd w:id="10"/>
      <w:bookmarkEnd w:id="11"/>
      <w:bookmarkEnd w:id="12"/>
      <w:bookmarkEnd w:id="13"/>
      <w:bookmarkEnd w:id="14"/>
    </w:p>
    <w:p>
      <w:pPr>
        <w:ind w:firstLine="280" w:firstLineChars="100"/>
        <w:rPr>
          <w:rFonts w:ascii="Times New Roman" w:hAnsi="Times New Roman" w:eastAsia="微软雅黑" w:cs="Times New Roman"/>
          <w:b/>
          <w:color w:val="00B050"/>
          <w:sz w:val="28"/>
          <w:szCs w:val="28"/>
          <w:highlight w:val="none"/>
          <w:lang w:eastAsia="zh-CN"/>
        </w:rPr>
      </w:pPr>
    </w:p>
    <w:p>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highlight w:val="none"/>
          <w:lang w:eastAsia="zh-CN"/>
        </w:rPr>
        <w:t>本产品对与肿瘤密切相关的483个基因进行高通量测序。覆盖范围为468个基因的全部外显子区域，以及43个基因的部分内含子区域（常发生融合的区域），检测突变形式为点突变</w:t>
      </w:r>
      <w:r>
        <w:rPr>
          <w:rFonts w:hint="eastAsia" w:ascii="Times New Roman" w:hAnsi="Times New Roman" w:eastAsia="微软雅黑" w:cs="Times New Roman"/>
          <w:bCs/>
          <w:sz w:val="21"/>
          <w:szCs w:val="21"/>
          <w:highlight w:val="none"/>
          <w:lang w:eastAsia="zh-CN"/>
        </w:rPr>
        <w:t>（SNV）</w:t>
      </w:r>
      <w:r>
        <w:rPr>
          <w:rFonts w:ascii="Times New Roman" w:hAnsi="Times New Roman" w:eastAsia="微软雅黑" w:cs="Times New Roman"/>
          <w:bCs/>
          <w:sz w:val="21"/>
          <w:szCs w:val="21"/>
          <w:highlight w:val="none"/>
          <w:lang w:eastAsia="zh-CN"/>
        </w:rPr>
        <w:t>、小片段插入缺失</w:t>
      </w:r>
      <w:r>
        <w:rPr>
          <w:rFonts w:hint="eastAsia" w:ascii="Times New Roman" w:hAnsi="Times New Roman" w:eastAsia="微软雅黑" w:cs="Times New Roman"/>
          <w:bCs/>
          <w:sz w:val="21"/>
          <w:szCs w:val="21"/>
          <w:highlight w:val="none"/>
          <w:lang w:eastAsia="zh-CN"/>
        </w:rPr>
        <w:t>（INDEL）</w:t>
      </w:r>
      <w:r>
        <w:rPr>
          <w:rFonts w:ascii="Times New Roman" w:hAnsi="Times New Roman" w:eastAsia="微软雅黑" w:cs="Times New Roman"/>
          <w:bCs/>
          <w:sz w:val="21"/>
          <w:szCs w:val="21"/>
          <w:highlight w:val="none"/>
          <w:lang w:eastAsia="zh-CN"/>
        </w:rPr>
        <w:t>、拷贝数变异</w:t>
      </w:r>
      <w:r>
        <w:rPr>
          <w:rFonts w:hint="eastAsia" w:ascii="Times New Roman" w:hAnsi="Times New Roman" w:eastAsia="微软雅黑" w:cs="Times New Roman"/>
          <w:bCs/>
          <w:sz w:val="21"/>
          <w:szCs w:val="21"/>
          <w:highlight w:val="none"/>
          <w:lang w:eastAsia="zh-CN"/>
        </w:rPr>
        <w:t>（CNV）</w:t>
      </w:r>
      <w:r>
        <w:rPr>
          <w:rFonts w:ascii="Times New Roman" w:hAnsi="Times New Roman" w:eastAsia="微软雅黑" w:cs="Times New Roman"/>
          <w:bCs/>
          <w:sz w:val="21"/>
          <w:szCs w:val="21"/>
          <w:highlight w:val="none"/>
          <w:lang w:eastAsia="zh-CN"/>
        </w:rPr>
        <w:t>以及融合</w:t>
      </w:r>
      <w:r>
        <w:rPr>
          <w:rFonts w:hint="eastAsia" w:ascii="Times New Roman" w:hAnsi="Times New Roman" w:eastAsia="微软雅黑" w:cs="Times New Roman"/>
          <w:bCs/>
          <w:sz w:val="21"/>
          <w:szCs w:val="21"/>
          <w:highlight w:val="none"/>
          <w:lang w:eastAsia="zh-CN"/>
        </w:rPr>
        <w:t>（FUSION）</w:t>
      </w:r>
      <w:r>
        <w:rPr>
          <w:rFonts w:ascii="Times New Roman" w:hAnsi="Times New Roman" w:eastAsia="微软雅黑" w:cs="Times New Roman"/>
          <w:bCs/>
          <w:sz w:val="21"/>
          <w:szCs w:val="21"/>
          <w:highlight w:val="none"/>
          <w:lang w:eastAsia="zh-CN"/>
        </w:rPr>
        <w:t>。</w:t>
      </w:r>
    </w:p>
    <w:p>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ascii="Times New Roman" w:hAnsi="Times New Roman" w:eastAsia="微软雅黑" w:cs="Times New Roman"/>
          <w:bCs/>
          <w:sz w:val="21"/>
          <w:szCs w:val="21"/>
          <w:highlight w:val="none"/>
          <w:lang w:eastAsia="zh-CN"/>
        </w:rPr>
        <w:t>本报告分析基因变异与靶向药物、免疫药物（TMB等）、化疗药物和遗传风险的相关性，给出靶向药物（FDA/NMPA批准药物、临床试验药物等）、化疗药物的用药提示信息，从而为临床制定治疗方案提供参考信息。</w:t>
      </w:r>
    </w:p>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16" w:name="_Toc16576"/>
      <w:bookmarkStart w:id="17" w:name="_Toc25920"/>
      <w:bookmarkStart w:id="18" w:name="_Toc18058"/>
      <w:bookmarkStart w:id="19" w:name="_Toc23369_WPSOffice_Level1"/>
      <w:bookmarkStart w:id="20" w:name="_Toc6221_WPSOffice_Level1"/>
      <w:bookmarkStart w:id="21" w:name="_Toc31594"/>
      <w:bookmarkStart w:id="22" w:name="_Toc534807930"/>
      <w:r>
        <w:rPr>
          <w:rFonts w:hint="eastAsia"/>
          <w:highlight w:val="none"/>
        </w:rPr>
        <w:t>检测结果小结</w:t>
      </w:r>
      <w:bookmarkEnd w:id="16"/>
      <w:bookmarkEnd w:id="17"/>
      <w:bookmarkEnd w:id="18"/>
      <w:bookmarkEnd w:id="19"/>
      <w:bookmarkEnd w:id="20"/>
      <w:bookmarkEnd w:id="21"/>
    </w:p>
    <w:tbl>
      <w:tblPr>
        <w:tblStyle w:val="13"/>
        <w:tblpPr w:leftFromText="180" w:rightFromText="180" w:vertAnchor="text" w:horzAnchor="page" w:tblpX="1246" w:tblpY="213"/>
        <w:tblOverlap w:val="never"/>
        <w:tblW w:w="9558" w:type="dxa"/>
        <w:tblInd w:w="0" w:type="dxa"/>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1404"/>
        <w:gridCol w:w="2508"/>
        <w:gridCol w:w="5646"/>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912" w:type="dxa"/>
            <w:gridSpan w:val="2"/>
            <w:tcBorders>
              <w:left w:val="nil"/>
              <w:bottom w:val="single" w:color="00AF50" w:sz="4" w:space="0"/>
              <w:right w:val="single" w:color="00AF50" w:sz="4" w:space="0"/>
            </w:tcBorders>
            <w:vAlign w:val="center"/>
          </w:tcPr>
          <w:p>
            <w:pPr>
              <w:jc w:val="center"/>
              <w:rPr>
                <w:rFonts w:ascii="微软雅黑" w:eastAsia="微软雅黑"/>
                <w:b/>
                <w:sz w:val="21"/>
                <w:highlight w:val="none"/>
              </w:rPr>
            </w:pPr>
            <w:r>
              <w:rPr>
                <w:rFonts w:hint="eastAsia" w:cs="黑体"/>
                <w:b/>
                <w:bCs/>
                <w:color w:val="00B050"/>
                <w:sz w:val="28"/>
                <w:szCs w:val="36"/>
                <w:highlight w:val="none"/>
                <w:lang w:eastAsia="zh-CN"/>
              </w:rPr>
              <w:br w:type="page"/>
            </w:r>
            <w:r>
              <w:rPr>
                <w:rFonts w:hint="eastAsia" w:ascii="微软雅黑" w:eastAsia="微软雅黑"/>
                <w:b/>
                <w:sz w:val="21"/>
                <w:highlight w:val="none"/>
              </w:rPr>
              <w:t>检测类型</w:t>
            </w:r>
          </w:p>
        </w:tc>
        <w:tc>
          <w:tcPr>
            <w:tcW w:w="5646" w:type="dxa"/>
            <w:tcBorders>
              <w:left w:val="single" w:color="00AF50" w:sz="4" w:space="0"/>
              <w:bottom w:val="single" w:color="00AF50" w:sz="4" w:space="0"/>
              <w:right w:val="nil"/>
            </w:tcBorders>
            <w:vAlign w:val="center"/>
          </w:tcPr>
          <w:p>
            <w:pPr>
              <w:jc w:val="center"/>
              <w:rPr>
                <w:rFonts w:ascii="微软雅黑" w:eastAsia="微软雅黑"/>
                <w:b/>
                <w:highlight w:val="none"/>
              </w:rPr>
            </w:pPr>
            <w:r>
              <w:rPr>
                <w:rFonts w:ascii="Times New Roman" w:hAnsi="Times New Roman" w:eastAsia="微软雅黑" w:cs="黑体"/>
                <w:b/>
                <w:sz w:val="21"/>
                <w:highlight w:val="none"/>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3912" w:type="dxa"/>
            <w:gridSpan w:val="2"/>
            <w:tcBorders>
              <w:top w:val="single" w:color="00AF50" w:sz="4" w:space="0"/>
              <w:left w:val="nil"/>
              <w:bottom w:val="single" w:color="00AF50" w:sz="4" w:space="0"/>
              <w:right w:val="single" w:color="00AF50" w:sz="4" w:space="0"/>
            </w:tcBorders>
            <w:shd w:val="clear" w:color="auto" w:fill="F1F1F1"/>
          </w:tcPr>
          <w:p>
            <w:pPr>
              <w:pStyle w:val="18"/>
              <w:spacing w:before="190"/>
              <w:ind w:left="119"/>
              <w:rPr>
                <w:rFonts w:ascii="Times New Roman" w:hAnsi="Times New Roman" w:eastAsia="微软雅黑" w:cs="黑体"/>
                <w:sz w:val="21"/>
                <w:highlight w:val="none"/>
              </w:rPr>
            </w:pPr>
            <w:r>
              <w:rPr>
                <w:rFonts w:ascii="Times New Roman" w:hAnsi="Times New Roman" w:eastAsia="微软雅黑" w:cs="黑体"/>
                <w:sz w:val="21"/>
                <w:highlight w:val="none"/>
              </w:rPr>
              <w:t>靶向用药指导</w:t>
            </w:r>
          </w:p>
        </w:tc>
        <w:tc>
          <w:tcPr>
            <w:tcW w:w="5646" w:type="dxa"/>
            <w:tcBorders>
              <w:top w:val="single" w:color="00AF50" w:sz="4" w:space="0"/>
              <w:left w:val="single" w:color="00AF50" w:sz="4" w:space="0"/>
              <w:bottom w:val="single" w:color="00AF50" w:sz="4" w:space="0"/>
              <w:right w:val="nil"/>
            </w:tcBorders>
            <w:shd w:val="clear" w:color="auto" w:fill="F1F1F1"/>
          </w:tcPr>
          <w:p>
            <w:pPr>
              <w:pStyle w:val="18"/>
              <w:spacing w:before="100" w:line="187" w:lineRule="auto"/>
              <w:ind w:left="119" w:right="119"/>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p>
            <w:pPr>
              <w:pStyle w:val="18"/>
              <w:spacing w:before="100" w:line="187" w:lineRule="auto"/>
              <w:ind w:left="118" w:right="178"/>
              <w:rPr>
                <w:rFonts w:ascii="Times New Roman" w:hAnsi="Times New Roman" w:eastAsia="微软雅黑" w:cs="黑体"/>
                <w:sz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{{summaryOfRresults.crDrugList}}</w:t>
            </w:r>
            <w:r>
              <w:rPr>
                <w:rFonts w:ascii="Times New Roman" w:hAnsi="Times New Roman" w:eastAsia="微软雅黑" w:cs="Times New Roman"/>
                <w:sz w:val="21"/>
                <w:szCs w:val="21"/>
                <w:highlight w:val="none"/>
                <w:lang w:eastAsia="zh-CN"/>
              </w:rPr>
              <w:t>个与靶向药物相关</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279" w:hRule="atLeast"/>
        </w:trPr>
        <w:tc>
          <w:tcPr>
            <w:tcW w:w="1404" w:type="dxa"/>
            <w:vMerge w:val="restart"/>
            <w:tcBorders>
              <w:top w:val="single" w:color="00AF50" w:sz="4" w:space="0"/>
              <w:left w:val="nil"/>
              <w:right w:val="single" w:color="00AF50" w:sz="4" w:space="0"/>
            </w:tcBorders>
            <w:shd w:val="clear" w:color="auto" w:fill="F1F1F1"/>
            <w:vAlign w:val="center"/>
          </w:tcPr>
          <w:p>
            <w:pPr>
              <w:pStyle w:val="18"/>
              <w:jc w:val="center"/>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免疫治疗相关标志物检测</w:t>
            </w:r>
          </w:p>
        </w:tc>
        <w:tc>
          <w:tcPr>
            <w:tcW w:w="2508" w:type="dxa"/>
            <w:tcBorders>
              <w:top w:val="single" w:color="00AF50" w:sz="4" w:space="0"/>
              <w:left w:val="nil"/>
              <w:bottom w:val="single" w:color="00AF50" w:sz="4" w:space="0"/>
              <w:right w:val="single" w:color="00AF50" w:sz="4" w:space="0"/>
            </w:tcBorders>
            <w:shd w:val="clear" w:color="auto" w:fill="F1F1F1"/>
            <w:vAlign w:val="center"/>
          </w:tcPr>
          <w:p>
            <w:pPr>
              <w:spacing w:before="77"/>
              <w:ind w:left="119" w:leftChars="0"/>
              <w:jc w:val="center"/>
              <w:rPr>
                <w:rFonts w:hint="eastAsia"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黑体"/>
                <w:sz w:val="21"/>
                <w:highlight w:val="none"/>
              </w:rPr>
              <w:t>肿瘤突变负荷（TMB）</w:t>
            </w:r>
            <w:r>
              <w:rPr>
                <w:rFonts w:hint="eastAsia" w:ascii="Times New Roman" w:hAnsi="Times New Roman" w:eastAsia="微软雅黑" w:cs="黑体"/>
                <w:sz w:val="21"/>
                <w:highlight w:val="none"/>
                <w:lang w:eastAsia="zh-CN"/>
              </w:rPr>
              <w:t>{% else %}血液</w:t>
            </w:r>
            <w:r>
              <w:rPr>
                <w:rFonts w:ascii="Times New Roman" w:hAnsi="Times New Roman" w:eastAsia="微软雅黑" w:cs="黑体"/>
                <w:sz w:val="21"/>
                <w:highlight w:val="none"/>
              </w:rPr>
              <w:t>肿瘤突变负荷（</w:t>
            </w:r>
            <w:r>
              <w:rPr>
                <w:rFonts w:hint="eastAsia" w:ascii="Times New Roman" w:hAnsi="Times New Roman" w:eastAsia="微软雅黑" w:cs="黑体"/>
                <w:sz w:val="21"/>
                <w:highlight w:val="none"/>
                <w:lang w:eastAsia="zh-CN"/>
              </w:rPr>
              <w:t>b</w:t>
            </w:r>
            <w:r>
              <w:rPr>
                <w:rFonts w:ascii="Times New Roman" w:hAnsi="Times New Roman" w:eastAsia="微软雅黑" w:cs="黑体"/>
                <w:sz w:val="21"/>
                <w:highlight w:val="none"/>
              </w:rPr>
              <w:t>TMB）</w:t>
            </w:r>
            <w:r>
              <w:rPr>
                <w:rFonts w:hint="eastAsia" w:ascii="Times New Roman" w:hAnsi="Times New Roman" w:eastAsia="微软雅黑" w:cs="黑体"/>
                <w:sz w:val="21"/>
                <w:highlight w:val="none"/>
                <w:lang w:eastAsia="zh-CN"/>
              </w:rPr>
              <w:t>{% endif %}</w:t>
            </w:r>
          </w:p>
        </w:tc>
        <w:tc>
          <w:tcPr>
            <w:tcW w:w="5646"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9" w:leftChars="0" w:right="119" w:rightChars="0"/>
              <w:rPr>
                <w:rFonts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summaryOfRresults.tmb }}</w:t>
            </w:r>
            <w:r>
              <w:rPr>
                <w:rFonts w:ascii="Times New Roman" w:hAnsi="Times New Roman" w:eastAsia="微软雅黑" w:cs="黑体"/>
                <w:sz w:val="21"/>
                <w:highlight w:val="none"/>
              </w:rPr>
              <w:t>Muts/Mb（</w:t>
            </w:r>
            <w:r>
              <w:rPr>
                <w:rFonts w:hint="eastAsia" w:ascii="Times New Roman" w:hAnsi="Times New Roman" w:eastAsia="微软雅黑" w:cs="黑体"/>
                <w:sz w:val="21"/>
                <w:highlight w:val="none"/>
                <w:lang w:eastAsia="zh-CN"/>
              </w:rPr>
              <w:t>{{summaryOfRresults.tmb_status}}</w:t>
            </w:r>
            <w:r>
              <w:rPr>
                <w:rFonts w:ascii="Times New Roman" w:hAnsi="Times New Roman" w:eastAsia="微软雅黑" w:cs="黑体"/>
                <w:sz w:val="21"/>
                <w:highlight w:val="none"/>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279" w:hRule="atLeast"/>
        </w:trPr>
        <w:tc>
          <w:tcPr>
            <w:tcW w:w="1404" w:type="dxa"/>
            <w:vMerge w:val="continue"/>
            <w:tcBorders>
              <w:left w:val="nil"/>
              <w:right w:val="single" w:color="00AF50" w:sz="4" w:space="0"/>
            </w:tcBorders>
            <w:shd w:val="clear" w:color="auto" w:fill="F1F1F1"/>
            <w:vAlign w:val="center"/>
          </w:tcPr>
          <w:p>
            <w:pPr>
              <w:pStyle w:val="18"/>
              <w:ind w:left="220" w:leftChars="100"/>
              <w:jc w:val="center"/>
            </w:pPr>
          </w:p>
        </w:tc>
        <w:tc>
          <w:tcPr>
            <w:tcW w:w="2508" w:type="dxa"/>
            <w:tcBorders>
              <w:top w:val="single" w:color="00AF50" w:sz="4" w:space="0"/>
              <w:left w:val="nil"/>
              <w:bottom w:val="single" w:color="00AF50" w:sz="4" w:space="0"/>
              <w:right w:val="single" w:color="00AF50" w:sz="4" w:space="0"/>
            </w:tcBorders>
            <w:shd w:val="clear" w:color="auto" w:fill="F1F1F1"/>
            <w:vAlign w:val="center"/>
          </w:tcPr>
          <w:p>
            <w:pPr>
              <w:spacing w:before="77"/>
              <w:ind w:left="119" w:leftChars="0"/>
              <w:jc w:val="center"/>
              <w:rPr>
                <w:rFonts w:hint="eastAsia" w:ascii="Times New Roman" w:hAnsi="Times New Roman" w:eastAsia="微软雅黑" w:cs="黑体"/>
                <w:sz w:val="21"/>
                <w:highlight w:val="none"/>
                <w:lang w:eastAsia="zh-CN"/>
              </w:rPr>
            </w:pPr>
            <w:r>
              <w:rPr>
                <w:rFonts w:ascii="Times New Roman" w:hAnsi="Times New Roman" w:eastAsia="微软雅黑" w:cs="黑体"/>
                <w:sz w:val="21"/>
                <w:highlight w:val="none"/>
                <w:lang w:eastAsia="zh-CN"/>
              </w:rPr>
              <w:t>微卫星不稳定性（MSI）</w:t>
            </w:r>
          </w:p>
        </w:tc>
        <w:tc>
          <w:tcPr>
            <w:tcW w:w="5646"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9" w:leftChars="0" w:right="119" w:rightChars="0"/>
              <w:rPr>
                <w:rFonts w:hint="eastAsia"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04" w:hRule="atLeast"/>
        </w:trPr>
        <w:tc>
          <w:tcPr>
            <w:tcW w:w="1404" w:type="dxa"/>
            <w:vMerge w:val="continue"/>
            <w:tcBorders>
              <w:left w:val="nil"/>
              <w:bottom w:val="single" w:color="00AF50" w:sz="4" w:space="0"/>
              <w:right w:val="single" w:color="00AF50" w:sz="4" w:space="0"/>
            </w:tcBorders>
            <w:shd w:val="clear" w:color="auto" w:fill="F1F1F1"/>
            <w:vAlign w:val="center"/>
          </w:tcPr>
          <w:p>
            <w:pPr>
              <w:ind w:left="220" w:leftChars="100"/>
              <w:jc w:val="center"/>
              <w:rPr>
                <w:rFonts w:ascii="Times New Roman" w:hAnsi="Times New Roman" w:eastAsia="微软雅黑" w:cs="黑体"/>
                <w:sz w:val="21"/>
                <w:highlight w:val="none"/>
                <w:lang w:eastAsia="zh-CN"/>
              </w:rPr>
            </w:pPr>
          </w:p>
        </w:tc>
        <w:tc>
          <w:tcPr>
            <w:tcW w:w="2508" w:type="dxa"/>
            <w:tcBorders>
              <w:top w:val="single" w:color="00AF50" w:sz="4" w:space="0"/>
              <w:left w:val="nil"/>
              <w:bottom w:val="single" w:color="00AF50" w:sz="4" w:space="0"/>
              <w:right w:val="single" w:color="00AF50" w:sz="4" w:space="0"/>
            </w:tcBorders>
            <w:shd w:val="clear" w:color="auto" w:fill="F1F1F1"/>
            <w:vAlign w:val="center"/>
          </w:tcPr>
          <w:p>
            <w:pPr>
              <w:ind w:left="220" w:leftChars="100"/>
              <w:jc w:val="center"/>
              <w:rPr>
                <w:rFonts w:ascii="Times New Roman" w:hAnsi="Times New Roman" w:eastAsia="微软雅黑" w:cs="黑体"/>
                <w:sz w:val="21"/>
                <w:highlight w:val="none"/>
                <w:lang w:eastAsia="zh-CN"/>
              </w:rPr>
            </w:pPr>
            <w:r>
              <w:rPr>
                <w:rFonts w:hint="default" w:ascii="Times New Roman" w:hAnsi="Times New Roman" w:eastAsia="微软雅黑" w:cs="Times New Roman"/>
                <w:sz w:val="21"/>
                <w:szCs w:val="21"/>
                <w:highlight w:val="none"/>
                <w:lang w:val="en-US" w:eastAsia="zh-CN" w:bidi="ar-SA"/>
              </w:rPr>
              <w:t>MMR基因检测</w:t>
            </w:r>
          </w:p>
        </w:tc>
        <w:tc>
          <w:tcPr>
            <w:tcW w:w="5646"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9" w:leftChars="0" w:right="119" w:rightChars="0"/>
              <w:jc w:val="left"/>
              <w:rPr>
                <w:rFonts w:ascii="Times New Roman" w:hAnsi="Times New Roman" w:eastAsia="微软雅黑" w:cs="黑体"/>
                <w:sz w:val="21"/>
                <w:highlight w:val="none"/>
                <w:lang w:eastAsia="zh-CN"/>
              </w:rPr>
            </w:pPr>
            <w:r>
              <w:rPr>
                <w:rFonts w:hint="default" w:ascii="Times New Roman" w:hAnsi="Times New Roman" w:eastAsia="微软雅黑" w:cs="Times New Roman"/>
                <w:sz w:val="21"/>
                <w:szCs w:val="21"/>
                <w:highlight w:val="none"/>
                <w:lang w:val="en-US" w:eastAsia="zh-CN" w:bidi="ar-SA"/>
              </w:rPr>
              <w:t>共检出</w:t>
            </w:r>
            <w:r>
              <w:rPr>
                <w:rFonts w:hint="eastAsia" w:ascii="Times New Roman" w:hAnsi="Times New Roman" w:eastAsia="微软雅黑" w:cs="Times New Roman"/>
                <w:sz w:val="21"/>
                <w:szCs w:val="21"/>
                <w:highlight w:val="none"/>
                <w:lang w:val="en-US" w:eastAsia="zh-CN" w:bidi="ar-SA"/>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黑体"/>
                <w:sz w:val="21"/>
                <w:highlight w:val="none"/>
                <w:lang w:val="en-US" w:eastAsia="zh-CN"/>
              </w:rPr>
              <w:t>.</w:t>
            </w:r>
            <w:r>
              <w:rPr>
                <w:rFonts w:hint="eastAsia" w:ascii="Times New Roman" w:hAnsi="Times New Roman" w:eastAsia="微软雅黑" w:cs="Times New Roman"/>
                <w:sz w:val="21"/>
                <w:szCs w:val="21"/>
                <w:highlight w:val="none"/>
                <w:lang w:val="en-US" w:eastAsia="zh-CN" w:bidi="ar-SA"/>
              </w:rPr>
              <w:t>mmrNum}}</w:t>
            </w:r>
            <w:r>
              <w:rPr>
                <w:rFonts w:hint="default" w:ascii="Times New Roman" w:hAnsi="Times New Roman" w:eastAsia="微软雅黑" w:cs="Times New Roman"/>
                <w:sz w:val="21"/>
                <w:szCs w:val="21"/>
                <w:highlight w:val="none"/>
                <w:lang w:val="en-US" w:eastAsia="zh-CN" w:bidi="ar-SA"/>
              </w:rPr>
              <w:t>个MMR</w:t>
            </w:r>
            <w:r>
              <w:rPr>
                <w:rFonts w:hint="eastAsia" w:ascii="Times New Roman" w:hAnsi="Times New Roman" w:eastAsia="微软雅黑" w:cs="Times New Roman"/>
                <w:sz w:val="21"/>
                <w:szCs w:val="21"/>
                <w:highlight w:val="none"/>
                <w:lang w:val="en-US" w:eastAsia="zh-CN" w:bidi="ar-SA"/>
              </w:rPr>
              <w:t>基因</w:t>
            </w:r>
            <w:r>
              <w:rPr>
                <w:rFonts w:hint="default" w:ascii="Times New Roman" w:hAnsi="Times New Roman" w:eastAsia="微软雅黑" w:cs="Times New Roman"/>
                <w:sz w:val="21"/>
                <w:szCs w:val="21"/>
                <w:highlight w:val="none"/>
                <w:lang w:val="en-US" w:eastAsia="zh-CN" w:bidi="ar-SA"/>
              </w:rPr>
              <w:t>致病/</w:t>
            </w:r>
            <w:r>
              <w:rPr>
                <w:rFonts w:hint="eastAsia" w:ascii="Times New Roman" w:hAnsi="Times New Roman" w:eastAsia="微软雅黑" w:cs="Times New Roman"/>
                <w:sz w:val="21"/>
                <w:szCs w:val="21"/>
                <w:highlight w:val="none"/>
                <w:lang w:val="en-US" w:eastAsia="zh-CN" w:bidi="ar-SA"/>
              </w:rPr>
              <w:t>可能</w:t>
            </w:r>
            <w:r>
              <w:rPr>
                <w:rFonts w:hint="default" w:ascii="Times New Roman" w:hAnsi="Times New Roman" w:eastAsia="微软雅黑" w:cs="Times New Roman"/>
                <w:sz w:val="21"/>
                <w:szCs w:val="21"/>
                <w:highlight w:val="none"/>
                <w:lang w:val="en-US" w:eastAsia="zh-CN" w:bidi="ar-SA"/>
              </w:rPr>
              <w:t>致病</w:t>
            </w:r>
            <w:r>
              <w:rPr>
                <w:rFonts w:hint="eastAsia" w:ascii="Times New Roman" w:hAnsi="Times New Roman" w:eastAsia="微软雅黑" w:cs="Times New Roman"/>
                <w:sz w:val="21"/>
                <w:szCs w:val="21"/>
                <w:highlight w:val="none"/>
                <w:lang w:val="en-US" w:eastAsia="zh-CN" w:bidi="ar-SA"/>
              </w:rPr>
              <w:t>性</w:t>
            </w:r>
            <w:r>
              <w:rPr>
                <w:rFonts w:hint="default" w:ascii="Times New Roman" w:hAnsi="Times New Roman" w:eastAsia="微软雅黑" w:cs="Times New Roman"/>
                <w:sz w:val="21"/>
                <w:szCs w:val="21"/>
                <w:highlight w:val="none"/>
                <w:lang w:val="en-US" w:eastAsia="zh-CN" w:bidi="ar-SA"/>
              </w:rPr>
              <w:t>胚系突变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04" w:hRule="atLeast"/>
        </w:trPr>
        <w:tc>
          <w:tcPr>
            <w:tcW w:w="1404" w:type="dxa"/>
            <w:vMerge w:val="continue"/>
            <w:tcBorders>
              <w:left w:val="nil"/>
              <w:bottom w:val="single" w:color="00AF50" w:sz="4" w:space="0"/>
              <w:right w:val="single" w:color="00AF50" w:sz="4" w:space="0"/>
            </w:tcBorders>
            <w:shd w:val="clear" w:color="auto" w:fill="F1F1F1"/>
            <w:vAlign w:val="center"/>
          </w:tcPr>
          <w:p>
            <w:pPr>
              <w:ind w:left="220" w:leftChars="100"/>
              <w:jc w:val="center"/>
            </w:pPr>
          </w:p>
        </w:tc>
        <w:tc>
          <w:tcPr>
            <w:tcW w:w="2508" w:type="dxa"/>
            <w:tcBorders>
              <w:top w:val="single" w:color="00AF50" w:sz="4" w:space="0"/>
              <w:left w:val="nil"/>
              <w:bottom w:val="single" w:color="00AF50" w:sz="4" w:space="0"/>
              <w:right w:val="single" w:color="00AF50" w:sz="4" w:space="0"/>
            </w:tcBorders>
            <w:shd w:val="clear" w:color="auto" w:fill="F1F1F1"/>
            <w:vAlign w:val="center"/>
          </w:tcPr>
          <w:p>
            <w:pPr>
              <w:pStyle w:val="18"/>
              <w:ind w:left="220" w:leftChars="100"/>
              <w:jc w:val="center"/>
              <w:rPr>
                <w:rFonts w:ascii="Times New Roman" w:hAnsi="Times New Roman" w:eastAsia="微软雅黑" w:cs="黑体"/>
                <w:sz w:val="21"/>
                <w:highlight w:val="none"/>
                <w:lang w:eastAsia="zh-CN"/>
              </w:rPr>
            </w:pPr>
            <w:r>
              <w:rPr>
                <w:rFonts w:ascii="Times New Roman" w:hAnsi="Times New Roman" w:eastAsia="微软雅黑" w:cs="Times New Roman"/>
                <w:sz w:val="21"/>
                <w:szCs w:val="21"/>
                <w:highlight w:val="none"/>
                <w:lang w:eastAsia="zh-CN"/>
              </w:rPr>
              <w:t>免疫正/负相关基因检测</w:t>
            </w:r>
          </w:p>
        </w:tc>
        <w:tc>
          <w:tcPr>
            <w:tcW w:w="5646" w:type="dxa"/>
            <w:tcBorders>
              <w:top w:val="single" w:color="00AF50" w:sz="4" w:space="0"/>
              <w:left w:val="single" w:color="00AF50" w:sz="4" w:space="0"/>
              <w:bottom w:val="single" w:color="00AF50" w:sz="4" w:space="0"/>
              <w:right w:val="nil"/>
            </w:tcBorders>
            <w:shd w:val="clear" w:color="auto" w:fill="F1F1F1"/>
            <w:vAlign w:val="top"/>
          </w:tcPr>
          <w:p>
            <w:pPr>
              <w:pStyle w:val="18"/>
              <w:spacing w:before="77"/>
              <w:ind w:left="119" w:leftChars="0" w:right="119" w:rightChars="0"/>
              <w:jc w:val="left"/>
              <w:rPr>
                <w:rFonts w:ascii="Times New Roman" w:hAnsi="Times New Roman" w:eastAsia="微软雅黑" w:cs="黑体"/>
                <w:sz w:val="21"/>
                <w:highlight w:val="none"/>
                <w:lang w:eastAsia="zh-CN"/>
              </w:rPr>
            </w:pPr>
            <w:r>
              <w:rPr>
                <w:rFonts w:hint="default"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Times New Roman"/>
                <w:sz w:val="21"/>
                <w:szCs w:val="21"/>
                <w:highlight w:val="none"/>
                <w:lang w:val="en-US" w:eastAsia="zh-CN"/>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Times New Roman"/>
                <w:sz w:val="21"/>
                <w:szCs w:val="21"/>
                <w:highlight w:val="none"/>
                <w:lang w:eastAsia="zh-CN"/>
              </w:rPr>
              <w:t>positiveImmnue</w:t>
            </w:r>
            <w:r>
              <w:rPr>
                <w:rFonts w:hint="eastAsia" w:ascii="Times New Roman" w:hAnsi="Times New Roman" w:eastAsia="微软雅黑" w:cs="Times New Roman"/>
                <w:sz w:val="21"/>
                <w:szCs w:val="21"/>
                <w:highlight w:val="none"/>
                <w:lang w:val="en-US" w:eastAsia="zh-CN"/>
              </w:rPr>
              <w:t>Num}}</w:t>
            </w:r>
            <w:r>
              <w:rPr>
                <w:rFonts w:hint="default" w:ascii="Times New Roman" w:hAnsi="Times New Roman" w:eastAsia="微软雅黑" w:cs="Times New Roman"/>
                <w:sz w:val="21"/>
                <w:szCs w:val="21"/>
                <w:highlight w:val="none"/>
                <w:lang w:val="en-US" w:eastAsia="zh-CN"/>
              </w:rPr>
              <w:t>个免疫正相关突变；</w:t>
            </w:r>
            <w:r>
              <w:rPr>
                <w:rFonts w:hint="eastAsia" w:ascii="Times New Roman" w:hAnsi="Times New Roman" w:eastAsia="微软雅黑" w:cs="Times New Roman"/>
                <w:sz w:val="21"/>
                <w:szCs w:val="21"/>
                <w:highlight w:val="none"/>
                <w:lang w:val="en-US" w:eastAsia="zh-CN"/>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黑体"/>
                <w:sz w:val="21"/>
                <w:highlight w:val="none"/>
                <w:lang w:val="en-US" w:eastAsia="zh-CN"/>
              </w:rPr>
              <w:t>.</w:t>
            </w:r>
            <w:r>
              <w:rPr>
                <w:rFonts w:hint="eastAsia" w:ascii="Times New Roman" w:hAnsi="Times New Roman" w:eastAsia="微软雅黑" w:cs="Times New Roman"/>
                <w:sz w:val="21"/>
                <w:szCs w:val="21"/>
                <w:highlight w:val="none"/>
                <w:lang w:eastAsia="zh-CN"/>
              </w:rPr>
              <w:t>negativeImmnue</w:t>
            </w:r>
            <w:r>
              <w:rPr>
                <w:rFonts w:hint="eastAsia" w:ascii="Times New Roman" w:hAnsi="Times New Roman" w:eastAsia="微软雅黑" w:cs="Times New Roman"/>
                <w:sz w:val="21"/>
                <w:szCs w:val="21"/>
                <w:highlight w:val="none"/>
                <w:lang w:val="en-US" w:eastAsia="zh-CN"/>
              </w:rPr>
              <w:t>Num}}</w:t>
            </w:r>
            <w:r>
              <w:rPr>
                <w:rFonts w:hint="default" w:ascii="Times New Roman" w:hAnsi="Times New Roman" w:eastAsia="微软雅黑" w:cs="Times New Roman"/>
                <w:sz w:val="21"/>
                <w:szCs w:val="21"/>
                <w:highlight w:val="none"/>
                <w:lang w:val="en-US" w:eastAsia="zh-CN"/>
              </w:rPr>
              <w:t>个免疫负相关突变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3912" w:type="dxa"/>
            <w:gridSpan w:val="2"/>
            <w:tcBorders>
              <w:top w:val="single" w:color="00AF50" w:sz="4" w:space="0"/>
              <w:left w:val="nil"/>
              <w:bottom w:val="single" w:color="00AF50" w:sz="4" w:space="0"/>
              <w:right w:val="single" w:color="00AF50" w:sz="4" w:space="0"/>
            </w:tcBorders>
            <w:shd w:val="clear" w:color="auto" w:fill="F1F1F1"/>
          </w:tcPr>
          <w:p>
            <w:pPr>
              <w:pStyle w:val="18"/>
              <w:spacing w:before="77"/>
              <w:ind w:left="119"/>
              <w:rPr>
                <w:rFonts w:ascii="Times New Roman" w:hAnsi="Times New Roman" w:eastAsia="微软雅黑" w:cs="黑体"/>
                <w:sz w:val="21"/>
                <w:highlight w:val="none"/>
              </w:rPr>
            </w:pPr>
            <w:r>
              <w:rPr>
                <w:rFonts w:ascii="Times New Roman" w:hAnsi="Times New Roman" w:eastAsia="微软雅黑" w:cs="黑体"/>
                <w:sz w:val="21"/>
                <w:highlight w:val="none"/>
              </w:rPr>
              <w:t>肿瘤遗传风险提示</w:t>
            </w:r>
          </w:p>
        </w:tc>
        <w:tc>
          <w:tcPr>
            <w:tcW w:w="5646" w:type="dxa"/>
            <w:tcBorders>
              <w:top w:val="single" w:color="00AF50" w:sz="4" w:space="0"/>
              <w:left w:val="single" w:color="00AF50" w:sz="4" w:space="0"/>
              <w:bottom w:val="single" w:color="00AF50" w:sz="4" w:space="0"/>
              <w:right w:val="nil"/>
            </w:tcBorders>
            <w:shd w:val="clear" w:color="auto" w:fill="F1F1F1"/>
          </w:tcPr>
          <w:p>
            <w:pPr>
              <w:pStyle w:val="18"/>
              <w:spacing w:before="77"/>
              <w:ind w:left="118"/>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{{summaryOfRresults.hasPathogenicityCount}}</w:t>
            </w:r>
            <w:r>
              <w:rPr>
                <w:rFonts w:ascii="Times New Roman" w:hAnsi="Times New Roman" w:eastAsia="微软雅黑" w:cs="Times New Roman"/>
                <w:sz w:val="21"/>
                <w:szCs w:val="21"/>
                <w:highlight w:val="none"/>
                <w:lang w:eastAsia="zh-CN"/>
              </w:rPr>
              <w:t>个为致病</w:t>
            </w:r>
            <w:r>
              <w:rPr>
                <w:rFonts w:hint="eastAsia" w:ascii="Times New Roman" w:hAnsi="Times New Roman" w:eastAsia="微软雅黑" w:cs="Times New Roman"/>
                <w:sz w:val="21"/>
                <w:szCs w:val="21"/>
                <w:highlight w:val="none"/>
                <w:lang w:eastAsia="zh-CN"/>
              </w:rPr>
              <w:t>/可能</w:t>
            </w:r>
            <w:r>
              <w:rPr>
                <w:rFonts w:ascii="Times New Roman" w:hAnsi="Times New Roman" w:eastAsia="微软雅黑" w:cs="Times New Roman"/>
                <w:sz w:val="21"/>
                <w:szCs w:val="21"/>
                <w:highlight w:val="none"/>
                <w:lang w:eastAsia="zh-CN"/>
              </w:rPr>
              <w:t>致病</w:t>
            </w:r>
            <w:r>
              <w:rPr>
                <w:rFonts w:hint="eastAsia" w:ascii="Times New Roman" w:hAnsi="Times New Roman" w:eastAsia="微软雅黑" w:cs="Times New Roman"/>
                <w:sz w:val="21"/>
                <w:szCs w:val="21"/>
                <w:highlight w:val="none"/>
                <w:lang w:eastAsia="zh-CN"/>
              </w:rPr>
              <w:t>性</w:t>
            </w:r>
            <w:r>
              <w:rPr>
                <w:rFonts w:ascii="Times New Roman" w:hAnsi="Times New Roman" w:eastAsia="微软雅黑" w:cs="Times New Roman"/>
                <w:sz w:val="21"/>
                <w:szCs w:val="21"/>
                <w:highlight w:val="none"/>
                <w:lang w:eastAsia="zh-CN"/>
              </w:rPr>
              <w:t>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3912" w:type="dxa"/>
            <w:gridSpan w:val="2"/>
            <w:tcBorders>
              <w:top w:val="single" w:color="00AF50" w:sz="4" w:space="0"/>
              <w:left w:val="nil"/>
              <w:bottom w:val="single" w:color="00AF50" w:sz="4" w:space="0"/>
              <w:right w:val="single" w:color="00AF50" w:sz="4" w:space="0"/>
            </w:tcBorders>
            <w:shd w:val="clear" w:color="auto" w:fill="F1F1F1"/>
            <w:vAlign w:val="center"/>
          </w:tcPr>
          <w:p>
            <w:pPr>
              <w:pStyle w:val="18"/>
              <w:ind w:left="220" w:leftChars="100"/>
              <w:jc w:val="left"/>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化疗药物检测</w:t>
            </w:r>
          </w:p>
        </w:tc>
        <w:tc>
          <w:tcPr>
            <w:tcW w:w="5646" w:type="dxa"/>
            <w:tcBorders>
              <w:top w:val="single" w:color="00AF50" w:sz="4" w:space="0"/>
              <w:left w:val="single" w:color="00AF50" w:sz="4" w:space="0"/>
              <w:bottom w:val="single" w:color="00AF50" w:sz="4" w:space="0"/>
              <w:right w:val="nil"/>
            </w:tcBorders>
            <w:shd w:val="clear" w:color="auto" w:fill="F1F1F1"/>
            <w:vAlign w:val="top"/>
          </w:tcPr>
          <w:p>
            <w:pPr>
              <w:pStyle w:val="18"/>
              <w:spacing w:before="77"/>
              <w:ind w:left="119" w:leftChars="0" w:right="119" w:rightChars="0"/>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详见“化疗药物检测解析”部分</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912" w:type="dxa"/>
            <w:gridSpan w:val="2"/>
            <w:tcBorders>
              <w:top w:val="single" w:color="00AF50" w:sz="4" w:space="0"/>
              <w:left w:val="nil"/>
              <w:bottom w:val="single" w:color="00AF50" w:sz="4" w:space="0"/>
              <w:right w:val="single" w:color="00AF50" w:sz="4" w:space="0"/>
            </w:tcBorders>
            <w:shd w:val="clear" w:color="auto" w:fill="F1F1F1"/>
          </w:tcPr>
          <w:p>
            <w:pPr>
              <w:pStyle w:val="18"/>
              <w:spacing w:before="77"/>
              <w:ind w:left="119"/>
              <w:rPr>
                <w:rFonts w:ascii="Times New Roman" w:hAnsi="Times New Roman" w:eastAsia="微软雅黑" w:cs="黑体"/>
                <w:sz w:val="21"/>
                <w:highlight w:val="none"/>
              </w:rPr>
            </w:pPr>
            <w:r>
              <w:rPr>
                <w:rFonts w:ascii="Times New Roman" w:hAnsi="Times New Roman" w:eastAsia="微软雅黑" w:cs="黑体"/>
                <w:sz w:val="21"/>
                <w:highlight w:val="none"/>
              </w:rPr>
              <w:t>样品总体质量评估</w:t>
            </w:r>
          </w:p>
        </w:tc>
        <w:tc>
          <w:tcPr>
            <w:tcW w:w="5646" w:type="dxa"/>
            <w:tcBorders>
              <w:top w:val="single" w:color="00AF50" w:sz="4" w:space="0"/>
              <w:left w:val="single" w:color="00AF50" w:sz="4" w:space="0"/>
              <w:bottom w:val="single" w:color="00AF50" w:sz="4" w:space="0"/>
              <w:right w:val="nil"/>
            </w:tcBorders>
            <w:shd w:val="clear" w:color="auto" w:fill="F1F1F1"/>
          </w:tcPr>
          <w:p>
            <w:pPr>
              <w:pStyle w:val="18"/>
              <w:spacing w:before="77"/>
              <w:ind w:left="118"/>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ind w:firstLine="219" w:firstLineChars="122"/>
        <w:rPr>
          <w:rFonts w:ascii="Times New Roman" w:hAnsi="Times New Roman" w:eastAsia="微软雅黑" w:cs="Times New Roman"/>
          <w:sz w:val="18"/>
          <w:szCs w:val="18"/>
          <w:highlight w:val="none"/>
        </w:rPr>
      </w:pPr>
      <w:r>
        <w:rPr>
          <w:rFonts w:hint="eastAsia" w:ascii="微软雅黑" w:hAnsi="微软雅黑" w:eastAsia="微软雅黑" w:cs="微软雅黑"/>
          <w:sz w:val="18"/>
          <w:szCs w:val="18"/>
          <w:highlight w:val="none"/>
          <w:lang w:eastAsia="zh-CN" w:bidi="ar"/>
        </w:rPr>
        <w:t>说明</w:t>
      </w:r>
      <w:r>
        <w:rPr>
          <w:rFonts w:ascii="微软雅黑" w:hAnsi="微软雅黑" w:eastAsia="微软雅黑" w:cs="微软雅黑"/>
          <w:sz w:val="18"/>
          <w:szCs w:val="18"/>
          <w:highlight w:val="none"/>
          <w:lang w:eastAsia="zh-CN" w:bidi="ar"/>
        </w:rPr>
        <w:t>：</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highlight w:val="none"/>
          <w:lang w:eastAsia="zh-CN" w:bidi="ar"/>
        </w:rPr>
      </w:pPr>
      <w:r>
        <w:rPr>
          <w:rFonts w:ascii="Times New Roman" w:hAnsi="Times New Roman" w:eastAsia="微软雅黑" w:cs="Times New Roman"/>
          <w:sz w:val="18"/>
          <w:szCs w:val="18"/>
          <w:highlight w:val="none"/>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本报告只对本次采集样本负责，如有疑问，请在7个工作日内与我们联系。</w:t>
      </w:r>
      <w:r>
        <w:rPr>
          <w:rFonts w:hint="eastAsia" w:ascii="微软雅黑" w:hAnsi="微软雅黑" w:eastAsia="微软雅黑" w:cs="微软雅黑"/>
          <w:sz w:val="18"/>
          <w:szCs w:val="18"/>
          <w:highlight w:val="none"/>
          <w:lang w:eastAsia="zh-CN" w:bidi="ar"/>
        </w:rPr>
        <w:t xml:space="preserve">{% if summaryOfRresults.qualityStat== </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D</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 xml:space="preserve"> %}</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该样本测序深度不足，</w:t>
      </w:r>
      <w:r>
        <w:rPr>
          <w:rFonts w:hint="eastAsia" w:ascii="微软雅黑" w:hAnsi="微软雅黑" w:eastAsia="微软雅黑" w:cs="微软雅黑"/>
          <w:sz w:val="18"/>
          <w:szCs w:val="18"/>
          <w:highlight w:val="none"/>
          <w:lang w:eastAsia="zh-CN" w:bidi="ar"/>
        </w:rPr>
        <w:t>风险出具，检测结果仅供参考。{% endif %}</w:t>
      </w:r>
    </w:p>
    <w:p>
      <w:pPr>
        <w:rPr>
          <w:rFonts w:ascii="Times New Roman" w:hAnsi="Times New Roman" w:eastAsia="微软雅黑" w:cs="黑体"/>
          <w:b/>
          <w:bCs/>
          <w:color w:val="00B050"/>
          <w:sz w:val="28"/>
          <w:szCs w:val="36"/>
          <w:highlight w:val="none"/>
          <w:lang w:eastAsia="zh-CN"/>
        </w:rPr>
      </w:pPr>
      <w:r>
        <w:rPr>
          <w:rFonts w:ascii="Times New Roman" w:hAnsi="Times New Roman" w:eastAsia="微软雅黑" w:cs="黑体"/>
          <w:b/>
          <w:bCs/>
          <w:color w:val="00B050"/>
          <w:sz w:val="28"/>
          <w:szCs w:val="36"/>
          <w:highlight w:val="none"/>
          <w:lang w:eastAsia="zh-CN"/>
        </w:rPr>
        <w:br w:type="page"/>
      </w:r>
    </w:p>
    <w:p>
      <w:pPr>
        <w:pStyle w:val="2"/>
        <w:rPr>
          <w:highlight w:val="none"/>
        </w:rPr>
      </w:pPr>
      <w:bookmarkStart w:id="23" w:name="_Toc2781"/>
      <w:bookmarkStart w:id="24" w:name="_Toc22132"/>
      <w:bookmarkStart w:id="25" w:name="_Toc20136_WPSOffice_Level1"/>
      <w:bookmarkStart w:id="26" w:name="_Toc24235"/>
      <w:bookmarkStart w:id="27" w:name="_Toc21757"/>
      <w:bookmarkStart w:id="28" w:name="_Toc19898_WPSOffice_Level1"/>
      <w:r>
        <w:rPr>
          <w:highlight w:val="none"/>
        </w:rPr>
        <w:t>检测结果及用药提示</w:t>
      </w:r>
      <w:bookmarkEnd w:id="22"/>
      <w:bookmarkEnd w:id="23"/>
      <w:bookmarkEnd w:id="24"/>
      <w:bookmarkEnd w:id="25"/>
      <w:bookmarkEnd w:id="26"/>
      <w:bookmarkEnd w:id="27"/>
      <w:bookmarkEnd w:id="28"/>
    </w:p>
    <w:p>
      <w:pPr>
        <w:pStyle w:val="3"/>
        <w:rPr>
          <w:highlight w:val="none"/>
        </w:rPr>
      </w:pPr>
      <w:bookmarkStart w:id="29" w:name="_Toc18062_WPSOffice_Level2"/>
      <w:bookmarkStart w:id="30" w:name="_Toc23375"/>
      <w:bookmarkStart w:id="31" w:name="_Toc11015_WPSOffice_Level2"/>
      <w:bookmarkStart w:id="32" w:name="_Toc15063"/>
      <w:bookmarkStart w:id="33" w:name="_Toc31551"/>
      <w:bookmarkStart w:id="34" w:name="_Toc9088"/>
      <w:r>
        <w:rPr>
          <w:highlight w:val="none"/>
        </w:rPr>
        <w:t>靶向药物用药提示</w:t>
      </w:r>
      <w:bookmarkEnd w:id="29"/>
      <w:bookmarkEnd w:id="30"/>
      <w:bookmarkEnd w:id="31"/>
      <w:bookmarkEnd w:id="32"/>
      <w:bookmarkEnd w:id="33"/>
      <w:bookmarkEnd w:id="34"/>
    </w:p>
    <w:p>
      <w:pPr>
        <w:spacing w:after="240"/>
        <w:ind w:firstLine="420" w:firstLineChars="200"/>
        <w:rPr>
          <w:rFonts w:ascii="Times New Roman" w:hAnsi="Times New Roman" w:eastAsia="微软雅黑" w:cs="Times New Roman"/>
          <w:b/>
          <w:color w:val="00B050"/>
          <w:sz w:val="24"/>
          <w:szCs w:val="24"/>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}}个体细胞突变，其中{{summaryOfRresults.somaticDrugCount}}个与靶向药物相关；共检出{{ summaryOfRresults.crAllListSize }}个胚系突变，其中{{summaryOfRresults.crDrugList}}个与靶向药物相关</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t>。</w:t>
      </w:r>
    </w:p>
    <w:tbl>
      <w:tblPr>
        <w:tblStyle w:val="19"/>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突变基因</w:t>
            </w:r>
          </w:p>
        </w:tc>
        <w:tc>
          <w:tcPr>
            <w:tcW w:w="1378"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检测结果</w:t>
            </w:r>
          </w:p>
        </w:tc>
        <w:tc>
          <w:tcPr>
            <w:tcW w:w="601"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突变丰度</w:t>
            </w:r>
          </w:p>
        </w:tc>
        <w:tc>
          <w:tcPr>
            <w:tcW w:w="1661" w:type="dxa"/>
            <w:gridSpan w:val="3"/>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可能获益的药物</w:t>
            </w:r>
          </w:p>
        </w:tc>
        <w:tc>
          <w:tcPr>
            <w:tcW w:w="1440" w:type="dxa"/>
            <w:vMerge w:val="restart"/>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945" w:type="dxa"/>
            <w:shd w:val="clear" w:color="auto" w:fill="auto"/>
            <w:vAlign w:val="center"/>
          </w:tcPr>
          <w:p>
            <w:pPr>
              <w:pStyle w:val="18"/>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A级</w:t>
            </w:r>
          </w:p>
        </w:tc>
        <w:tc>
          <w:tcPr>
            <w:tcW w:w="1803" w:type="dxa"/>
            <w:shd w:val="clear" w:color="auto" w:fill="auto"/>
            <w:vAlign w:val="center"/>
          </w:tcPr>
          <w:p>
            <w:pPr>
              <w:pStyle w:val="18"/>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B级</w:t>
            </w:r>
          </w:p>
        </w:tc>
        <w:tc>
          <w:tcPr>
            <w:tcW w:w="1661" w:type="dxa"/>
            <w:shd w:val="clear" w:color="auto" w:fill="auto"/>
            <w:vAlign w:val="center"/>
          </w:tcPr>
          <w:p>
            <w:pPr>
              <w:pStyle w:val="18"/>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C级</w:t>
            </w:r>
          </w:p>
        </w:tc>
        <w:tc>
          <w:tcPr>
            <w:tcW w:w="1440" w:type="dxa"/>
            <w:vMerge w:val="continue"/>
            <w:shd w:val="clear" w:color="auto" w:fill="auto"/>
          </w:tcPr>
          <w:p>
            <w:pPr>
              <w:rPr>
                <w:rFonts w:ascii="Times New Roman" w:hAnsi="Times New Roman" w:eastAsia="微软雅黑" w:cs="Times New Roman"/>
                <w:color w:val="00B050"/>
                <w:sz w:val="21"/>
                <w:szCs w:val="21"/>
                <w:highlight w:val="none"/>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rPr>
            </w:pPr>
            <w:r>
              <w:rPr>
                <w:rFonts w:hint="eastAsia" w:ascii="Times New Roman" w:hAnsi="Times New Roman" w:eastAsia="微软雅黑" w:cs="Times New Roman"/>
                <w:b/>
                <w:sz w:val="18"/>
                <w:szCs w:val="18"/>
                <w:highlight w:val="none"/>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tip.mutFreq }}</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tip.DrugAStr == [] %}无{% else%}{% for d in tip.DrugAStr %}{%if loop.last%}{{r d.name | ms(d.isbold,d.isRed) }}{%else%}{{r d.name | ms(d.isbold,d.isRed) }}，</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lang w:eastAsia="zh-CN"/>
              </w:rPr>
            </w:pPr>
            <w:r>
              <w:rPr>
                <w:rFonts w:hint="eastAsia" w:ascii="Times New Roman" w:hAnsi="Times New Roman" w:eastAsia="微软雅黑" w:cs="Times New Roman"/>
                <w:b/>
                <w:sz w:val="18"/>
                <w:szCs w:val="18"/>
                <w:highlight w:val="none"/>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6"/>
        <w:ind w:left="420"/>
        <w:rPr>
          <w:rFonts w:ascii="Times New Roman" w:hAnsi="Times New Roman" w:eastAsia="微软雅黑" w:cs="Times New Roman"/>
          <w:b/>
          <w:sz w:val="20"/>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可能获益药物：</w:t>
      </w:r>
      <w:r>
        <w:rPr>
          <w:rFonts w:hint="eastAsia" w:ascii="Times New Roman" w:hAnsi="Times New Roman" w:eastAsia="微软雅黑" w:cs="Times New Roman"/>
          <w:sz w:val="18"/>
          <w:szCs w:val="18"/>
          <w:highlight w:val="none"/>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黑色粗体药物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FDA/NMPA已批准药物，未加粗药物为未上市药物。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 标注的药物：NMPA批准的靶向药物。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标注的药物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符合正在招募的大型已注册临床试验入组标准的药物。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多靶点循证</w:t>
      </w:r>
      <w:r>
        <w:rPr>
          <w:rFonts w:hint="eastAsia" w:ascii="Times New Roman" w:hAnsi="Times New Roman" w:eastAsia="微软雅黑" w:cs="Times New Roman"/>
          <w:sz w:val="18"/>
          <w:szCs w:val="18"/>
          <w:highlight w:val="none"/>
          <w:lang w:eastAsia="zh-CN"/>
        </w:rPr>
        <w:t>检测结果中的符号意义：“+”表示“并且”，“/”表示“或者”，“!”表示“不满足”。</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redFlag == True %}靶向药物提示中的药物建议综合考虑患者的经治情况，灰色底纹标注药物建议综合考虑对应生物标志物的检测结果，仅供临床参考。{%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endif %}</w:t>
      </w:r>
      <w:r>
        <w:rPr>
          <w:rFonts w:ascii="Times New Roman" w:hAnsi="Times New Roman" w:eastAsia="微软雅黑" w:cs="Times New Roman"/>
          <w:b/>
          <w:color w:val="00B050"/>
          <w:sz w:val="24"/>
          <w:szCs w:val="24"/>
          <w:highlight w:val="none"/>
          <w:lang w:eastAsia="zh-CN"/>
        </w:rPr>
        <w:br w:type="page"/>
      </w:r>
    </w:p>
    <w:p>
      <w:pPr>
        <w:spacing w:line="276" w:lineRule="auto"/>
        <w:rPr>
          <w:rFonts w:ascii="Times New Roman" w:hAnsi="Times New Roman" w:eastAsia="微软雅黑" w:cs="Times New Roman"/>
          <w:sz w:val="18"/>
          <w:szCs w:val="18"/>
          <w:highlight w:val="none"/>
          <w:lang w:eastAsia="zh-CN"/>
        </w:rPr>
      </w:pPr>
      <w:r>
        <w:rPr>
          <w:rFonts w:ascii="Times New Roman" w:hAnsi="Times New Roman" w:eastAsia="微软雅黑" w:cs="Times New Roman"/>
          <w:b/>
          <w:color w:val="00B050"/>
          <w:sz w:val="24"/>
          <w:szCs w:val="24"/>
          <w:highlight w:val="none"/>
          <w:lang w:eastAsia="zh-CN"/>
        </w:rPr>
        <w:t>未知临床意义或无相关靶向用药的基因突变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3583" w:type="dxa"/>
            <w:shd w:val="clear" w:color="auto" w:fill="F2F2F2"/>
            <w:vAlign w:val="center"/>
          </w:tcPr>
          <w:p>
            <w:pPr>
              <w:jc w:val="center"/>
              <w:rPr>
                <w:rFonts w:ascii="Times New Roman" w:hAnsi="Times New Roman" w:eastAsia="微软雅黑" w:cs="Times New Roman"/>
                <w:bCs/>
                <w:sz w:val="18"/>
                <w:szCs w:val="18"/>
                <w:highlight w:val="none"/>
              </w:rPr>
            </w:pPr>
            <w:r>
              <w:rPr>
                <w:rFonts w:ascii="Times New Roman" w:hAnsi="Times New Roman" w:eastAsia="微软雅黑" w:cs="Times New Roman"/>
                <w:sz w:val="18"/>
                <w:szCs w:val="18"/>
                <w:highlight w:val="none"/>
              </w:rPr>
              <w:t>/</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20"/>
        <w:ind w:left="420"/>
        <w:rPr>
          <w:rFonts w:ascii="Times New Roman" w:hAnsi="Times New Roman" w:eastAsia="微软雅黑" w:cs="Times New Roman"/>
          <w:b/>
          <w:highlight w:val="none"/>
          <w:lang w:eastAsia="zh-CN"/>
        </w:rPr>
      </w:pPr>
    </w:p>
    <w:p>
      <w:pPr>
        <w:pStyle w:val="20"/>
        <w:rPr>
          <w:rFonts w:ascii="Times New Roman" w:hAnsi="Times New Roman" w:eastAsia="微软雅黑" w:cs="Times New Roman"/>
          <w:b/>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8"/>
        </w:numPr>
        <w:ind w:left="425" w:leftChars="0" w:hanging="425" w:firstLineChars="0"/>
        <w:rPr>
          <w:rFonts w:hint="eastAsia" w:ascii="Times New Roman" w:hAnsi="Times New Roman" w:eastAsia="微软雅黑" w:cs="Times New Roman"/>
          <w:sz w:val="18"/>
          <w:szCs w:val="18"/>
          <w:highlight w:val="none"/>
          <w:lang w:val="en-US" w:eastAsia="zh-CN"/>
        </w:rPr>
      </w:pPr>
      <w:r>
        <w:rPr>
          <w:rFonts w:hint="eastAsia" w:ascii="Times New Roman" w:hAnsi="Times New Roman" w:eastAsia="微软雅黑" w:cs="Times New Roman"/>
          <w:sz w:val="18"/>
          <w:szCs w:val="18"/>
          <w:highlight w:val="none"/>
          <w:lang w:val="en-US" w:eastAsia="zh-CN"/>
        </w:rPr>
        <w:t>未知临床意义的基因突变是指在出具报告时文献尚未报道，或者是突变意义已经明确但是无相关的靶向用药信息，或者是该突变意义不明确，可能存在潜在的临床意义。</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3"/>
        <w:rPr>
          <w:highlight w:val="none"/>
          <w:lang w:eastAsia="zh-CN"/>
        </w:rPr>
      </w:pPr>
      <w:bookmarkStart w:id="35" w:name="_Toc4339"/>
      <w:bookmarkStart w:id="36" w:name="_Toc25737"/>
      <w:bookmarkStart w:id="37" w:name="_Toc17526"/>
      <w:bookmarkStart w:id="38" w:name="_Toc5692"/>
      <w:bookmarkStart w:id="39" w:name="_Toc7551_WPSOffice_Level2"/>
      <w:bookmarkStart w:id="40" w:name="_Toc6221_WPSOffice_Level2"/>
      <w:r>
        <w:rPr>
          <w:highlight w:val="none"/>
          <w:lang w:eastAsia="zh-CN"/>
        </w:rPr>
        <w:t>免疫药物用药提示</w:t>
      </w:r>
      <w:bookmarkEnd w:id="35"/>
      <w:bookmarkEnd w:id="36"/>
      <w:bookmarkEnd w:id="37"/>
      <w:bookmarkEnd w:id="38"/>
      <w:bookmarkEnd w:id="39"/>
      <w:bookmarkEnd w:id="40"/>
    </w:p>
    <w:bookmarkEnd w:id="15"/>
    <w:p>
      <w:pPr>
        <w:spacing w:before="29" w:line="360" w:lineRule="auto"/>
        <w:rPr>
          <w:rFonts w:ascii="Times New Roman" w:hAnsi="Times New Roman" w:eastAsia="微软雅黑" w:cs="Times New Roman"/>
          <w:b/>
          <w:color w:val="00B050"/>
          <w:sz w:val="24"/>
          <w:szCs w:val="24"/>
          <w:highlight w:val="none"/>
          <w:lang w:eastAsia="zh-CN"/>
        </w:rPr>
      </w:pPr>
      <w:bookmarkStart w:id="41" w:name="_Toc5824_WPSOffice_Level3"/>
      <w:r>
        <w:rPr>
          <w:rFonts w:hint="eastAsia" w:ascii="Times New Roman" w:hAnsi="Times New Roman" w:eastAsia="微软雅黑" w:cs="Times New Roman"/>
          <w:b/>
          <w:color w:val="00B050"/>
          <w:sz w:val="24"/>
          <w:szCs w:val="24"/>
          <w:highlight w:val="none"/>
          <w:lang w:eastAsia="zh-CN"/>
        </w:rPr>
        <w:t xml:space="preserve">{% if summaryOfRresults.type == </w:t>
      </w:r>
      <w:r>
        <w:rPr>
          <w:rFonts w:ascii="Times New Roman" w:hAnsi="Times New Roman" w:eastAsia="微软雅黑" w:cs="Times New Roman"/>
          <w:b/>
          <w:color w:val="00B050"/>
          <w:sz w:val="24"/>
          <w:szCs w:val="24"/>
          <w:highlight w:val="none"/>
          <w:lang w:eastAsia="zh-CN"/>
        </w:rPr>
        <w:t>‘tissue’</w:t>
      </w:r>
      <w:r>
        <w:rPr>
          <w:rFonts w:hint="eastAsia" w:ascii="Times New Roman" w:hAnsi="Times New Roman" w:eastAsia="微软雅黑" w:cs="Times New Roman"/>
          <w:b/>
          <w:color w:val="00B050"/>
          <w:sz w:val="24"/>
          <w:szCs w:val="24"/>
          <w:highlight w:val="none"/>
          <w:lang w:eastAsia="zh-CN"/>
        </w:rPr>
        <w:t xml:space="preserve"> %}</w:t>
      </w:r>
      <w:r>
        <w:rPr>
          <w:rFonts w:ascii="Times New Roman" w:hAnsi="Times New Roman" w:eastAsia="微软雅黑" w:cs="Times New Roman"/>
          <w:b/>
          <w:color w:val="00B050"/>
          <w:sz w:val="24"/>
          <w:szCs w:val="24"/>
          <w:highlight w:val="none"/>
          <w:lang w:eastAsia="zh-CN"/>
        </w:rPr>
        <w:t>肿瘤突变负荷（TMB）检测结果</w:t>
      </w:r>
      <w:bookmarkEnd w:id="41"/>
      <w:r>
        <w:rPr>
          <w:rFonts w:hint="eastAsia" w:ascii="Times New Roman" w:hAnsi="Times New Roman" w:eastAsia="微软雅黑" w:cs="Times New Roman"/>
          <w:b/>
          <w:color w:val="00B050"/>
          <w:sz w:val="24"/>
          <w:szCs w:val="24"/>
          <w:highlight w:val="none"/>
          <w:lang w:eastAsia="zh-CN"/>
        </w:rPr>
        <w:t>{% else %}</w:t>
      </w:r>
      <w:r>
        <w:rPr>
          <w:rFonts w:ascii="Times New Roman" w:hAnsi="Times New Roman" w:eastAsia="微软雅黑" w:cs="Times New Roman"/>
          <w:b/>
          <w:color w:val="00B050"/>
          <w:sz w:val="24"/>
          <w:szCs w:val="24"/>
          <w:highlight w:val="none"/>
          <w:lang w:eastAsia="zh-CN"/>
        </w:rPr>
        <w:t>血液肿瘤突变负荷（bTMB）检测结果</w:t>
      </w:r>
      <w:r>
        <w:rPr>
          <w:rFonts w:hint="eastAsia" w:ascii="Times New Roman" w:hAnsi="Times New Roman" w:eastAsia="微软雅黑" w:cs="Times New Roman"/>
          <w:b/>
          <w:color w:val="00B050"/>
          <w:sz w:val="24"/>
          <w:szCs w:val="24"/>
          <w:highlight w:val="none"/>
          <w:lang w:eastAsia="zh-CN"/>
        </w:rPr>
        <w:t>{% endif %}</w:t>
      </w:r>
    </w:p>
    <w:p>
      <w:pPr>
        <w:spacing w:before="29" w:line="360" w:lineRule="auto"/>
        <w:rPr>
          <w:rFonts w:ascii="Times New Roman" w:hAnsi="Times New Roman" w:eastAsia="微软雅黑" w:cs="Times New Roman"/>
          <w:b/>
          <w:color w:val="00B050"/>
          <w:sz w:val="24"/>
          <w:szCs w:val="24"/>
          <w:highlight w:val="none"/>
          <w:lang w:eastAsia="zh-CN"/>
        </w:rPr>
      </w:pPr>
    </w:p>
    <w:tbl>
      <w:tblPr>
        <w:tblStyle w:val="13"/>
        <w:tblW w:w="9870"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792"/>
        <w:gridCol w:w="3078"/>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79" w:hRule="atLeast"/>
          <w:jc w:val="center"/>
        </w:trPr>
        <w:tc>
          <w:tcPr>
            <w:tcW w:w="6792"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078"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647" w:hRule="atLeast"/>
          <w:jc w:val="center"/>
        </w:trPr>
        <w:tc>
          <w:tcPr>
            <w:tcW w:w="6792"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Times New Roman"/>
                <w:sz w:val="21"/>
                <w:szCs w:val="21"/>
                <w:highlight w:val="none"/>
                <w:lang w:eastAsia="zh-CN"/>
              </w:rPr>
              <w:t>肿瘤突变负荷（Tumor mutation burden,</w:t>
            </w:r>
            <w:r>
              <w:rPr>
                <w:rFonts w:ascii="Times New Roman" w:hAnsi="Times New Roman" w:eastAsia="微软雅黑" w:cs="Times New Roman"/>
                <w:b/>
                <w:bCs/>
                <w:sz w:val="21"/>
                <w:szCs w:val="21"/>
                <w:highlight w:val="none"/>
                <w:lang w:eastAsia="zh-CN"/>
              </w:rPr>
              <w:t>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else %}</w:t>
            </w:r>
            <w:r>
              <w:rPr>
                <w:rFonts w:ascii="Times New Roman" w:hAnsi="Times New Roman" w:eastAsia="微软雅黑" w:cs="Times New Roman"/>
                <w:sz w:val="21"/>
                <w:szCs w:val="21"/>
                <w:highlight w:val="none"/>
                <w:lang w:eastAsia="zh-CN"/>
              </w:rPr>
              <w:t>血液肿瘤突变负荷（blood tumor mutation burden,</w:t>
            </w:r>
            <w:r>
              <w:rPr>
                <w:rFonts w:ascii="Times New Roman" w:hAnsi="Times New Roman" w:eastAsia="微软雅黑" w:cs="Times New Roman"/>
                <w:b/>
                <w:bCs/>
                <w:sz w:val="21"/>
                <w:szCs w:val="21"/>
                <w:highlight w:val="none"/>
                <w:lang w:eastAsia="zh-CN"/>
              </w:rPr>
              <w:t>bTMB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endif %}</w:t>
            </w:r>
          </w:p>
        </w:tc>
        <w:tc>
          <w:tcPr>
            <w:tcW w:w="3078"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summaryOfRresults.tmb }}</w:t>
            </w:r>
            <w:r>
              <w:rPr>
                <w:rFonts w:ascii="Times New Roman" w:hAnsi="Times New Roman" w:eastAsia="微软雅黑" w:cs="Times New Roman"/>
                <w:sz w:val="21"/>
                <w:szCs w:val="21"/>
                <w:highlight w:val="none"/>
                <w:lang w:eastAsia="zh-CN"/>
              </w:rPr>
              <w:t>Muts/Mb（</w:t>
            </w:r>
            <w:r>
              <w:rPr>
                <w:rFonts w:hint="eastAsia" w:ascii="Times New Roman" w:hAnsi="Times New Roman" w:eastAsia="微软雅黑" w:cs="Times New Roman"/>
                <w:sz w:val="21"/>
                <w:szCs w:val="21"/>
                <w:highlight w:val="none"/>
                <w:lang w:eastAsia="zh-CN"/>
              </w:rPr>
              <w:t>{{ summaryOfRresults.tmb_status}}</w:t>
            </w:r>
            <w:r>
              <w:rPr>
                <w:rFonts w:ascii="Times New Roman" w:hAnsi="Times New Roman" w:eastAsia="微软雅黑" w:cs="Times New Roman"/>
                <w:sz w:val="21"/>
                <w:szCs w:val="21"/>
                <w:highlight w:val="none"/>
                <w:lang w:eastAsia="zh-CN"/>
              </w:rPr>
              <w:t>）</w:t>
            </w:r>
          </w:p>
        </w:tc>
      </w:tr>
    </w:tbl>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if summaryOfRresults.tmb_PIC_status %}</w:t>
      </w:r>
    </w:p>
    <w:tbl>
      <w:tblPr>
        <w:tblStyle w:val="13"/>
        <w:tblW w:w="9860" w:type="dxa"/>
        <w:tblInd w:w="98" w:type="dxa"/>
        <w:tblLayout w:type="fixed"/>
        <w:tblCellMar>
          <w:top w:w="0" w:type="dxa"/>
          <w:left w:w="108" w:type="dxa"/>
          <w:bottom w:w="0" w:type="dxa"/>
          <w:right w:w="108" w:type="dxa"/>
        </w:tblCellMar>
      </w:tblPr>
      <w:tblGrid>
        <w:gridCol w:w="5915"/>
        <w:gridCol w:w="3945"/>
      </w:tblGrid>
      <w:tr>
        <w:tblPrEx>
          <w:tblCellMar>
            <w:top w:w="0" w:type="dxa"/>
            <w:left w:w="108" w:type="dxa"/>
            <w:bottom w:w="0" w:type="dxa"/>
            <w:right w:w="108" w:type="dxa"/>
          </w:tblCellMar>
        </w:tblPrEx>
        <w:trPr>
          <w:trHeight w:val="4836" w:hRule="atLeast"/>
        </w:trPr>
        <w:tc>
          <w:tcPr>
            <w:tcW w:w="5915" w:type="dxa"/>
            <w:shd w:val="clear" w:color="auto" w:fill="auto"/>
          </w:tcPr>
          <w:p>
            <w:pPr>
              <w:rPr>
                <w:highlight w:val="none"/>
              </w:rPr>
            </w:pPr>
            <w:r>
              <w:rPr>
                <w:rFonts w:hint="eastAsia"/>
                <w:highlight w:val="none"/>
                <w:lang w:eastAsia="zh-CN"/>
              </w:rPr>
              <w:t xml:space="preserve">{{ </w:t>
            </w:r>
            <w:r>
              <w:rPr>
                <w:rFonts w:hint="eastAsia" w:ascii="Times New Roman" w:hAnsi="Times New Roman" w:eastAsia="微软雅黑" w:cs="Times New Roman"/>
                <w:b/>
                <w:sz w:val="21"/>
                <w:szCs w:val="21"/>
                <w:highlight w:val="none"/>
                <w:lang w:eastAsia="zh-CN"/>
              </w:rPr>
              <w:t xml:space="preserve">summaryOfRresults.tmb_PIC | mi </w:t>
            </w:r>
            <w:r>
              <w:rPr>
                <w:rFonts w:hint="eastAsia"/>
                <w:highlight w:val="none"/>
                <w:lang w:eastAsia="zh-CN"/>
              </w:rPr>
              <w:t>}}</w:t>
            </w:r>
          </w:p>
        </w:tc>
        <w:tc>
          <w:tcPr>
            <w:tcW w:w="3945" w:type="dxa"/>
            <w:shd w:val="clear" w:color="auto" w:fill="auto"/>
          </w:tcPr>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图1.TMB 在本类癌种人群中的频率分布图</w:t>
            </w:r>
          </w:p>
          <w:p>
            <w:pPr>
              <w:spacing w:line="276" w:lineRule="auto"/>
              <w:jc w:val="both"/>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根据大数据统计结果，肿瘤突变负荷数据分布如左图蓝色部分所示，横坐标为每Mb测序数据中突变数目，即突变负荷；纵坐标为概率密度函数值: 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sz w:val="16"/>
                <w:highlight w:val="none"/>
                <w:lang w:eastAsia="zh-CN"/>
              </w:rPr>
            </w:pPr>
            <w:r>
              <w:rPr>
                <w:rFonts w:ascii="Times New Roman" w:hAnsi="Times New Roman" w:eastAsia="微软雅黑" w:cs="Times New Roman"/>
                <w:sz w:val="18"/>
                <w:highlight w:val="none"/>
                <w:shd w:val="clear" w:color="auto" w:fill="FFFFFF"/>
                <w:lang w:eastAsia="zh-CN"/>
              </w:rPr>
              <w:t>注：该分布图仅提供该样本在本癌种类型人群中TMB的分布位置。</w:t>
            </w:r>
          </w:p>
        </w:tc>
      </w:tr>
    </w:tbl>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endif %}</w:t>
      </w:r>
    </w:p>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xml:space="preserve">{% if summaryOfRresults.type == </w:t>
      </w:r>
      <w:r>
        <w:rPr>
          <w:rFonts w:ascii="Times New Roman" w:hAnsi="Times New Roman" w:eastAsia="微软雅黑" w:cs="Times New Roman"/>
          <w:b/>
          <w:sz w:val="21"/>
          <w:szCs w:val="21"/>
          <w:highlight w:val="none"/>
          <w:lang w:eastAsia="zh-CN"/>
        </w:rPr>
        <w:t>‘tissue’</w:t>
      </w:r>
      <w:r>
        <w:rPr>
          <w:rFonts w:hint="eastAsia" w:ascii="Times New Roman" w:hAnsi="Times New Roman" w:eastAsia="微软雅黑" w:cs="Times New Roman"/>
          <w:b/>
          <w:sz w:val="21"/>
          <w:szCs w:val="21"/>
          <w:highlight w:val="none"/>
          <w:lang w:eastAsia="zh-CN"/>
        </w:rPr>
        <w:t xml:space="preserve"> %}</w:t>
      </w:r>
      <w:r>
        <w:rPr>
          <w:rFonts w:ascii="Times New Roman" w:hAnsi="Times New Roman" w:eastAsia="微软雅黑" w:cs="Times New Roman"/>
          <w:b/>
          <w:sz w:val="21"/>
          <w:szCs w:val="21"/>
          <w:highlight w:val="none"/>
          <w:lang w:eastAsia="zh-CN"/>
        </w:rPr>
        <w:t>TMB结果说明：</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肿瘤突变负荷（TMB）指肿瘤基因组中平均1Mb范围内所包含的基因变异数量（非同义突变、插入/缺失）。TMB可以由多种因素影响，包括但不限于紫外照射[PMID:15748635;23875803]，吸烟[PMID:12379884;25765070]、POLE/POLD1基因突变[PMID:23636398;23447401;24583393;22810696;25568919]和微卫星不稳定（MSI）[PMID:23636398;22810696;25568919]等因素。</w:t>
      </w:r>
    </w:p>
    <w:p>
      <w:pPr>
        <w:widowControl/>
        <w:autoSpaceDE w:val="0"/>
        <w:autoSpaceDN w:val="0"/>
        <w:adjustRightInd w:val="0"/>
        <w:ind w:firstLine="360"/>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2015年有研究结果表明，非小细胞肺癌中突变负荷与抗PD-1药物（Pembrolizumab）疗效有关，突变负荷越高，获益越明显[PMID:25765070]。2016、2017年在抗PD-L1药物（Atezolizumab）治疗晚期尿路上皮癌的研究也显示，TMB可以作为一个非常好的预后标志物，突变负荷越高，预后越好[PMID:26952546,PMID:27939400]。此外，2016年的另一项对于黑色素瘤使用抗PD-1/PD-L1药物治疗的研究也显示，基于靶向捕获型NGS与全外显子NGS检测TMB具有高度一致性，且TMB对于抗PD-1/PD-L1的预后具有很好的预测效果[PMID:27671167]。2016年有研究表明基于靶向捕获型NGS检测的研究结果也显示TMB可以作为抗PD-1/PD-L1抗体治疗的潜在预后指标[JClinOncol34,2016（suppl;abstr9017）]。对中国人群肺腺癌患者的研究结果显示，TMB较高的患者具有更短的生存期[PMID:27009843]。目前已上市的免疫抑制剂相关的药物包括anti-CTLA4，anti-PD-1和anti-PD-L1三大类药物，其中抗PD-1/PD-L1类药物已经有6个药物获得美国食品药品监督管理局（FDA）批准上市，</w:t>
      </w:r>
      <w:r>
        <w:rPr>
          <w:rFonts w:hint="eastAsia" w:ascii="Times New Roman" w:hAnsi="Times New Roman" w:eastAsia="微软雅黑" w:cs="Times New Roman"/>
          <w:bCs/>
          <w:sz w:val="18"/>
          <w:szCs w:val="18"/>
          <w:highlight w:val="none"/>
          <w:shd w:val="clear" w:color="auto" w:fill="FFFFFF"/>
          <w:lang w:eastAsia="zh-CN"/>
        </w:rPr>
        <w:t>8个药物获得国家药品监督管理局（NMPA）批准上市，</w:t>
      </w:r>
      <w:r>
        <w:rPr>
          <w:rFonts w:ascii="Times New Roman" w:hAnsi="Times New Roman" w:eastAsia="微软雅黑" w:cs="Times New Roman"/>
          <w:bCs/>
          <w:sz w:val="18"/>
          <w:szCs w:val="18"/>
          <w:highlight w:val="none"/>
          <w:shd w:val="clear" w:color="auto" w:fill="FFFFFF"/>
          <w:lang w:eastAsia="zh-CN"/>
        </w:rPr>
        <w:t>详细获批适应症情况请参考本单元最后的药物列表。</w:t>
      </w:r>
    </w:p>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else %}</w:t>
      </w:r>
      <w:r>
        <w:rPr>
          <w:rFonts w:ascii="Times New Roman" w:hAnsi="Times New Roman" w:eastAsia="微软雅黑" w:cs="Times New Roman"/>
          <w:b/>
          <w:sz w:val="21"/>
          <w:szCs w:val="21"/>
          <w:highlight w:val="none"/>
          <w:lang w:eastAsia="zh-CN"/>
        </w:rPr>
        <w:t>bTMB结果说明：</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血液肿瘤突变负荷（bTMB）指血液基因组中平均1Mb范围内所包含的基因变异数量（非同义突变、插入/缺失）。2017年ESMO会议发表血液肿瘤突变负荷（bTMB）与阿替利珠单抗（Atezolizumab）疗效相关性研究结果。研究结果表明，对POPLAR研究进行回顾性分析发现，bTMB≥10、bTMB≥16和bTMB≥20对于患者PFS和OS获益均有提示，而bTMB≥16的预测水平最佳（PFS HR＝0.57，OS HR＝0.56）；在OAK研究中，bTMB≥16组的患者中，相比用多西他赛的患者，使用阿替利珠单抗治疗的患者PFS时间延长（HR 0.65，95% 0.47-0.92）；bTMB与PD-L1状态没有明确的相关性[NCT02008227; NCT01903993]。目前已上市的免疫抑制剂相关的药物包括anti-CTLA4，anti-PD-1和anti-PD-L1 三大类药物，其中抗PD-1/PD-L1类药物已经有6个药物获得美国食品药品监督管理局（FDA）批准上市，</w:t>
      </w:r>
      <w:r>
        <w:rPr>
          <w:rFonts w:hint="eastAsia" w:ascii="Times New Roman" w:hAnsi="Times New Roman" w:eastAsia="微软雅黑" w:cs="Times New Roman"/>
          <w:bCs/>
          <w:sz w:val="18"/>
          <w:szCs w:val="18"/>
          <w:highlight w:val="none"/>
          <w:shd w:val="clear" w:color="auto" w:fill="FFFFFF"/>
          <w:lang w:val="en-US" w:eastAsia="zh-CN"/>
        </w:rPr>
        <w:t>8</w:t>
      </w:r>
      <w:r>
        <w:rPr>
          <w:rFonts w:ascii="Times New Roman" w:hAnsi="Times New Roman" w:eastAsia="微软雅黑" w:cs="Times New Roman"/>
          <w:bCs/>
          <w:sz w:val="18"/>
          <w:szCs w:val="18"/>
          <w:highlight w:val="none"/>
          <w:shd w:val="clear" w:color="auto" w:fill="FFFFFF"/>
          <w:lang w:eastAsia="zh-CN"/>
        </w:rPr>
        <w:t>个药物获得国家药品监督管理局（NMPA）批准上市，详细获批适应症情况请参考本单元最后的药物列表。</w:t>
      </w:r>
    </w:p>
    <w:p>
      <w:pPr>
        <w:widowControl/>
        <w:autoSpaceDE w:val="0"/>
        <w:autoSpaceDN w:val="0"/>
        <w:adjustRightInd w:val="0"/>
        <w:rPr>
          <w:rFonts w:ascii="Times New Roman" w:hAnsi="Times New Roman" w:eastAsia="微软雅黑" w:cs="Times New Roman"/>
          <w:bCs/>
          <w:sz w:val="18"/>
          <w:szCs w:val="18"/>
          <w:highlight w:val="none"/>
          <w:shd w:val="clear" w:color="auto" w:fill="FFFFFF"/>
          <w:lang w:eastAsia="zh-CN"/>
        </w:rPr>
      </w:pPr>
      <w:r>
        <w:rPr>
          <w:rFonts w:hint="eastAsia" w:ascii="Times New Roman" w:hAnsi="Times New Roman" w:eastAsia="微软雅黑" w:cs="Times New Roman"/>
          <w:bCs/>
          <w:sz w:val="18"/>
          <w:szCs w:val="18"/>
          <w:highlight w:val="none"/>
          <w:shd w:val="clear" w:color="auto" w:fill="FFFFFF"/>
          <w:lang w:eastAsia="zh-CN"/>
        </w:rPr>
        <w:t>{% endif %}</w:t>
      </w:r>
    </w:p>
    <w:p>
      <w:pPr>
        <w:ind w:firstLine="420" w:firstLineChars="200"/>
        <w:jc w:val="both"/>
        <w:rPr>
          <w:rFonts w:ascii="Times New Roman" w:hAnsi="Times New Roman" w:eastAsia="微软雅黑" w:cs="Times New Roman"/>
          <w:bCs/>
          <w:sz w:val="21"/>
          <w:szCs w:val="21"/>
          <w:highlight w:val="none"/>
          <w:shd w:val="clear" w:color="auto" w:fill="FFFFFF"/>
          <w:lang w:eastAsia="zh-CN"/>
        </w:rPr>
      </w:pPr>
    </w:p>
    <w:p>
      <w:pPr>
        <w:rPr>
          <w:rFonts w:ascii="Times New Roman" w:hAnsi="Times New Roman" w:eastAsia="微软雅黑" w:cs="Times New Roman"/>
          <w:b/>
          <w:sz w:val="18"/>
          <w:szCs w:val="18"/>
          <w:highlight w:val="none"/>
          <w:shd w:val="clear" w:color="auto" w:fill="FFFFFF"/>
          <w:lang w:eastAsia="zh-CN"/>
        </w:rPr>
      </w:pPr>
      <w:r>
        <w:rPr>
          <w:rFonts w:ascii="Times New Roman" w:hAnsi="Times New Roman" w:eastAsia="微软雅黑" w:cs="Times New Roman"/>
          <w:b/>
          <w:sz w:val="18"/>
          <w:szCs w:val="18"/>
          <w:highlight w:val="none"/>
          <w:shd w:val="clear" w:color="auto" w:fill="FFFFFF"/>
          <w:lang w:eastAsia="zh-CN"/>
        </w:rPr>
        <w:t>注：</w:t>
      </w:r>
    </w:p>
    <w:p>
      <w:pPr>
        <w:numPr>
          <w:ilvl w:val="0"/>
          <w:numId w:val="9"/>
        </w:numPr>
        <w:jc w:val="both"/>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9"/>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shd w:val="clear" w:color="auto" w:fill="FFFFFF"/>
          <w:lang w:eastAsia="zh-CN"/>
        </w:rPr>
        <w:t>本检测仅限于基因水平的突变检测，未进行PD-L1表达量检测。</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spacing w:before="29" w:line="360" w:lineRule="auto"/>
        <w:rPr>
          <w:rFonts w:ascii="Times New Roman" w:hAnsi="Times New Roman" w:eastAsia="微软雅黑" w:cs="Times New Roman"/>
          <w:b/>
          <w:color w:val="00B050"/>
          <w:sz w:val="24"/>
          <w:szCs w:val="24"/>
          <w:highlight w:val="none"/>
          <w:lang w:eastAsia="zh-CN"/>
        </w:rPr>
      </w:pPr>
    </w:p>
    <w:p>
      <w:pPr>
        <w:spacing w:before="29" w:line="360" w:lineRule="auto"/>
        <w:rPr>
          <w:rFonts w:ascii="Times New Roman" w:hAnsi="Times New Roman" w:eastAsia="微软雅黑" w:cs="Times New Roman"/>
          <w:b/>
          <w:color w:val="00B050"/>
          <w:sz w:val="24"/>
          <w:szCs w:val="24"/>
          <w:highlight w:val="none"/>
          <w:lang w:eastAsia="zh-CN"/>
        </w:rPr>
      </w:pPr>
      <w:bookmarkStart w:id="42" w:name="_Toc11562_WPSOffice_Level3"/>
      <w:r>
        <w:rPr>
          <w:rFonts w:ascii="Times New Roman" w:hAnsi="Times New Roman" w:eastAsia="微软雅黑" w:cs="Times New Roman"/>
          <w:b/>
          <w:color w:val="00B050"/>
          <w:sz w:val="24"/>
          <w:szCs w:val="24"/>
          <w:highlight w:val="none"/>
          <w:lang w:eastAsia="zh-CN"/>
        </w:rPr>
        <w:t>微卫星不稳定（MSI）检测结果</w:t>
      </w:r>
      <w:bookmarkEnd w:id="42"/>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390"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342" w:hRule="atLeast"/>
          <w:jc w:val="center"/>
        </w:trPr>
        <w:tc>
          <w:tcPr>
            <w:tcW w:w="6473"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微卫星不稳定（microsatellite instability,</w:t>
            </w:r>
            <w:r>
              <w:rPr>
                <w:rFonts w:ascii="Times New Roman" w:hAnsi="Times New Roman" w:eastAsia="微软雅黑" w:cs="Times New Roman"/>
                <w:b/>
                <w:bCs/>
                <w:sz w:val="21"/>
                <w:szCs w:val="21"/>
                <w:highlight w:val="none"/>
                <w:lang w:eastAsia="zh-CN"/>
              </w:rPr>
              <w:t>MSI</w:t>
            </w:r>
            <w:r>
              <w:rPr>
                <w:rFonts w:ascii="Times New Roman" w:hAnsi="Times New Roman" w:eastAsia="微软雅黑" w:cs="Times New Roman"/>
                <w:sz w:val="21"/>
                <w:szCs w:val="21"/>
                <w:highlight w:val="none"/>
                <w:lang w:eastAsia="zh-CN"/>
              </w:rPr>
              <w:t>）</w:t>
            </w:r>
          </w:p>
        </w:tc>
        <w:tc>
          <w:tcPr>
            <w:tcW w:w="3390"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summaryOfRresults.msi }}</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summaryOfRresults.msi_status }}</w:t>
            </w:r>
            <w:r>
              <w:rPr>
                <w:rFonts w:ascii="Times New Roman" w:hAnsi="Times New Roman" w:eastAsia="微软雅黑" w:cs="Times New Roman"/>
                <w:sz w:val="21"/>
                <w:szCs w:val="21"/>
                <w:highlight w:val="none"/>
                <w:lang w:eastAsia="zh-CN"/>
              </w:rPr>
              <w:t>）</w:t>
            </w:r>
          </w:p>
        </w:tc>
      </w:tr>
    </w:tbl>
    <w:p>
      <w:pPr>
        <w:rPr>
          <w:rFonts w:ascii="Times New Roman" w:hAnsi="Times New Roman" w:eastAsia="微软雅黑" w:cs="Times New Roman"/>
          <w:b/>
          <w:sz w:val="18"/>
          <w:highlight w:val="none"/>
          <w:shd w:val="clear" w:color="auto" w:fill="FFFFFF"/>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MSI阈值的划分参考结直肠癌组织样本与传统检测方法MSI毛细电泳PCR法进行验证，其中MSI score</w:t>
      </w:r>
      <w:r>
        <w:rPr>
          <w:rFonts w:hint="eastAsia" w:ascii="微软雅黑" w:hAnsi="微软雅黑" w:eastAsia="微软雅黑" w:cs="微软雅黑"/>
          <w:sz w:val="18"/>
          <w:highlight w:val="none"/>
          <w:shd w:val="clear" w:color="auto" w:fill="FFFFFF"/>
          <w:lang w:eastAsia="zh-CN"/>
        </w:rPr>
        <w:t>&lt;</w:t>
      </w:r>
      <w:r>
        <w:rPr>
          <w:rFonts w:ascii="Times New Roman" w:hAnsi="Times New Roman" w:eastAsia="微软雅黑" w:cs="Times New Roman"/>
          <w:sz w:val="18"/>
          <w:highlight w:val="none"/>
          <w:shd w:val="clear" w:color="auto" w:fill="FFFFFF"/>
          <w:lang w:eastAsia="zh-CN"/>
        </w:rPr>
        <w:t>0.1为微卫星稳定型，MSI score</w:t>
      </w:r>
      <w:r>
        <w:rPr>
          <w:rFonts w:hint="eastAsia" w:ascii="微软雅黑" w:hAnsi="微软雅黑" w:eastAsia="微软雅黑" w:cs="微软雅黑"/>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0.1为微卫星不稳定型。</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spacing w:before="29" w:line="360" w:lineRule="auto"/>
        <w:rPr>
          <w:rFonts w:ascii="Times New Roman" w:hAnsi="Times New Roman" w:eastAsia="微软雅黑" w:cs="Times New Roman"/>
          <w:b/>
          <w:color w:val="00B050"/>
          <w:sz w:val="24"/>
          <w:szCs w:val="24"/>
          <w:highlight w:val="none"/>
          <w:lang w:eastAsia="zh-CN"/>
        </w:rPr>
      </w:pPr>
      <w:bookmarkStart w:id="43" w:name="_Toc7307_WPSOffice_Level3"/>
      <w:r>
        <w:rPr>
          <w:rFonts w:ascii="Times New Roman" w:hAnsi="Times New Roman" w:eastAsia="微软雅黑" w:cs="Times New Roman"/>
          <w:b/>
          <w:color w:val="00B050"/>
          <w:sz w:val="24"/>
          <w:szCs w:val="24"/>
          <w:highlight w:val="none"/>
          <w:lang w:eastAsia="zh-CN"/>
        </w:rPr>
        <w:t>错配修复（MMR）相关基因检测结果</w:t>
      </w:r>
      <w:bookmarkEnd w:id="43"/>
    </w:p>
    <w:tbl>
      <w:tblPr>
        <w:tblStyle w:val="13"/>
        <w:tblpPr w:leftFromText="180" w:rightFromText="180" w:vertAnchor="text" w:horzAnchor="page" w:tblpX="1264" w:tblpY="132"/>
        <w:tblOverlap w:val="never"/>
        <w:tblW w:w="9425"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2240"/>
        <w:gridCol w:w="3050"/>
        <w:gridCol w:w="2044"/>
        <w:gridCol w:w="2091"/>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2240"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305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2044"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 xml:space="preserve"> 突变丰度</w:t>
            </w:r>
          </w:p>
        </w:tc>
        <w:tc>
          <w:tcPr>
            <w:tcW w:w="2091"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{%tr for dmmr in dMMRinfo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2240"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rPr>
            </w:pPr>
            <w:r>
              <w:rPr>
                <w:rFonts w:hint="eastAsia" w:ascii="Times New Roman" w:hAnsi="Times New Roman" w:eastAsia="微软雅黑" w:cs="Times New Roman"/>
                <w:sz w:val="21"/>
                <w:szCs w:val="21"/>
                <w:highlight w:val="none"/>
                <w:lang w:eastAsia="zh-CN"/>
              </w:rPr>
              <w:t>{{ dmmr.gene }}</w:t>
            </w:r>
          </w:p>
        </w:tc>
        <w:tc>
          <w:tcPr>
            <w:tcW w:w="305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dmmr.ori_variant}}</w:t>
            </w:r>
          </w:p>
        </w:tc>
        <w:tc>
          <w:tcPr>
            <w:tcW w:w="2044"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dmmr.mutFreq}}</w:t>
            </w:r>
          </w:p>
        </w:tc>
        <w:tc>
          <w:tcPr>
            <w:tcW w:w="2091"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dmmr.mut_type}}</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{%tr endfor %}</w:t>
            </w:r>
          </w:p>
        </w:tc>
      </w:tr>
    </w:tbl>
    <w:p>
      <w:pPr>
        <w:pStyle w:val="28"/>
        <w:tabs>
          <w:tab w:val="left" w:pos="1317"/>
        </w:tabs>
        <w:kinsoku w:val="0"/>
        <w:overflowPunct w:val="0"/>
        <w:spacing w:before="1" w:line="187" w:lineRule="auto"/>
        <w:ind w:left="0" w:right="1131" w:firstLine="0"/>
        <w:rPr>
          <w:rFonts w:ascii="微软雅黑" w:hAnsi="微软雅黑" w:eastAsia="微软雅黑"/>
          <w:sz w:val="18"/>
          <w:highlight w:val="none"/>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25194673]。</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一项临床研究表明，帕博利珠单抗用于dMMR/MSI-H的结直肠癌患者的客观缓解率（ORR）为36%，非结直肠癌患者的ORR为46%[FDA Reference ID:4389012]。基于该研究，FDA已批准帕博利珠单抗用于dMMR/MSI-H的治疗进展后没有合适的替代治疗方案的儿童或者成年实体瘤患者的治疗；或者氟尿嘧啶、奥沙利铂和伊立替康治疗后进展的结直肠癌患者的治疗。</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CheckMate 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错配修复基因的变异结果，如有功能影响突变，则判定为dMMR，若无则判定为pMMR。</w:t>
      </w:r>
    </w:p>
    <w:p>
      <w:pPr>
        <w:numPr>
          <w:ilvl w:val="0"/>
          <w:numId w:val="11"/>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本次检测仅限于基因水平突变检测，未进行IHC表达检测，仅供参考。</w:t>
      </w:r>
    </w:p>
    <w:p>
      <w:pPr>
        <w:numPr>
          <w:ilvl w:val="255"/>
          <w:numId w:val="0"/>
        </w:numPr>
        <w:rPr>
          <w:rFonts w:ascii="Times New Roman" w:hAnsi="Times New Roman" w:eastAsia="微软雅黑" w:cs="Times New Roman"/>
          <w:sz w:val="18"/>
          <w:highlight w:val="none"/>
          <w:shd w:val="clear" w:color="auto" w:fill="FFFFFF"/>
          <w:lang w:eastAsia="zh-CN"/>
        </w:rPr>
      </w:pPr>
    </w:p>
    <w:p>
      <w:pPr>
        <w:spacing w:before="29" w:line="360" w:lineRule="auto"/>
        <w:outlineLvl w:val="2"/>
        <w:rPr>
          <w:rFonts w:ascii="微软雅黑" w:hAnsi="微软雅黑" w:eastAsia="微软雅黑" w:cs="微软雅黑"/>
          <w:b/>
          <w:sz w:val="18"/>
          <w:szCs w:val="18"/>
          <w:highlight w:val="none"/>
          <w:shd w:val="clear" w:color="auto" w:fill="FFFFFF"/>
          <w:lang w:eastAsia="zh-CN" w:bidi="ar"/>
        </w:rPr>
      </w:pPr>
      <w:r>
        <w:rPr>
          <w:rFonts w:ascii="Times New Roman" w:hAnsi="Times New Roman" w:eastAsia="微软雅黑" w:cs="Times New Roman"/>
          <w:b/>
          <w:color w:val="00B050"/>
          <w:sz w:val="24"/>
          <w:szCs w:val="24"/>
          <w:highlight w:val="none"/>
          <w:lang w:eastAsia="zh-CN"/>
        </w:rPr>
        <w:br w:type="page"/>
      </w:r>
      <w:bookmarkStart w:id="44" w:name="OLE_LINK4"/>
      <w:r>
        <w:rPr>
          <w:rFonts w:ascii="Times New Roman" w:hAnsi="Times New Roman" w:eastAsia="微软雅黑" w:cs="Times New Roman"/>
          <w:b/>
          <w:color w:val="00B050"/>
          <w:sz w:val="24"/>
          <w:szCs w:val="24"/>
          <w:highlight w:val="none"/>
          <w:lang w:eastAsia="zh-CN" w:bidi="ar"/>
        </w:rPr>
        <w:t>免疫正相关基因检测结果</w:t>
      </w:r>
      <w:bookmarkEnd w:id="44"/>
    </w:p>
    <w:tbl>
      <w:tblPr>
        <w:tblStyle w:val="13"/>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338"/>
        <w:gridCol w:w="1182"/>
        <w:gridCol w:w="3432"/>
        <w:gridCol w:w="1860"/>
        <w:gridCol w:w="1914"/>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1338"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118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hint="eastAsia" w:ascii="Times New Roman" w:hAnsi="Times New Roman" w:eastAsia="微软雅黑" w:cs="Times New Roman"/>
                <w:b/>
                <w:color w:val="00B050"/>
                <w:sz w:val="21"/>
                <w:szCs w:val="21"/>
                <w:highlight w:val="none"/>
                <w:lang w:eastAsia="zh-CN"/>
              </w:rPr>
              <w:t>相关性</w:t>
            </w:r>
          </w:p>
        </w:tc>
        <w:tc>
          <w:tcPr>
            <w:tcW w:w="343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186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突变丰度</w:t>
            </w:r>
          </w:p>
        </w:tc>
        <w:tc>
          <w:tcPr>
            <w:tcW w:w="1914"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for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 xml:space="preserve"> in positiveImmnue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1338"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.gene }}</w:t>
            </w:r>
          </w:p>
        </w:tc>
        <w:tc>
          <w:tcPr>
            <w:tcW w:w="118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rFonts w:hint="default" w:ascii="Times New Roman" w:hAnsi="Times New Roman" w:eastAsia="微软雅黑" w:cs="Times New Roman"/>
                <w:sz w:val="21"/>
                <w:szCs w:val="21"/>
                <w:highlight w:val="none"/>
                <w:lang w:val="en-US" w:eastAsia="zh-CN"/>
              </w:rPr>
            </w:pPr>
            <w:r>
              <w:rPr>
                <w:rFonts w:hint="eastAsia" w:ascii="Times New Roman" w:hAnsi="Times New Roman" w:eastAsia="微软雅黑" w:cs="Times New Roman"/>
                <w:sz w:val="21"/>
                <w:szCs w:val="21"/>
                <w:highlight w:val="none"/>
                <w:lang w:val="en-US" w:eastAsia="zh-CN"/>
              </w:rPr>
              <w:t>正相关</w:t>
            </w:r>
          </w:p>
        </w:tc>
        <w:tc>
          <w:tcPr>
            <w:tcW w:w="343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.variant}}</w:t>
            </w:r>
          </w:p>
        </w:tc>
        <w:tc>
          <w:tcPr>
            <w:tcW w:w="186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.mutFreq}}</w:t>
            </w:r>
          </w:p>
        </w:tc>
        <w:tc>
          <w:tcPr>
            <w:tcW w:w="1914"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.ExonicFunc}}</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endfor %}</w:t>
            </w:r>
          </w:p>
        </w:tc>
      </w:tr>
    </w:tbl>
    <w:p>
      <w:pPr>
        <w:rPr>
          <w:rFonts w:ascii="微软雅黑" w:hAnsi="微软雅黑" w:eastAsia="微软雅黑" w:cs="微软雅黑"/>
          <w:b/>
          <w:sz w:val="18"/>
          <w:szCs w:val="18"/>
          <w:highlight w:val="none"/>
          <w:shd w:val="clear" w:color="auto" w:fill="FFFFFF"/>
          <w:lang w:eastAsia="zh-CN" w:bidi="ar"/>
        </w:rPr>
      </w:pPr>
    </w:p>
    <w:p>
      <w:pPr>
        <w:rPr>
          <w:rFonts w:ascii="微软雅黑" w:hAnsi="微软雅黑" w:eastAsia="微软雅黑" w:cs="微软雅黑"/>
          <w:b/>
          <w:sz w:val="18"/>
          <w:szCs w:val="18"/>
          <w:highlight w:val="none"/>
          <w:shd w:val="clear" w:color="auto" w:fill="FFFFFF"/>
          <w:lang w:eastAsia="zh-CN" w:bidi="ar"/>
        </w:rPr>
      </w:pPr>
      <w:r>
        <w:rPr>
          <w:rFonts w:ascii="微软雅黑" w:hAnsi="微软雅黑" w:eastAsia="微软雅黑" w:cs="微软雅黑"/>
          <w:b/>
          <w:sz w:val="18"/>
          <w:szCs w:val="18"/>
          <w:highlight w:val="none"/>
          <w:shd w:val="clear" w:color="auto" w:fill="FFFFFF"/>
          <w:lang w:eastAsia="zh-CN" w:bidi="ar"/>
        </w:rPr>
        <w:t xml:space="preserve">注: </w:t>
      </w:r>
    </w:p>
    <w:p>
      <w:pPr>
        <w:numPr>
          <w:ilvl w:val="0"/>
          <w:numId w:val="12"/>
        </w:numPr>
        <w:rPr>
          <w:rFonts w:ascii="Times New Roman" w:hAnsi="Times New Roman" w:eastAsia="微软雅黑" w:cs="Times New Roman"/>
          <w:sz w:val="18"/>
          <w:highlight w:val="none"/>
          <w:shd w:val="clear" w:color="auto" w:fill="FFFFFF"/>
          <w:lang w:eastAsia="zh-CN"/>
        </w:rPr>
      </w:pPr>
      <w:r>
        <w:rPr>
          <w:rFonts w:hint="eastAsia" w:ascii="Times New Roman" w:hAnsi="Times New Roman" w:eastAsia="微软雅黑" w:cs="Times New Roman"/>
          <w:sz w:val="18"/>
          <w:highlight w:val="none"/>
          <w:shd w:val="clear" w:color="auto" w:fill="FFFFFF"/>
          <w:lang w:val="en-US" w:eastAsia="zh-CN"/>
        </w:rPr>
        <w:t>DDR基因包括：ATM，ATR，BAP1，BLM，BRCA1，BRCA2，BRIP1，CHEK1，CHEK2，ERCC2，ERCC3，ERCC4，ERCC5，FANCA，FANCC，MRE11A，NBN，RAD50，RAD51，RAD51B，RAD51D，RAD54L。</w:t>
      </w:r>
    </w:p>
    <w:p>
      <w:pPr>
        <w:numPr>
          <w:ilvl w:val="0"/>
          <w:numId w:val="12"/>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表格中仅列出可能影响免疫疗效的突变。</w:t>
      </w:r>
    </w:p>
    <w:p>
      <w:pPr>
        <w:rPr>
          <w:rFonts w:ascii="微软雅黑" w:hAnsi="微软雅黑" w:eastAsia="微软雅黑" w:cs="微软雅黑"/>
          <w:sz w:val="18"/>
          <w:szCs w:val="18"/>
          <w:highlight w:val="none"/>
          <w:shd w:val="clear" w:color="auto" w:fill="FFFFFF"/>
          <w:lang w:eastAsia="zh-CN" w:bidi="ar"/>
        </w:rPr>
      </w:pPr>
      <w:r>
        <w:rPr>
          <w:rFonts w:ascii="微软雅黑" w:hAnsi="微软雅黑" w:eastAsia="微软雅黑" w:cs="微软雅黑"/>
          <w:sz w:val="18"/>
          <w:szCs w:val="18"/>
          <w:highlight w:val="none"/>
          <w:shd w:val="clear" w:color="auto" w:fill="FFFFFF"/>
          <w:lang w:eastAsia="zh-CN" w:bidi="ar"/>
        </w:rPr>
        <w:br w:type="page"/>
      </w:r>
    </w:p>
    <w:p>
      <w:pPr>
        <w:spacing w:before="29" w:line="360" w:lineRule="auto"/>
        <w:outlineLvl w:val="2"/>
        <w:rPr>
          <w:rFonts w:ascii="微软雅黑" w:hAnsi="微软雅黑" w:eastAsia="微软雅黑" w:cs="微软雅黑"/>
          <w:b/>
          <w:sz w:val="18"/>
          <w:szCs w:val="18"/>
          <w:highlight w:val="none"/>
          <w:shd w:val="clear" w:color="auto" w:fill="FFFFFF"/>
          <w:lang w:eastAsia="zh-CN" w:bidi="ar"/>
        </w:rPr>
      </w:pPr>
      <w:r>
        <w:rPr>
          <w:rFonts w:ascii="Times New Roman" w:hAnsi="Times New Roman" w:eastAsia="微软雅黑" w:cs="Times New Roman"/>
          <w:b/>
          <w:color w:val="00B050"/>
          <w:sz w:val="24"/>
          <w:szCs w:val="24"/>
          <w:highlight w:val="none"/>
          <w:lang w:eastAsia="zh-CN" w:bidi="ar"/>
        </w:rPr>
        <w:t>免疫</w:t>
      </w:r>
      <w:r>
        <w:rPr>
          <w:rFonts w:hint="eastAsia" w:ascii="Times New Roman" w:hAnsi="Times New Roman" w:eastAsia="微软雅黑" w:cs="Times New Roman"/>
          <w:b/>
          <w:color w:val="00B050"/>
          <w:sz w:val="24"/>
          <w:szCs w:val="24"/>
          <w:highlight w:val="none"/>
          <w:lang w:eastAsia="zh-CN" w:bidi="ar"/>
        </w:rPr>
        <w:t>负</w:t>
      </w:r>
      <w:r>
        <w:rPr>
          <w:rFonts w:ascii="Times New Roman" w:hAnsi="Times New Roman" w:eastAsia="微软雅黑" w:cs="Times New Roman"/>
          <w:b/>
          <w:color w:val="00B050"/>
          <w:sz w:val="24"/>
          <w:szCs w:val="24"/>
          <w:highlight w:val="none"/>
          <w:lang w:eastAsia="zh-CN" w:bidi="ar"/>
        </w:rPr>
        <w:t>相关基因检测结果</w:t>
      </w:r>
    </w:p>
    <w:tbl>
      <w:tblPr>
        <w:tblStyle w:val="13"/>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338"/>
        <w:gridCol w:w="1182"/>
        <w:gridCol w:w="3432"/>
        <w:gridCol w:w="1860"/>
        <w:gridCol w:w="1914"/>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1338"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118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hint="eastAsia" w:ascii="Times New Roman" w:hAnsi="Times New Roman" w:eastAsia="微软雅黑" w:cs="Times New Roman"/>
                <w:b/>
                <w:color w:val="00B050"/>
                <w:sz w:val="21"/>
                <w:szCs w:val="21"/>
                <w:highlight w:val="none"/>
                <w:lang w:eastAsia="zh-CN"/>
              </w:rPr>
              <w:t>相关性</w:t>
            </w:r>
          </w:p>
        </w:tc>
        <w:tc>
          <w:tcPr>
            <w:tcW w:w="343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186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突变丰度</w:t>
            </w:r>
          </w:p>
        </w:tc>
        <w:tc>
          <w:tcPr>
            <w:tcW w:w="1914"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for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 xml:space="preserve"> in negativeImmnue</w:t>
            </w:r>
            <w:r>
              <w:rPr>
                <w:rFonts w:hint="eastAsia" w:ascii="Times New Roman" w:hAnsi="Times New Roman" w:eastAsia="微软雅黑" w:cs="Times New Roman"/>
                <w:sz w:val="21"/>
                <w:szCs w:val="21"/>
                <w:highlight w:val="none"/>
                <w:lang w:val="en-US" w:eastAsia="zh-CN"/>
              </w:rPr>
              <w:t xml:space="preserve"> </w:t>
            </w:r>
            <w:r>
              <w:rPr>
                <w:rFonts w:hint="eastAsia" w:ascii="Times New Roman" w:hAnsi="Times New Roman" w:eastAsia="微软雅黑" w:cs="Times New Roman"/>
                <w:sz w:val="21"/>
                <w:szCs w:val="21"/>
                <w:highlight w:val="none"/>
                <w:lang w:eastAsia="zh-CN"/>
              </w:rPr>
              <w:t>%}</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1338"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.gene }}</w:t>
            </w:r>
          </w:p>
        </w:tc>
        <w:tc>
          <w:tcPr>
            <w:tcW w:w="118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负相关</w:t>
            </w:r>
          </w:p>
        </w:tc>
        <w:tc>
          <w:tcPr>
            <w:tcW w:w="343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.variant}}</w:t>
            </w:r>
          </w:p>
        </w:tc>
        <w:tc>
          <w:tcPr>
            <w:tcW w:w="186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.mutFreq}}</w:t>
            </w:r>
          </w:p>
        </w:tc>
        <w:tc>
          <w:tcPr>
            <w:tcW w:w="1914"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.ExonicFunc}}</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endfor %}</w:t>
            </w:r>
          </w:p>
        </w:tc>
      </w:tr>
    </w:tbl>
    <w:p>
      <w:pPr>
        <w:rPr>
          <w:rFonts w:ascii="微软雅黑" w:hAnsi="微软雅黑" w:eastAsia="微软雅黑" w:cs="微软雅黑"/>
          <w:b/>
          <w:sz w:val="18"/>
          <w:szCs w:val="18"/>
          <w:highlight w:val="none"/>
          <w:shd w:val="clear" w:color="auto" w:fill="FFFFFF"/>
          <w:lang w:eastAsia="zh-CN" w:bidi="ar"/>
        </w:rPr>
      </w:pPr>
    </w:p>
    <w:p>
      <w:pPr>
        <w:rPr>
          <w:rFonts w:ascii="微软雅黑" w:hAnsi="微软雅黑" w:eastAsia="微软雅黑" w:cs="微软雅黑"/>
          <w:b/>
          <w:sz w:val="18"/>
          <w:szCs w:val="18"/>
          <w:highlight w:val="none"/>
          <w:shd w:val="clear" w:color="auto" w:fill="FFFFFF"/>
          <w:lang w:eastAsia="zh-CN" w:bidi="ar"/>
        </w:rPr>
      </w:pPr>
      <w:r>
        <w:rPr>
          <w:rFonts w:ascii="微软雅黑" w:hAnsi="微软雅黑" w:eastAsia="微软雅黑" w:cs="微软雅黑"/>
          <w:b/>
          <w:sz w:val="18"/>
          <w:szCs w:val="18"/>
          <w:highlight w:val="none"/>
          <w:shd w:val="clear" w:color="auto" w:fill="FFFFFF"/>
          <w:lang w:eastAsia="zh-CN" w:bidi="ar"/>
        </w:rPr>
        <w:t xml:space="preserve">注: </w:t>
      </w:r>
    </w:p>
    <w:p>
      <w:pPr>
        <w:numPr>
          <w:ilvl w:val="0"/>
          <w:numId w:val="13"/>
        </w:numPr>
        <w:rPr>
          <w:rFonts w:ascii="Times New Roman" w:hAnsi="Times New Roman" w:eastAsia="微软雅黑" w:cs="Times New Roman"/>
          <w:sz w:val="18"/>
          <w:highlight w:val="none"/>
          <w:shd w:val="clear" w:color="auto" w:fill="FFFFFF"/>
          <w:lang w:eastAsia="zh-CN"/>
        </w:rPr>
      </w:pPr>
      <w:bookmarkStart w:id="45" w:name="_Toc6229"/>
      <w:r>
        <w:rPr>
          <w:rFonts w:hint="eastAsia" w:ascii="Times New Roman" w:hAnsi="Times New Roman" w:eastAsia="微软雅黑" w:cs="Times New Roman"/>
          <w:sz w:val="18"/>
          <w:highlight w:val="none"/>
          <w:shd w:val="clear" w:color="auto" w:fill="FFFFFF"/>
          <w:lang w:eastAsia="zh-CN"/>
        </w:rPr>
        <w:t>11q13</w:t>
      </w:r>
      <w:r>
        <w:rPr>
          <w:rFonts w:hint="eastAsia" w:ascii="Times New Roman" w:hAnsi="Times New Roman" w:eastAsia="微软雅黑" w:cs="Times New Roman"/>
          <w:sz w:val="18"/>
          <w:highlight w:val="none"/>
          <w:shd w:val="clear" w:color="auto" w:fill="FFFFFF"/>
          <w:lang w:val="en-US" w:eastAsia="zh-CN"/>
        </w:rPr>
        <w:t>包含基因CCND1，FGF3，FGF4，FGF19。</w:t>
      </w:r>
      <w:bookmarkEnd w:id="45"/>
    </w:p>
    <w:p>
      <w:pPr>
        <w:numPr>
          <w:ilvl w:val="0"/>
          <w:numId w:val="13"/>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表格中仅列出可能影响免疫疗效的突变。</w:t>
      </w:r>
    </w:p>
    <w:p>
      <w:pPr>
        <w:rPr>
          <w:rFonts w:ascii="微软雅黑" w:hAnsi="微软雅黑" w:eastAsia="微软雅黑" w:cs="微软雅黑"/>
          <w:sz w:val="18"/>
          <w:szCs w:val="18"/>
          <w:highlight w:val="none"/>
          <w:shd w:val="clear" w:color="auto" w:fill="FFFFFF"/>
          <w:lang w:eastAsia="zh-CN" w:bidi="ar"/>
        </w:rPr>
      </w:pPr>
      <w:r>
        <w:rPr>
          <w:rFonts w:ascii="微软雅黑" w:hAnsi="微软雅黑" w:eastAsia="微软雅黑" w:cs="微软雅黑"/>
          <w:sz w:val="18"/>
          <w:szCs w:val="18"/>
          <w:highlight w:val="none"/>
          <w:shd w:val="clear" w:color="auto" w:fill="FFFFFF"/>
          <w:lang w:eastAsia="zh-CN" w:bidi="ar"/>
        </w:rPr>
        <w:br w:type="page"/>
      </w:r>
    </w:p>
    <w:tbl>
      <w:tblPr>
        <w:tblStyle w:val="13"/>
        <w:tblpPr w:leftFromText="180" w:rightFromText="180" w:vertAnchor="text" w:horzAnchor="page" w:tblpX="1232" w:tblpY="28"/>
        <w:tblOverlap w:val="never"/>
        <w:tblW w:w="9622" w:type="dxa"/>
        <w:tblInd w:w="0" w:type="dxa"/>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59"/>
        <w:gridCol w:w="719"/>
        <w:gridCol w:w="1044"/>
        <w:gridCol w:w="720"/>
        <w:gridCol w:w="636"/>
        <w:gridCol w:w="612"/>
        <w:gridCol w:w="696"/>
        <w:gridCol w:w="576"/>
        <w:gridCol w:w="624"/>
        <w:gridCol w:w="720"/>
        <w:gridCol w:w="648"/>
        <w:gridCol w:w="636"/>
        <w:gridCol w:w="732"/>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9622" w:type="dxa"/>
            <w:gridSpan w:val="13"/>
            <w:tcBorders>
              <w:tl2br w:val="nil"/>
              <w:tr2bl w:val="nil"/>
            </w:tcBorders>
            <w:shd w:val="clear" w:color="auto" w:fill="11B052"/>
            <w:vAlign w:val="center"/>
          </w:tcPr>
          <w:p>
            <w:pPr>
              <w:spacing w:before="136"/>
              <w:ind w:left="8"/>
              <w:jc w:val="center"/>
              <w:rPr>
                <w:rFonts w:ascii="Times New Roman" w:hAnsi="Times New Roman" w:eastAsia="微软雅黑" w:cs="Times New Roman"/>
                <w:b/>
                <w:color w:val="FFFFFF"/>
                <w:highlight w:val="none"/>
                <w:lang w:eastAsia="zh-CN"/>
              </w:rPr>
            </w:pPr>
            <w:r>
              <w:rPr>
                <w:rFonts w:ascii="Times New Roman" w:hAnsi="Times New Roman" w:eastAsia="微软雅黑" w:cs="Times New Roman"/>
                <w:b/>
                <w:color w:val="FFFFFF"/>
                <w:highlight w:val="none"/>
                <w:lang w:eastAsia="zh-CN"/>
              </w:rPr>
              <w:t>目前各癌种已批准的免疫治疗药物（截止 202</w:t>
            </w:r>
            <w:r>
              <w:rPr>
                <w:rFonts w:hint="eastAsia" w:ascii="Times New Roman" w:hAnsi="Times New Roman" w:eastAsia="微软雅黑" w:cs="Times New Roman"/>
                <w:b/>
                <w:color w:val="FFFFFF"/>
                <w:highlight w:val="none"/>
                <w:lang w:eastAsia="zh-CN"/>
              </w:rPr>
              <w:t>1</w:t>
            </w:r>
            <w:r>
              <w:rPr>
                <w:rFonts w:ascii="Times New Roman" w:hAnsi="Times New Roman" w:eastAsia="微软雅黑" w:cs="Times New Roman"/>
                <w:b/>
                <w:color w:val="FFFFFF"/>
                <w:highlight w:val="none"/>
                <w:shd w:val="clear"/>
                <w:lang w:eastAsia="zh-CN"/>
              </w:rPr>
              <w:t>.</w:t>
            </w:r>
            <w:r>
              <w:rPr>
                <w:rFonts w:hint="eastAsia" w:ascii="Times New Roman" w:hAnsi="Times New Roman" w:eastAsia="微软雅黑" w:cs="Times New Roman"/>
                <w:b/>
                <w:color w:val="FFFFFF"/>
                <w:shd w:val="clear"/>
                <w:lang w:eastAsia="zh-CN"/>
              </w:rPr>
              <w:t>0</w:t>
            </w:r>
            <w:r>
              <w:rPr>
                <w:rFonts w:hint="eastAsia" w:ascii="Times New Roman" w:hAnsi="Times New Roman" w:eastAsia="微软雅黑" w:cs="Times New Roman"/>
                <w:b/>
                <w:color w:val="FFFFFF"/>
                <w:shd w:val="clear"/>
                <w:lang w:val="en-US" w:eastAsia="zh-CN"/>
              </w:rPr>
              <w:t>7</w:t>
            </w:r>
            <w:r>
              <w:rPr>
                <w:rFonts w:hint="eastAsia" w:ascii="Times New Roman" w:hAnsi="Times New Roman" w:eastAsia="微软雅黑" w:cs="Times New Roman"/>
                <w:b/>
                <w:color w:val="FFFFFF" w:themeColor="background1"/>
                <w:shd w:val="clear"/>
                <w:lang w:eastAsia="zh-CN"/>
                <w14:textFill>
                  <w14:solidFill>
                    <w14:schemeClr w14:val="bg1"/>
                  </w14:solidFill>
                </w14:textFill>
              </w:rPr>
              <w:t>.</w:t>
            </w:r>
            <w:r>
              <w:rPr>
                <w:rFonts w:hint="eastAsia" w:ascii="Times New Roman" w:hAnsi="Times New Roman" w:eastAsia="微软雅黑" w:cs="Times New Roman"/>
                <w:b/>
                <w:color w:val="FFFFFF" w:themeColor="background1"/>
                <w:shd w:val="clear"/>
                <w:lang w:val="en-US" w:eastAsia="zh-CN"/>
                <w14:textFill>
                  <w14:solidFill>
                    <w14:schemeClr w14:val="bg1"/>
                  </w14:solidFill>
                </w14:textFill>
              </w:rPr>
              <w:t>01</w:t>
            </w:r>
            <w:r>
              <w:rPr>
                <w:rFonts w:ascii="Times New Roman" w:hAnsi="Times New Roman" w:eastAsia="微软雅黑" w:cs="Times New Roman"/>
                <w:b/>
                <w:color w:val="FFFFFF"/>
                <w:highlight w:val="none"/>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商品名</w:t>
            </w:r>
          </w:p>
        </w:tc>
        <w:tc>
          <w:tcPr>
            <w:tcW w:w="719" w:type="dxa"/>
            <w:tcBorders>
              <w:tl2br w:val="nil"/>
              <w:tr2bl w:val="nil"/>
            </w:tcBorders>
            <w:shd w:val="clear" w:color="auto" w:fill="11B052"/>
            <w:vAlign w:val="center"/>
          </w:tcPr>
          <w:p>
            <w:pPr>
              <w:spacing w:line="240" w:lineRule="exact"/>
              <w:ind w:left="9"/>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Opdivo</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Keytruda</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Tecentriq</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Bavencio</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Imfinz</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Libtayo</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拓益</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达伯舒</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艾瑞卡</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Yervoy</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hint="eastAsia" w:eastAsia="微软雅黑"/>
                <w:b/>
                <w:color w:val="FFFFFF"/>
                <w:sz w:val="18"/>
                <w:highlight w:val="none"/>
              </w:rPr>
              <w:t>百泽安</w:t>
            </w:r>
          </w:p>
        </w:tc>
        <w:tc>
          <w:tcPr>
            <w:tcW w:w="732" w:type="dxa"/>
            <w:tcBorders>
              <w:tl2br w:val="nil"/>
              <w:tr2bl w:val="nil"/>
            </w:tcBorders>
            <w:shd w:val="clear" w:color="auto" w:fill="11B052"/>
            <w:vAlign w:val="center"/>
          </w:tcPr>
          <w:p>
            <w:pPr>
              <w:spacing w:line="240" w:lineRule="exact"/>
              <w:ind w:left="8" w:leftChars="0"/>
              <w:jc w:val="center"/>
              <w:rPr>
                <w:rFonts w:hint="eastAsia" w:eastAsia="微软雅黑"/>
                <w:b/>
                <w:color w:val="FFFFFF"/>
                <w:sz w:val="18"/>
                <w:highlight w:val="none"/>
              </w:rPr>
            </w:pPr>
            <w:r>
              <w:rPr>
                <w:rFonts w:hint="eastAsia" w:ascii="Times New Roman" w:hAnsi="Times New Roman" w:eastAsia="微软雅黑" w:cs="Times New Roman"/>
                <w:b/>
                <w:color w:val="FFFFFF"/>
                <w:sz w:val="18"/>
                <w:highlight w:val="none"/>
              </w:rPr>
              <w:t>Jemperli</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药物名称</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Nivolumab</w:t>
            </w:r>
          </w:p>
        </w:tc>
        <w:tc>
          <w:tcPr>
            <w:tcW w:w="1044" w:type="dxa"/>
            <w:tcBorders>
              <w:tl2br w:val="nil"/>
              <w:tr2bl w:val="nil"/>
            </w:tcBorders>
            <w:shd w:val="clear" w:color="auto" w:fill="11B052"/>
            <w:vAlign w:val="center"/>
          </w:tcPr>
          <w:p>
            <w:pPr>
              <w:spacing w:line="240" w:lineRule="exact"/>
              <w:ind w:left="101"/>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Pembrolizumab</w:t>
            </w:r>
          </w:p>
        </w:tc>
        <w:tc>
          <w:tcPr>
            <w:tcW w:w="720"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Atezolizumab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Avelumab</w:t>
            </w:r>
          </w:p>
        </w:tc>
        <w:tc>
          <w:tcPr>
            <w:tcW w:w="612"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Durvalumab</w:t>
            </w:r>
          </w:p>
        </w:tc>
        <w:tc>
          <w:tcPr>
            <w:tcW w:w="69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Cemiplimab-rwlc</w:t>
            </w:r>
          </w:p>
        </w:tc>
        <w:tc>
          <w:tcPr>
            <w:tcW w:w="57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Toripalimab</w:t>
            </w:r>
          </w:p>
        </w:tc>
        <w:tc>
          <w:tcPr>
            <w:tcW w:w="624"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Sintilimab</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Camrelizumab</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Ipilimumab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Tislelizumab</w:t>
            </w: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hint="eastAsia" w:ascii="Times New Roman" w:hAnsi="Times New Roman" w:eastAsia="微软雅黑" w:cs="Times New Roman"/>
                <w:b/>
                <w:color w:val="FFFFFF"/>
                <w:sz w:val="18"/>
                <w:highlight w:val="none"/>
              </w:rPr>
              <w:t>Dostarlimab</w:t>
            </w:r>
            <w:r>
              <w:rPr>
                <w:rFonts w:hint="eastAsia" w:ascii="Times New Roman" w:hAnsi="Times New Roman" w:eastAsia="微软雅黑" w:cs="Times New Roman"/>
                <w:b/>
                <w:color w:val="FFFFFF"/>
                <w:sz w:val="18"/>
                <w:highlight w:val="none"/>
              </w:rPr>
              <w:tab/>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93" w:right="74"/>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中文译名</w:t>
            </w:r>
          </w:p>
          <w:p>
            <w:pPr>
              <w:spacing w:line="240" w:lineRule="exact"/>
              <w:ind w:left="93"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（参考）</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纳武利尤单抗</w:t>
            </w:r>
          </w:p>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（欧狄沃）</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帕博利珠单抗</w:t>
            </w:r>
          </w:p>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（可瑞达）</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阿替利珠单抗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暂无</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度伐利尤单抗</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暂无</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特瑞普利单抗</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信迪利单抗</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卡瑞利珠单抗</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伊匹单抗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hint="eastAsia" w:eastAsia="微软雅黑"/>
                <w:b/>
                <w:color w:val="FFFFFF"/>
                <w:sz w:val="18"/>
                <w:highlight w:val="none"/>
              </w:rPr>
              <w:t>替雷利珠单抗</w:t>
            </w:r>
          </w:p>
          <w:p>
            <w:pPr>
              <w:spacing w:line="240" w:lineRule="exact"/>
              <w:ind w:left="8"/>
              <w:jc w:val="center"/>
              <w:rPr>
                <w:rFonts w:ascii="Times New Roman" w:hAnsi="Times New Roman" w:eastAsia="微软雅黑" w:cs="Times New Roman"/>
                <w:b/>
                <w:color w:val="FFFFFF"/>
                <w:sz w:val="18"/>
                <w:highlight w:val="none"/>
              </w:rPr>
            </w:pP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hint="eastAsia" w:ascii="Times New Roman" w:hAnsi="Times New Roman" w:eastAsia="微软雅黑" w:cs="Times New Roman"/>
                <w:b/>
                <w:color w:val="FFFFFF"/>
                <w:sz w:val="18"/>
                <w:highlight w:val="none"/>
              </w:rPr>
              <w:t>Dostarlimab</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20"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靶点</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CTLA-4</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黑色素瘤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非小细胞肺癌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96" w:type="dxa"/>
            <w:tcBorders>
              <w:tl2br w:val="nil"/>
              <w:tr2bl w:val="nil"/>
            </w:tcBorders>
            <w:shd w:val="clear" w:color="auto" w:fill="auto"/>
            <w:vAlign w:val="center"/>
          </w:tcPr>
          <w:p>
            <w:pPr>
              <w:spacing w:line="240" w:lineRule="exact"/>
              <w:jc w:val="center"/>
              <w:rPr>
                <w:rFonts w:hint="default" w:ascii="Times New Roman" w:hAnsi="Times New Roman" w:eastAsia="微软雅黑" w:cs="Times New Roman"/>
                <w:sz w:val="18"/>
                <w:highlight w:val="none"/>
                <w:lang w:val="en-US" w:eastAsia="zh-CN"/>
              </w:rPr>
            </w:pPr>
            <w:r>
              <w:rPr>
                <w:rFonts w:hint="eastAsia" w:ascii="Times New Roman" w:hAnsi="Times New Roman" w:eastAsia="微软雅黑" w:cs="Times New Roman"/>
                <w:sz w:val="18"/>
                <w:highlight w:val="none"/>
                <w:lang w:val="en-US" w:eastAsia="zh-CN"/>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肾细胞癌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777"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经典型霍奇金淋巴瘤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头颈癌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尿路上皮癌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默克尔细胞癌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814"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具有MSI-H、TMB-H特征的实体瘤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皮肤鳞状细胞癌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胃癌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宫颈癌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结直肠癌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肝细胞癌</w:t>
            </w:r>
          </w:p>
        </w:tc>
        <w:tc>
          <w:tcPr>
            <w:tcW w:w="719"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color w:val="auto"/>
                <w:sz w:val="18"/>
                <w:highlight w:val="none"/>
                <w:shd w:val="clear"/>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小细胞肺癌</w:t>
            </w:r>
          </w:p>
        </w:tc>
        <w:tc>
          <w:tcPr>
            <w:tcW w:w="719"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104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局部晚期或转移性三阴性乳腺癌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食管癌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 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非霍奇金淋巴瘤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子宫内膜癌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hint="eastAsia" w:ascii="Times New Roman" w:hAnsi="Times New Roman" w:eastAsia="微软雅黑" w:cs="Times New Roman"/>
                <w:sz w:val="18"/>
                <w:highlight w:val="none"/>
                <w:lang w:eastAsia="zh-CN"/>
              </w:rPr>
              <w:t>胸膜间皮瘤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基底细胞癌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leftChars="0"/>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鼻咽癌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b/>
                <w:bCs/>
                <w:sz w:val="18"/>
                <w:szCs w:val="22"/>
                <w:highlight w:val="none"/>
                <w:lang w:val="en-US" w:eastAsia="en-US" w:bidi="ar-SA"/>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leftChars="0"/>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胃食管结合腺癌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szCs w:val="22"/>
                <w:highlight w:val="none"/>
                <w:lang w:val="en-US" w:eastAsia="zh-CN" w:bidi="ar-SA"/>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F</w:t>
            </w:r>
            <w:r>
              <w:rPr>
                <w:rFonts w:ascii="Times New Roman" w:hAnsi="Times New Roman" w:eastAsia="微软雅黑" w:cs="Times New Roman"/>
                <w:sz w:val="18"/>
                <w:highlight w:val="none"/>
                <w:lang w:eastAsia="zh-CN"/>
              </w:rPr>
              <w:t>DA</w:t>
            </w:r>
          </w:p>
        </w:tc>
        <w:tc>
          <w:tcPr>
            <w:tcW w:w="720"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3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12"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9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57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2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720"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48"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36" w:type="dxa"/>
            <w:tcBorders>
              <w:tl2br w:val="nil"/>
              <w:tr2bl w:val="nil"/>
            </w:tcBorders>
            <w:vAlign w:val="center"/>
          </w:tcPr>
          <w:p>
            <w:pPr>
              <w:spacing w:line="240" w:lineRule="exact"/>
              <w:ind w:left="8" w:lef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732" w:type="dxa"/>
            <w:tcBorders>
              <w:tl2br w:val="nil"/>
              <w:tr2bl w:val="nil"/>
            </w:tcBorders>
            <w:vAlign w:val="center"/>
          </w:tcPr>
          <w:p>
            <w:pPr>
              <w:spacing w:line="240" w:lineRule="exact"/>
              <w:ind w:left="8" w:leftChars="0"/>
              <w:jc w:val="center"/>
              <w:rPr>
                <w:rFonts w:hint="eastAsia"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rPr>
              <w:t>/</w:t>
            </w:r>
          </w:p>
        </w:tc>
      </w:tr>
    </w:tbl>
    <w:p>
      <w:p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lang w:eastAsia="zh-CN"/>
        </w:rPr>
        <w:t>注：</w:t>
      </w:r>
      <w:r>
        <w:rPr>
          <w:rFonts w:hint="eastAsia" w:ascii="Times New Roman" w:hAnsi="Times New Roman" w:eastAsia="微软雅黑" w:cs="Times New Roman"/>
          <w:sz w:val="18"/>
          <w:szCs w:val="18"/>
          <w:highlight w:val="none"/>
          <w:lang w:eastAsia="zh-CN"/>
        </w:rPr>
        <w:t>表中已获批药物包括单药获批药物和联药获批药物。信息来源：FDA/NMPA官网、药企官网发布信息</w:t>
      </w:r>
      <w:r>
        <w:rPr>
          <w:rFonts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shd w:val="clear" w:color="auto" w:fill="FFFFFF"/>
          <w:lang w:eastAsia="zh-CN"/>
        </w:rPr>
        <w:br w:type="page"/>
      </w:r>
    </w:p>
    <w:p>
      <w:pPr>
        <w:pStyle w:val="3"/>
        <w:rPr>
          <w:highlight w:val="none"/>
          <w:lang w:eastAsia="zh-CN"/>
        </w:rPr>
      </w:pPr>
      <w:bookmarkStart w:id="46" w:name="_Hlk516758315"/>
      <w:bookmarkStart w:id="47" w:name="_Toc10743"/>
      <w:bookmarkStart w:id="48" w:name="_Toc19898_WPSOffice_Level2"/>
      <w:bookmarkStart w:id="49" w:name="_Toc24038"/>
      <w:bookmarkStart w:id="50" w:name="_Toc19810"/>
      <w:bookmarkStart w:id="51" w:name="_Toc26606"/>
      <w:bookmarkStart w:id="52" w:name="_Toc13489_WPSOffice_Level2"/>
      <w:r>
        <w:rPr>
          <w:highlight w:val="none"/>
          <w:lang w:eastAsia="zh-CN"/>
        </w:rPr>
        <w:t>肿瘤遗传</w:t>
      </w:r>
      <w:bookmarkEnd w:id="46"/>
      <w:r>
        <w:rPr>
          <w:highlight w:val="none"/>
          <w:lang w:eastAsia="zh-CN"/>
        </w:rPr>
        <w:t>风险检测</w:t>
      </w:r>
      <w:bookmarkEnd w:id="47"/>
      <w:bookmarkEnd w:id="48"/>
      <w:bookmarkEnd w:id="49"/>
      <w:bookmarkEnd w:id="50"/>
      <w:bookmarkEnd w:id="51"/>
      <w:bookmarkEnd w:id="52"/>
    </w:p>
    <w:p>
      <w:pPr>
        <w:spacing w:before="188" w:line="252" w:lineRule="auto"/>
        <w:ind w:left="113" w:right="213" w:firstLine="476"/>
        <w:jc w:val="both"/>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共检出{{summaryOfRresults.crAllListSize}}个胚系突变，其中{{summaryOfRresults.hasPathogenicityCount}}个为致病/可能致病性突变</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。如果您有家族遗传史，可联系我们做进一步的检测。具体信息见“遗传变异解析”。</w:t>
      </w:r>
    </w:p>
    <w:p>
      <w:pPr>
        <w:spacing w:before="5" w:line="240" w:lineRule="exact"/>
        <w:rPr>
          <w:rFonts w:ascii="Times New Roman" w:hAnsi="Times New Roman" w:eastAsia="微软雅黑" w:cs="Times New Roman"/>
          <w:sz w:val="24"/>
          <w:szCs w:val="24"/>
          <w:highlight w:val="none"/>
          <w:lang w:eastAsia="zh-CN"/>
        </w:rPr>
      </w:pPr>
    </w:p>
    <w:p>
      <w:pPr>
        <w:spacing w:before="1" w:line="180" w:lineRule="exact"/>
        <w:rPr>
          <w:rFonts w:ascii="Times New Roman" w:hAnsi="Times New Roman" w:eastAsia="微软雅黑" w:cs="Times New Roman"/>
          <w:sz w:val="18"/>
          <w:szCs w:val="18"/>
          <w:highlight w:val="none"/>
          <w:lang w:eastAsia="zh-CN"/>
        </w:rPr>
      </w:pPr>
    </w:p>
    <w:tbl>
      <w:tblPr>
        <w:tblStyle w:val="19"/>
        <w:tblW w:w="9735" w:type="dxa"/>
        <w:tblInd w:w="113"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39"/>
        <w:gridCol w:w="814"/>
        <w:gridCol w:w="814"/>
        <w:gridCol w:w="1131"/>
        <w:gridCol w:w="1134"/>
        <w:gridCol w:w="1134"/>
        <w:gridCol w:w="1134"/>
        <w:gridCol w:w="992"/>
        <w:gridCol w:w="1343"/>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449" w:hRule="exact"/>
        </w:trPr>
        <w:tc>
          <w:tcPr>
            <w:tcW w:w="1239"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基因</w:t>
            </w:r>
          </w:p>
        </w:tc>
        <w:tc>
          <w:tcPr>
            <w:tcW w:w="81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染色体</w:t>
            </w:r>
          </w:p>
        </w:tc>
        <w:tc>
          <w:tcPr>
            <w:tcW w:w="81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外显子</w:t>
            </w:r>
          </w:p>
        </w:tc>
        <w:tc>
          <w:tcPr>
            <w:tcW w:w="1131"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核苷酸</w:t>
            </w:r>
          </w:p>
        </w:tc>
        <w:tc>
          <w:tcPr>
            <w:tcW w:w="113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氨基酸</w:t>
            </w:r>
          </w:p>
        </w:tc>
        <w:tc>
          <w:tcPr>
            <w:tcW w:w="1134" w:type="dxa"/>
            <w:shd w:val="clear" w:color="auto" w:fill="FFFFFF" w:themeFill="background1"/>
            <w:vAlign w:val="center"/>
          </w:tcPr>
          <w:p>
            <w:pPr>
              <w:pStyle w:val="18"/>
              <w:spacing w:line="227"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pacing w:val="-1"/>
                <w:sz w:val="18"/>
                <w:szCs w:val="18"/>
                <w:highlight w:val="none"/>
              </w:rPr>
              <w:t>杂合/纯合</w:t>
            </w:r>
          </w:p>
        </w:tc>
        <w:tc>
          <w:tcPr>
            <w:tcW w:w="1134"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突变类型</w:t>
            </w:r>
          </w:p>
        </w:tc>
        <w:tc>
          <w:tcPr>
            <w:tcW w:w="992"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千人频率</w:t>
            </w:r>
          </w:p>
        </w:tc>
        <w:tc>
          <w:tcPr>
            <w:tcW w:w="1343" w:type="dxa"/>
            <w:shd w:val="clear" w:color="auto" w:fill="FFFFFF" w:themeFill="background1"/>
            <w:vAlign w:val="center"/>
          </w:tcPr>
          <w:p>
            <w:pPr>
              <w:pStyle w:val="18"/>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if crCheckLineStr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for cr in crCheckLineStr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highlight w:val="none"/>
                <w:lang w:eastAsia="zh-CN"/>
              </w:rPr>
              <w:t>{{ cr.Gene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cr.Chr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 }}</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cr.pHGVS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cr.Zygosity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cr.ExonicFunc }}</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cr.c1000g2015aug_all }}</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451" w:hRule="atLeast"/>
        </w:trPr>
        <w:tc>
          <w:tcPr>
            <w:tcW w:w="9735" w:type="dxa"/>
            <w:gridSpan w:val="9"/>
            <w:shd w:val="clear" w:color="auto" w:fill="F1F1F1" w:themeFill="background1" w:themeFillShade="F2"/>
            <w:vAlign w:val="center"/>
          </w:tcPr>
          <w:p>
            <w:pPr>
              <w:tabs>
                <w:tab w:val="left" w:pos="4117"/>
              </w:tabs>
              <w:spacing w:before="20"/>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ab/>
            </w:r>
            <w:r>
              <w:rPr>
                <w:rFonts w:hint="eastAsia" w:ascii="Times New Roman" w:hAnsi="Times New Roman" w:eastAsia="微软雅黑" w:cs="Times New Roman"/>
                <w:sz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endif %}</w:t>
            </w:r>
          </w:p>
        </w:tc>
      </w:tr>
    </w:tbl>
    <w:p>
      <w:pPr>
        <w:spacing w:before="4" w:line="240" w:lineRule="exact"/>
        <w:rPr>
          <w:rFonts w:ascii="Times New Roman" w:hAnsi="Times New Roman" w:eastAsia="微软雅黑" w:cs="Times New Roman"/>
          <w:sz w:val="24"/>
          <w:szCs w:val="24"/>
          <w:highlight w:val="none"/>
        </w:rPr>
      </w:pPr>
    </w:p>
    <w:p>
      <w:pPr>
        <w:spacing w:before="47"/>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pPr>
        <w:pStyle w:val="20"/>
        <w:numPr>
          <w:ilvl w:val="0"/>
          <w:numId w:val="14"/>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本报告只给出千人频率均在2%以下的胚系非同义突变。</w:t>
      </w:r>
    </w:p>
    <w:p>
      <w:pPr>
        <w:pStyle w:val="20"/>
        <w:numPr>
          <w:ilvl w:val="0"/>
          <w:numId w:val="14"/>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根据美国医学遗传医师学会（ACMG）指导意见，个体携带的变异，分为5个大类：</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致病性变异：有大量证据表明这种变异是高风险的致病性变异。</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可能致病性变异：有一些证据表明这种变异是高风险的致病性变异。</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不确定性变异：没有足够的证据，将变异分类到其他四类中。</w:t>
      </w:r>
    </w:p>
    <w:p>
      <w:pPr>
        <w:numPr>
          <w:ilvl w:val="0"/>
          <w:numId w:val="15"/>
        </w:numPr>
        <w:rPr>
          <w:rFonts w:ascii="Times New Roman" w:hAnsi="Times New Roman" w:eastAsia="微软雅黑" w:cs="Times New Roman"/>
          <w:sz w:val="18"/>
          <w:szCs w:val="18"/>
          <w:highlight w:val="none"/>
          <w:lang w:val="zh-CN" w:eastAsia="zh-CN"/>
        </w:rPr>
      </w:pPr>
      <w:r>
        <w:rPr>
          <w:rFonts w:ascii="Times New Roman" w:hAnsi="Times New Roman" w:eastAsia="微软雅黑" w:cs="Times New Roman"/>
          <w:sz w:val="18"/>
          <w:szCs w:val="18"/>
          <w:highlight w:val="none"/>
          <w:lang w:eastAsia="zh-CN"/>
        </w:rPr>
        <w:t>可能良性</w:t>
      </w:r>
      <w:r>
        <w:rPr>
          <w:rFonts w:ascii="Times New Roman" w:hAnsi="Times New Roman" w:eastAsia="微软雅黑" w:cs="Times New Roman"/>
          <w:sz w:val="18"/>
          <w:szCs w:val="18"/>
          <w:highlight w:val="none"/>
          <w:lang w:val="zh-CN" w:eastAsia="zh-CN"/>
        </w:rPr>
        <w:t>变异：有一些证据表明这种变异不是高风险的致病变异。</w:t>
      </w:r>
    </w:p>
    <w:p>
      <w:pPr>
        <w:numPr>
          <w:ilvl w:val="0"/>
          <w:numId w:val="15"/>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良性</w:t>
      </w:r>
      <w:r>
        <w:rPr>
          <w:rFonts w:ascii="Times New Roman" w:hAnsi="Times New Roman" w:eastAsia="微软雅黑" w:cs="Times New Roman"/>
          <w:sz w:val="18"/>
          <w:szCs w:val="18"/>
          <w:highlight w:val="none"/>
          <w:lang w:val="zh-CN" w:eastAsia="zh-CN"/>
        </w:rPr>
        <w:t>变异：有大量证据表明这种变异不是高风险的致病变异。</w:t>
      </w:r>
    </w:p>
    <w:p>
      <w:pPr>
        <w:rPr>
          <w:rFonts w:ascii="Times New Roman" w:hAnsi="Times New Roman" w:eastAsia="微软雅黑" w:cs="Times New Roman"/>
          <w:sz w:val="18"/>
          <w:szCs w:val="18"/>
          <w:highlight w:val="none"/>
          <w:lang w:eastAsia="zh-CN"/>
        </w:rPr>
      </w:pPr>
    </w:p>
    <w:p>
      <w:pPr>
        <w:widowControl/>
        <w:rPr>
          <w:rFonts w:ascii="Times New Roman" w:hAnsi="Times New Roman" w:eastAsia="微软雅黑" w:cs="Times New Roman"/>
          <w:bCs/>
          <w:highlight w:val="none"/>
          <w:lang w:eastAsia="zh-CN"/>
        </w:rPr>
      </w:pPr>
      <w:r>
        <w:rPr>
          <w:rFonts w:ascii="Times New Roman" w:hAnsi="Times New Roman" w:eastAsia="微软雅黑" w:cs="Times New Roman"/>
          <w:b/>
          <w:bCs/>
          <w:highlight w:val="none"/>
          <w:lang w:eastAsia="zh-CN"/>
        </w:rPr>
        <w:br w:type="page"/>
      </w:r>
    </w:p>
    <w:p>
      <w:pPr>
        <w:pStyle w:val="21"/>
        <w:rPr>
          <w:highlight w:val="none"/>
        </w:rPr>
      </w:pPr>
      <w:bookmarkStart w:id="53" w:name="_Toc32443_WPSOffice_Level1"/>
      <w:bookmarkStart w:id="54" w:name="_Toc4331_WPSOffice_Level1"/>
      <w:bookmarkStart w:id="55" w:name="_Toc25727"/>
      <w:bookmarkStart w:id="56" w:name="_Toc180"/>
      <w:bookmarkStart w:id="57" w:name="_Toc26380"/>
      <w:bookmarkStart w:id="58" w:name="_Toc23846_WPSOffice_Level1"/>
      <w:bookmarkStart w:id="59" w:name="_Toc23903"/>
      <w:r>
        <w:rPr>
          <w:highlight w:val="none"/>
        </w:rPr>
        <w:t>基因检测结果解析</w:t>
      </w:r>
      <w:bookmarkEnd w:id="53"/>
      <w:bookmarkEnd w:id="54"/>
      <w:bookmarkEnd w:id="55"/>
      <w:bookmarkEnd w:id="56"/>
      <w:bookmarkEnd w:id="57"/>
      <w:bookmarkEnd w:id="58"/>
      <w:bookmarkEnd w:id="59"/>
    </w:p>
    <w:p>
      <w:pPr>
        <w:rPr>
          <w:highlight w:val="none"/>
          <w:lang w:eastAsia="zh-CN"/>
        </w:rPr>
      </w:pPr>
      <w:r>
        <w:rPr>
          <w:rFonts w:hint="eastAsia" w:ascii="Times New Roman" w:hAnsi="Times New Roman" w:eastAsia="微软雅黑" w:cs="Times New Roman"/>
          <w:b/>
          <w:color w:val="45A3A7"/>
          <w:sz w:val="24"/>
          <w:szCs w:val="24"/>
          <w:highlight w:val="none"/>
          <w:lang w:eastAsia="zh-CN"/>
        </w:rPr>
        <w:t>{% if drugAnalysisIndex == 'true' %}</w:t>
      </w:r>
    </w:p>
    <w:p>
      <w:pPr>
        <w:pStyle w:val="22"/>
        <w:rPr>
          <w:highlight w:val="none"/>
        </w:rPr>
      </w:pPr>
      <w:bookmarkStart w:id="60" w:name="_Toc32443_WPSOffice_Level2"/>
      <w:bookmarkStart w:id="61" w:name="_Toc14468"/>
      <w:bookmarkStart w:id="62" w:name="_Toc23606"/>
      <w:bookmarkStart w:id="63" w:name="_Toc4331_WPSOffice_Level2"/>
      <w:bookmarkStart w:id="64" w:name="_Toc32302"/>
      <w:bookmarkStart w:id="65" w:name="_Toc26395"/>
      <w:r>
        <w:rPr>
          <w:rFonts w:hint="eastAsia"/>
          <w:highlight w:val="none"/>
        </w:rPr>
        <w:t>靶向药物检测解析</w:t>
      </w:r>
      <w:bookmarkEnd w:id="60"/>
      <w:bookmarkEnd w:id="61"/>
      <w:bookmarkEnd w:id="62"/>
      <w:bookmarkEnd w:id="63"/>
      <w:bookmarkEnd w:id="64"/>
    </w:p>
    <w:p>
      <w:pPr>
        <w:keepNext/>
        <w:spacing w:before="120" w:beforeLines="50" w:after="120" w:afterLines="50"/>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xml:space="preserve">{%tr if tdd.gene == </w:t>
            </w:r>
            <w:r>
              <w:rPr>
                <w:rFonts w:ascii="Times New Roman" w:hAnsi="Times New Roman" w:eastAsia="微软雅黑" w:cs="Times New Roman"/>
                <w:bCs/>
                <w:sz w:val="18"/>
                <w:szCs w:val="18"/>
                <w:highlight w:val="none"/>
                <w:lang w:eastAsia="zh-CN"/>
              </w:rPr>
              <w:t>‘</w:t>
            </w:r>
            <w:r>
              <w:rPr>
                <w:rFonts w:ascii="Times New Roman" w:hAnsi="Times New Roman" w:eastAsia="微软雅黑" w:cs="Times New Roman"/>
                <w:sz w:val="18"/>
                <w:szCs w:val="18"/>
                <w:highlight w:val="none"/>
                <w:lang w:eastAsia="zh-CN"/>
              </w:rPr>
              <w:t>多靶点循证</w:t>
            </w:r>
            <w:r>
              <w:rPr>
                <w:rFonts w:ascii="Times New Roman" w:hAnsi="Times New Roman" w:eastAsia="微软雅黑" w:cs="Times New Roman"/>
                <w:bCs/>
                <w:sz w:val="18"/>
                <w:szCs w:val="18"/>
                <w:highlight w:val="none"/>
                <w:lang w:eastAsia="zh-CN"/>
              </w:rPr>
              <w:t>’</w:t>
            </w:r>
            <w:r>
              <w:rPr>
                <w:rFonts w:hint="eastAsia" w:ascii="Times New Roman" w:hAnsi="Times New Roman" w:eastAsia="微软雅黑" w:cs="Times New Roman"/>
                <w:bCs/>
                <w:sz w:val="18"/>
                <w:szCs w:val="18"/>
                <w:highlight w:val="none"/>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if</w:t>
            </w:r>
            <w:r>
              <w:rPr>
                <w:rFonts w:hint="eastAsia" w:ascii="Times New Roman" w:hAnsi="Times New Roman" w:eastAsia="微软雅黑" w:cs="Times New Roman"/>
                <w:bCs/>
                <w:sz w:val="18"/>
                <w:szCs w:val="18"/>
                <w:highlight w:val="none"/>
                <w:lang w:eastAsia="zh-CN"/>
              </w:rPr>
              <w:t xml:space="preserve"> tdd.simple_vars</w:t>
            </w:r>
            <w:r>
              <w:rPr>
                <w:rFonts w:hint="eastAsia" w:ascii="Times New Roman" w:hAnsi="Times New Roman" w:eastAsia="微软雅黑" w:cs="Times New Roman"/>
                <w:sz w:val="18"/>
                <w:szCs w:val="18"/>
                <w:highlight w:val="none"/>
                <w:lang w:eastAsia="zh-CN"/>
              </w:rPr>
              <w:t xml:space="preserve"> == [] %}无{% else%}</w:t>
            </w:r>
            <w:r>
              <w:rPr>
                <w:rFonts w:hint="eastAsia" w:ascii="Times New Roman" w:hAnsi="Times New Roman" w:eastAsia="微软雅黑" w:cs="Times New Roman"/>
                <w:bCs/>
                <w:sz w:val="18"/>
                <w:szCs w:val="18"/>
                <w:highlight w:val="none"/>
                <w:lang w:eastAsia="zh-CN"/>
              </w:rPr>
              <w:t>{% for sv in tdd.simple_vars%}</w:t>
            </w:r>
            <w:r>
              <w:rPr>
                <w:rFonts w:hint="eastAsia" w:ascii="Times New Roman" w:hAnsi="Times New Roman" w:eastAsia="微软雅黑" w:cs="Times New Roman"/>
                <w:sz w:val="18"/>
                <w:szCs w:val="18"/>
                <w:highlight w:val="none"/>
                <w:lang w:eastAsia="zh-CN"/>
              </w:rPr>
              <w:t>{% if loop.last %}</w:t>
            </w:r>
            <w:r>
              <w:rPr>
                <w:rFonts w:hint="eastAsia" w:ascii="Times New Roman" w:hAnsi="Times New Roman" w:eastAsia="微软雅黑" w:cs="Times New Roman"/>
                <w:bCs/>
                <w:sz w:val="18"/>
                <w:szCs w:val="18"/>
                <w:highlight w:val="none"/>
                <w:lang w:eastAsia="zh-CN"/>
              </w:rPr>
              <w:t>{{ sv }}{% else %}{{ sv }}</w:t>
            </w:r>
          </w:p>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B级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C级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for md in tdd.medicationDescription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{{md.value}}</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endif %}{%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drugInformationStr != [] %}</w:t>
      </w:r>
    </w:p>
    <w:p>
      <w:pPr>
        <w:keepNext/>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dis.name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.isRed)}}</w:t>
            </w:r>
          </w:p>
        </w:tc>
        <w:tc>
          <w:tcPr>
            <w:tcW w:w="8255" w:type="dxa"/>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 endif %}{%if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clinicalTrialInformationStr!= [] %}</w:t>
      </w:r>
    </w:p>
    <w:p>
      <w:pPr>
        <w:keepNext/>
        <w:spacing w:before="26" w:after="120" w:afterLines="50"/>
        <w:rPr>
          <w:rFonts w:ascii="Times New Roman" w:hAnsi="Times New Roman" w:eastAsia="微软雅黑" w:cs="Times New Roman"/>
          <w:b/>
          <w:color w:val="45A3A7"/>
          <w:sz w:val="24"/>
          <w:highlight w:val="none"/>
          <w:lang w:eastAsia="zh-CN"/>
        </w:rPr>
      </w:pPr>
      <w:r>
        <w:rPr>
          <w:rFonts w:hint="eastAsia" w:ascii="Times New Roman" w:hAnsi="Times New Roman" w:eastAsia="微软雅黑" w:cs="Times New Roman"/>
          <w:b/>
          <w:color w:val="45A3A7"/>
          <w:sz w:val="24"/>
          <w:highlight w:val="none"/>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ID</w:t>
            </w:r>
          </w:p>
        </w:tc>
        <w:tc>
          <w:tcPr>
            <w:tcW w:w="3884"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cti.drug_name_chinese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widowControl/>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endif %}</w:t>
      </w:r>
      <w:r>
        <w:rPr>
          <w:rFonts w:ascii="Times New Roman" w:hAnsi="Times New Roman" w:eastAsia="微软雅黑" w:cs="Times New Roman"/>
          <w:b/>
          <w:color w:val="45A3A7"/>
          <w:sz w:val="24"/>
          <w:szCs w:val="24"/>
          <w:highlight w:val="none"/>
          <w:lang w:eastAsia="zh-CN"/>
        </w:rPr>
        <w:br w:type="page"/>
      </w:r>
      <w:r>
        <w:rPr>
          <w:rFonts w:hint="eastAsia" w:ascii="Times New Roman" w:hAnsi="Times New Roman" w:eastAsia="微软雅黑" w:cs="Times New Roman"/>
          <w:b/>
          <w:color w:val="45A3A7"/>
          <w:sz w:val="24"/>
          <w:szCs w:val="24"/>
          <w:highlight w:val="none"/>
          <w:lang w:eastAsia="zh-CN"/>
        </w:rPr>
        <w:t>{% endfor %}{% endif %}{% endif %}{% if unknownVarAnalysisStr != [] %}未知临床意义基因突变解析</w:t>
      </w:r>
      <w:r>
        <w:rPr>
          <w:rFonts w:hint="eastAsia" w:ascii="Times New Roman" w:hAnsi="Times New Roman" w:eastAsia="微软雅黑" w:cs="Times New Roman"/>
          <w:b/>
          <w:color w:val="45A3A7"/>
          <w:sz w:val="20"/>
          <w:szCs w:val="20"/>
          <w:highlight w:val="none"/>
          <w:lang w:eastAsia="zh-CN"/>
        </w:rPr>
        <w:t xml:space="preserve">{% for vus in </w:t>
      </w:r>
      <w:r>
        <w:rPr>
          <w:rFonts w:hint="eastAsia" w:ascii="Times New Roman" w:hAnsi="Times New Roman" w:eastAsia="微软雅黑" w:cs="Times New Roman"/>
          <w:b/>
          <w:color w:val="45A3A7"/>
          <w:sz w:val="24"/>
          <w:szCs w:val="24"/>
          <w:highlight w:val="none"/>
          <w:lang w:eastAsia="zh-CN"/>
        </w:rPr>
        <w:t xml:space="preserve">unknownVarAnalysisStr </w:t>
      </w:r>
      <w:r>
        <w:rPr>
          <w:rFonts w:hint="eastAsia" w:ascii="Times New Roman" w:hAnsi="Times New Roman" w:eastAsia="微软雅黑" w:cs="Times New Roman"/>
          <w:b/>
          <w:color w:val="45A3A7"/>
          <w:sz w:val="20"/>
          <w:szCs w:val="20"/>
          <w:highlight w:val="none"/>
          <w:lang w:eastAsia="zh-CN"/>
        </w:rPr>
        <w:t>%}</w:t>
      </w:r>
    </w:p>
    <w:p>
      <w:pPr>
        <w:keepNext/>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vus.gene_description_chinese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0"/>
          <w:szCs w:val="20"/>
          <w:highlight w:val="none"/>
          <w:lang w:eastAsia="zh-CN"/>
        </w:rPr>
        <w:t>{% endfor %}</w:t>
      </w:r>
      <w:r>
        <w:rPr>
          <w:rFonts w:ascii="Times New Roman" w:hAnsi="Times New Roman" w:eastAsia="微软雅黑" w:cs="Times New Roman"/>
          <w:sz w:val="20"/>
          <w:szCs w:val="18"/>
          <w:highlight w:val="none"/>
          <w:lang w:eastAsia="zh-CN"/>
        </w:rPr>
        <w:br w:type="page"/>
      </w:r>
      <w:r>
        <w:rPr>
          <w:rFonts w:hint="eastAsia"/>
          <w:highlight w:val="none"/>
          <w:lang w:eastAsia="zh-CN"/>
        </w:rPr>
        <w:t>{% endif %}</w:t>
      </w:r>
    </w:p>
    <w:p>
      <w:pPr>
        <w:pStyle w:val="12"/>
        <w:numPr>
          <w:ilvl w:val="0"/>
          <w:numId w:val="16"/>
        </w:numPr>
        <w:spacing w:beforeAutospacing="1" w:afterAutospacing="1" w:line="273" w:lineRule="auto"/>
        <w:jc w:val="center"/>
        <w:outlineLvl w:val="1"/>
        <w:rPr>
          <w:rFonts w:ascii="Times New Roman" w:hAnsi="Times New Roman" w:eastAsia="微软雅黑" w:cs="Times New Roman"/>
          <w:b/>
          <w:color w:val="45A3A7"/>
          <w:szCs w:val="24"/>
          <w:highlight w:val="none"/>
        </w:rPr>
      </w:pPr>
      <w:bookmarkStart w:id="66" w:name="_Toc31324"/>
      <w:bookmarkStart w:id="67" w:name="_Toc5456"/>
      <w:r>
        <w:rPr>
          <w:rFonts w:ascii="微软雅黑" w:hAnsi="微软雅黑" w:eastAsia="微软雅黑" w:cs="微软雅黑"/>
          <w:b/>
          <w:color w:val="45A3A7"/>
          <w:szCs w:val="24"/>
          <w:highlight w:val="none"/>
          <w:lang w:eastAsia="zh-CN" w:bidi="ar"/>
        </w:rPr>
        <w:t>免疫检测结果解析</w:t>
      </w:r>
      <w:bookmarkEnd w:id="66"/>
      <w:bookmarkEnd w:id="67"/>
    </w:p>
    <w:p>
      <w:pPr>
        <w:spacing w:before="29" w:line="360" w:lineRule="auto"/>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xml:space="preserve">{% if summaryOfRresults.type == </w:t>
      </w:r>
      <w:r>
        <w:rPr>
          <w:rFonts w:ascii="Times New Roman" w:hAnsi="Times New Roman" w:eastAsia="微软雅黑" w:cs="Times New Roman"/>
          <w:b/>
          <w:color w:val="45A3A7"/>
          <w:sz w:val="24"/>
          <w:szCs w:val="24"/>
          <w:highlight w:val="none"/>
          <w:lang w:eastAsia="zh-CN"/>
        </w:rPr>
        <w:t>‘tissue’</w:t>
      </w:r>
      <w:r>
        <w:rPr>
          <w:rFonts w:hint="eastAsia" w:ascii="Times New Roman" w:hAnsi="Times New Roman" w:eastAsia="微软雅黑" w:cs="Times New Roman"/>
          <w:b/>
          <w:color w:val="45A3A7"/>
          <w:sz w:val="24"/>
          <w:szCs w:val="24"/>
          <w:highlight w:val="none"/>
          <w:lang w:eastAsia="zh-CN"/>
        </w:rPr>
        <w:t xml:space="preserve"> %}</w:t>
      </w:r>
      <w:r>
        <w:rPr>
          <w:rFonts w:ascii="Times New Roman" w:hAnsi="Times New Roman" w:eastAsia="微软雅黑" w:cs="Times New Roman"/>
          <w:b/>
          <w:color w:val="45A3A7"/>
          <w:sz w:val="24"/>
          <w:szCs w:val="24"/>
          <w:highlight w:val="none"/>
          <w:lang w:eastAsia="zh-CN"/>
        </w:rPr>
        <w:t>肿瘤突变负荷（TMB）检测结果解析</w:t>
      </w:r>
      <w:r>
        <w:rPr>
          <w:rFonts w:hint="eastAsia" w:ascii="Times New Roman" w:hAnsi="Times New Roman" w:eastAsia="微软雅黑" w:cs="Times New Roman"/>
          <w:b/>
          <w:color w:val="45A3A7"/>
          <w:sz w:val="24"/>
          <w:szCs w:val="24"/>
          <w:highlight w:val="none"/>
          <w:lang w:eastAsia="zh-CN"/>
        </w:rPr>
        <w:t>{% else %}</w:t>
      </w:r>
      <w:r>
        <w:rPr>
          <w:rFonts w:ascii="Times New Roman" w:hAnsi="Times New Roman" w:eastAsia="微软雅黑" w:cs="Times New Roman"/>
          <w:b/>
          <w:color w:val="45A3A7"/>
          <w:sz w:val="24"/>
          <w:szCs w:val="24"/>
          <w:highlight w:val="none"/>
          <w:lang w:eastAsia="zh-CN"/>
        </w:rPr>
        <w:t>血液肿瘤突变负荷（bTMB）检测结果解析</w:t>
      </w:r>
      <w:r>
        <w:rPr>
          <w:rFonts w:hint="eastAsia" w:ascii="Times New Roman" w:hAnsi="Times New Roman" w:eastAsia="微软雅黑" w:cs="Times New Roman"/>
          <w:b/>
          <w:color w:val="45A3A7"/>
          <w:sz w:val="24"/>
          <w:szCs w:val="24"/>
          <w:highlight w:val="none"/>
          <w:lang w:eastAsia="zh-CN"/>
        </w:rPr>
        <w:t>{% endif %}</w:t>
      </w:r>
    </w:p>
    <w:p>
      <w:pPr>
        <w:spacing w:line="273" w:lineRule="auto"/>
        <w:rPr>
          <w:rFonts w:ascii="Times New Roman" w:hAnsi="Times New Roman" w:eastAsia="微软雅黑" w:cs="Times New Roman"/>
          <w:b/>
          <w:color w:val="45A3A7"/>
          <w:sz w:val="24"/>
          <w:szCs w:val="24"/>
          <w:highlight w:val="none"/>
        </w:rPr>
      </w:pP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Times New Roman"/>
                <w:sz w:val="21"/>
                <w:szCs w:val="21"/>
                <w:highlight w:val="none"/>
                <w:lang w:eastAsia="zh-CN"/>
              </w:rPr>
              <w:t>肿瘤突变负荷（Tumor mutation burden,</w:t>
            </w:r>
            <w:r>
              <w:rPr>
                <w:rFonts w:ascii="Times New Roman" w:hAnsi="Times New Roman" w:eastAsia="微软雅黑" w:cs="Times New Roman"/>
                <w:b/>
                <w:bCs/>
                <w:sz w:val="21"/>
                <w:szCs w:val="21"/>
                <w:highlight w:val="none"/>
                <w:lang w:eastAsia="zh-CN"/>
              </w:rPr>
              <w:t>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else %}</w:t>
            </w:r>
            <w:r>
              <w:rPr>
                <w:rFonts w:ascii="Times New Roman" w:hAnsi="Times New Roman" w:eastAsia="微软雅黑" w:cs="Times New Roman"/>
                <w:sz w:val="21"/>
                <w:szCs w:val="21"/>
                <w:highlight w:val="none"/>
                <w:lang w:eastAsia="zh-CN"/>
              </w:rPr>
              <w:t>血液肿瘤突变负荷（blood tumor mutation burden,</w:t>
            </w:r>
            <w:r>
              <w:rPr>
                <w:rFonts w:ascii="Times New Roman" w:hAnsi="Times New Roman" w:eastAsia="微软雅黑" w:cs="Times New Roman"/>
                <w:b/>
                <w:bCs/>
                <w:sz w:val="21"/>
                <w:szCs w:val="21"/>
                <w:highlight w:val="none"/>
                <w:lang w:eastAsia="zh-CN"/>
              </w:rPr>
              <w:t>bTMB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endif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summaryOfRresults.tmb }}</w:t>
            </w:r>
            <w:r>
              <w:rPr>
                <w:rFonts w:ascii="Times New Roman" w:hAnsi="Times New Roman" w:eastAsia="微软雅黑" w:cs="黑体"/>
                <w:sz w:val="21"/>
                <w:highlight w:val="none"/>
              </w:rPr>
              <w:t>Muts/Mb（</w:t>
            </w:r>
            <w:r>
              <w:rPr>
                <w:rFonts w:hint="eastAsia" w:ascii="Times New Roman" w:hAnsi="Times New Roman" w:eastAsia="微软雅黑" w:cs="黑体"/>
                <w:sz w:val="21"/>
                <w:highlight w:val="none"/>
                <w:lang w:eastAsia="zh-CN"/>
              </w:rPr>
              <w:t>{{summaryOfRresults.tmb_status}}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lang w:eastAsia="zh-CN" w:bidi="ar"/>
              </w:rPr>
            </w:pPr>
            <w:r>
              <w:rPr>
                <w:rFonts w:ascii="Times New Roman" w:hAnsi="Times New Roman" w:eastAsia="微软雅黑" w:cs="Times New Roman"/>
                <w:b/>
                <w:color w:val="45A3A7"/>
                <w:sz w:val="18"/>
                <w:szCs w:val="18"/>
                <w:highlight w:val="none"/>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黑体"/>
                <w:sz w:val="21"/>
                <w:highlight w:val="none"/>
                <w:lang w:eastAsia="zh-CN"/>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 [] %}无{% else%}{% for d in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tmbanalysisOfImmuneTestResults.varDrugNote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if summaryOfRresults.type == “tissue” %}</w:t>
            </w:r>
            <w:r>
              <w:rPr>
                <w:rFonts w:hint="eastAsia" w:ascii="Times New Roman" w:hAnsi="Times New Roman" w:eastAsia="微软雅黑" w:cs="Times New Roman"/>
                <w:b/>
                <w:bCs/>
                <w:sz w:val="18"/>
                <w:szCs w:val="18"/>
                <w:highlight w:val="none"/>
                <w:lang w:eastAsia="zh-CN"/>
              </w:rPr>
              <w:t>TMB定义:</w:t>
            </w:r>
            <w:r>
              <w:rPr>
                <w:rFonts w:hint="eastAsia" w:ascii="Times New Roman" w:hAnsi="Times New Roman" w:eastAsia="微软雅黑" w:cs="Times New Roman"/>
                <w:sz w:val="18"/>
                <w:szCs w:val="18"/>
                <w:highlight w:val="none"/>
                <w:lang w:eastAsia="zh-CN"/>
              </w:rPr>
              <w:t>{% else %}</w:t>
            </w:r>
            <w:r>
              <w:rPr>
                <w:rFonts w:hint="eastAsia" w:ascii="Times New Roman" w:hAnsi="Times New Roman" w:eastAsia="微软雅黑" w:cs="Times New Roman"/>
                <w:b/>
                <w:bCs/>
                <w:sz w:val="18"/>
                <w:szCs w:val="18"/>
                <w:highlight w:val="none"/>
                <w:lang w:eastAsia="zh-CN"/>
              </w:rPr>
              <w:t>bTMB定义:</w:t>
            </w:r>
            <w:r>
              <w:rPr>
                <w:rFonts w:hint="eastAsia" w:ascii="Times New Roman" w:hAnsi="Times New Roman" w:eastAsia="微软雅黑" w:cs="Times New Roman"/>
                <w:sz w:val="18"/>
                <w:szCs w:val="18"/>
                <w:highlight w:val="none"/>
                <w:lang w:eastAsia="zh-CN"/>
              </w:rPr>
              <w:t>{% endif %}{% else %}</w:t>
            </w:r>
            <w:r>
              <w:rPr>
                <w:rFonts w:hint="eastAsia" w:ascii="Times New Roman" w:hAnsi="Times New Roman" w:eastAsia="微软雅黑" w:cs="Times New Roman"/>
                <w:b/>
                <w:bCs/>
                <w:sz w:val="18"/>
                <w:szCs w:val="18"/>
                <w:highlight w:val="none"/>
                <w:lang w:eastAsia="zh-CN"/>
              </w:rPr>
              <w:t>{{md.key}}{% endif %}</w:t>
            </w:r>
            <w:r>
              <w:rPr>
                <w:rFonts w:hint="eastAsia" w:ascii="Times New Roman" w:hAnsi="Times New Roman" w:eastAsia="微软雅黑" w:cs="Times New Roman"/>
                <w:sz w:val="18"/>
                <w:szCs w:val="18"/>
                <w:highlight w:val="none"/>
                <w:lang w:eastAsia="zh-CN"/>
              </w:rPr>
              <w:t>{{md.value}}</w:t>
            </w:r>
          </w:p>
          <w:p>
            <w:pPr>
              <w:spacing w:before="26"/>
              <w:rPr>
                <w:rFonts w:ascii="Times New Roman" w:hAnsi="Times New Roman" w:eastAsia="微软雅黑" w:cs="Times New Roman"/>
                <w:bCs/>
                <w:sz w:val="18"/>
                <w:szCs w:val="18"/>
                <w:highlight w:val="none"/>
                <w:lang w:eastAsia="zh-CN" w:bidi="ar"/>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tmbanalysisOfImmuneTestResults.drugInformationStr!=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tmbdis in tmbanalysisOfImmuneTestResults.drugInformationStr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{{r tmbdis.n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ms(tmbdis.isbold,tmbdis.isRed) }}</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tmbdis.drugInfo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tmbanalysisOfImmuneTestResults.clinicalTrialInformationStr!=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tmbcli in tmbanalysisOfImmuneTestResults.clinicalTrialInformationStr%}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tmbcli.drug_name_chinese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spacing w:before="29" w:line="360" w:lineRule="auto"/>
        <w:rPr>
          <w:rFonts w:ascii="Times New Roman" w:hAnsi="Times New Roman" w:eastAsia="微软雅黑" w:cs="Times New Roman"/>
          <w:b/>
          <w:color w:val="00B050"/>
          <w:sz w:val="24"/>
          <w:szCs w:val="24"/>
          <w:highlight w:val="none"/>
        </w:rPr>
      </w:pPr>
      <w:r>
        <w:rPr>
          <w:rFonts w:ascii="Times New Roman" w:hAnsi="Times New Roman" w:eastAsia="微软雅黑" w:cs="Times New Roman"/>
          <w:b/>
          <w:sz w:val="21"/>
          <w:szCs w:val="21"/>
          <w:highlight w:val="none"/>
          <w:lang w:eastAsia="zh-CN" w:bidi="ar"/>
        </w:rPr>
        <w:t xml:space="preserve"> </w:t>
      </w:r>
      <w:r>
        <w:rPr>
          <w:rFonts w:hint="eastAsia" w:ascii="Times New Roman" w:hAnsi="Times New Roman" w:eastAsia="微软雅黑" w:cs="Times New Roman"/>
          <w:b/>
          <w:sz w:val="21"/>
          <w:szCs w:val="21"/>
          <w:highlight w:val="none"/>
          <w:lang w:eastAsia="zh-CN" w:bidi="ar"/>
        </w:rPr>
        <w:t>{% endif %}</w:t>
      </w:r>
      <w:r>
        <w:rPr>
          <w:rFonts w:ascii="Times New Roman" w:hAnsi="Times New Roman" w:eastAsia="微软雅黑" w:cs="Times New Roman"/>
          <w:b/>
          <w:color w:val="00B050"/>
          <w:sz w:val="24"/>
          <w:szCs w:val="24"/>
          <w:highlight w:val="none"/>
          <w:lang w:eastAsia="zh-CN" w:bidi="ar"/>
        </w:rPr>
        <w:br w:type="page"/>
      </w:r>
    </w:p>
    <w:p>
      <w:pPr>
        <w:spacing w:line="273" w:lineRule="auto"/>
        <w:rPr>
          <w:rFonts w:ascii="Times New Roman" w:hAnsi="Times New Roman" w:eastAsia="微软雅黑" w:cs="Times New Roman"/>
          <w:b/>
          <w:color w:val="45A3A7"/>
          <w:sz w:val="24"/>
          <w:szCs w:val="24"/>
          <w:highlight w:val="none"/>
          <w:lang w:eastAsia="zh-CN"/>
        </w:rPr>
      </w:pPr>
      <w:r>
        <w:rPr>
          <w:rFonts w:ascii="微软雅黑" w:hAnsi="微软雅黑" w:eastAsia="微软雅黑" w:cs="微软雅黑"/>
          <w:b/>
          <w:color w:val="45A3A7"/>
          <w:sz w:val="24"/>
          <w:szCs w:val="24"/>
          <w:highlight w:val="none"/>
          <w:lang w:eastAsia="zh-CN" w:bidi="ar"/>
        </w:rPr>
        <w:t>微卫星不稳定（</w:t>
      </w:r>
      <w:r>
        <w:rPr>
          <w:rFonts w:ascii="Times New Roman" w:hAnsi="Times New Roman" w:eastAsia="微软雅黑" w:cs="Times New Roman"/>
          <w:b/>
          <w:color w:val="45A3A7"/>
          <w:sz w:val="24"/>
          <w:szCs w:val="24"/>
          <w:highlight w:val="none"/>
          <w:lang w:eastAsia="zh-CN" w:bidi="ar"/>
        </w:rPr>
        <w:t>MSI</w:t>
      </w:r>
      <w:r>
        <w:rPr>
          <w:rFonts w:ascii="微软雅黑" w:hAnsi="微软雅黑" w:eastAsia="微软雅黑" w:cs="微软雅黑"/>
          <w:b/>
          <w:color w:val="45A3A7"/>
          <w:sz w:val="24"/>
          <w:szCs w:val="24"/>
          <w:highlight w:val="none"/>
          <w:lang w:eastAsia="zh-CN" w:bidi="ar"/>
        </w:rPr>
        <w:t>）检测结果解析</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ascii="Times New Roman" w:hAnsi="Times New Roman" w:eastAsia="微软雅黑" w:cs="Times New Roman"/>
                <w:sz w:val="21"/>
                <w:szCs w:val="21"/>
                <w:highlight w:val="none"/>
                <w:lang w:eastAsia="zh-CN" w:bidi="ar"/>
              </w:rPr>
              <w:t>微卫星不稳定（microsatellite instability,</w:t>
            </w:r>
            <w:r>
              <w:rPr>
                <w:rFonts w:ascii="Times New Roman" w:hAnsi="Times New Roman" w:eastAsia="微软雅黑" w:cs="Times New Roman"/>
                <w:b/>
                <w:sz w:val="21"/>
                <w:szCs w:val="21"/>
                <w:highlight w:val="none"/>
                <w:lang w:eastAsia="zh-CN" w:bidi="ar"/>
              </w:rPr>
              <w:t>MSI</w:t>
            </w:r>
            <w:r>
              <w:rPr>
                <w:rFonts w:ascii="Times New Roman" w:hAnsi="Times New Roman" w:eastAsia="微软雅黑" w:cs="Times New Roman"/>
                <w:sz w:val="21"/>
                <w:szCs w:val="21"/>
                <w:highlight w:val="none"/>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bCs/>
                <w:sz w:val="18"/>
                <w:szCs w:val="18"/>
                <w:highlight w:val="none"/>
                <w:lang w:eastAsia="zh-CN" w:bidi="ar"/>
              </w:rPr>
              <w:t>msianalysisOfImmuneTestResults.resistantStr</w:t>
            </w:r>
            <w:r>
              <w:rPr>
                <w:rFonts w:hint="eastAsia" w:ascii="Times New Roman" w:hAnsi="Times New Roman" w:eastAsia="微软雅黑" w:cs="Times New Roman"/>
                <w:sz w:val="18"/>
                <w:szCs w:val="18"/>
                <w:highlight w:val="none"/>
                <w:lang w:eastAsia="zh-CN"/>
              </w:rPr>
              <w:t xml:space="preserve"> == [] %}无{% else%}{% for d in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msianalysisOfImmuneTestResults.varDrugNote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b/>
                <w:bCs/>
                <w:sz w:val="18"/>
                <w:szCs w:val="18"/>
                <w:highlight w:val="none"/>
                <w:lang w:eastAsia="zh-CN"/>
              </w:rPr>
              <w:t>MSI定义:</w:t>
            </w:r>
            <w:r>
              <w:rPr>
                <w:rFonts w:hint="eastAsia" w:ascii="Times New Roman" w:hAnsi="Times New Roman" w:eastAsia="微软雅黑" w:cs="Times New Roman"/>
                <w:sz w:val="18"/>
                <w:szCs w:val="18"/>
                <w:highlight w:val="none"/>
                <w:lang w:eastAsia="zh-CN"/>
              </w:rPr>
              <w:t>{%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 endif %}{{md.value}}</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msidis.drugInfo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msicli.drug_name_chinese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
          <w:sz w:val="18"/>
          <w:szCs w:val="18"/>
          <w:highlight w:val="none"/>
          <w:shd w:val="clear" w:color="auto" w:fill="FFFFFF"/>
        </w:rPr>
      </w:pPr>
      <w:r>
        <w:rPr>
          <w:rFonts w:ascii="Times New Roman" w:hAnsi="Times New Roman" w:eastAsia="微软雅黑" w:cs="Times New Roman"/>
          <w:b/>
          <w:sz w:val="18"/>
          <w:szCs w:val="18"/>
          <w:highlight w:val="none"/>
          <w:shd w:val="clear" w:color="auto" w:fill="FFFFFF"/>
          <w:lang w:eastAsia="zh-CN" w:bidi="ar"/>
        </w:rPr>
        <w:t xml:space="preserve"> </w:t>
      </w:r>
    </w:p>
    <w:p>
      <w:pPr>
        <w:rPr>
          <w:rFonts w:ascii="微软雅黑" w:hAnsi="微软雅黑" w:eastAsia="微软雅黑" w:cs="微软雅黑"/>
          <w:b/>
          <w:color w:val="45A3A7"/>
          <w:sz w:val="24"/>
          <w:szCs w:val="24"/>
          <w:highlight w:val="none"/>
          <w:lang w:eastAsia="zh-CN" w:bidi="ar"/>
        </w:rPr>
      </w:pPr>
      <w:r>
        <w:rPr>
          <w:rFonts w:hint="eastAsia" w:ascii="Times New Roman" w:hAnsi="Times New Roman" w:eastAsia="微软雅黑" w:cs="Times New Roman"/>
          <w:b/>
          <w:sz w:val="21"/>
          <w:szCs w:val="21"/>
          <w:highlight w:val="none"/>
          <w:lang w:eastAsia="zh-CN" w:bidi="ar"/>
        </w:rPr>
        <w:t>{% endif %}</w:t>
      </w:r>
      <w:r>
        <w:rPr>
          <w:rFonts w:ascii="微软雅黑" w:hAnsi="微软雅黑" w:eastAsia="微软雅黑" w:cs="微软雅黑"/>
          <w:b/>
          <w:color w:val="45A3A7"/>
          <w:sz w:val="24"/>
          <w:szCs w:val="24"/>
          <w:highlight w:val="none"/>
          <w:lang w:eastAsia="zh-CN" w:bidi="ar"/>
        </w:rPr>
        <w:br w:type="page"/>
      </w:r>
    </w:p>
    <w:p>
      <w:pPr>
        <w:spacing w:before="26" w:after="120" w:afterLines="50"/>
        <w:rPr>
          <w:rFonts w:hint="eastAsia" w:ascii="Times New Roman" w:hAnsi="Times New Roman" w:eastAsia="微软雅黑" w:cs="Times New Roman"/>
          <w:b/>
          <w:color w:val="45A3A7"/>
          <w:sz w:val="20"/>
          <w:szCs w:val="20"/>
          <w:highlight w:val="none"/>
          <w:lang w:eastAsia="zh-CN"/>
        </w:rPr>
      </w:pPr>
      <w:bookmarkStart w:id="548" w:name="_GoBack"/>
      <w:bookmarkEnd w:id="548"/>
      <w:r>
        <w:rPr>
          <w:rFonts w:hint="eastAsia" w:ascii="Times New Roman" w:hAnsi="Times New Roman" w:eastAsia="微软雅黑" w:cs="Times New Roman"/>
          <w:b/>
          <w:color w:val="45A3A7"/>
          <w:sz w:val="24"/>
          <w:szCs w:val="24"/>
          <w:highlight w:val="none"/>
          <w:lang w:val="en-US" w:eastAsia="zh-CN"/>
        </w:rPr>
        <w:t>{%</w:t>
      </w:r>
      <w:r>
        <w:rPr>
          <w:rFonts w:hint="eastAsia" w:ascii="Times New Roman" w:hAnsi="Times New Roman" w:eastAsia="微软雅黑" w:cs="Times New Roman"/>
          <w:b/>
          <w:color w:val="45A3A7"/>
          <w:sz w:val="24"/>
          <w:szCs w:val="24"/>
          <w:highlight w:val="none"/>
          <w:lang w:eastAsia="zh-CN"/>
        </w:rPr>
        <w:t>if</w:t>
      </w:r>
      <w:r>
        <w:rPr>
          <w:rFonts w:hint="eastAsia" w:ascii="Times New Roman" w:hAnsi="Times New Roman" w:eastAsia="微软雅黑" w:cs="Times New Roman"/>
          <w:b/>
          <w:color w:val="45A3A7"/>
          <w:sz w:val="24"/>
          <w:szCs w:val="24"/>
          <w:highlight w:val="none"/>
          <w:lang w:val="en-US" w:eastAsia="zh-CN"/>
        </w:rPr>
        <w:t xml:space="preserve"> </w:t>
      </w:r>
      <w:r>
        <w:rPr>
          <w:rFonts w:hint="eastAsia" w:ascii="Times New Roman" w:hAnsi="Times New Roman" w:eastAsia="微软雅黑" w:cs="Times New Roman"/>
          <w:b/>
          <w:color w:val="45A3A7"/>
          <w:sz w:val="24"/>
          <w:szCs w:val="24"/>
          <w:highlight w:val="none"/>
          <w:lang w:eastAsia="zh-CN"/>
        </w:rPr>
        <w:t>summaryOfRresults.positiveImmnue</w:t>
      </w:r>
      <w:r>
        <w:rPr>
          <w:rFonts w:hint="eastAsia" w:ascii="Times New Roman" w:hAnsi="Times New Roman" w:eastAsia="微软雅黑" w:cs="Times New Roman"/>
          <w:b/>
          <w:color w:val="45A3A7"/>
          <w:sz w:val="24"/>
          <w:szCs w:val="24"/>
          <w:highlight w:val="none"/>
          <w:lang w:val="en-US" w:eastAsia="zh-CN"/>
        </w:rPr>
        <w:t>Num != 0%}</w:t>
      </w:r>
      <w:r>
        <w:rPr>
          <w:rFonts w:hint="eastAsia" w:ascii="Times New Roman" w:hAnsi="Times New Roman" w:eastAsia="微软雅黑" w:cs="Times New Roman"/>
          <w:b/>
          <w:color w:val="45A3A7"/>
          <w:sz w:val="24"/>
          <w:szCs w:val="24"/>
          <w:highlight w:val="none"/>
          <w:lang w:eastAsia="zh-CN"/>
        </w:rPr>
        <w:t>{%if positiveImmnue!= [] %}</w:t>
      </w:r>
      <w:r>
        <w:rPr>
          <w:rFonts w:ascii="Times New Roman" w:hAnsi="Times New Roman" w:eastAsia="微软雅黑" w:cs="Times New Roman"/>
          <w:b/>
          <w:color w:val="45A3A7"/>
          <w:sz w:val="24"/>
          <w:highlight w:val="none"/>
          <w:lang w:eastAsia="zh-CN"/>
        </w:rPr>
        <w:t>免疫正相关基因检测结果解析</w:t>
      </w:r>
      <w:r>
        <w:rPr>
          <w:rFonts w:hint="eastAsia" w:ascii="Times New Roman" w:hAnsi="Times New Roman" w:eastAsia="微软雅黑" w:cs="Times New Roman"/>
          <w:b/>
          <w:color w:val="45A3A7"/>
          <w:sz w:val="20"/>
          <w:szCs w:val="20"/>
          <w:highlight w:val="none"/>
          <w:lang w:eastAsia="zh-CN"/>
        </w:rPr>
        <w:t xml:space="preserve">{% for tdd in positiveImmnue %}{% </w:t>
      </w:r>
      <w:r>
        <w:rPr>
          <w:rFonts w:hint="eastAsia" w:ascii="Times New Roman" w:hAnsi="Times New Roman" w:eastAsia="微软雅黑" w:cs="Times New Roman"/>
          <w:b/>
          <w:color w:val="45A3A7"/>
          <w:sz w:val="20"/>
          <w:szCs w:val="20"/>
          <w:highlight w:val="none"/>
          <w:lang w:val="en-US" w:eastAsia="zh-CN"/>
        </w:rPr>
        <w:t xml:space="preserve">if </w:t>
      </w:r>
      <w:r>
        <w:rPr>
          <w:rFonts w:hint="eastAsia" w:ascii="Times New Roman" w:hAnsi="Times New Roman" w:eastAsia="微软雅黑" w:cs="Times New Roman"/>
          <w:b/>
          <w:color w:val="45A3A7"/>
          <w:sz w:val="20"/>
          <w:szCs w:val="20"/>
          <w:highlight w:val="none"/>
          <w:lang w:eastAsia="zh-CN"/>
        </w:rPr>
        <w:t>tdd</w:t>
      </w:r>
      <w:r>
        <w:rPr>
          <w:rFonts w:hint="eastAsia"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varDesc</w:t>
      </w:r>
      <w:r>
        <w:rPr>
          <w:rFonts w:hint="eastAsia" w:ascii="Times New Roman" w:hAnsi="Times New Roman" w:eastAsia="微软雅黑" w:cs="Times New Roman"/>
          <w:b/>
          <w:color w:val="45A3A7"/>
          <w:sz w:val="20"/>
          <w:szCs w:val="20"/>
          <w:highlight w:val="none"/>
          <w:lang w:val="en-US" w:eastAsia="zh-CN"/>
        </w:rPr>
        <w:t xml:space="preserve"> !=</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val="en-US" w:eastAsia="zh-CN"/>
        </w:rPr>
        <w:t>/</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 xml:space="preserve"> %}</w:t>
      </w:r>
    </w:p>
    <w:p>
      <w:pPr>
        <w:keepNext/>
        <w:spacing w:before="240" w:beforeLines="100" w:line="360" w:lineRule="auto"/>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bCs/>
                <w:sz w:val="18"/>
                <w:szCs w:val="18"/>
                <w:highlight w:val="none"/>
                <w:lang w:eastAsia="zh-CN"/>
              </w:rPr>
              <w:t>免疫正相关说明:</w:t>
            </w:r>
            <w:r>
              <w:rPr>
                <w:rFonts w:hint="eastAsia" w:ascii="Times New Roman" w:hAnsi="Times New Roman" w:eastAsia="微软雅黑" w:cs="Times New Roman"/>
                <w:bCs/>
                <w:sz w:val="18"/>
                <w:szCs w:val="18"/>
                <w:highlight w:val="none"/>
                <w:lang w:eastAsia="zh-CN"/>
              </w:rPr>
              <w:t>{{ tdd.varDesc</w:t>
            </w:r>
            <w:r>
              <w:rPr>
                <w:rFonts w:hint="eastAsia" w:ascii="Times New Roman" w:hAnsi="Times New Roman" w:eastAsia="微软雅黑" w:cs="Times New Roman"/>
                <w:bCs/>
                <w:sz w:val="18"/>
                <w:szCs w:val="18"/>
                <w:highlight w:val="none"/>
                <w:lang w:val="en-US" w:eastAsia="zh-CN"/>
              </w:rPr>
              <w:t xml:space="preserve"> </w:t>
            </w:r>
            <w:r>
              <w:rPr>
                <w:rFonts w:hint="eastAsia" w:ascii="Times New Roman" w:hAnsi="Times New Roman" w:eastAsia="微软雅黑" w:cs="Times New Roman"/>
                <w:bCs/>
                <w:sz w:val="18"/>
                <w:szCs w:val="18"/>
                <w:highlight w:val="none"/>
                <w:lang w:eastAsia="zh-CN"/>
              </w:rPr>
              <w:t>}}</w:t>
            </w:r>
          </w:p>
        </w:tc>
      </w:tr>
    </w:tbl>
    <w:p>
      <w:pPr>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4"/>
          <w:szCs w:val="24"/>
          <w:highlight w:val="none"/>
          <w:lang w:eastAsia="zh-CN"/>
        </w:rPr>
        <w:t>{% endif %}{% endfor %}{% endif %}</w:t>
      </w:r>
      <w:r>
        <w:rPr>
          <w:rFonts w:ascii="微软雅黑" w:hAnsi="微软雅黑" w:eastAsia="微软雅黑" w:cs="微软雅黑"/>
          <w:b/>
          <w:color w:val="45A3A7"/>
          <w:sz w:val="24"/>
          <w:szCs w:val="24"/>
          <w:highlight w:val="none"/>
          <w:lang w:eastAsia="zh-CN" w:bidi="ar"/>
        </w:rPr>
        <w:br w:type="page"/>
      </w: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val="en-US" w:eastAsia="zh-CN"/>
        </w:rPr>
        <w:t>{%if summaryOfRresults.negativeImmnueNum != 0%}</w:t>
      </w:r>
      <w:r>
        <w:rPr>
          <w:rFonts w:hint="eastAsia" w:ascii="Times New Roman" w:hAnsi="Times New Roman" w:eastAsia="微软雅黑" w:cs="Times New Roman"/>
          <w:b/>
          <w:color w:val="45A3A7"/>
          <w:sz w:val="24"/>
          <w:szCs w:val="24"/>
          <w:highlight w:val="none"/>
          <w:lang w:eastAsia="zh-CN"/>
        </w:rPr>
        <w:t>{%if negativeImmnue!= [] %}</w:t>
      </w:r>
      <w:r>
        <w:rPr>
          <w:rFonts w:ascii="Times New Roman" w:hAnsi="Times New Roman" w:eastAsia="微软雅黑" w:cs="Times New Roman"/>
          <w:b/>
          <w:color w:val="45A3A7"/>
          <w:sz w:val="24"/>
          <w:highlight w:val="none"/>
          <w:lang w:eastAsia="zh-CN"/>
        </w:rPr>
        <w:t>免疫</w:t>
      </w:r>
      <w:r>
        <w:rPr>
          <w:rFonts w:hint="eastAsia" w:ascii="Times New Roman" w:hAnsi="Times New Roman" w:eastAsia="微软雅黑" w:cs="Times New Roman"/>
          <w:b/>
          <w:color w:val="45A3A7"/>
          <w:sz w:val="24"/>
          <w:highlight w:val="none"/>
          <w:lang w:eastAsia="zh-CN"/>
        </w:rPr>
        <w:t>负</w:t>
      </w:r>
      <w:r>
        <w:rPr>
          <w:rFonts w:ascii="Times New Roman" w:hAnsi="Times New Roman" w:eastAsia="微软雅黑" w:cs="Times New Roman"/>
          <w:b/>
          <w:color w:val="45A3A7"/>
          <w:sz w:val="24"/>
          <w:highlight w:val="none"/>
          <w:lang w:eastAsia="zh-CN"/>
        </w:rPr>
        <w:t>相关基因检测结果解析</w:t>
      </w:r>
      <w:r>
        <w:rPr>
          <w:rFonts w:hint="eastAsia" w:ascii="Times New Roman" w:hAnsi="Times New Roman" w:eastAsia="微软雅黑" w:cs="Times New Roman"/>
          <w:b/>
          <w:color w:val="45A3A7"/>
          <w:sz w:val="20"/>
          <w:szCs w:val="20"/>
          <w:highlight w:val="none"/>
          <w:lang w:eastAsia="zh-CN"/>
        </w:rPr>
        <w:t xml:space="preserve">{% for tdd in negativeImmnue%}{% </w:t>
      </w:r>
      <w:r>
        <w:rPr>
          <w:rFonts w:hint="eastAsia" w:ascii="Times New Roman" w:hAnsi="Times New Roman" w:eastAsia="微软雅黑" w:cs="Times New Roman"/>
          <w:b/>
          <w:color w:val="45A3A7"/>
          <w:sz w:val="20"/>
          <w:szCs w:val="20"/>
          <w:highlight w:val="none"/>
          <w:lang w:val="en-US" w:eastAsia="zh-CN"/>
        </w:rPr>
        <w:t xml:space="preserve">if </w:t>
      </w:r>
      <w:r>
        <w:rPr>
          <w:rFonts w:hint="eastAsia" w:ascii="Times New Roman" w:hAnsi="Times New Roman" w:eastAsia="微软雅黑" w:cs="Times New Roman"/>
          <w:b/>
          <w:color w:val="45A3A7"/>
          <w:sz w:val="20"/>
          <w:szCs w:val="20"/>
          <w:highlight w:val="none"/>
          <w:lang w:eastAsia="zh-CN"/>
        </w:rPr>
        <w:t>tdd</w:t>
      </w:r>
      <w:r>
        <w:rPr>
          <w:rFonts w:hint="eastAsia"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varDesc</w:t>
      </w:r>
      <w:r>
        <w:rPr>
          <w:rFonts w:hint="eastAsia" w:ascii="Times New Roman" w:hAnsi="Times New Roman" w:eastAsia="微软雅黑" w:cs="Times New Roman"/>
          <w:b/>
          <w:color w:val="45A3A7"/>
          <w:sz w:val="20"/>
          <w:szCs w:val="20"/>
          <w:highlight w:val="none"/>
          <w:lang w:val="en-US" w:eastAsia="zh-CN"/>
        </w:rPr>
        <w:t xml:space="preserve"> !=</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val="en-US" w:eastAsia="zh-CN"/>
        </w:rPr>
        <w:t>/</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 xml:space="preserve"> %}</w:t>
      </w:r>
    </w:p>
    <w:p>
      <w:pPr>
        <w:keepNext/>
        <w:spacing w:before="240" w:beforeLines="100" w:line="360" w:lineRule="auto"/>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bCs/>
                <w:sz w:val="18"/>
                <w:szCs w:val="18"/>
                <w:highlight w:val="none"/>
                <w:lang w:eastAsia="zh-CN"/>
              </w:rPr>
              <w:t>免疫负相关说明:</w:t>
            </w:r>
            <w:r>
              <w:rPr>
                <w:rFonts w:hint="eastAsia" w:ascii="Times New Roman" w:hAnsi="Times New Roman" w:eastAsia="微软雅黑" w:cs="Times New Roman"/>
                <w:bCs/>
                <w:sz w:val="18"/>
                <w:szCs w:val="18"/>
                <w:highlight w:val="none"/>
                <w:lang w:eastAsia="zh-CN"/>
              </w:rPr>
              <w:t>{{ tdd.varDesc</w:t>
            </w:r>
            <w:r>
              <w:rPr>
                <w:rFonts w:hint="eastAsia" w:ascii="Times New Roman" w:hAnsi="Times New Roman" w:eastAsia="微软雅黑" w:cs="Times New Roman"/>
                <w:bCs/>
                <w:sz w:val="18"/>
                <w:szCs w:val="18"/>
                <w:highlight w:val="none"/>
                <w:lang w:val="en-US" w:eastAsia="zh-CN"/>
              </w:rPr>
              <w:t xml:space="preserve"> </w:t>
            </w:r>
            <w:r>
              <w:rPr>
                <w:rFonts w:hint="eastAsia" w:ascii="Times New Roman" w:hAnsi="Times New Roman" w:eastAsia="微软雅黑" w:cs="Times New Roman"/>
                <w:bCs/>
                <w:sz w:val="18"/>
                <w:szCs w:val="18"/>
                <w:highlight w:val="none"/>
                <w:lang w:eastAsia="zh-CN"/>
              </w:rPr>
              <w:t>}}</w:t>
            </w:r>
          </w:p>
        </w:tc>
      </w:tr>
    </w:tbl>
    <w:p>
      <w:pPr>
        <w:rPr>
          <w:rFonts w:hint="eastAsia"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endif %}{% endfor %}{% endif %}</w:t>
      </w:r>
      <w:r>
        <w:rPr>
          <w:highlight w:val="none"/>
        </w:rPr>
        <w:br w:type="page"/>
      </w: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val="en-US" w:eastAsia="zh-CN"/>
        </w:rPr>
        <w:t>}</w:t>
      </w:r>
      <w:r>
        <w:rPr>
          <w:rFonts w:hint="eastAsia" w:ascii="Times New Roman" w:hAnsi="Times New Roman" w:eastAsia="微软雅黑" w:cs="Times New Roman"/>
          <w:sz w:val="18"/>
          <w:highlight w:val="none"/>
          <w:lang w:eastAsia="zh-CN"/>
        </w:rPr>
        <w:t xml:space="preserve">{% if crAnalysisIndex == </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true</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 xml:space="preserve"> %}</w:t>
      </w:r>
    </w:p>
    <w:p>
      <w:pPr>
        <w:pStyle w:val="22"/>
        <w:rPr>
          <w:highlight w:val="none"/>
        </w:rPr>
      </w:pPr>
      <w:bookmarkStart w:id="68" w:name="_Toc6194"/>
      <w:bookmarkStart w:id="69" w:name="_Toc4670"/>
      <w:r>
        <w:rPr>
          <w:rFonts w:hint="eastAsia"/>
          <w:highlight w:val="none"/>
        </w:rPr>
        <w:t>遗传变异检测解析</w:t>
      </w:r>
      <w:bookmarkEnd w:id="68"/>
      <w:bookmarkEnd w:id="69"/>
    </w:p>
    <w:p>
      <w:pPr>
        <w:jc w:val="both"/>
        <w:rPr>
          <w:rFonts w:ascii="Times New Roman" w:hAnsi="Times New Roman" w:eastAsia="微软雅黑" w:cs="Times New Roman"/>
          <w:sz w:val="24"/>
          <w:szCs w:val="24"/>
          <w:highlight w:val="none"/>
          <w:lang w:eastAsia="zh-CN"/>
        </w:rPr>
      </w:pPr>
    </w:p>
    <w:p>
      <w:pPr>
        <w:pStyle w:val="23"/>
        <w:rPr>
          <w:highlight w:val="none"/>
        </w:rPr>
      </w:pPr>
      <w:r>
        <w:rPr>
          <w:rFonts w:hint="eastAsia"/>
          <w:highlight w:val="none"/>
        </w:rPr>
        <w:t>遗传风险相关基因检测结果解析{% for genetic in geneticCancerRiskInfo%}</w:t>
      </w:r>
    </w:p>
    <w:p>
      <w:pPr>
        <w:spacing w:before="240" w:beforeLines="100" w:line="360" w:lineRule="auto"/>
        <w:rPr>
          <w:rFonts w:hint="eastAsia" w:ascii="Times New Roman" w:hAnsi="Times New Roman" w:eastAsia="微软雅黑" w:cs="Times New Roman"/>
          <w:b/>
          <w:color w:val="45A3A7"/>
          <w:sz w:val="20"/>
          <w:szCs w:val="20"/>
          <w:highlight w:val="none"/>
          <w:lang w:val="en-US" w:eastAsia="zh-CN" w:bidi="ar-SA"/>
        </w:rPr>
      </w:pPr>
      <w:r>
        <w:rPr>
          <w:rFonts w:hint="eastAsia" w:ascii="Times New Roman" w:hAnsi="Times New Roman" w:eastAsia="微软雅黑" w:cs="Times New Roman"/>
          <w:b/>
          <w:color w:val="45A3A7"/>
          <w:sz w:val="20"/>
          <w:szCs w:val="20"/>
          <w:highlight w:val="none"/>
          <w:lang w:val="en-US" w:eastAsia="zh-CN" w:bidi="ar-SA"/>
        </w:rPr>
        <w:t>{{ genetic.Gene }}</w:t>
      </w:r>
    </w:p>
    <w:tbl>
      <w:tblPr>
        <w:tblStyle w:val="13"/>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31" w:hRule="atLeast"/>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genetic.FreDesc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genetic.mutDesc}}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genetic.GeneDesc}}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变异解析</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genetic.VarClianno}}</w:t>
            </w:r>
          </w:p>
        </w:tc>
      </w:tr>
    </w:tbl>
    <w:p>
      <w:pPr>
        <w:pStyle w:val="23"/>
        <w:rPr>
          <w:sz w:val="16"/>
          <w:highlight w:val="none"/>
        </w:rPr>
      </w:pPr>
      <w:r>
        <w:rPr>
          <w:rFonts w:hint="eastAsia"/>
          <w:sz w:val="20"/>
          <w:szCs w:val="20"/>
          <w:highlight w:val="none"/>
        </w:rPr>
        <w:t>{% endfor %}</w:t>
      </w:r>
    </w:p>
    <w:p>
      <w:pPr>
        <w:pStyle w:val="23"/>
        <w:rPr>
          <w:sz w:val="16"/>
          <w:highlight w:val="none"/>
        </w:rPr>
      </w:pPr>
      <w:r>
        <w:rPr>
          <w:sz w:val="16"/>
          <w:highlight w:val="none"/>
        </w:rPr>
        <w:br w:type="page"/>
      </w:r>
    </w:p>
    <w:p>
      <w:pPr>
        <w:rPr>
          <w:rFonts w:ascii="Times New Roman" w:hAnsi="Times New Roman" w:eastAsia="微软雅黑" w:cs="Times New Roman"/>
          <w:sz w:val="20"/>
          <w:szCs w:val="18"/>
          <w:highlight w:val="none"/>
          <w:lang w:eastAsia="zh-CN"/>
        </w:rPr>
      </w:pPr>
      <w:r>
        <w:rPr>
          <w:rFonts w:hint="eastAsia"/>
          <w:sz w:val="16"/>
          <w:highlight w:val="none"/>
        </w:rPr>
        <w:t>{% endif %}</w:t>
      </w:r>
    </w:p>
    <w:p>
      <w:pPr>
        <w:pStyle w:val="22"/>
        <w:rPr>
          <w:highlight w:val="none"/>
        </w:rPr>
      </w:pPr>
      <w:bookmarkStart w:id="70" w:name="_Toc26649"/>
      <w:bookmarkStart w:id="71" w:name="_Toc14132"/>
      <w:bookmarkStart w:id="72" w:name="_Toc21764_WPSOffice_Level2"/>
      <w:bookmarkStart w:id="73" w:name="_Toc16347"/>
      <w:bookmarkStart w:id="74" w:name="_Toc1707_WPSOffice_Level2"/>
      <w:bookmarkStart w:id="75" w:name="_Toc3249"/>
      <w:r>
        <w:rPr>
          <w:highlight w:val="none"/>
        </w:rPr>
        <w:t>化疗药物检测解析</w:t>
      </w:r>
      <w:bookmarkEnd w:id="70"/>
      <w:bookmarkEnd w:id="71"/>
      <w:bookmarkEnd w:id="72"/>
      <w:bookmarkEnd w:id="73"/>
      <w:bookmarkEnd w:id="74"/>
      <w:bookmarkEnd w:id="75"/>
    </w:p>
    <w:p>
      <w:pPr>
        <w:pStyle w:val="23"/>
        <w:rPr>
          <w:highlight w:val="none"/>
        </w:rPr>
      </w:pPr>
      <w:r>
        <w:rPr>
          <w:highlight w:val="none"/>
        </w:rPr>
        <w:t>化疗药物毒副作用风险解析</w:t>
      </w:r>
    </w:p>
    <w:p>
      <w:pPr>
        <w:jc w:val="center"/>
        <w:rPr>
          <w:rFonts w:ascii="Times New Roman" w:hAnsi="Times New Roman" w:eastAsia="微软雅黑" w:cs="Times New Roman"/>
          <w:sz w:val="18"/>
          <w:szCs w:val="18"/>
          <w:highlight w:val="none"/>
          <w:lang w:eastAsia="zh-CN"/>
        </w:rPr>
      </w:pP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jc w:val="center"/>
        <w:rPr>
          <w:rFonts w:ascii="Times New Roman" w:hAnsi="Times New Roman" w:eastAsia="微软雅黑" w:cs="Times New Roman"/>
          <w:sz w:val="18"/>
          <w:szCs w:val="18"/>
          <w:highlight w:val="none"/>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p>
    <w:p>
      <w:pPr>
        <w:pStyle w:val="23"/>
        <w:rPr>
          <w:highlight w:val="none"/>
        </w:rPr>
      </w:pPr>
      <w:r>
        <w:rPr>
          <w:highlight w:val="none"/>
        </w:rPr>
        <w:t>化疗药物有效性解析</w:t>
      </w: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rPr>
          <w:rFonts w:ascii="Times New Roman" w:hAnsi="Times New Roman" w:eastAsia="微软雅黑" w:cs="Times New Roman"/>
          <w:b/>
          <w:sz w:val="18"/>
          <w:highlight w:val="none"/>
          <w:lang w:eastAsia="zh-CN"/>
        </w:rPr>
      </w:pPr>
    </w:p>
    <w:p>
      <w:pPr>
        <w:rPr>
          <w:rFonts w:ascii="Times New Roman" w:hAnsi="Times New Roman" w:eastAsia="微软雅黑" w:cs="Times New Roman"/>
          <w:b/>
          <w:sz w:val="18"/>
          <w:highlight w:val="none"/>
          <w:lang w:eastAsia="zh-CN"/>
        </w:rPr>
      </w:pPr>
      <w:r>
        <w:rPr>
          <w:rFonts w:ascii="Times New Roman" w:hAnsi="Times New Roman" w:eastAsia="微软雅黑" w:cs="Times New Roman"/>
          <w:b/>
          <w:sz w:val="18"/>
          <w:highlight w:val="none"/>
          <w:lang w:eastAsia="zh-CN"/>
        </w:rPr>
        <w:t>证据等级说明：</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1A：相关性已被临床药理学联合会或某些重大卫生系统认可。</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2B：相关性基于多项重复性研究所得的中等程度证据，但其中某些研究可能缺乏统计学显著性或规模效应较小。</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3 ：相关性基于单一显著性（尚无重复性）研究或多项缺乏明确证据的研究。</w:t>
      </w:r>
    </w:p>
    <w:p>
      <w:pPr>
        <w:pStyle w:val="23"/>
        <w:rPr>
          <w:b w:val="0"/>
          <w:sz w:val="16"/>
          <w:szCs w:val="30"/>
          <w:highlight w:val="none"/>
        </w:rPr>
      </w:pPr>
      <w:r>
        <w:rPr>
          <w:highlight w:val="none"/>
        </w:rPr>
        <w:br w:type="page"/>
      </w:r>
      <w:bookmarkEnd w:id="65"/>
    </w:p>
    <w:p>
      <w:pPr>
        <w:pStyle w:val="24"/>
        <w:rPr>
          <w:highlight w:val="none"/>
        </w:rPr>
      </w:pPr>
      <w:bookmarkStart w:id="76" w:name="_Toc1707_WPSOffice_Level1"/>
      <w:bookmarkStart w:id="77" w:name="_Toc28240"/>
      <w:bookmarkStart w:id="78" w:name="_Toc21764_WPSOffice_Level1"/>
      <w:bookmarkStart w:id="79" w:name="_Toc13196_WPSOffice_Level1"/>
      <w:bookmarkStart w:id="80" w:name="_Toc2066"/>
      <w:bookmarkStart w:id="81" w:name="_Toc27302"/>
      <w:bookmarkStart w:id="82" w:name="_Toc13698"/>
      <w:r>
        <w:rPr>
          <w:highlight w:val="none"/>
        </w:rPr>
        <w:t>附录</w:t>
      </w:r>
      <w:bookmarkEnd w:id="76"/>
      <w:bookmarkEnd w:id="77"/>
      <w:bookmarkEnd w:id="78"/>
      <w:bookmarkEnd w:id="79"/>
      <w:bookmarkEnd w:id="80"/>
      <w:bookmarkEnd w:id="81"/>
      <w:bookmarkEnd w:id="82"/>
    </w:p>
    <w:p>
      <w:pPr>
        <w:pStyle w:val="25"/>
        <w:rPr>
          <w:highlight w:val="none"/>
        </w:rPr>
      </w:pPr>
      <w:bookmarkStart w:id="83" w:name="_Toc24085_WPSOffice_Level1"/>
      <w:bookmarkStart w:id="84" w:name="_Toc3674"/>
      <w:bookmarkStart w:id="85" w:name="_Toc15840_WPSOffice_Level1"/>
      <w:bookmarkStart w:id="86" w:name="_Toc23154"/>
      <w:bookmarkStart w:id="87" w:name="_Toc14255_WPSOffice_Level1"/>
      <w:r>
        <w:rPr>
          <w:rFonts w:hint="eastAsia"/>
          <w:highlight w:val="none"/>
        </w:rPr>
        <w:t>样本控制情况</w:t>
      </w:r>
      <w:bookmarkEnd w:id="83"/>
      <w:bookmarkEnd w:id="84"/>
      <w:bookmarkEnd w:id="85"/>
      <w:bookmarkEnd w:id="86"/>
      <w:bookmarkEnd w:id="87"/>
    </w:p>
    <w:p>
      <w:pPr>
        <w:rPr>
          <w:highlight w:val="none"/>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20%</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w:t>
            </w:r>
            <w:r>
              <w:rPr>
                <w:rFonts w:hint="eastAsia" w:ascii="Times New Roman" w:hAnsi="Times New Roman" w:eastAsia="微软雅黑" w:cs="Times New Roman"/>
                <w:sz w:val="21"/>
                <w:highlight w:val="none"/>
                <w:lang w:eastAsia="zh-CN"/>
              </w:rPr>
              <w:t>2</w:t>
            </w:r>
            <w:r>
              <w:rPr>
                <w:rFonts w:ascii="Times New Roman" w:hAnsi="Times New Roman" w:eastAsia="微软雅黑" w:cs="Times New Roman"/>
                <w:sz w:val="21"/>
                <w:highlight w:val="none"/>
              </w:rPr>
              <w:t>0ng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30ng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tcPr>
          <w:p>
            <w:pPr>
              <w:spacing w:before="94"/>
              <w:ind w:left="118"/>
              <w:rPr>
                <w:rFonts w:eastAsia="微软雅黑"/>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=C级</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=12G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=16G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=1400X</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=1600X</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99%以上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pStyle w:val="6"/>
        <w:rPr>
          <w:b/>
          <w:sz w:val="6"/>
          <w:highlight w:val="none"/>
        </w:rPr>
      </w:pPr>
    </w:p>
    <w:p>
      <w:pPr>
        <w:spacing w:before="53" w:line="301" w:lineRule="exact"/>
        <w:ind w:left="133"/>
        <w:rPr>
          <w:rFonts w:ascii="微软雅黑" w:hAnsi="微软雅黑" w:eastAsia="微软雅黑" w:cs="微软雅黑"/>
          <w:b/>
          <w:sz w:val="18"/>
          <w:highlight w:val="none"/>
        </w:rPr>
      </w:pPr>
      <w:r>
        <w:rPr>
          <w:rFonts w:ascii="Times New Roman" w:hAnsi="Times New Roman" w:eastAsia="微软雅黑" w:cs="Times New Roman"/>
          <w:b/>
          <w:sz w:val="18"/>
          <w:highlight w:val="none"/>
        </w:rPr>
        <w:t>DNA 降解程度说明:</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A级：有主带，或降解均匀且降解区域主要集中在5000bp以上。</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B级：无主带，降解均匀且降解区域主要集中在1500-5000bp之间。</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C级：无主带，降解均匀且降解区域主要集中在500-1500bp之间。</w:t>
      </w:r>
    </w:p>
    <w:p>
      <w:pPr>
        <w:pStyle w:val="6"/>
        <w:spacing w:line="270" w:lineRule="exact"/>
        <w:ind w:left="133"/>
        <w:rPr>
          <w:rFonts w:ascii="微软雅黑" w:hAnsi="微软雅黑" w:eastAsia="微软雅黑" w:cs="微软雅黑"/>
          <w:highlight w:val="none"/>
          <w:lang w:eastAsia="zh-CN"/>
        </w:rPr>
        <w:sectPr>
          <w:headerReference r:id="rId5" w:type="default"/>
          <w:footerReference r:id="rId6" w:type="default"/>
          <w:pgSz w:w="11910" w:h="16840"/>
          <w:pgMar w:top="1037" w:right="1020" w:bottom="981" w:left="1020" w:header="567" w:footer="567" w:gutter="0"/>
          <w:cols w:space="720" w:num="1"/>
        </w:sectPr>
      </w:pPr>
      <w:r>
        <w:rPr>
          <w:rFonts w:ascii="Times New Roman" w:hAnsi="Times New Roman" w:eastAsia="微软雅黑" w:cs="Times New Roman"/>
          <w:highlight w:val="none"/>
          <w:lang w:eastAsia="zh-CN"/>
        </w:rPr>
        <w:t>D</w:t>
      </w:r>
      <w:r>
        <w:rPr>
          <w:rFonts w:ascii="Times New Roman" w:hAnsi="Times New Roman" w:eastAsia="微软雅黑" w:cs="Times New Roman"/>
          <w:spacing w:val="3"/>
          <w:highlight w:val="none"/>
          <w:lang w:eastAsia="zh-CN"/>
        </w:rPr>
        <w:t>级</w:t>
      </w:r>
      <w:r>
        <w:rPr>
          <w:rFonts w:ascii="Times New Roman" w:hAnsi="Times New Roman" w:eastAsia="微软雅黑" w:cs="Times New Roman"/>
          <w:highlight w:val="none"/>
          <w:lang w:eastAsia="zh-CN"/>
        </w:rPr>
        <w:t>（</w:t>
      </w:r>
      <w:r>
        <w:rPr>
          <w:rFonts w:ascii="Times New Roman" w:hAnsi="Times New Roman" w:eastAsia="微软雅黑" w:cs="Times New Roman"/>
          <w:spacing w:val="1"/>
          <w:highlight w:val="none"/>
          <w:lang w:eastAsia="zh-CN"/>
        </w:rPr>
        <w:t>不合格</w:t>
      </w:r>
      <w:r>
        <w:rPr>
          <w:rFonts w:ascii="Times New Roman" w:hAnsi="Times New Roman" w:eastAsia="微软雅黑" w:cs="Times New Roman"/>
          <w:spacing w:val="-90"/>
          <w:highlight w:val="none"/>
          <w:lang w:eastAsia="zh-CN"/>
        </w:rPr>
        <w:t>）</w:t>
      </w:r>
      <w:r>
        <w:rPr>
          <w:rFonts w:ascii="微软雅黑" w:hAnsi="微软雅黑" w:eastAsia="微软雅黑" w:cs="微软雅黑"/>
          <w:highlight w:val="none"/>
          <w:lang w:eastAsia="zh-CN"/>
        </w:rPr>
        <w:t>）</w:t>
      </w:r>
      <w:r>
        <w:rPr>
          <w:rFonts w:ascii="Times New Roman" w:hAnsi="Times New Roman" w:eastAsia="微软雅黑" w:cs="Times New Roman"/>
          <w:highlight w:val="none"/>
          <w:lang w:eastAsia="zh-CN"/>
        </w:rPr>
        <w:t>：无主带，降解均匀且降解区域主要集中在500-1500bp</w:t>
      </w:r>
      <w:r>
        <w:rPr>
          <w:rFonts w:ascii="Times New Roman" w:hAnsi="Times New Roman" w:eastAsia="微软雅黑" w:cs="Times New Roman"/>
          <w:spacing w:val="-1"/>
          <w:highlight w:val="none"/>
          <w:lang w:eastAsia="zh-CN"/>
        </w:rPr>
        <w:t>之间，但总量介于</w:t>
      </w:r>
      <w:r>
        <w:rPr>
          <w:rFonts w:ascii="Times New Roman" w:hAnsi="Times New Roman" w:eastAsia="微软雅黑" w:cs="Times New Roman"/>
          <w:highlight w:val="none"/>
          <w:lang w:eastAsia="zh-CN"/>
        </w:rPr>
        <w:t>100ng</w:t>
      </w:r>
      <w:r>
        <w:rPr>
          <w:rFonts w:ascii="Times New Roman" w:hAnsi="Times New Roman" w:eastAsia="微软雅黑" w:cs="Times New Roman"/>
          <w:spacing w:val="-3"/>
          <w:highlight w:val="none"/>
          <w:lang w:eastAsia="zh-CN"/>
        </w:rPr>
        <w:t>到</w:t>
      </w:r>
      <w:r>
        <w:rPr>
          <w:rFonts w:ascii="Times New Roman" w:hAnsi="Times New Roman" w:eastAsia="微软雅黑" w:cs="Times New Roman"/>
          <w:highlight w:val="none"/>
          <w:lang w:eastAsia="zh-CN"/>
        </w:rPr>
        <w:t>300ng之间；或降解区</w:t>
      </w:r>
      <w:r>
        <w:rPr>
          <w:rFonts w:ascii="Times New Roman" w:hAnsi="Times New Roman" w:eastAsia="微软雅黑" w:cs="Times New Roman"/>
          <w:spacing w:val="-2"/>
          <w:highlight w:val="none"/>
          <w:lang w:eastAsia="zh-CN"/>
        </w:rPr>
        <w:t>域弥散在</w:t>
      </w:r>
      <w:r>
        <w:rPr>
          <w:rFonts w:ascii="Times New Roman" w:hAnsi="Times New Roman" w:eastAsia="微软雅黑" w:cs="Times New Roman"/>
          <w:highlight w:val="none"/>
          <w:lang w:eastAsia="zh-CN"/>
        </w:rPr>
        <w:t>150-1000bp</w:t>
      </w:r>
      <w:r>
        <w:rPr>
          <w:rFonts w:ascii="Times New Roman" w:hAnsi="Times New Roman" w:eastAsia="微软雅黑" w:cs="Times New Roman"/>
          <w:spacing w:val="-2"/>
          <w:highlight w:val="none"/>
          <w:lang w:eastAsia="zh-CN"/>
        </w:rPr>
        <w:t>，或集中在</w:t>
      </w:r>
      <w:r>
        <w:rPr>
          <w:rFonts w:ascii="Times New Roman" w:hAnsi="Times New Roman" w:eastAsia="微软雅黑" w:cs="Times New Roman"/>
          <w:highlight w:val="none"/>
          <w:lang w:eastAsia="zh-CN"/>
        </w:rPr>
        <w:t>500bp以下。</w:t>
      </w:r>
    </w:p>
    <w:p>
      <w:pPr>
        <w:pStyle w:val="25"/>
        <w:spacing w:line="240" w:lineRule="exact"/>
        <w:rPr>
          <w:highlight w:val="none"/>
        </w:rPr>
      </w:pPr>
      <w:bookmarkStart w:id="88" w:name="_Toc18360"/>
      <w:bookmarkStart w:id="89" w:name="_Toc11896_WPSOffice_Level1"/>
      <w:bookmarkStart w:id="90" w:name="_Toc23688"/>
      <w:bookmarkStart w:id="91" w:name="_Toc11193_WPSOffice_Level1"/>
      <w:bookmarkStart w:id="92" w:name="_Toc28810_WPSOffice_Level1"/>
      <w:r>
        <w:rPr>
          <w:highlight w:val="none"/>
        </w:rPr>
        <w:t>常见靶向药物相关基因检测列表</w:t>
      </w:r>
      <w:bookmarkEnd w:id="88"/>
      <w:bookmarkEnd w:id="89"/>
      <w:bookmarkEnd w:id="90"/>
    </w:p>
    <w:bookmarkEnd w:id="91"/>
    <w:bookmarkEnd w:id="92"/>
    <w:tbl>
      <w:tblPr>
        <w:tblStyle w:val="14"/>
        <w:tblpPr w:leftFromText="180" w:rightFromText="180" w:vertAnchor="text" w:horzAnchor="page" w:tblpXSpec="center" w:tblpY="224"/>
        <w:tblOverlap w:val="never"/>
        <w:tblW w:w="10397"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09"/>
        <w:gridCol w:w="329"/>
        <w:gridCol w:w="380"/>
        <w:gridCol w:w="232"/>
        <w:gridCol w:w="4704"/>
        <w:gridCol w:w="181"/>
        <w:gridCol w:w="3640"/>
        <w:gridCol w:w="22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66" w:hRule="exact"/>
          <w:tblHeader/>
          <w:jc w:val="center"/>
        </w:trPr>
        <w:tc>
          <w:tcPr>
            <w:tcW w:w="70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bookmarkStart w:id="93" w:name="OLE_LINK59"/>
            <w:bookmarkStart w:id="94" w:name="OLE_LINK74"/>
            <w:bookmarkStart w:id="95" w:name="OLE_LINK66"/>
            <w:bookmarkStart w:id="96" w:name="OLE_LINK65"/>
            <w:bookmarkStart w:id="97" w:name="OLE_LINK73"/>
            <w:bookmarkStart w:id="98" w:name="OLE_LINK58"/>
            <w:bookmarkStart w:id="99" w:name="OLE_LINK57"/>
            <w:r>
              <w:rPr>
                <w:rFonts w:ascii="Times New Roman" w:hAnsi="Times New Roman" w:eastAsia="微软雅黑" w:cs="Times New Roman"/>
                <w:b/>
                <w:bCs/>
                <w:color w:val="416AAB"/>
                <w:sz w:val="18"/>
                <w:szCs w:val="18"/>
                <w:highlight w:val="none"/>
              </w:rPr>
              <w:t>基因</w:t>
            </w:r>
          </w:p>
        </w:tc>
        <w:tc>
          <w:tcPr>
            <w:tcW w:w="709"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5117" w:type="dxa"/>
            <w:gridSpan w:val="3"/>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62"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85" w:hRule="exac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AKT1</w:t>
            </w:r>
          </w:p>
        </w:tc>
        <w:tc>
          <w:tcPr>
            <w:tcW w:w="709"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5117" w:type="dxa"/>
            <w:gridSpan w:val="3"/>
            <w:vAlign w:val="center"/>
          </w:tcPr>
          <w:p>
            <w:pPr>
              <w:spacing w:before="19" w:line="315" w:lineRule="auto"/>
              <w:ind w:right="-8"/>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tc>
        <w:tc>
          <w:tcPr>
            <w:tcW w:w="3862" w:type="dxa"/>
            <w:gridSpan w:val="2"/>
            <w:vAlign w:val="center"/>
          </w:tcPr>
          <w:p>
            <w:pPr>
              <w:spacing w:before="19"/>
              <w:ind w:right="62"/>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在乳腺癌中，携带</w:t>
            </w:r>
            <w:r>
              <w:rPr>
                <w:rFonts w:ascii="Times New Roman" w:hAnsi="Times New Roman" w:eastAsia="微软雅黑" w:cs="Times New Roman"/>
                <w:spacing w:val="-1"/>
                <w:sz w:val="18"/>
                <w:szCs w:val="18"/>
                <w:highlight w:val="none"/>
                <w:lang w:eastAsia="zh-CN"/>
              </w:rPr>
              <w:t>AKT1 E17K</w:t>
            </w:r>
            <w:r>
              <w:rPr>
                <w:rFonts w:hint="eastAsia" w:ascii="Times New Roman" w:hAnsi="Times New Roman" w:eastAsia="微软雅黑" w:cs="Times New Roman"/>
                <w:spacing w:val="-1"/>
                <w:sz w:val="18"/>
                <w:szCs w:val="18"/>
                <w:highlight w:val="none"/>
                <w:lang w:eastAsia="zh-CN"/>
              </w:rPr>
              <w:t>突变的患者对</w:t>
            </w: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紫杉醇敏感</w:t>
            </w:r>
            <w:r>
              <w:rPr>
                <w:rFonts w:ascii="Times New Roman" w:hAnsi="Times New Roman" w:eastAsia="微软雅黑" w:cs="Times New Roman"/>
                <w:spacing w:val="-1"/>
                <w:sz w:val="18"/>
                <w:szCs w:val="18"/>
                <w:highlight w:val="none"/>
                <w:vertAlign w:val="superscript"/>
              </w:rPr>
              <w:t xml:space="preserve"> [1</w:t>
            </w:r>
            <w:r>
              <w:rPr>
                <w:rFonts w:hint="eastAsia"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vertAlign w:val="superscript"/>
              </w:rPr>
              <w:t>2]</w:t>
            </w:r>
            <w:r>
              <w:rPr>
                <w:rFonts w:hint="eastAsia"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398" w:hRule="atLeas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ALK</w:t>
            </w:r>
          </w:p>
        </w:tc>
        <w:tc>
          <w:tcPr>
            <w:tcW w:w="709"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5117" w:type="dxa"/>
            <w:gridSpan w:val="3"/>
            <w:vAlign w:val="center"/>
          </w:tcPr>
          <w:p>
            <w:pPr>
              <w:spacing w:before="19"/>
              <w:ind w:right="62"/>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ALK抑制剂：</w:t>
            </w:r>
            <w:r>
              <w:rPr>
                <w:rFonts w:hint="eastAsia" w:ascii="Times New Roman" w:hAnsi="Times New Roman" w:eastAsia="微软雅黑" w:cs="Times New Roman"/>
                <w:b/>
                <w:spacing w:val="-1"/>
                <w:sz w:val="18"/>
                <w:szCs w:val="18"/>
                <w:highlight w:val="none"/>
              </w:rPr>
              <w:t>克唑替尼*（</w:t>
            </w:r>
            <w:r>
              <w:rPr>
                <w:rFonts w:ascii="Times New Roman" w:hAnsi="Times New Roman" w:eastAsia="微软雅黑" w:cs="Times New Roman"/>
                <w:b/>
                <w:spacing w:val="-1"/>
                <w:sz w:val="18"/>
                <w:szCs w:val="18"/>
                <w:highlight w:val="none"/>
              </w:rPr>
              <w:t>Crizotinib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Ceritinib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阿来替尼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Alectinib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布吉他滨（</w:t>
            </w:r>
            <w:r>
              <w:rPr>
                <w:rFonts w:ascii="Times New Roman" w:hAnsi="Times New Roman" w:eastAsia="微软雅黑" w:cs="Times New Roman"/>
                <w:b/>
                <w:spacing w:val="-1"/>
                <w:sz w:val="18"/>
                <w:szCs w:val="18"/>
                <w:highlight w:val="none"/>
              </w:rPr>
              <w:t>Brigatinib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b/>
                <w:bCs/>
                <w:spacing w:val="-1"/>
                <w:sz w:val="18"/>
                <w:szCs w:val="18"/>
                <w:highlight w:val="none"/>
              </w:rPr>
              <w:t>劳拉替尼（</w:t>
            </w:r>
            <w:r>
              <w:rPr>
                <w:rFonts w:hint="eastAsia" w:ascii="Times New Roman" w:hAnsi="Times New Roman" w:eastAsia="微软雅黑" w:cs="Times New Roman"/>
                <w:b/>
                <w:bCs/>
                <w:spacing w:val="-1"/>
                <w:sz w:val="18"/>
                <w:szCs w:val="18"/>
                <w:highlight w:val="none"/>
              </w:rPr>
              <w:t>Lorlatinib</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（FDA批准用于非小细胞肺癌）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恩沙替尼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bCs/>
                <w:spacing w:val="-1"/>
                <w:sz w:val="18"/>
                <w:szCs w:val="18"/>
                <w:highlight w:val="none"/>
              </w:rPr>
              <w:t>Ensartinib</w:t>
            </w:r>
            <w:r>
              <w:rPr>
                <w:rFonts w:hint="eastAsia" w:ascii="Times New Roman" w:hAnsi="Times New Roman" w:eastAsia="微软雅黑" w:cs="Times New Roman"/>
                <w:b/>
                <w:bCs/>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tc>
        <w:tc>
          <w:tcPr>
            <w:tcW w:w="3862"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ALK酪氨酸激酶结构域关键位点(</w:t>
            </w:r>
            <w:r>
              <w:rPr>
                <w:rFonts w:hint="eastAsia" w:ascii="Times New Roman" w:hAnsi="Times New Roman" w:eastAsia="微软雅黑" w:cs="Times New Roman"/>
                <w:spacing w:val="-1"/>
                <w:sz w:val="18"/>
                <w:szCs w:val="18"/>
                <w:highlight w:val="none"/>
                <w:lang w:eastAsia="zh-CN"/>
              </w:rPr>
              <w:t>包含</w:t>
            </w:r>
            <w:r>
              <w:rPr>
                <w:rFonts w:ascii="Times New Roman" w:hAnsi="Times New Roman" w:eastAsia="微软雅黑" w:cs="Times New Roman"/>
                <w:spacing w:val="-1"/>
                <w:sz w:val="18"/>
                <w:szCs w:val="18"/>
                <w:highlight w:val="none"/>
                <w:lang w:eastAsia="zh-CN"/>
              </w:rPr>
              <w:t>1151Tins、L1152R、C1156Y、F1174L、L1196M、G1202R、S1206Y、G1269A、F1174V、F1245C）发生突变会导致对一代ALK抑制剂克唑替尼产生耐药性，L1196M</w:t>
            </w:r>
            <w:r>
              <w:rPr>
                <w:rFonts w:hint="eastAsia" w:ascii="Times New Roman" w:hAnsi="Times New Roman" w:eastAsia="微软雅黑" w:cs="Times New Roman"/>
                <w:spacing w:val="-1"/>
                <w:sz w:val="18"/>
                <w:szCs w:val="18"/>
                <w:highlight w:val="none"/>
                <w:lang w:eastAsia="zh-CN"/>
              </w:rPr>
              <w:t>、G1269A、I1171T、</w:t>
            </w:r>
            <w:r>
              <w:rPr>
                <w:rFonts w:ascii="Times New Roman" w:hAnsi="Times New Roman" w:eastAsia="微软雅黑" w:cs="Times New Roman"/>
                <w:spacing w:val="-1"/>
                <w:sz w:val="18"/>
                <w:szCs w:val="18"/>
                <w:highlight w:val="none"/>
                <w:lang w:eastAsia="zh-CN"/>
              </w:rPr>
              <w:t>S1206Y</w:t>
            </w:r>
            <w:r>
              <w:rPr>
                <w:rFonts w:hint="eastAsia" w:ascii="Times New Roman" w:hAnsi="Times New Roman" w:eastAsia="微软雅黑" w:cs="Times New Roman"/>
                <w:spacing w:val="-1"/>
                <w:sz w:val="18"/>
                <w:szCs w:val="18"/>
                <w:highlight w:val="none"/>
                <w:lang w:eastAsia="zh-CN"/>
              </w:rPr>
              <w:t>位点突变对</w:t>
            </w:r>
            <w:r>
              <w:rPr>
                <w:rFonts w:ascii="Times New Roman" w:hAnsi="Times New Roman" w:eastAsia="微软雅黑" w:cs="Times New Roman"/>
                <w:spacing w:val="-1"/>
                <w:sz w:val="18"/>
                <w:szCs w:val="18"/>
                <w:highlight w:val="none"/>
                <w:lang w:eastAsia="zh-CN"/>
              </w:rPr>
              <w:t>二代ALK抑制剂</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敏感，L1196M、G1269A、C1156Y、F1174L、1151T</w:t>
            </w:r>
            <w:r>
              <w:rPr>
                <w:rFonts w:ascii="Times New Roman" w:hAnsi="Times New Roman" w:eastAsia="微软雅黑" w:cs="Times New Roman"/>
                <w:spacing w:val="-1"/>
                <w:sz w:val="18"/>
                <w:szCs w:val="18"/>
                <w:highlight w:val="none"/>
                <w:lang w:eastAsia="zh-CN"/>
              </w:rPr>
              <w:t>ins</w:t>
            </w:r>
            <w:r>
              <w:rPr>
                <w:rFonts w:hint="eastAsia" w:ascii="Times New Roman" w:hAnsi="Times New Roman" w:eastAsia="微软雅黑" w:cs="Times New Roman"/>
                <w:spacing w:val="-1"/>
                <w:sz w:val="18"/>
                <w:szCs w:val="18"/>
                <w:highlight w:val="none"/>
                <w:lang w:eastAsia="zh-CN"/>
              </w:rPr>
              <w:t>、L1152R位点突变对二代</w:t>
            </w:r>
            <w:r>
              <w:rPr>
                <w:rFonts w:ascii="Times New Roman" w:hAnsi="Times New Roman" w:eastAsia="微软雅黑" w:cs="Times New Roman"/>
                <w:spacing w:val="-1"/>
                <w:sz w:val="18"/>
                <w:szCs w:val="18"/>
                <w:highlight w:val="none"/>
                <w:lang w:eastAsia="zh-CN"/>
              </w:rPr>
              <w:t>ALK</w:t>
            </w:r>
            <w:r>
              <w:rPr>
                <w:rFonts w:hint="eastAsia" w:ascii="Times New Roman" w:hAnsi="Times New Roman" w:eastAsia="微软雅黑" w:cs="Times New Roman"/>
                <w:spacing w:val="-1"/>
                <w:sz w:val="18"/>
                <w:szCs w:val="18"/>
                <w:highlight w:val="none"/>
                <w:lang w:eastAsia="zh-CN"/>
              </w:rPr>
              <w:t>抑制剂阿来替尼敏感</w:t>
            </w:r>
            <w:r>
              <w:rPr>
                <w:rFonts w:ascii="Times New Roman" w:hAnsi="Times New Roman" w:eastAsia="微软雅黑" w:cs="Times New Roman"/>
                <w:spacing w:val="-1"/>
                <w:sz w:val="18"/>
                <w:szCs w:val="18"/>
                <w:highlight w:val="none"/>
                <w:lang w:eastAsia="zh-CN"/>
              </w:rPr>
              <w:t>；肺癌中，ALK融合，对ALK TKIs药物克唑替尼、</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阿来</w:t>
            </w:r>
            <w:r>
              <w:rPr>
                <w:rFonts w:ascii="Times New Roman" w:hAnsi="Times New Roman" w:eastAsia="微软雅黑" w:cs="Times New Roman"/>
                <w:spacing w:val="-1"/>
                <w:sz w:val="18"/>
                <w:szCs w:val="18"/>
                <w:highlight w:val="none"/>
                <w:lang w:eastAsia="zh-CN"/>
              </w:rPr>
              <w:t>替尼、布吉他滨</w:t>
            </w:r>
            <w:r>
              <w:rPr>
                <w:rFonts w:hint="eastAsia" w:ascii="Times New Roman" w:hAnsi="Times New Roman" w:eastAsia="微软雅黑" w:cs="Times New Roman"/>
                <w:spacing w:val="-1"/>
                <w:sz w:val="18"/>
                <w:szCs w:val="18"/>
                <w:highlight w:val="none"/>
                <w:lang w:eastAsia="zh-CN"/>
              </w:rPr>
              <w:t>、劳拉替尼、恩沙替尼</w:t>
            </w:r>
            <w:r>
              <w:rPr>
                <w:rFonts w:ascii="Times New Roman" w:hAnsi="Times New Roman" w:eastAsia="微软雅黑" w:cs="Times New Roman"/>
                <w:spacing w:val="-1"/>
                <w:sz w:val="18"/>
                <w:szCs w:val="18"/>
                <w:highlight w:val="none"/>
                <w:lang w:eastAsia="zh-CN"/>
              </w:rPr>
              <w:t>敏感；对EGFR TKIs药物埃克替尼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吉非替尼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阿法替尼、</w:t>
            </w:r>
            <w:r>
              <w:rPr>
                <w:rFonts w:hint="eastAsia" w:ascii="Times New Roman" w:hAnsi="Times New Roman" w:eastAsia="微软雅黑" w:cs="Times New Roman"/>
                <w:spacing w:val="-1"/>
                <w:sz w:val="18"/>
                <w:szCs w:val="18"/>
                <w:highlight w:val="none"/>
                <w:lang w:eastAsia="zh-CN"/>
              </w:rPr>
              <w:t>奥希替尼</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w:t>
            </w:r>
            <w:r>
              <w:rPr>
                <w:rFonts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eastAsia="zh-CN"/>
              </w:rPr>
              <w:t>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914" w:hRule="atLeas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709" w:type="dxa"/>
            <w:gridSpan w:val="2"/>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5117" w:type="dxa"/>
            <w:gridSpan w:val="3"/>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BRAF抑制剂</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/NMPA</w:t>
            </w:r>
            <w:r>
              <w:rPr>
                <w:rFonts w:ascii="Times New Roman" w:hAnsi="Times New Roman" w:eastAsia="微软雅黑" w:cs="Times New Roman"/>
                <w:spacing w:val="-1"/>
                <w:sz w:val="18"/>
                <w:szCs w:val="18"/>
                <w:highlight w:val="none"/>
              </w:rPr>
              <w:t>批准用于黑色素瘤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FDA批准用于埃德海姆-切斯特病</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Dabrafenib）</w:t>
            </w:r>
            <w:r>
              <w:rPr>
                <w:rFonts w:ascii="Times New Roman" w:hAnsi="Times New Roman" w:eastAsia="微软雅黑" w:cs="Times New Roman"/>
                <w:spacing w:val="-1"/>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Trametinib）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曲美替尼+达拉非尼</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（D</w:t>
            </w:r>
            <w:r>
              <w:rPr>
                <w:rFonts w:ascii="Times New Roman" w:hAnsi="Times New Roman" w:eastAsia="微软雅黑" w:cs="Times New Roman"/>
                <w:b/>
                <w:spacing w:val="-1"/>
                <w:sz w:val="18"/>
                <w:szCs w:val="18"/>
                <w:highlight w:val="none"/>
              </w:rPr>
              <w:t>abrafenib+</w:t>
            </w:r>
            <w:r>
              <w:rPr>
                <w:rFonts w:hint="eastAsia" w:ascii="Times New Roman" w:hAnsi="Times New Roman" w:eastAsia="微软雅黑" w:cs="Times New Roman"/>
                <w:b/>
                <w:spacing w:val="-1"/>
                <w:sz w:val="18"/>
                <w:szCs w:val="18"/>
                <w:highlight w:val="none"/>
              </w:rPr>
              <w:t>T</w:t>
            </w:r>
            <w:r>
              <w:rPr>
                <w:rFonts w:ascii="Times New Roman" w:hAnsi="Times New Roman" w:eastAsia="微软雅黑" w:cs="Times New Roman"/>
                <w:b/>
                <w:spacing w:val="-1"/>
                <w:sz w:val="18"/>
                <w:szCs w:val="18"/>
                <w:highlight w:val="none"/>
              </w:rPr>
              <w:t>rametinib）</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批准用于非小细胞肺癌、甲状腺癌；</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w:t>
            </w:r>
            <w:r>
              <w:rPr>
                <w:rFonts w:ascii="微软雅黑" w:hAnsi="微软雅黑" w:eastAsia="微软雅黑" w:cs="Times New Roman"/>
                <w:spacing w:val="-1"/>
                <w:sz w:val="18"/>
                <w:szCs w:val="18"/>
                <w:highlight w:val="none"/>
              </w:rPr>
              <w:t>黑色素瘤</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康奈非尼</w:t>
            </w:r>
            <w:r>
              <w:rPr>
                <w:rFonts w:ascii="Times New Roman" w:hAnsi="Times New Roman" w:eastAsia="微软雅黑" w:cs="Times New Roman"/>
                <w:b/>
                <w:spacing w:val="-1"/>
                <w:sz w:val="18"/>
                <w:szCs w:val="18"/>
                <w:highlight w:val="none"/>
              </w:rPr>
              <w:t>+贝美替尼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Encorafenib+Binimetinib）</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考比替尼</w:t>
            </w:r>
            <w:r>
              <w:rPr>
                <w:rFonts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Cobimetinib+Vemurafenib）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用于黑色素瘤）；</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lang w:val="en-US" w:eastAsia="zh-CN"/>
              </w:rPr>
              <w:t>司美替尼（</w:t>
            </w:r>
            <w:r>
              <w:rPr>
                <w:rFonts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b/>
                <w:bCs/>
                <w:spacing w:val="-1"/>
                <w:sz w:val="18"/>
                <w:szCs w:val="18"/>
                <w:highlight w:val="none"/>
                <w:lang w:eastAsia="zh-CN"/>
              </w:rPr>
            </w:pPr>
            <w:r>
              <w:rPr>
                <w:rFonts w:ascii="微软雅黑" w:hAnsi="微软雅黑" w:eastAsia="微软雅黑" w:cs="Times New Roman"/>
                <w:b/>
                <w:bCs/>
                <w:spacing w:val="-1"/>
                <w:sz w:val="18"/>
                <w:szCs w:val="18"/>
                <w:highlight w:val="none"/>
              </w:rPr>
              <w:t>阿替利珠单抗</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考比替尼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维莫非尼</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Atezolizumab+Cobimetinib+Vemurafenib</w:t>
            </w:r>
            <w:r>
              <w:rPr>
                <w:rFonts w:hint="eastAsia" w:ascii="微软雅黑" w:hAnsi="微软雅黑" w:eastAsia="微软雅黑" w:cs="Times New Roman"/>
                <w:b/>
                <w:bCs/>
                <w:spacing w:val="-1"/>
                <w:sz w:val="18"/>
                <w:szCs w:val="18"/>
                <w:highlight w:val="none"/>
              </w:rPr>
              <w:t>）</w:t>
            </w:r>
          </w:p>
          <w:p>
            <w:pPr>
              <w:jc w:val="left"/>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用于黑色素瘤</w:t>
            </w:r>
            <w:r>
              <w:rPr>
                <w:rFonts w:hint="eastAsia" w:ascii="微软雅黑" w:hAnsi="微软雅黑" w:eastAsia="微软雅黑" w:cs="Times New Roman"/>
                <w:spacing w:val="-1"/>
                <w:sz w:val="18"/>
                <w:szCs w:val="18"/>
                <w:highlight w:val="none"/>
              </w:rPr>
              <w:t>）；</w:t>
            </w:r>
          </w:p>
          <w:p>
            <w:pPr>
              <w:jc w:val="both"/>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达拉非尼+曲美替尼+帕博利珠单抗</w:t>
            </w:r>
            <w:r>
              <w:rPr>
                <w:rFonts w:hint="default"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val="en-US" w:eastAsia="zh-CN"/>
              </w:rPr>
              <w:t>NCCN指南推荐用于皮肤黑色素瘤</w:t>
            </w:r>
            <w:r>
              <w:rPr>
                <w:rFonts w:hint="default"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微软雅黑" w:hAnsi="微软雅黑" w:eastAsia="微软雅黑" w:cs="Times New Roman"/>
                <w:spacing w:val="-1"/>
                <w:sz w:val="18"/>
                <w:szCs w:val="18"/>
                <w:highlight w:val="none"/>
              </w:rPr>
            </w:pPr>
            <w:r>
              <w:rPr>
                <w:rFonts w:ascii="微软雅黑" w:hAnsi="微软雅黑" w:eastAsia="微软雅黑" w:cs="Times New Roman"/>
                <w:b/>
                <w:bCs/>
                <w:spacing w:val="-1"/>
                <w:sz w:val="18"/>
                <w:szCs w:val="18"/>
                <w:highlight w:val="none"/>
              </w:rPr>
              <w:t>康奈非尼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西妥昔单抗（</w:t>
            </w:r>
            <w:r>
              <w:rPr>
                <w:rFonts w:ascii="Times New Roman" w:hAnsi="Times New Roman" w:eastAsia="微软雅黑" w:cs="Times New Roman"/>
                <w:b/>
                <w:bCs/>
                <w:spacing w:val="-1"/>
                <w:sz w:val="18"/>
                <w:szCs w:val="18"/>
                <w:highlight w:val="none"/>
              </w:rPr>
              <w:t>Encorafenib+Cetuximab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用于结直肠癌）；</w:t>
            </w:r>
          </w:p>
          <w:p>
            <w:pPr>
              <w:widowControl/>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康奈非尼+贝美替尼+西妥昔单抗</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w:t>
            </w:r>
            <w:r>
              <w:rPr>
                <w:rFonts w:hint="eastAsia" w:ascii="Times New Roman" w:hAnsi="Times New Roman"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 + 伊立替康 + 西妥昔单抗</w:t>
            </w:r>
          </w:p>
          <w:p>
            <w:pPr>
              <w:jc w:val="both"/>
              <w:rPr>
                <w:rFonts w:hint="eastAsia"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EGF</w:t>
            </w:r>
            <w:r>
              <w:rPr>
                <w:rFonts w:ascii="Times New Roman" w:hAnsi="Times New Roman" w:eastAsia="微软雅黑" w:cs="Times New Roman"/>
                <w:spacing w:val="-1"/>
                <w:sz w:val="18"/>
                <w:szCs w:val="18"/>
                <w:highlight w:val="none"/>
              </w:rPr>
              <w:t>R</w:t>
            </w:r>
            <w:r>
              <w:rPr>
                <w:rFonts w:hint="eastAsia" w:ascii="Times New Roman" w:hAnsi="Times New Roman" w:eastAsia="微软雅黑" w:cs="Times New Roman"/>
                <w:spacing w:val="-1"/>
                <w:sz w:val="18"/>
                <w:szCs w:val="18"/>
                <w:highlight w:val="none"/>
              </w:rPr>
              <w:t>单抗：</w:t>
            </w:r>
            <w:r>
              <w:rPr>
                <w:rFonts w:hint="eastAsia" w:ascii="Times New Roman" w:hAnsi="Times New Roman" w:eastAsia="微软雅黑" w:cs="Times New Roman"/>
                <w:b/>
                <w:spacing w:val="-1"/>
                <w:sz w:val="18"/>
                <w:szCs w:val="18"/>
                <w:highlight w:val="none"/>
              </w:rPr>
              <w:t>帕尼单抗（</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用于结直肠癌）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w:t>
            </w:r>
            <w:r>
              <w:rPr>
                <w:rFonts w:hint="eastAsia" w:ascii="Times New Roman" w:hAnsi="Times New Roman" w:eastAsia="微软雅黑" w:cs="Times New Roman"/>
                <w:b/>
                <w:spacing w:val="-1"/>
                <w:sz w:val="18"/>
                <w:szCs w:val="18"/>
                <w:highlight w:val="none"/>
              </w:rPr>
              <w:t>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p>
        </w:tc>
        <w:tc>
          <w:tcPr>
            <w:tcW w:w="3862" w:type="dxa"/>
            <w:gridSpan w:val="2"/>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BRAF V600E突变对BRAF抑制剂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、达拉非尼敏感；黑色素瘤中，BRAF V600突变对BRAF抑制剂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eastAsia="zh-CN"/>
              </w:rPr>
              <w:t>突变的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 xml:space="preserve">敏感，BRAF </w:t>
            </w:r>
            <w:r>
              <w:rPr>
                <w:rFonts w:ascii="Times New Roman" w:hAnsi="Times New Roman" w:eastAsia="微软雅黑" w:cs="Times New Roman"/>
                <w:spacing w:val="-1"/>
                <w:sz w:val="18"/>
                <w:szCs w:val="18"/>
                <w:highlight w:val="none"/>
                <w:lang w:eastAsia="zh-CN"/>
              </w:rPr>
              <w:t>V600E/K</w:t>
            </w:r>
            <w:r>
              <w:rPr>
                <w:rFonts w:hint="eastAsia" w:ascii="Times New Roman" w:hAnsi="Times New Roman" w:eastAsia="微软雅黑" w:cs="Times New Roman"/>
                <w:spacing w:val="-1"/>
                <w:sz w:val="18"/>
                <w:szCs w:val="18"/>
                <w:highlight w:val="none"/>
                <w:lang w:eastAsia="zh-CN"/>
              </w:rPr>
              <w:t>突变</w:t>
            </w:r>
            <w:r>
              <w:rPr>
                <w:rFonts w:ascii="Times New Roman" w:hAnsi="Times New Roman" w:eastAsia="微软雅黑" w:cs="Times New Roman"/>
                <w:spacing w:val="-1"/>
                <w:sz w:val="18"/>
                <w:szCs w:val="18"/>
                <w:highlight w:val="none"/>
                <w:lang w:eastAsia="zh-CN"/>
              </w:rPr>
              <w:t>的患者对</w:t>
            </w:r>
            <w:r>
              <w:rPr>
                <w:rFonts w:hint="eastAsia" w:ascii="Times New Roman" w:hAnsi="Times New Roman" w:eastAsia="微软雅黑" w:cs="Times New Roman"/>
                <w:spacing w:val="-1"/>
                <w:sz w:val="18"/>
                <w:szCs w:val="18"/>
                <w:highlight w:val="none"/>
                <w:lang w:eastAsia="zh-CN"/>
              </w:rPr>
              <w:t>康奈非尼</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考比替尼</w:t>
            </w:r>
            <w:r>
              <w:rPr>
                <w:rFonts w:ascii="Times New Roman" w:hAnsi="Times New Roman" w:eastAsia="微软雅黑" w:cs="Times New Roman"/>
                <w:spacing w:val="-1"/>
                <w:sz w:val="18"/>
                <w:szCs w:val="18"/>
                <w:highlight w:val="none"/>
                <w:lang w:eastAsia="zh-CN"/>
              </w:rPr>
              <w:t>+维莫非尼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曲美替尼+</w:t>
            </w:r>
            <w:r>
              <w:rPr>
                <w:rFonts w:hint="eastAsia" w:ascii="Times New Roman" w:hAnsi="Times New Roman" w:eastAsia="微软雅黑" w:cs="Times New Roman"/>
                <w:spacing w:val="-1"/>
                <w:sz w:val="18"/>
                <w:szCs w:val="18"/>
                <w:highlight w:val="none"/>
                <w:lang w:eastAsia="zh-CN"/>
              </w:rPr>
              <w:t>达拉非尼、</w:t>
            </w:r>
            <w:r>
              <w:rPr>
                <w:rFonts w:ascii="Times New Roman" w:hAnsi="Times New Roman" w:eastAsia="微软雅黑" w:cs="Times New Roman"/>
                <w:spacing w:val="-1"/>
                <w:sz w:val="18"/>
                <w:szCs w:val="18"/>
                <w:highlight w:val="none"/>
                <w:lang w:eastAsia="zh-CN"/>
              </w:rPr>
              <w:t>阿替利珠单抗+考比替尼+维莫非尼</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达拉非尼+曲美替尼+帕博利珠单抗</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eastAsia="zh-CN"/>
              </w:rPr>
              <w:t>BRAF V600E突变的患者对</w:t>
            </w:r>
            <w:r>
              <w:rPr>
                <w:rFonts w:ascii="Times New Roman" w:hAnsi="Times New Roman" w:eastAsia="微软雅黑" w:cs="Times New Roman"/>
                <w:spacing w:val="-1"/>
                <w:sz w:val="18"/>
                <w:szCs w:val="18"/>
                <w:highlight w:val="none"/>
                <w:lang w:eastAsia="zh-CN"/>
              </w:rPr>
              <w:t>康奈非尼+帕尼单抗、康奈非尼+西妥昔单抗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康奈非尼+贝美替尼+西妥昔单抗</w:t>
            </w:r>
            <w:r>
              <w:rPr>
                <w:rFonts w:hint="eastAsia" w:ascii="Times New Roman" w:hAnsi="Times New Roman" w:eastAsia="微软雅黑" w:cs="Times New Roman"/>
                <w:spacing w:val="-1"/>
                <w:sz w:val="18"/>
                <w:szCs w:val="18"/>
                <w:highlight w:val="none"/>
                <w:lang w:eastAsia="zh-CN"/>
              </w:rPr>
              <w:t>、维莫非尼 + 伊立替康 + 西妥昔单抗</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携带B</w:t>
            </w:r>
            <w:r>
              <w:rPr>
                <w:rFonts w:hint="eastAsia" w:ascii="Times New Roman" w:hAnsi="Times New Roman" w:eastAsia="微软雅黑" w:cs="Times New Roman"/>
                <w:color w:val="000000"/>
                <w:spacing w:val="-1"/>
                <w:sz w:val="18"/>
                <w:szCs w:val="18"/>
                <w:highlight w:val="none"/>
                <w:lang w:eastAsia="zh-CN"/>
              </w:rPr>
              <w:t>RAF</w:t>
            </w:r>
            <w:r>
              <w:rPr>
                <w:rFonts w:ascii="Times New Roman" w:hAnsi="Times New Roman" w:eastAsia="微软雅黑" w:cs="Times New Roman"/>
                <w:color w:val="000000"/>
                <w:spacing w:val="-1"/>
                <w:sz w:val="18"/>
                <w:szCs w:val="18"/>
                <w:highlight w:val="none"/>
                <w:lang w:eastAsia="zh-CN"/>
              </w:rPr>
              <w:t xml:space="preserve"> V600</w:t>
            </w:r>
            <w:r>
              <w:rPr>
                <w:rFonts w:hint="eastAsia" w:ascii="Times New Roman" w:hAnsi="Times New Roman" w:eastAsia="微软雅黑" w:cs="Times New Roman"/>
                <w:color w:val="000000"/>
                <w:spacing w:val="-1"/>
                <w:sz w:val="18"/>
                <w:szCs w:val="18"/>
                <w:highlight w:val="none"/>
                <w:lang w:eastAsia="zh-CN"/>
              </w:rPr>
              <w:t>的</w:t>
            </w:r>
            <w:r>
              <w:rPr>
                <w:rFonts w:ascii="Times New Roman" w:hAnsi="Times New Roman" w:eastAsia="微软雅黑" w:cs="Times New Roman"/>
                <w:color w:val="000000"/>
                <w:spacing w:val="-1"/>
                <w:sz w:val="18"/>
                <w:szCs w:val="18"/>
                <w:highlight w:val="none"/>
                <w:lang w:eastAsia="zh-CN"/>
              </w:rPr>
              <w:t>患者</w:t>
            </w:r>
            <w:r>
              <w:rPr>
                <w:rFonts w:hint="eastAsia" w:ascii="Times New Roman" w:hAnsi="Times New Roman" w:eastAsia="微软雅黑" w:cs="Times New Roman"/>
                <w:color w:val="000000"/>
                <w:spacing w:val="-1"/>
                <w:sz w:val="18"/>
                <w:szCs w:val="18"/>
                <w:highlight w:val="none"/>
                <w:lang w:eastAsia="zh-CN"/>
              </w:rPr>
              <w:t>对维莫非尼敏感,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患者使用</w:t>
            </w:r>
            <w:r>
              <w:rPr>
                <w:rFonts w:hint="eastAsia" w:ascii="Times New Roman" w:hAnsi="Times New Roman" w:eastAsia="微软雅黑" w:cs="Times New Roman"/>
                <w:spacing w:val="-1"/>
                <w:sz w:val="18"/>
                <w:szCs w:val="18"/>
                <w:highlight w:val="none"/>
                <w:lang w:eastAsia="zh-CN"/>
              </w:rPr>
              <w:t>帕尼单抗</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西妥昔单抗产生耐药性</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对于BRAF V600激活突变（包括V600E、V600K、V600R、V600D等）的转移性黑色素瘤患者，BRAF/MEK抑制剂组合（达拉非尼/曲美替尼或维莫非尼/考比替尼）优于BRAF抑制剂单药治疗；在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达拉非尼联合曲美替尼可作为具有BRAF V600E突变的非小细胞肺癌患者的一线治疗方案，联合治疗不耐受的患者建议使用单药达拉非尼或维莫非尼进行治疗；</w:t>
            </w:r>
            <w:r>
              <w:rPr>
                <w:rFonts w:ascii="Times New Roman" w:hAnsi="Times New Roman" w:eastAsia="微软雅黑" w:cs="Times New Roman"/>
                <w:spacing w:val="-1"/>
                <w:sz w:val="18"/>
                <w:szCs w:val="18"/>
                <w:highlight w:val="none"/>
                <w:lang w:eastAsia="zh-CN"/>
              </w:rPr>
              <w:t>BRAF V600E或V600K突变的不可手术切除的转移黑色素瘤</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曲美替</w:t>
            </w:r>
            <w:r>
              <w:rPr>
                <w:rFonts w:hint="eastAsia" w:ascii="Times New Roman" w:hAnsi="Times New Roman" w:eastAsia="微软雅黑" w:cs="Times New Roman"/>
                <w:spacing w:val="-1"/>
                <w:sz w:val="18"/>
                <w:szCs w:val="18"/>
                <w:highlight w:val="none"/>
                <w:lang w:eastAsia="zh-CN"/>
              </w:rPr>
              <w:t>尼</w:t>
            </w:r>
            <w:r>
              <w:rPr>
                <w:rFonts w:ascii="Times New Roman" w:hAnsi="Times New Roman" w:eastAsia="微软雅黑" w:cs="Times New Roman"/>
                <w:spacing w:val="-1"/>
                <w:sz w:val="18"/>
                <w:szCs w:val="18"/>
                <w:highlight w:val="none"/>
                <w:lang w:eastAsia="zh-CN"/>
              </w:rPr>
              <w:t>联合达拉非尼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；BRAF V600E或V600K突变的黑色素瘤</w:t>
            </w:r>
            <w:r>
              <w:rPr>
                <w:rFonts w:hint="eastAsia" w:ascii="Times New Roman" w:hAnsi="Times New Roman" w:eastAsia="微软雅黑" w:cs="Times New Roman"/>
                <w:spacing w:val="-1"/>
                <w:sz w:val="18"/>
                <w:szCs w:val="18"/>
                <w:highlight w:val="none"/>
                <w:lang w:eastAsia="zh-CN"/>
              </w:rPr>
              <w:t>对考比替尼</w:t>
            </w:r>
            <w:r>
              <w:rPr>
                <w:rFonts w:ascii="Times New Roman" w:hAnsi="Times New Roman" w:eastAsia="微软雅黑" w:cs="Times New Roman"/>
                <w:spacing w:val="-1"/>
                <w:sz w:val="18"/>
                <w:szCs w:val="18"/>
                <w:highlight w:val="none"/>
                <w:lang w:eastAsia="zh-CN"/>
              </w:rPr>
              <w:t>联合</w:t>
            </w:r>
            <w:r>
              <w:rPr>
                <w:rFonts w:hint="eastAsia" w:ascii="Times New Roman" w:hAnsi="Times New Roman" w:eastAsia="微软雅黑" w:cs="Times New Roman"/>
                <w:spacing w:val="-1"/>
                <w:sz w:val="18"/>
                <w:szCs w:val="18"/>
                <w:highlight w:val="none"/>
                <w:lang w:eastAsia="zh-CN"/>
              </w:rPr>
              <w:t>维莫非尼敏感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val="en-US" w:eastAsia="zh-CN"/>
              </w:rPr>
              <w:t>, 287</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val="en-US" w:eastAsia="zh-CN"/>
              </w:rPr>
              <w:t>288</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val="en-US"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752" w:hRule="exact"/>
          <w:tblHeader/>
          <w:jc w:val="center"/>
        </w:trPr>
        <w:tc>
          <w:tcPr>
            <w:tcW w:w="1038" w:type="dxa"/>
            <w:gridSpan w:val="2"/>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6916" w:hRule="exac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扩增</w:t>
            </w:r>
          </w:p>
        </w:tc>
        <w:tc>
          <w:tcPr>
            <w:tcW w:w="4704" w:type="dxa"/>
            <w:vAlign w:val="center"/>
          </w:tcPr>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阿美替尼*（Almonertinib）</w:t>
            </w:r>
            <w:r>
              <w:rPr>
                <w:rFonts w:hint="eastAsia" w:ascii="Times New Roman" w:hAnsi="Times New Roman" w:eastAsia="微软雅黑" w:cs="Times New Roman"/>
                <w:spacing w:val="-1"/>
                <w:sz w:val="18"/>
                <w:szCs w:val="18"/>
                <w:highlight w:val="none"/>
              </w:rPr>
              <w:t>（NMPA批准用于非小细胞肺癌）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b/>
                <w:bCs/>
                <w:spacing w:val="-1"/>
                <w:sz w:val="18"/>
                <w:szCs w:val="18"/>
                <w:highlight w:val="none"/>
              </w:rPr>
              <w:t>伏美替尼</w:t>
            </w:r>
            <w:r>
              <w:rPr>
                <w:rFonts w:hint="eastAsia" w:ascii="微软雅黑" w:hAnsi="微软雅黑" w:eastAsia="微软雅黑" w:cs="Times New Roman"/>
                <w:b/>
                <w:bCs/>
                <w:spacing w:val="-1"/>
                <w:sz w:val="18"/>
                <w:szCs w:val="18"/>
                <w:highlight w:val="none"/>
                <w:lang w:val="en-US" w:eastAsia="zh-CN"/>
              </w:rPr>
              <w:t>*（</w:t>
            </w:r>
            <w:r>
              <w:rPr>
                <w:rFonts w:hint="default" w:ascii="Times New Roman" w:hAnsi="Times New Roman" w:eastAsia="微软雅黑" w:cs="Times New Roman"/>
                <w:b/>
                <w:bCs/>
                <w:spacing w:val="-1"/>
                <w:sz w:val="18"/>
                <w:szCs w:val="18"/>
                <w:highlight w:val="none"/>
                <w:lang w:val="en-US" w:eastAsia="zh-CN"/>
              </w:rPr>
              <w:t>Furmonertinib</w:t>
            </w:r>
            <w:r>
              <w:rPr>
                <w:rFonts w:hint="eastAsia" w:ascii="微软雅黑" w:hAnsi="微软雅黑" w:eastAsia="微软雅黑" w:cs="Times New Roman"/>
                <w:b/>
                <w:bCs/>
                <w:spacing w:val="-1"/>
                <w:sz w:val="18"/>
                <w:szCs w:val="18"/>
                <w:highlight w:val="none"/>
                <w:lang w:val="en-US" w:eastAsia="zh-CN"/>
              </w:rPr>
              <w:t>）</w:t>
            </w:r>
            <w:r>
              <w:rPr>
                <w:rFonts w:hint="eastAsia" w:ascii="微软雅黑" w:hAnsi="微软雅黑" w:eastAsia="微软雅黑" w:cs="Times New Roman"/>
                <w:b w:val="0"/>
                <w:bCs w:val="0"/>
                <w:spacing w:val="-1"/>
                <w:sz w:val="18"/>
                <w:szCs w:val="18"/>
                <w:highlight w:val="none"/>
                <w:lang w:val="en-US"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微软雅黑" w:hAnsi="微软雅黑" w:eastAsia="微软雅黑" w:cs="Times New Roman"/>
                <w:b w:val="0"/>
                <w:bCs w:val="0"/>
                <w:spacing w:val="-1"/>
                <w:sz w:val="18"/>
                <w:szCs w:val="18"/>
                <w:highlight w:val="none"/>
                <w:lang w:val="en-US" w:eastAsia="zh-CN"/>
              </w:rPr>
              <w:t>)；</w:t>
            </w:r>
          </w:p>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pacing w:val="-1"/>
                <w:sz w:val="18"/>
                <w:szCs w:val="18"/>
                <w:highlight w:val="none"/>
                <w:lang w:eastAsia="zh-CN"/>
              </w:rPr>
              <w:t>奈西单抗+吉西他滨+顺铂</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Necitumumab+ Gemcitabine+</w:t>
            </w:r>
            <w:r>
              <w:rPr>
                <w:rFonts w:hint="eastAsia" w:ascii="Times New Roman" w:hAnsi="Times New Roman" w:eastAsia="微软雅黑" w:cs="Times New Roman"/>
                <w:b/>
                <w:bCs/>
                <w:spacing w:val="-1"/>
                <w:sz w:val="18"/>
                <w:szCs w:val="18"/>
                <w:highlight w:val="none"/>
              </w:rPr>
              <w:t>Cisplatin）</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w:t>
            </w:r>
            <w:r>
              <w:rPr>
                <w:rFonts w:hint="eastAsia" w:ascii="Times New Roman" w:hAnsi="Times New Roman" w:eastAsia="微软雅黑" w:cs="Times New Roman"/>
                <w:spacing w:val="-1"/>
                <w:sz w:val="18"/>
                <w:szCs w:val="18"/>
                <w:highlight w:val="none"/>
                <w:lang w:eastAsia="zh-CN"/>
              </w:rPr>
              <w:t>肺鳞癌</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厄洛替尼+雷莫芦单抗（Erlotinib+Ramucirumab）</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批准用于非小细胞肺癌）；</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厄洛替尼+贝伐珠单抗（Erlotinib+Bevacizumab）（NCCN推荐用于非鳞非小细胞肺癌、肾癌）；</w:t>
            </w:r>
          </w:p>
          <w:p>
            <w:pPr>
              <w:jc w:val="left"/>
              <w:rPr>
                <w:rFonts w:ascii="微软雅黑" w:hAnsi="微软雅黑"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凡德他尼+</w:t>
            </w:r>
            <w:r>
              <w:rPr>
                <w:rFonts w:ascii="Times New Roman" w:hAnsi="Times New Roman" w:eastAsia="微软雅黑" w:cs="Times New Roman"/>
                <w:spacing w:val="-1"/>
                <w:sz w:val="18"/>
                <w:szCs w:val="18"/>
                <w:highlight w:val="none"/>
              </w:rPr>
              <w:t>多西他赛</w:t>
            </w:r>
            <w:r>
              <w:rPr>
                <w:rFonts w:hint="eastAsia" w:ascii="Times New Roman" w:hAnsi="Times New Roman" w:eastAsia="微软雅黑" w:cs="Times New Roman"/>
                <w:spacing w:val="-1"/>
                <w:sz w:val="18"/>
                <w:szCs w:val="18"/>
                <w:highlight w:val="none"/>
              </w:rPr>
              <w:t>（V</w:t>
            </w:r>
            <w:r>
              <w:rPr>
                <w:rFonts w:ascii="Times New Roman" w:hAnsi="Times New Roman" w:eastAsia="微软雅黑" w:cs="Times New Roman"/>
                <w:spacing w:val="-1"/>
                <w:sz w:val="18"/>
                <w:szCs w:val="18"/>
                <w:highlight w:val="none"/>
              </w:rPr>
              <w:t>andetanib+Docetaxel）（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w:t>
            </w:r>
            <w:r>
              <w:rPr>
                <w:rFonts w:hint="eastAsia" w:ascii="Times New Roman" w:hAnsi="Times New Roman" w:eastAsia="微软雅黑" w:cs="Times New Roman"/>
                <w:spacing w:val="-1"/>
                <w:sz w:val="18"/>
                <w:szCs w:val="18"/>
                <w:highlight w:val="none"/>
              </w:rPr>
              <w:t>期）；</w:t>
            </w:r>
          </w:p>
          <w:p>
            <w:pPr>
              <w:widowControl/>
              <w:jc w:val="both"/>
              <w:rPr>
                <w:rFonts w:ascii="微软雅黑" w:hAnsi="微软雅黑"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Poziotinib（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肺癌中，EGFR野生型、20外显子插入突变，对EGFR TKIs（吉非替尼、厄洛替尼、埃克替尼</w:t>
            </w:r>
            <w:r>
              <w:rPr>
                <w:rFonts w:hint="eastAsia" w:ascii="Times New Roman" w:hAnsi="Times New Roman" w:eastAsia="微软雅黑" w:cs="Times New Roman"/>
                <w:spacing w:val="-1"/>
                <w:sz w:val="18"/>
                <w:szCs w:val="18"/>
                <w:highlight w:val="none"/>
                <w:lang w:eastAsia="zh-CN"/>
              </w:rPr>
              <w:t>、达</w:t>
            </w:r>
            <w:r>
              <w:rPr>
                <w:rFonts w:ascii="Times New Roman" w:hAnsi="Times New Roman" w:eastAsia="微软雅黑" w:cs="Times New Roman"/>
                <w:spacing w:val="-1"/>
                <w:sz w:val="18"/>
                <w:szCs w:val="18"/>
                <w:highlight w:val="none"/>
                <w:lang w:eastAsia="zh-CN"/>
              </w:rPr>
              <w:t>可</w:t>
            </w:r>
            <w:r>
              <w:rPr>
                <w:rFonts w:hint="eastAsia" w:ascii="Times New Roman" w:hAnsi="Times New Roman"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lang w:eastAsia="zh-CN"/>
              </w:rPr>
              <w:t>EGFR L861Q、L858R、A763_Y764insFQEA、G719A/C/S、19外显子插入或缺失等对EGFR TKIs敏感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EGFR T790M对EGFR TKIs（吉非替尼、厄洛替尼、埃克替尼、阿法替尼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）产生耐药性，但</w:t>
            </w:r>
            <w:r>
              <w:rPr>
                <w:rFonts w:ascii="Times New Roman" w:hAnsi="Times New Roman" w:eastAsia="微软雅黑" w:cs="Times New Roman"/>
                <w:spacing w:val="-1"/>
                <w:sz w:val="18"/>
                <w:szCs w:val="18"/>
                <w:highlight w:val="none"/>
                <w:lang w:eastAsia="zh-CN"/>
              </w:rPr>
              <w:t>EGFR T790M对EGFR TKIs（</w:t>
            </w:r>
            <w:r>
              <w:rPr>
                <w:rFonts w:hint="eastAsia" w:ascii="Times New Roman" w:hAnsi="Times New Roman" w:eastAsia="微软雅黑" w:cs="Times New Roman"/>
                <w:spacing w:val="-1"/>
                <w:sz w:val="18"/>
                <w:szCs w:val="18"/>
                <w:highlight w:val="none"/>
                <w:lang w:eastAsia="zh-CN"/>
              </w:rPr>
              <w:t>奥希替尼、阿美替尼</w:t>
            </w:r>
            <w:r>
              <w:rPr>
                <w:rFonts w:hint="eastAsia"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伏美</w:t>
            </w:r>
            <w:r>
              <w:rPr>
                <w:rFonts w:ascii="微软雅黑" w:hAnsi="微软雅黑"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）敏感；在非小细胞肺癌中，</w:t>
            </w:r>
            <w:r>
              <w:rPr>
                <w:rFonts w:hint="eastAsia" w:ascii="Times New Roman" w:hAnsi="Times New Roman" w:eastAsia="微软雅黑" w:cs="Times New Roman"/>
                <w:spacing w:val="-1"/>
                <w:sz w:val="18"/>
                <w:szCs w:val="18"/>
                <w:highlight w:val="none"/>
                <w:lang w:eastAsia="zh-CN"/>
              </w:rPr>
              <w:t>EGFR扩增</w:t>
            </w:r>
            <w:r>
              <w:rPr>
                <w:rFonts w:ascii="Times New Roman" w:hAnsi="Times New Roman" w:eastAsia="微软雅黑" w:cs="Times New Roman"/>
                <w:spacing w:val="-1"/>
                <w:sz w:val="18"/>
                <w:szCs w:val="18"/>
                <w:highlight w:val="none"/>
                <w:lang w:eastAsia="zh-CN"/>
              </w:rPr>
              <w:t>的患者对凡德他尼+多西他赛</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奈西单抗+吉西他滨+顺铂</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；西妥昔单抗、</w:t>
            </w:r>
            <w:r>
              <w:rPr>
                <w:rFonts w:ascii="微软雅黑" w:hAnsi="微软雅黑" w:eastAsia="微软雅黑" w:cs="Times New Roman"/>
                <w:spacing w:val="-1"/>
                <w:sz w:val="18"/>
                <w:szCs w:val="18"/>
                <w:highlight w:val="none"/>
                <w:lang w:eastAsia="zh-CN"/>
              </w:rPr>
              <w:t>帕尼单抗</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厄洛替尼+贝伐珠单抗、厄洛替尼+雷莫芦单抗是EGFR的单克隆抗体</w:t>
            </w:r>
            <w:r>
              <w:rPr>
                <w:rFonts w:hint="eastAsia" w:ascii="Times New Roman" w:hAnsi="Times New Roman" w:eastAsia="微软雅黑" w:cs="Times New Roman"/>
                <w:spacing w:val="-1"/>
                <w:sz w:val="18"/>
                <w:szCs w:val="18"/>
                <w:highlight w:val="none"/>
                <w:lang w:eastAsia="zh-CN"/>
              </w:rPr>
              <w:t>；在肺鳞癌中，EGFR扩增的患者对奈西单抗+吉西他滨+顺铂敏感；在非小细胞肺癌中，携带EGFR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w:t>
            </w:r>
            <w:r>
              <w:rPr>
                <w:rFonts w:hint="eastAsia" w:ascii="Times New Roman" w:hAnsi="Times New Roman" w:eastAsia="微软雅黑" w:cs="Times New Roman"/>
                <w:spacing w:val="-1"/>
                <w:sz w:val="18"/>
                <w:szCs w:val="18"/>
                <w:highlight w:val="none"/>
                <w:vertAlign w:val="baseline"/>
                <w:lang w:val="en-US" w:eastAsia="zh-CN"/>
              </w:rPr>
              <w:t>Poziotinib敏感</w:t>
            </w:r>
            <w:r>
              <w:rPr>
                <w:rFonts w:hint="default" w:ascii="Times New Roman" w:hAnsi="Times New Roman" w:eastAsia="微软雅黑" w:cs="Times New Roman"/>
                <w:spacing w:val="-1"/>
                <w:sz w:val="18"/>
                <w:szCs w:val="18"/>
                <w:highlight w:val="none"/>
                <w:vertAlign w:val="superscript"/>
                <w:lang w:val="en-US" w:eastAsia="zh-CN"/>
              </w:rPr>
              <w:t>[</w:t>
            </w:r>
            <w:r>
              <w:rPr>
                <w:rFonts w:hint="eastAsia" w:ascii="Times New Roman" w:hAnsi="Times New Roman" w:eastAsia="微软雅黑" w:cs="Times New Roman"/>
                <w:sz w:val="18"/>
                <w:szCs w:val="18"/>
                <w:highlight w:val="none"/>
                <w:vertAlign w:val="superscript"/>
                <w:lang w:val="en-US" w:eastAsia="zh-CN"/>
              </w:rPr>
              <w:t>44-58,285]</w:t>
            </w:r>
            <w:r>
              <w:rPr>
                <w:rFonts w:ascii="Times New Roman" w:hAnsi="Times New Roman" w:cs="Times New Roman"/>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591"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FGFR1</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704" w:type="dxa"/>
            <w:vAlign w:val="center"/>
          </w:tcPr>
          <w:p>
            <w:pPr>
              <w:spacing w:before="19"/>
              <w:ind w:right="-6"/>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Infigratinib</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w:t>
            </w:r>
          </w:p>
          <w:p>
            <w:pPr>
              <w:spacing w:before="19"/>
              <w:ind w:right="-6"/>
              <w:jc w:val="left"/>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pacing w:val="-1"/>
                <w:sz w:val="18"/>
                <w:szCs w:val="18"/>
                <w:highlight w:val="none"/>
              </w:rPr>
              <w:t>Derazantinib</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lang w:eastAsia="zh-CN"/>
              </w:rPr>
              <w:t>；</w:t>
            </w:r>
          </w:p>
          <w:p>
            <w:pPr>
              <w:spacing w:before="19"/>
              <w:ind w:right="-6" w:rightChars="0"/>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多韦替尼</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Dovitinib</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p>
        </w:tc>
        <w:tc>
          <w:tcPr>
            <w:tcW w:w="3821"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在肾上腺皮质癌中，</w:t>
            </w:r>
            <w:r>
              <w:rPr>
                <w:rFonts w:ascii="Times New Roman" w:hAnsi="Times New Roman" w:eastAsia="微软雅黑" w:cs="Times New Roman"/>
                <w:spacing w:val="-1"/>
                <w:sz w:val="18"/>
                <w:szCs w:val="18"/>
                <w:highlight w:val="none"/>
                <w:lang w:eastAsia="zh-CN"/>
              </w:rPr>
              <w:t>携带FGFR1扩增的患者对Derazantinib敏感</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肺鳞癌中</w:t>
            </w:r>
            <w:r>
              <w:rPr>
                <w:rFonts w:hint="eastAsia" w:ascii="Times New Roman" w:hAnsi="Times New Roman" w:eastAsia="微软雅黑" w:cs="Times New Roman"/>
                <w:spacing w:val="-1"/>
                <w:sz w:val="18"/>
                <w:szCs w:val="18"/>
                <w:highlight w:val="none"/>
                <w:lang w:eastAsia="zh-CN"/>
              </w:rPr>
              <w:t>，携带FGFR1扩增</w:t>
            </w:r>
            <w:r>
              <w:rPr>
                <w:rFonts w:ascii="Times New Roman" w:hAnsi="Times New Roman" w:eastAsia="微软雅黑" w:cs="Times New Roman"/>
                <w:spacing w:val="-1"/>
                <w:sz w:val="18"/>
                <w:szCs w:val="18"/>
                <w:highlight w:val="none"/>
                <w:lang w:eastAsia="zh-CN"/>
              </w:rPr>
              <w:t>的患者对</w:t>
            </w:r>
            <w:r>
              <w:rPr>
                <w:rFonts w:ascii="Times New Roman" w:hAnsi="Times New Roman" w:eastAsia="微软雅黑" w:cs="Times New Roman"/>
                <w:sz w:val="18"/>
                <w:szCs w:val="18"/>
                <w:highlight w:val="none"/>
                <w:lang w:eastAsia="zh-CN"/>
              </w:rPr>
              <w:t>Infigratinib</w:t>
            </w:r>
            <w:r>
              <w:rPr>
                <w:rFonts w:hint="eastAsia" w:ascii="Times New Roman" w:hAnsi="Times New Roman" w:eastAsia="微软雅黑" w:cs="Times New Roman"/>
                <w:sz w:val="18"/>
                <w:szCs w:val="18"/>
                <w:highlight w:val="none"/>
                <w:lang w:eastAsia="zh-CN"/>
              </w:rPr>
              <w:t>敏感；在</w:t>
            </w:r>
            <w:r>
              <w:rPr>
                <w:rFonts w:ascii="Times New Roman" w:hAnsi="Times New Roman" w:eastAsia="微软雅黑" w:cs="Times New Roman"/>
                <w:sz w:val="18"/>
                <w:szCs w:val="18"/>
                <w:highlight w:val="none"/>
                <w:lang w:eastAsia="zh-CN"/>
              </w:rPr>
              <w:t>HER2阳性乳腺癌</w:t>
            </w:r>
            <w:r>
              <w:rPr>
                <w:rFonts w:hint="eastAsia" w:ascii="Times New Roman" w:hAnsi="Times New Roman" w:eastAsia="微软雅黑" w:cs="Times New Roman"/>
                <w:sz w:val="18"/>
                <w:szCs w:val="18"/>
                <w:highlight w:val="none"/>
                <w:lang w:eastAsia="zh-CN"/>
              </w:rPr>
              <w:t>中</w:t>
            </w:r>
            <w:r>
              <w:rPr>
                <w:rFonts w:ascii="Times New Roman" w:hAnsi="Times New Roman" w:eastAsia="微软雅黑" w:cs="Times New Roman"/>
                <w:sz w:val="18"/>
                <w:szCs w:val="18"/>
                <w:highlight w:val="none"/>
                <w:lang w:eastAsia="zh-CN"/>
              </w:rPr>
              <w:t>，携带</w:t>
            </w:r>
            <w:r>
              <w:rPr>
                <w:rFonts w:hint="eastAsia" w:ascii="Times New Roman" w:hAnsi="Times New Roman" w:eastAsia="微软雅黑" w:cs="Times New Roman"/>
                <w:sz w:val="18"/>
                <w:szCs w:val="18"/>
                <w:highlight w:val="none"/>
                <w:lang w:eastAsia="zh-CN"/>
              </w:rPr>
              <w:t>FGFR1</w:t>
            </w:r>
            <w:r>
              <w:rPr>
                <w:rFonts w:hint="eastAsia" w:ascii="Times New Roman" w:hAnsi="Times New Roman" w:eastAsia="微软雅黑" w:cs="Times New Roman"/>
                <w:spacing w:val="-1"/>
                <w:sz w:val="18"/>
                <w:szCs w:val="18"/>
                <w:highlight w:val="none"/>
                <w:lang w:eastAsia="zh-CN"/>
              </w:rPr>
              <w:t>扩增</w:t>
            </w:r>
            <w:r>
              <w:rPr>
                <w:rFonts w:hint="eastAsia" w:ascii="Times New Roman" w:hAnsi="Times New Roman" w:eastAsia="微软雅黑" w:cs="Times New Roman"/>
                <w:sz w:val="18"/>
                <w:szCs w:val="18"/>
                <w:highlight w:val="none"/>
                <w:lang w:eastAsia="zh-CN"/>
              </w:rPr>
              <w:t>的</w:t>
            </w:r>
            <w:r>
              <w:rPr>
                <w:rFonts w:ascii="Times New Roman" w:hAnsi="Times New Roman" w:eastAsia="微软雅黑" w:cs="Times New Roman"/>
                <w:sz w:val="18"/>
                <w:szCs w:val="18"/>
                <w:highlight w:val="none"/>
                <w:lang w:eastAsia="zh-CN"/>
              </w:rPr>
              <w:t>患者</w:t>
            </w:r>
            <w:r>
              <w:rPr>
                <w:rFonts w:hint="eastAsia" w:ascii="Times New Roman" w:hAnsi="Times New Roman" w:eastAsia="微软雅黑" w:cs="Times New Roman"/>
                <w:sz w:val="18"/>
                <w:szCs w:val="18"/>
                <w:highlight w:val="none"/>
                <w:lang w:eastAsia="zh-CN"/>
              </w:rPr>
              <w:t>对</w:t>
            </w:r>
            <w:r>
              <w:rPr>
                <w:rFonts w:hint="eastAsia" w:ascii="Times New Roman" w:hAnsi="Times New Roman" w:eastAsia="微软雅黑" w:cs="Times New Roman"/>
                <w:spacing w:val="-1"/>
                <w:sz w:val="18"/>
                <w:szCs w:val="18"/>
                <w:highlight w:val="none"/>
                <w:lang w:eastAsia="zh-CN"/>
              </w:rPr>
              <w:t>多韦替尼敏感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028"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FGFR2</w:t>
            </w:r>
          </w:p>
        </w:tc>
        <w:tc>
          <w:tcPr>
            <w:tcW w:w="612" w:type="dxa"/>
            <w:gridSpan w:val="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突变</w:t>
            </w:r>
            <w:r>
              <w:rPr>
                <w:rFonts w:ascii="Times New Roman" w:hAnsi="Times New Roman" w:eastAsia="微软雅黑" w:cs="Times New Roman"/>
                <w:sz w:val="18"/>
                <w:szCs w:val="18"/>
                <w:highlight w:val="none"/>
              </w:rPr>
              <w:t>扩增</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融合</w:t>
            </w:r>
          </w:p>
        </w:tc>
        <w:tc>
          <w:tcPr>
            <w:tcW w:w="4704" w:type="dxa"/>
            <w:vAlign w:val="center"/>
          </w:tcPr>
          <w:p>
            <w:pPr>
              <w:spacing w:before="19"/>
              <w:ind w:right="-8"/>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sz w:val="18"/>
                <w:szCs w:val="18"/>
                <w:highlight w:val="none"/>
                <w:lang w:eastAsia="zh-CN"/>
              </w:rPr>
              <w:t>Pemigatinib</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p>
            <w:pPr>
              <w:widowControl/>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rPr>
              <w:t>Erdafitinib</w:t>
            </w:r>
            <w:r>
              <w:rPr>
                <w:rFonts w:ascii="Times New Roman" w:hAnsi="Times New Roman" w:eastAsia="微软雅黑" w:cs="Times New Roman"/>
                <w:sz w:val="18"/>
                <w:szCs w:val="18"/>
                <w:highlight w:val="none"/>
                <w:lang w:eastAsia="zh-CN"/>
              </w:rPr>
              <w:t>（FDA批准用于膀胱尿路上皮癌</w:t>
            </w:r>
            <w:r>
              <w:rPr>
                <w:rFonts w:hint="eastAsia" w:ascii="Times New Roman" w:hAnsi="Times New Roman" w:eastAsia="微软雅黑" w:cs="Times New Roman"/>
                <w:sz w:val="18"/>
                <w:szCs w:val="18"/>
                <w:highlight w:val="none"/>
                <w:lang w:eastAsia="zh-CN"/>
              </w:rPr>
              <w:t>）；</w:t>
            </w:r>
          </w:p>
          <w:p>
            <w:pPr>
              <w:spacing w:before="19"/>
              <w:ind w:right="-8" w:rightChars="0"/>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lang w:eastAsia="zh-CN"/>
              </w:rPr>
              <w:t>Infigratinib</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tc>
        <w:tc>
          <w:tcPr>
            <w:tcW w:w="3821"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在胆管癌中，FGFR2融合的患者对Pemigatinib、Infigratinib敏感；在尿路上皮癌中，FGFR2基因扩增/突变的患者对Erdafitinib敏感</w:t>
            </w:r>
            <w:r>
              <w:rPr>
                <w:rFonts w:hint="eastAsia" w:ascii="Times New Roman" w:hAnsi="Times New Roman" w:eastAsia="微软雅黑" w:cs="Times New Roman"/>
                <w:spacing w:val="-1"/>
                <w:sz w:val="18"/>
                <w:szCs w:val="18"/>
                <w:highlight w:val="none"/>
                <w:vertAlign w:val="superscript"/>
                <w:lang w:eastAsia="zh-CN"/>
              </w:rPr>
              <w:t>[63-65]</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084"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GNA11</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704"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sz w:val="18"/>
                <w:szCs w:val="18"/>
                <w:highlight w:val="none"/>
              </w:rPr>
              <w:t>曲美替尼</w:t>
            </w:r>
            <w:r>
              <w:rPr>
                <w:rFonts w:hint="eastAsia" w:ascii="Times New Roman" w:hAnsi="Times New Roman" w:eastAsia="微软雅黑" w:cs="Times New Roman"/>
                <w:b/>
                <w:sz w:val="18"/>
                <w:szCs w:val="18"/>
                <w:highlight w:val="none"/>
              </w:rPr>
              <w:t>（</w:t>
            </w:r>
            <w:r>
              <w:rPr>
                <w:rFonts w:ascii="Times New Roman" w:hAnsi="Times New Roman" w:eastAsia="微软雅黑" w:cs="Times New Roman"/>
                <w:b/>
                <w:sz w:val="18"/>
                <w:szCs w:val="18"/>
                <w:highlight w:val="none"/>
              </w:rPr>
              <w:t>Trametinib）</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z w:val="18"/>
                <w:szCs w:val="18"/>
                <w:highlight w:val="none"/>
                <w:lang w:eastAsia="zh-CN"/>
              </w:rPr>
              <w:t>葡萄膜</w:t>
            </w:r>
            <w:r>
              <w:rPr>
                <w:rFonts w:ascii="Times New Roman" w:hAnsi="Times New Roman" w:eastAsia="微软雅黑" w:cs="Times New Roman"/>
                <w:sz w:val="18"/>
                <w:szCs w:val="18"/>
                <w:highlight w:val="none"/>
                <w:lang w:eastAsia="zh-CN"/>
              </w:rPr>
              <w:t>黑色素瘤中，GNA11 Q209L突变（第9外显子）会导致GNA11持续激活，并增强MAPK信号通路</w:t>
            </w:r>
            <w:r>
              <w:rPr>
                <w:rFonts w:hint="eastAsia" w:ascii="Times New Roman" w:hAnsi="Times New Roman" w:eastAsia="微软雅黑" w:cs="Times New Roman"/>
                <w:sz w:val="18"/>
                <w:szCs w:val="18"/>
                <w:highlight w:val="none"/>
                <w:lang w:eastAsia="zh-CN"/>
              </w:rPr>
              <w:t>。在一项临床前研究中，GNA11 Q209L突变体葡萄膜黑色素瘤细胞系对曲美替尼敏感。另有一项针对葡萄膜黑色素瘤患者的临床试验中，</w:t>
            </w:r>
            <w:r>
              <w:rPr>
                <w:rFonts w:ascii="Times New Roman" w:hAnsi="Times New Roman" w:eastAsia="微软雅黑" w:cs="Times New Roman"/>
                <w:sz w:val="18"/>
                <w:szCs w:val="18"/>
                <w:highlight w:val="none"/>
                <w:lang w:eastAsia="zh-CN"/>
              </w:rPr>
              <w:t>GNA11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66</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71</w:t>
            </w:r>
            <w:r>
              <w:rPr>
                <w:rFonts w:ascii="Times New Roman" w:hAnsi="Times New Roman" w:eastAsia="微软雅黑" w:cs="Times New Roman"/>
                <w:sz w:val="18"/>
                <w:szCs w:val="18"/>
                <w:highlight w:val="none"/>
                <w:vertAlign w:val="superscript"/>
                <w:lang w:eastAsia="zh-CN"/>
              </w:rPr>
              <w:t>]</w:t>
            </w:r>
            <w:r>
              <w:rPr>
                <w:rFonts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430"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GNAQ</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704"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bCs/>
                <w:sz w:val="18"/>
                <w:szCs w:val="18"/>
                <w:highlight w:val="none"/>
              </w:rPr>
              <w:t>曲美替尼</w:t>
            </w:r>
            <w:r>
              <w:rPr>
                <w:rFonts w:hint="eastAsia" w:ascii="Times New Roman" w:hAnsi="Times New Roman" w:eastAsia="微软雅黑" w:cs="Times New Roman"/>
                <w:b/>
                <w:bCs/>
                <w:sz w:val="18"/>
                <w:szCs w:val="18"/>
                <w:highlight w:val="none"/>
              </w:rPr>
              <w:t>（Trametinib</w:t>
            </w:r>
            <w:r>
              <w:rPr>
                <w:rFonts w:ascii="Times New Roman" w:hAnsi="Times New Roman" w:eastAsia="微软雅黑" w:cs="Times New Roman"/>
                <w:b/>
                <w:bCs/>
                <w:sz w:val="18"/>
                <w:szCs w:val="18"/>
                <w:highlight w:val="none"/>
              </w:rPr>
              <w:t>）</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葡萄膜</w:t>
            </w:r>
            <w:r>
              <w:rPr>
                <w:rFonts w:ascii="Times New Roman" w:hAnsi="Times New Roman" w:eastAsia="微软雅黑" w:cs="Times New Roman"/>
                <w:spacing w:val="-1"/>
                <w:sz w:val="18"/>
                <w:szCs w:val="18"/>
                <w:highlight w:val="none"/>
                <w:lang w:eastAsia="zh-CN"/>
              </w:rPr>
              <w:t>黑色素瘤中，GNAQ Q209L突变（第9外显子）会导致GNAQ持续激活，并增强MAPK信号通路。</w:t>
            </w:r>
            <w:r>
              <w:rPr>
                <w:rFonts w:hint="eastAsia" w:ascii="Times New Roman" w:hAnsi="Times New Roman" w:eastAsia="微软雅黑" w:cs="Times New Roman"/>
                <w:sz w:val="18"/>
                <w:szCs w:val="18"/>
                <w:highlight w:val="none"/>
                <w:lang w:eastAsia="zh-CN"/>
              </w:rPr>
              <w:t>有一项针对葡萄膜黑色素瘤患者的临床试验中，</w:t>
            </w:r>
            <w:r>
              <w:rPr>
                <w:rFonts w:ascii="Times New Roman" w:hAnsi="Times New Roman" w:eastAsia="微软雅黑" w:cs="Times New Roman"/>
                <w:sz w:val="18"/>
                <w:szCs w:val="18"/>
                <w:highlight w:val="none"/>
                <w:lang w:eastAsia="zh-CN"/>
              </w:rPr>
              <w:t>GNAQ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72</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702"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3585"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12"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奈拉替尼*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Neratinib）</w:t>
            </w:r>
            <w:r>
              <w:rPr>
                <w:rFonts w:ascii="Times New Roman" w:hAnsi="Times New Roman" w:eastAsia="微软雅黑" w:cs="Times New Roman"/>
                <w:spacing w:val="-1"/>
                <w:sz w:val="18"/>
                <w:szCs w:val="18"/>
                <w:highlight w:val="none"/>
              </w:rPr>
              <w:t>（FDA/NMPA批准用于乳腺癌）、</w:t>
            </w:r>
            <w:r>
              <w:rPr>
                <w:rFonts w:ascii="Times New Roman" w:hAnsi="Times New Roman" w:eastAsia="微软雅黑" w:cs="Times New Roman"/>
                <w:bCs/>
                <w:spacing w:val="-1"/>
                <w:sz w:val="18"/>
                <w:szCs w:val="18"/>
                <w:highlight w:val="none"/>
              </w:rPr>
              <w:t>拉帕替尼（Lapatinib）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NCCN</w:t>
            </w:r>
            <w:r>
              <w:rPr>
                <w:rFonts w:hint="eastAsia" w:ascii="Times New Roman" w:hAnsi="Times New Roman" w:eastAsia="微软雅黑" w:cs="Times New Roman"/>
                <w:spacing w:val="-1"/>
                <w:sz w:val="18"/>
                <w:szCs w:val="18"/>
                <w:highlight w:val="none"/>
                <w:lang w:eastAsia="zh-CN"/>
              </w:rPr>
              <w:t>指南推荐</w:t>
            </w:r>
            <w:r>
              <w:rPr>
                <w:rFonts w:ascii="Times New Roman" w:hAnsi="Times New Roman" w:eastAsia="微软雅黑" w:cs="Times New Roman"/>
                <w:spacing w:val="-1"/>
                <w:sz w:val="18"/>
                <w:szCs w:val="18"/>
                <w:highlight w:val="none"/>
              </w:rPr>
              <w:t>用于乳腺癌）；</w:t>
            </w:r>
          </w:p>
          <w:p>
            <w:pPr>
              <w:jc w:val="both"/>
              <w:rPr>
                <w:sz w:val="24"/>
                <w:szCs w:val="24"/>
                <w:highlight w:val="none"/>
                <w:lang w:eastAsia="zh-CN"/>
              </w:rPr>
            </w:pP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透明质酸酶</w:t>
            </w:r>
          </w:p>
          <w:p>
            <w:pPr>
              <w:jc w:val="both"/>
              <w:rPr>
                <w:highlight w:val="none"/>
              </w:rPr>
            </w:pP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Trastuzumab+Pertuzumab+Hyaluronidase</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NCCN指南推荐用于乳腺癌</w:t>
            </w:r>
            <w:r>
              <w:rPr>
                <w:rFonts w:hint="eastAsia" w:ascii="微软雅黑" w:hAnsi="微软雅黑" w:eastAsia="微软雅黑" w:cs="Times New Roman"/>
                <w:spacing w:val="-1"/>
                <w:sz w:val="18"/>
                <w:szCs w:val="18"/>
                <w:highlight w:val="none"/>
              </w:rPr>
              <w:t>）；</w:t>
            </w:r>
          </w:p>
          <w:p>
            <w:pPr>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Cs/>
                <w:spacing w:val="-1"/>
                <w:sz w:val="18"/>
                <w:szCs w:val="18"/>
                <w:highlight w:val="none"/>
              </w:rPr>
              <w:t>EGFR抑制剂</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
                <w:bCs/>
                <w:spacing w:val="-1"/>
                <w:sz w:val="18"/>
                <w:szCs w:val="18"/>
                <w:highlight w:val="none"/>
              </w:rPr>
              <w:t>埃克替尼*（Icotinib）</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厄洛替尼*（E</w:t>
            </w:r>
            <w:r>
              <w:rPr>
                <w:rFonts w:ascii="Times New Roman" w:hAnsi="Times New Roman" w:eastAsia="微软雅黑" w:cs="Times New Roman"/>
                <w:b/>
                <w:bCs/>
                <w:spacing w:val="-1"/>
                <w:sz w:val="18"/>
                <w:szCs w:val="18"/>
                <w:highlight w:val="none"/>
              </w:rPr>
              <w:t>rlotinib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吉非替尼*（</w:t>
            </w:r>
            <w:r>
              <w:rPr>
                <w:rFonts w:ascii="Times New Roman" w:hAnsi="Times New Roman" w:eastAsia="微软雅黑" w:cs="Times New Roman"/>
                <w:b/>
                <w:bCs/>
                <w:spacing w:val="-1"/>
                <w:sz w:val="18"/>
                <w:szCs w:val="18"/>
                <w:highlight w:val="none"/>
              </w:rPr>
              <w:t>Gefitinib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阿法替尼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Afatinib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达</w:t>
            </w:r>
            <w:r>
              <w:rPr>
                <w:rFonts w:ascii="微软雅黑" w:hAnsi="微软雅黑" w:eastAsia="微软雅黑" w:cs="Times New Roman"/>
                <w:b/>
                <w:bCs/>
                <w:spacing w:val="-1"/>
                <w:sz w:val="18"/>
                <w:szCs w:val="18"/>
                <w:highlight w:val="none"/>
              </w:rPr>
              <w:t>可</w:t>
            </w:r>
            <w:r>
              <w:rPr>
                <w:rFonts w:hint="eastAsia" w:ascii="微软雅黑" w:hAnsi="微软雅黑" w:eastAsia="微软雅黑" w:cs="Times New Roman"/>
                <w:b/>
                <w:bCs/>
                <w:spacing w:val="-1"/>
                <w:sz w:val="18"/>
                <w:szCs w:val="18"/>
                <w:highlight w:val="none"/>
              </w:rPr>
              <w:t>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Dacomitinib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奥希替尼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Osimertinib</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p>
          <w:p>
            <w:pPr>
              <w:spacing w:before="19"/>
              <w:ind w:right="-6"/>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w:t>
            </w:r>
            <w:r>
              <w:rPr>
                <w:rFonts w:ascii="微软雅黑" w:hAnsi="微软雅黑" w:eastAsia="微软雅黑" w:cs="Times New Roman"/>
                <w:spacing w:val="-1"/>
                <w:sz w:val="18"/>
                <w:szCs w:val="18"/>
                <w:highlight w:val="none"/>
                <w:lang w:eastAsia="zh-CN"/>
              </w:rPr>
              <w:t>单抗：</w:t>
            </w:r>
            <w:r>
              <w:rPr>
                <w:rFonts w:ascii="微软雅黑" w:hAnsi="微软雅黑" w:eastAsia="微软雅黑" w:cs="Times New Roman"/>
                <w:b/>
                <w:bCs/>
                <w:spacing w:val="-1"/>
                <w:sz w:val="18"/>
                <w:szCs w:val="18"/>
                <w:highlight w:val="none"/>
                <w:lang w:eastAsia="zh-CN"/>
              </w:rPr>
              <w:t>西妥昔单抗</w:t>
            </w:r>
            <w:r>
              <w:rPr>
                <w:rFonts w:hint="eastAsia" w:ascii="Times New Roman" w:hAnsi="Times New Roman" w:eastAsia="微软雅黑" w:cs="Times New Roman"/>
                <w:b/>
                <w:bCs/>
                <w:spacing w:val="-1"/>
                <w:sz w:val="18"/>
                <w:szCs w:val="18"/>
                <w:highlight w:val="none"/>
                <w:lang w:eastAsia="zh-CN"/>
              </w:rPr>
              <w:t>*</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Cetuximab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微软雅黑" w:hAnsi="微软雅黑" w:eastAsia="微软雅黑" w:cs="Times New Roman"/>
                <w:spacing w:val="-1"/>
                <w:sz w:val="18"/>
                <w:szCs w:val="18"/>
                <w:highlight w:val="none"/>
                <w:lang w:eastAsia="zh-CN"/>
              </w:rPr>
              <w:t>批准</w:t>
            </w:r>
            <w:r>
              <w:rPr>
                <w:rFonts w:ascii="微软雅黑" w:hAnsi="微软雅黑" w:eastAsia="微软雅黑" w:cs="Times New Roman"/>
                <w:spacing w:val="-1"/>
                <w:sz w:val="18"/>
                <w:szCs w:val="18"/>
                <w:highlight w:val="none"/>
                <w:lang w:eastAsia="zh-CN"/>
              </w:rPr>
              <w:t>用于</w:t>
            </w:r>
            <w:r>
              <w:rPr>
                <w:rFonts w:hint="eastAsia" w:ascii="微软雅黑" w:hAnsi="微软雅黑" w:eastAsia="微软雅黑" w:cs="Times New Roman"/>
                <w:spacing w:val="-1"/>
                <w:sz w:val="18"/>
                <w:szCs w:val="18"/>
                <w:highlight w:val="none"/>
                <w:lang w:eastAsia="zh-CN"/>
              </w:rPr>
              <w:t>结直肠癌</w:t>
            </w:r>
            <w:r>
              <w:rPr>
                <w:rFonts w:hint="eastAsia" w:ascii="Times New Roman" w:hAnsi="Times New Roman" w:eastAsia="微软雅黑" w:cs="Times New Roman"/>
                <w:spacing w:val="-1"/>
                <w:sz w:val="18"/>
                <w:szCs w:val="18"/>
                <w:highlight w:val="none"/>
                <w:lang w:eastAsia="zh-CN"/>
              </w:rPr>
              <w:t>；FDA批准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b/>
                <w:bCs/>
                <w:spacing w:val="-1"/>
                <w:sz w:val="18"/>
                <w:szCs w:val="18"/>
                <w:highlight w:val="none"/>
                <w:lang w:eastAsia="zh-CN"/>
              </w:rPr>
              <w:t>帕尼单抗</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Panitumumab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ascii="微软雅黑" w:hAnsi="微软雅黑" w:eastAsia="微软雅黑" w:cs="Times New Roman"/>
                <w:spacing w:val="-1"/>
                <w:sz w:val="18"/>
                <w:szCs w:val="18"/>
                <w:highlight w:val="none"/>
                <w:lang w:eastAsia="zh-CN"/>
              </w:rPr>
              <w:t>批准用于结直肠癌）</w:t>
            </w:r>
            <w:r>
              <w:rPr>
                <w:rFonts w:hint="eastAsia" w:ascii="微软雅黑" w:hAnsi="微软雅黑" w:eastAsia="微软雅黑" w:cs="Times New Roman"/>
                <w:spacing w:val="-1"/>
                <w:sz w:val="18"/>
                <w:szCs w:val="18"/>
                <w:highlight w:val="none"/>
                <w:lang w:eastAsia="zh-CN"/>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曲妥珠单抗*（Trastuzumab）</w:t>
            </w:r>
            <w:r>
              <w:rPr>
                <w:rFonts w:ascii="Times New Roman" w:hAnsi="Times New Roman" w:eastAsia="微软雅黑" w:cs="Times New Roman"/>
                <w:spacing w:val="-1"/>
                <w:sz w:val="18"/>
                <w:szCs w:val="18"/>
                <w:highlight w:val="none"/>
              </w:rPr>
              <w:t>（FDA/NMPA批准用于乳腺癌）、</w:t>
            </w:r>
            <w:r>
              <w:rPr>
                <w:rFonts w:hint="eastAsia" w:ascii="Times New Roman" w:hAnsi="Times New Roman" w:eastAsia="微软雅黑" w:cs="Times New Roman"/>
                <w:b/>
                <w:spacing w:val="-1"/>
                <w:sz w:val="18"/>
                <w:szCs w:val="18"/>
                <w:highlight w:val="none"/>
              </w:rPr>
              <w:t>恩美曲妥珠单抗</w:t>
            </w:r>
            <w:r>
              <w:rPr>
                <w:rFonts w:hint="eastAsia" w:ascii="Times New Roman" w:hAnsi="Times New Roman" w:eastAsia="微软雅黑" w:cs="Times New Roman"/>
                <w:b/>
                <w:spacing w:val="-1"/>
                <w:sz w:val="18"/>
                <w:szCs w:val="18"/>
                <w:highlight w:val="none"/>
                <w:lang w:val="en-US" w:eastAsia="zh-CN"/>
              </w:rPr>
              <w:t>*</w:t>
            </w:r>
            <w:r>
              <w:rPr>
                <w:rFonts w:ascii="Times New Roman" w:hAnsi="Times New Roman" w:eastAsia="微软雅黑" w:cs="Times New Roman"/>
                <w:b/>
                <w:spacing w:val="-1"/>
                <w:sz w:val="18"/>
                <w:szCs w:val="18"/>
                <w:highlight w:val="none"/>
              </w:rPr>
              <w:t>（Ado-trastuzumab emtansine）</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曲妥珠单抗</w:t>
            </w:r>
            <w:r>
              <w:rPr>
                <w:rFonts w:ascii="Times New Roman" w:hAnsi="Times New Roman" w:eastAsia="微软雅黑" w:cs="Times New Roman"/>
                <w:b/>
                <w:spacing w:val="-1"/>
                <w:sz w:val="18"/>
                <w:szCs w:val="18"/>
                <w:highlight w:val="none"/>
              </w:rPr>
              <w:t>+帕妥珠单抗+多西他赛</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Trastuzumab+Pertuzumab+Docetaxel）</w:t>
            </w:r>
            <w:r>
              <w:rPr>
                <w:rFonts w:hint="eastAsia" w:ascii="Times New Roman" w:hAnsi="Times New Roman" w:eastAsia="微软雅黑" w:cs="Times New Roman"/>
                <w:spacing w:val="-1"/>
                <w:sz w:val="18"/>
                <w:szCs w:val="18"/>
                <w:highlight w:val="none"/>
              </w:rPr>
              <w:t>（FDA批准用于</w:t>
            </w:r>
            <w:r>
              <w:rPr>
                <w:rFonts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Trastuzumab deruxtecan</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、胃癌、胃食管结合腺癌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拉帕替尼+卡培他滨*（Lapatinib+Capecitabine）</w:t>
            </w:r>
            <w:r>
              <w:rPr>
                <w:rFonts w:ascii="Times New Roman" w:hAnsi="Times New Roman" w:eastAsia="微软雅黑" w:cs="Times New Roman"/>
                <w:bCs/>
                <w:spacing w:val="-1"/>
                <w:sz w:val="18"/>
                <w:szCs w:val="18"/>
                <w:highlight w:val="none"/>
              </w:rPr>
              <w:t>（FDA/NMPA批准用于乳腺癌）、</w:t>
            </w:r>
            <w:r>
              <w:rPr>
                <w:rFonts w:ascii="Times New Roman" w:hAnsi="Times New Roman" w:eastAsia="微软雅黑" w:cs="Times New Roman"/>
                <w:b/>
                <w:spacing w:val="-1"/>
                <w:sz w:val="18"/>
                <w:szCs w:val="18"/>
                <w:highlight w:val="none"/>
              </w:rPr>
              <w:t>奈拉替尼+卡培他滨（Neratinib+Capecitabine）</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Tucatinib+曲妥珠单抗+卡培他滨</w:t>
            </w:r>
            <w:r>
              <w:rPr>
                <w:rFonts w:hint="eastAsia" w:ascii="Times New Roman" w:hAnsi="Times New Roman" w:eastAsia="微软雅黑" w:cs="Times New Roman"/>
                <w:b/>
                <w:spacing w:val="-1"/>
                <w:sz w:val="18"/>
                <w:szCs w:val="18"/>
                <w:highlight w:val="none"/>
              </w:rPr>
              <w:t>（</w:t>
            </w:r>
            <w:r>
              <w:rPr>
                <w:rFonts w:ascii="Arial" w:hAnsi="Arial" w:cs="Arial"/>
                <w:b/>
                <w:color w:val="035551"/>
                <w:sz w:val="18"/>
                <w:szCs w:val="18"/>
                <w:highlight w:val="none"/>
                <w:shd w:val="clear" w:color="auto" w:fill="FFFFFF"/>
              </w:rPr>
              <w:t>T</w:t>
            </w:r>
            <w:r>
              <w:rPr>
                <w:rFonts w:ascii="Times New Roman" w:hAnsi="Times New Roman" w:eastAsia="微软雅黑" w:cs="Times New Roman"/>
                <w:b/>
                <w:spacing w:val="-1"/>
                <w:sz w:val="18"/>
                <w:szCs w:val="18"/>
                <w:highlight w:val="none"/>
              </w:rPr>
              <w:t>ucatinib+Trastuzumab+Capecitabine</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曲妥珠单抗+顺铂+卡培他滨</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（Trastuzumab+Cisplatin+Capecitabine）</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曲妥珠单抗+顺铂+氟尿嘧啶</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（Trastuzumab+Cisplatin+5-Fluorouracil）</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hint="eastAsia" w:ascii="Times New Roman" w:hAnsi="Times New Roman" w:eastAsia="微软雅黑" w:cs="Times New Roman"/>
                <w:bCs/>
                <w:spacing w:val="-1"/>
                <w:sz w:val="18"/>
                <w:szCs w:val="18"/>
                <w:highlight w:val="none"/>
              </w:rPr>
              <w:t>乳腺癌</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Cs/>
                <w:spacing w:val="-1"/>
                <w:sz w:val="18"/>
                <w:szCs w:val="18"/>
                <w:highlight w:val="none"/>
              </w:rPr>
              <w:t>子宫癌</w:t>
            </w:r>
            <w:r>
              <w:rPr>
                <w:rFonts w:ascii="Times New Roman" w:hAnsi="Times New Roman" w:eastAsia="微软雅黑" w:cs="Times New Roman"/>
                <w:bCs/>
                <w:spacing w:val="-1"/>
                <w:sz w:val="18"/>
                <w:szCs w:val="18"/>
                <w:highlight w:val="none"/>
              </w:rPr>
              <w:t>）、曲妥珠单抗+卡培他滨（Trastuzumab+Capecitabine）（NCCN指南推荐用于乳腺癌）、</w:t>
            </w:r>
            <w:r>
              <w:rPr>
                <w:rFonts w:hint="eastAsia" w:ascii="Times New Roman" w:hAnsi="Times New Roman" w:eastAsia="微软雅黑" w:cs="Times New Roman"/>
                <w:bCs/>
                <w:spacing w:val="-1"/>
                <w:sz w:val="18"/>
                <w:szCs w:val="18"/>
                <w:highlight w:val="none"/>
              </w:rPr>
              <w:t>他莫昔芬+曲妥珠单抗</w:t>
            </w:r>
            <w:r>
              <w:rPr>
                <w:rFonts w:ascii="Times New Roman" w:hAnsi="Times New Roman" w:eastAsia="微软雅黑" w:cs="Times New Roman"/>
                <w:bCs/>
                <w:spacing w:val="-1"/>
                <w:sz w:val="18"/>
                <w:szCs w:val="18"/>
                <w:highlight w:val="none"/>
              </w:rPr>
              <w:t>（NCCN指南推荐用于乳腺癌）、</w:t>
            </w:r>
            <w:r>
              <w:rPr>
                <w:rFonts w:hint="eastAsia" w:ascii="Times New Roman" w:hAnsi="Times New Roman" w:eastAsia="微软雅黑" w:cs="Times New Roman"/>
                <w:bCs/>
                <w:spacing w:val="-1"/>
                <w:sz w:val="18"/>
                <w:szCs w:val="18"/>
                <w:highlight w:val="none"/>
              </w:rPr>
              <w:t>氟维司群+曲妥珠单抗</w:t>
            </w:r>
            <w:r>
              <w:rPr>
                <w:rFonts w:ascii="Times New Roman" w:hAnsi="Times New Roman" w:eastAsia="微软雅黑" w:cs="Times New Roman"/>
                <w:bCs/>
                <w:spacing w:val="-1"/>
                <w:sz w:val="18"/>
                <w:szCs w:val="18"/>
                <w:highlight w:val="none"/>
              </w:rPr>
              <w:t>（NCCN指南推荐用于乳腺癌）</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 xml:space="preserve"> + </w:t>
            </w:r>
            <w:r>
              <w:rPr>
                <w:rFonts w:ascii="微软雅黑" w:hAnsi="微软雅黑" w:eastAsia="微软雅黑" w:cs="Times New Roman"/>
                <w:spacing w:val="-1"/>
                <w:sz w:val="18"/>
                <w:szCs w:val="18"/>
                <w:highlight w:val="none"/>
                <w:lang w:eastAsia="zh-CN"/>
              </w:rPr>
              <w:t xml:space="preserve">帕妥珠单抗 </w:t>
            </w:r>
            <w:r>
              <w:rPr>
                <w:rFonts w:ascii="Times New Roman" w:hAnsi="Times New Roman" w:eastAsia="微软雅黑" w:cs="Times New Roman"/>
                <w:spacing w:val="-1"/>
                <w:sz w:val="18"/>
                <w:szCs w:val="18"/>
                <w:highlight w:val="none"/>
                <w:lang w:eastAsia="zh-CN"/>
              </w:rPr>
              <w:t xml:space="preserve">+ </w:t>
            </w:r>
            <w:r>
              <w:rPr>
                <w:rFonts w:ascii="微软雅黑" w:hAnsi="微软雅黑" w:eastAsia="微软雅黑" w:cs="Times New Roman"/>
                <w:spacing w:val="-1"/>
                <w:sz w:val="18"/>
                <w:szCs w:val="18"/>
                <w:highlight w:val="none"/>
                <w:lang w:eastAsia="zh-CN"/>
              </w:rPr>
              <w:t>透明质酸酶</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曲妥珠单抗</w:t>
            </w:r>
            <w:r>
              <w:rPr>
                <w:rFonts w:ascii="Times New Roman" w:hAnsi="Times New Roman" w:eastAsia="微软雅黑" w:cs="Times New Roman"/>
                <w:bCs/>
                <w:spacing w:val="-1"/>
                <w:sz w:val="18"/>
                <w:szCs w:val="18"/>
                <w:highlight w:val="none"/>
                <w:lang w:eastAsia="zh-CN"/>
              </w:rPr>
              <w:t>+帕妥珠单抗+多西他赛</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曲妥珠单抗、</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、曲妥珠单抗+拉帕替尼、</w:t>
            </w:r>
            <w:r>
              <w:rPr>
                <w:rFonts w:hint="eastAsia" w:ascii="Times New Roman" w:hAnsi="Times New Roman" w:eastAsia="微软雅黑" w:cs="Times New Roman"/>
                <w:spacing w:val="-1"/>
                <w:sz w:val="18"/>
                <w:szCs w:val="18"/>
                <w:highlight w:val="none"/>
                <w:lang w:eastAsia="zh-CN"/>
              </w:rPr>
              <w:t>Trastuzumab deruxtecan</w:t>
            </w:r>
            <w:r>
              <w:rPr>
                <w:rFonts w:ascii="Times New Roman" w:hAnsi="Times New Roman" w:eastAsia="微软雅黑" w:cs="Times New Roman"/>
                <w:spacing w:val="-1"/>
                <w:sz w:val="18"/>
                <w:szCs w:val="18"/>
                <w:highlight w:val="none"/>
                <w:lang w:eastAsia="zh-CN"/>
              </w:rPr>
              <w:t>、奈拉替尼、曲妥珠单抗+长春瑞滨、拉帕替尼+卡培他滨、卡铂+紫杉醇+曲妥珠单抗、</w:t>
            </w:r>
            <w:r>
              <w:rPr>
                <w:rFonts w:ascii="Times New Roman" w:hAnsi="Times New Roman" w:eastAsia="微软雅黑" w:cs="Times New Roman"/>
                <w:bCs/>
                <w:spacing w:val="-1"/>
                <w:sz w:val="18"/>
                <w:szCs w:val="18"/>
                <w:highlight w:val="none"/>
                <w:lang w:eastAsia="zh-CN"/>
              </w:rPr>
              <w:t>奈拉替尼</w:t>
            </w:r>
            <w:r>
              <w:rPr>
                <w:rFonts w:ascii="Times New Roman" w:hAnsi="Times New Roman" w:eastAsia="微软雅黑" w:cs="Times New Roman"/>
                <w:spacing w:val="-1"/>
                <w:sz w:val="18"/>
                <w:szCs w:val="18"/>
                <w:highlight w:val="none"/>
                <w:lang w:eastAsia="zh-CN"/>
              </w:rPr>
              <w:t>+卡培他滨、曲妥珠单抗+卡培他滨、曲妥珠单抗+帕妥珠单抗+紫杉醇</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他莫昔芬+曲妥珠单抗</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氟维司群+曲妥珠单抗</w:t>
            </w:r>
            <w:r>
              <w:rPr>
                <w:rFonts w:ascii="Times New Roman" w:hAnsi="Times New Roman" w:eastAsia="微软雅黑" w:cs="Times New Roman"/>
                <w:spacing w:val="-1"/>
                <w:sz w:val="18"/>
                <w:szCs w:val="18"/>
                <w:highlight w:val="none"/>
                <w:lang w:eastAsia="zh-CN"/>
              </w:rPr>
              <w:t>敏感；</w:t>
            </w:r>
            <w:r>
              <w:rPr>
                <w:rFonts w:ascii="微软雅黑" w:hAnsi="微软雅黑" w:eastAsia="微软雅黑" w:cs="Times New Roman"/>
                <w:spacing w:val="-1"/>
                <w:sz w:val="18"/>
                <w:szCs w:val="18"/>
                <w:highlight w:val="none"/>
                <w:lang w:eastAsia="zh-CN"/>
              </w:rPr>
              <w:t>在胃癌中，</w:t>
            </w:r>
            <w:r>
              <w:rPr>
                <w:rFonts w:ascii="Times New Roman" w:hAnsi="Times New Roman" w:eastAsia="微软雅黑" w:cs="Times New Roman"/>
                <w:spacing w:val="-1"/>
                <w:sz w:val="18"/>
                <w:szCs w:val="18"/>
                <w:highlight w:val="none"/>
                <w:lang w:eastAsia="zh-CN"/>
              </w:rPr>
              <w:t>HER2</w:t>
            </w:r>
            <w:r>
              <w:rPr>
                <w:rFonts w:ascii="微软雅黑" w:hAnsi="微软雅黑" w:eastAsia="微软雅黑" w:cs="Times New Roman"/>
                <w:spacing w:val="-1"/>
                <w:sz w:val="18"/>
                <w:szCs w:val="18"/>
                <w:highlight w:val="none"/>
                <w:lang w:eastAsia="zh-CN"/>
              </w:rPr>
              <w:t>扩增对曲妥珠单抗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化疗敏感</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HER2突变对</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吡咯替尼敏感但对</w:t>
            </w:r>
            <w:r>
              <w:rPr>
                <w:rFonts w:hint="eastAsia" w:ascii="微软雅黑" w:hAnsi="微软雅黑" w:eastAsia="微软雅黑" w:cs="Times New Roman"/>
                <w:spacing w:val="-1"/>
                <w:sz w:val="18"/>
                <w:szCs w:val="18"/>
                <w:highlight w:val="none"/>
                <w:lang w:eastAsia="zh-CN"/>
              </w:rPr>
              <w:t>埃克替尼、厄洛替尼、吉非替尼、阿法替尼、达</w:t>
            </w:r>
            <w:r>
              <w:rPr>
                <w:rFonts w:ascii="微软雅黑" w:hAnsi="微软雅黑" w:eastAsia="微软雅黑" w:cs="Times New Roman"/>
                <w:spacing w:val="-1"/>
                <w:sz w:val="18"/>
                <w:szCs w:val="18"/>
                <w:highlight w:val="none"/>
                <w:lang w:eastAsia="zh-CN"/>
              </w:rPr>
              <w:t>可</w:t>
            </w:r>
            <w:r>
              <w:rPr>
                <w:rFonts w:hint="eastAsia" w:ascii="微软雅黑" w:hAnsi="微软雅黑" w:eastAsia="微软雅黑" w:cs="Times New Roman"/>
                <w:spacing w:val="-1"/>
                <w:sz w:val="18"/>
                <w:szCs w:val="18"/>
                <w:highlight w:val="none"/>
                <w:lang w:eastAsia="zh-CN"/>
              </w:rPr>
              <w:t>替尼、奥希替尼、</w:t>
            </w:r>
            <w:r>
              <w:rPr>
                <w:rFonts w:ascii="微软雅黑" w:hAnsi="微软雅黑" w:eastAsia="微软雅黑" w:cs="Times New Roman"/>
                <w:spacing w:val="-1"/>
                <w:sz w:val="18"/>
                <w:szCs w:val="18"/>
                <w:highlight w:val="none"/>
                <w:lang w:eastAsia="zh-CN"/>
              </w:rPr>
              <w:t>西妥昔单抗</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帕尼单抗耐药</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8</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74"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ind w:left="-4"/>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ind w:left="-4"/>
              <w:jc w:val="center"/>
              <w:rPr>
                <w:rFonts w:ascii="Times New Roman" w:hAnsi="Times New Roman" w:eastAsia="微软雅黑" w:cs="Times New Roman"/>
                <w:bCs/>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ind w:left="-4"/>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3731"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12"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704" w:type="dxa"/>
            <w:vAlign w:val="center"/>
          </w:tcPr>
          <w:p>
            <w:pPr>
              <w:jc w:val="left"/>
              <w:rPr>
                <w:rFonts w:ascii="Times New Roman" w:hAnsi="Times New Roman" w:eastAsia="微软雅黑" w:cs="Times New Roman"/>
                <w:bCs/>
                <w:spacing w:val="-1"/>
                <w:sz w:val="18"/>
                <w:szCs w:val="18"/>
                <w:highlight w:val="none"/>
              </w:rPr>
            </w:pPr>
            <w:r>
              <w:rPr>
                <w:rFonts w:ascii="Times New Roman" w:hAnsi="Times New Roman" w:eastAsia="微软雅黑" w:cs="Times New Roman"/>
                <w:bCs/>
                <w:spacing w:val="-1"/>
                <w:sz w:val="18"/>
                <w:szCs w:val="18"/>
                <w:highlight w:val="none"/>
              </w:rPr>
              <w:t>曲妥珠单抗+帕妥珠单抗+紫杉醇（Trastuzumab+Pertuzumab+Paclitaxel）（NCCN指南推荐用于乳腺癌）</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曲妥珠单抗</w:t>
            </w:r>
            <w:r>
              <w:rPr>
                <w:rFonts w:ascii="Times New Roman" w:hAnsi="Times New Roman" w:eastAsia="微软雅黑" w:cs="Times New Roman"/>
                <w:spacing w:val="-1"/>
                <w:sz w:val="18"/>
                <w:szCs w:val="18"/>
                <w:highlight w:val="none"/>
              </w:rPr>
              <w:t>+</w:t>
            </w:r>
            <w:r>
              <w:rPr>
                <w:rFonts w:ascii="微软雅黑" w:hAnsi="微软雅黑" w:eastAsia="微软雅黑" w:cs="Times New Roman"/>
                <w:spacing w:val="-1"/>
                <w:sz w:val="18"/>
                <w:szCs w:val="18"/>
                <w:highlight w:val="none"/>
              </w:rPr>
              <w:t>化疗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Trastuzumab+Chemotherapy</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乳腺癌、胃腺癌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紫杉醇+曲妥珠单抗+多柔比星+环磷酰胺（Paclitaxel+Trastuzumab+Doxorubicin+ Cyclophosphamide）（临床III期）、拉帕替尼+卡培他滨+奥沙利铂（Lapatinib+Capecitabine+Oxaliplatin）</w:t>
            </w:r>
            <w:r>
              <w:rPr>
                <w:rFonts w:ascii="Times New Roman" w:hAnsi="Times New Roman" w:eastAsia="微软雅黑" w:cs="Times New Roman"/>
                <w:bCs/>
                <w:spacing w:val="-1"/>
                <w:sz w:val="18"/>
                <w:szCs w:val="18"/>
                <w:highlight w:val="none"/>
                <w:lang w:eastAsia="zh-CN"/>
              </w:rPr>
              <w:t>（临床III期）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Docetaxel+Cyclophosphamide+Trastuzumab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ascii="微软雅黑" w:hAnsi="微软雅黑" w:eastAsia="微软雅黑" w:cs="Times New Roman"/>
                <w:spacing w:val="-1"/>
                <w:sz w:val="18"/>
                <w:szCs w:val="18"/>
                <w:highlight w:val="none"/>
              </w:rPr>
              <w:t>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rPr>
              <w:t>吡咯替尼</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Pyrotinib</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hint="eastAsia" w:ascii="Times New Roman" w:hAnsi="Times New Roman" w:eastAsia="微软雅黑" w:cs="Times New Roman"/>
                <w:spacing w:val="-1"/>
                <w:sz w:val="18"/>
                <w:szCs w:val="18"/>
                <w:highlight w:val="none"/>
                <w:lang w:eastAsia="zh-CN"/>
              </w:rPr>
              <w:t>）</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在乳腺癌中，HER2扩增对紫杉醇+曲妥珠单抗+多柔比星+环磷酰胺</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敏感；在胃癌中，HER2扩增对</w:t>
            </w:r>
            <w:r>
              <w:rPr>
                <w:rFonts w:hint="eastAsia" w:ascii="Times New Roman" w:hAnsi="Times New Roman" w:eastAsia="微软雅黑" w:cs="Times New Roman"/>
                <w:bCs/>
                <w:spacing w:val="-1"/>
                <w:sz w:val="18"/>
                <w:szCs w:val="18"/>
                <w:highlight w:val="none"/>
                <w:lang w:eastAsia="zh-CN"/>
              </w:rPr>
              <w:t>曲妥珠单抗+顺铂+卡培他滨、曲妥珠单抗+顺铂+氟尿嘧啶、</w:t>
            </w:r>
            <w:bookmarkStart w:id="100" w:name="OLE_LINK2"/>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bookmarkEnd w:id="100"/>
            <w:r>
              <w:rPr>
                <w:rFonts w:hint="eastAsia" w:ascii="Times New Roman" w:hAnsi="Times New Roman" w:eastAsia="微软雅黑" w:cs="Times New Roman"/>
                <w:bCs/>
                <w:spacing w:val="-1"/>
                <w:sz w:val="18"/>
                <w:szCs w:val="18"/>
                <w:highlight w:val="none"/>
                <w:lang w:eastAsia="zh-CN"/>
              </w:rPr>
              <w:t>拉帕替尼+卡培他滨+奥沙利铂</w:t>
            </w:r>
            <w:r>
              <w:rPr>
                <w:rFonts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9</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93</w:t>
            </w:r>
            <w:bookmarkStart w:id="101" w:name="OLE_LINK3"/>
            <w:r>
              <w:rPr>
                <w:rFonts w:hint="eastAsia" w:ascii="Times New Roman" w:hAnsi="Times New Roman" w:eastAsia="微软雅黑" w:cs="Times New Roman"/>
                <w:spacing w:val="-1"/>
                <w:sz w:val="18"/>
                <w:szCs w:val="18"/>
                <w:highlight w:val="none"/>
                <w:vertAlign w:val="superscript"/>
                <w:lang w:val="en-US" w:eastAsia="zh-CN"/>
              </w:rPr>
              <w:t>, 289</w:t>
            </w:r>
            <w:bookmarkEnd w:id="101"/>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070" w:hRule="exac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HRAS</w:t>
            </w:r>
          </w:p>
        </w:tc>
        <w:tc>
          <w:tcPr>
            <w:tcW w:w="612"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索拉非尼*（Sorafenib）</w:t>
            </w:r>
            <w:r>
              <w:rPr>
                <w:rFonts w:ascii="Times New Roman" w:hAnsi="Times New Roman" w:eastAsia="微软雅黑" w:cs="Times New Roman"/>
                <w:spacing w:val="-1"/>
                <w:sz w:val="18"/>
                <w:szCs w:val="18"/>
                <w:highlight w:val="none"/>
              </w:rPr>
              <w:t>（FDA/NMPA批准用于肝细胞癌、肾癌、甲状腺癌）</w:t>
            </w:r>
          </w:p>
          <w:p>
            <w:pPr>
              <w:spacing w:before="19"/>
              <w:ind w:right="-8"/>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p>
            <w:pPr>
              <w:spacing w:before="19"/>
              <w:ind w:right="-8"/>
              <w:jc w:val="left"/>
              <w:rPr>
                <w:rFonts w:ascii="Times New Roman" w:hAnsi="Times New Roman" w:eastAsia="微软雅黑" w:cs="Times New Roman"/>
                <w:spacing w:val="-1"/>
                <w:sz w:val="18"/>
                <w:szCs w:val="18"/>
                <w:highlight w:val="none"/>
              </w:rPr>
            </w:pPr>
          </w:p>
        </w:tc>
        <w:tc>
          <w:tcPr>
            <w:tcW w:w="3821"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肺癌中，</w:t>
            </w:r>
            <w:r>
              <w:rPr>
                <w:rFonts w:ascii="Times New Roman" w:hAnsi="Times New Roman" w:eastAsia="微软雅黑" w:cs="Times New Roman"/>
                <w:spacing w:val="-1"/>
                <w:sz w:val="18"/>
                <w:szCs w:val="18"/>
                <w:highlight w:val="none"/>
                <w:lang w:eastAsia="zh-CN"/>
              </w:rPr>
              <w:t>HRAS</w:t>
            </w:r>
            <w:r>
              <w:rPr>
                <w:rFonts w:ascii="微软雅黑" w:hAnsi="微软雅黑" w:eastAsia="微软雅黑" w:cs="Times New Roman"/>
                <w:spacing w:val="-1"/>
                <w:sz w:val="18"/>
                <w:szCs w:val="18"/>
                <w:highlight w:val="none"/>
                <w:lang w:eastAsia="zh-CN"/>
              </w:rPr>
              <w:t>突变对</w:t>
            </w:r>
            <w:r>
              <w:rPr>
                <w:rFonts w:hint="eastAsia" w:ascii="微软雅黑" w:hAnsi="微软雅黑" w:eastAsia="微软雅黑" w:cs="Times New Roman"/>
                <w:spacing w:val="-1"/>
                <w:sz w:val="18"/>
                <w:szCs w:val="18"/>
                <w:highlight w:val="none"/>
                <w:lang w:eastAsia="zh-CN"/>
              </w:rPr>
              <w:t>司美替尼</w:t>
            </w:r>
            <w:r>
              <w:rPr>
                <w:rFonts w:ascii="微软雅黑" w:hAnsi="微软雅黑"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甲状腺癌中，HRAS突变对索拉非尼敏感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94</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398"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KIT</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w:t>
            </w:r>
            <w:r>
              <w:rPr>
                <w:rFonts w:ascii="Times New Roman" w:hAnsi="Times New Roman" w:eastAsia="微软雅黑" w:cs="Times New Roman"/>
                <w:spacing w:val="-1"/>
                <w:sz w:val="18"/>
                <w:szCs w:val="18"/>
                <w:highlight w:val="none"/>
              </w:rPr>
              <w:t>M</w:t>
            </w:r>
            <w:r>
              <w:rPr>
                <w:rFonts w:hint="eastAsia" w:ascii="Times New Roman" w:hAnsi="Times New Roman" w:eastAsia="微软雅黑" w:cs="Times New Roman"/>
                <w:spacing w:val="-1"/>
                <w:sz w:val="18"/>
                <w:szCs w:val="18"/>
                <w:highlight w:val="none"/>
              </w:rPr>
              <w:t>PA</w:t>
            </w:r>
            <w:r>
              <w:rPr>
                <w:rFonts w:ascii="Times New Roman" w:hAnsi="Times New Roman" w:eastAsia="微软雅黑" w:cs="Times New Roman"/>
                <w:spacing w:val="-1"/>
                <w:sz w:val="18"/>
                <w:szCs w:val="18"/>
                <w:highlight w:val="none"/>
              </w:rPr>
              <w:t>批准用于胃肠道间质瘤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系统性肥大细胞增多症等）、</w:t>
            </w:r>
            <w:r>
              <w:rPr>
                <w:rFonts w:ascii="Times New Roman" w:hAnsi="Times New Roman" w:eastAsia="微软雅黑" w:cs="Times New Roman"/>
                <w:b/>
                <w:spacing w:val="-1"/>
                <w:sz w:val="18"/>
                <w:szCs w:val="18"/>
                <w:highlight w:val="none"/>
              </w:rPr>
              <w:t>培唑帕尼*（Pazopanib）</w:t>
            </w:r>
            <w:r>
              <w:rPr>
                <w:rFonts w:ascii="Times New Roman" w:hAnsi="Times New Roman" w:eastAsia="微软雅黑" w:cs="Times New Roman"/>
                <w:spacing w:val="-1"/>
                <w:sz w:val="18"/>
                <w:szCs w:val="18"/>
                <w:highlight w:val="none"/>
              </w:rPr>
              <w:t>（FDA/NMPA批准用于肾细胞癌</w:t>
            </w:r>
            <w:r>
              <w:rPr>
                <w:rFonts w:hint="eastAsia" w:ascii="Times New Roman" w:hAnsi="Times New Roman" w:eastAsia="微软雅黑" w:cs="Times New Roman"/>
                <w:spacing w:val="-1"/>
                <w:sz w:val="18"/>
                <w:szCs w:val="18"/>
                <w:highlight w:val="none"/>
              </w:rPr>
              <w:t>；FDA批准用于软组织肉瘤</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普纳替尼（Ponatinib）</w:t>
            </w:r>
            <w:r>
              <w:rPr>
                <w:rFonts w:ascii="Times New Roman" w:hAnsi="Times New Roman" w:eastAsia="微软雅黑" w:cs="Times New Roman"/>
                <w:spacing w:val="-1"/>
                <w:sz w:val="18"/>
                <w:szCs w:val="18"/>
                <w:highlight w:val="none"/>
              </w:rPr>
              <w:t>（FDA批准用于慢性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急性淋巴细胞白血病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瑞戈非尼*（Regorafenib）</w:t>
            </w:r>
            <w:r>
              <w:rPr>
                <w:rFonts w:ascii="Times New Roman" w:hAnsi="Times New Roman" w:eastAsia="微软雅黑" w:cs="Times New Roman"/>
                <w:spacing w:val="-1"/>
                <w:sz w:val="18"/>
                <w:szCs w:val="18"/>
                <w:highlight w:val="none"/>
              </w:rPr>
              <w:t>（FDA/NMPA批准用于肝细胞癌、结直肠癌、胃肠道间质瘤）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尼洛替尼*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Nilotinib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达沙替尼*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Dasatinib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p>
        </w:tc>
        <w:tc>
          <w:tcPr>
            <w:tcW w:w="3821"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胃肠道间质瘤中，KIT</w:t>
            </w:r>
            <w:r>
              <w:rPr>
                <w:rFonts w:hint="eastAsia" w:ascii="Times New Roman" w:hAnsi="Times New Roman" w:eastAsia="微软雅黑" w:cs="Times New Roman"/>
                <w:spacing w:val="-1"/>
                <w:sz w:val="18"/>
                <w:szCs w:val="18"/>
                <w:highlight w:val="none"/>
                <w:lang w:eastAsia="zh-CN"/>
              </w:rPr>
              <w:t>激活突变</w:t>
            </w:r>
            <w:r>
              <w:rPr>
                <w:rFonts w:ascii="Times New Roman" w:hAnsi="Times New Roman" w:eastAsia="微软雅黑" w:cs="Times New Roman"/>
                <w:spacing w:val="-1"/>
                <w:sz w:val="18"/>
                <w:szCs w:val="18"/>
                <w:highlight w:val="none"/>
                <w:lang w:eastAsia="zh-CN"/>
              </w:rPr>
              <w:t>对伊马替尼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瑞戈非尼、普纳替尼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尼洛替尼敏感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第11外显子突变对伊马替尼敏感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第9外显子突变对伊马替尼敏感性中等</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黑色素瘤中，KIT W557R、V559A、V559D、L576P、K642E对KIT抑制剂敏感性增加，D816H对KIT抑制剂敏感性降低</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95</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110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4337"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扩增</w:t>
            </w:r>
          </w:p>
        </w:tc>
        <w:tc>
          <w:tcPr>
            <w:tcW w:w="4704" w:type="dxa"/>
            <w:vAlign w:val="center"/>
          </w:tcPr>
          <w:p>
            <w:pPr>
              <w:spacing w:before="19"/>
              <w:ind w:right="-8"/>
              <w:jc w:val="left"/>
              <w:rPr>
                <w:rFonts w:hint="eastAsia"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p>
            <w:pPr>
              <w:spacing w:before="19"/>
              <w:ind w:right="-8"/>
              <w:jc w:val="left"/>
              <w:rPr>
                <w:rFonts w:hint="eastAsia"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索拉非尼+卡铂+紫杉醇（</w:t>
            </w:r>
            <w:r>
              <w:rPr>
                <w:rFonts w:ascii="Times New Roman" w:hAnsi="Times New Roman" w:eastAsia="微软雅黑" w:cs="Times New Roman"/>
                <w:spacing w:val="-1"/>
                <w:sz w:val="18"/>
                <w:szCs w:val="18"/>
                <w:highlight w:val="none"/>
              </w:rPr>
              <w:t>Sorafenib+Carboplatin+Paclitaxel）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III期）；</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821"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结直肠癌中，KRAS野生型对EGFR抗体类药物西妥昔单抗</w:t>
            </w:r>
            <w:r>
              <w:rPr>
                <w:rFonts w:hint="eastAsia" w:ascii="Times New Roman" w:hAnsi="Times New Roman" w:eastAsia="微软雅黑" w:cs="Times New Roman"/>
                <w:spacing w:val="-1"/>
                <w:sz w:val="18"/>
                <w:szCs w:val="18"/>
                <w:highlight w:val="none"/>
                <w:lang w:eastAsia="zh-CN"/>
              </w:rPr>
              <w:t>和</w:t>
            </w:r>
            <w:r>
              <w:rPr>
                <w:rFonts w:ascii="Times New Roman" w:hAnsi="Times New Roman" w:eastAsia="微软雅黑" w:cs="Times New Roman"/>
                <w:spacing w:val="-1"/>
                <w:sz w:val="18"/>
                <w:szCs w:val="18"/>
                <w:highlight w:val="none"/>
                <w:lang w:eastAsia="zh-CN"/>
              </w:rPr>
              <w:t>帕尼单抗敏感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12、13、61密码子突变导致KRAS信号通路持续激活，可能无法从EGFR抗体类药物获益；肺癌中，12、13、61密码子突变对EGFR TKI（吉非替尼、厄洛替尼、埃克替尼、阿法替尼等）的敏感性降低</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superscript"/>
                <w:lang w:val="en-US" w:eastAsia="zh-CN"/>
              </w:rPr>
              <w:t>[286]</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sz w:val="18"/>
                <w:szCs w:val="18"/>
                <w:highlight w:val="none"/>
                <w:lang w:eastAsia="zh-CN"/>
              </w:rPr>
              <w:t>黑色素瘤中，KRAS扩增的患者对索拉非尼+卡铂+紫杉醇敏感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11</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926"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MAP2K1</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（MEK1）</w:t>
            </w:r>
          </w:p>
        </w:tc>
        <w:tc>
          <w:tcPr>
            <w:tcW w:w="612"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sz w:val="24"/>
                <w:szCs w:val="24"/>
                <w:highlight w:val="none"/>
                <w:lang w:eastAsia="zh-CN"/>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821"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结直肠癌中，</w:t>
            </w:r>
            <w:r>
              <w:rPr>
                <w:rFonts w:ascii="Times New Roman" w:hAnsi="Times New Roman" w:eastAsia="微软雅黑" w:cs="Times New Roman"/>
                <w:spacing w:val="-1"/>
                <w:sz w:val="18"/>
                <w:szCs w:val="18"/>
                <w:highlight w:val="none"/>
                <w:lang w:eastAsia="zh-CN"/>
              </w:rPr>
              <w:t xml:space="preserve">MAP2K1 </w:t>
            </w:r>
            <w:r>
              <w:rPr>
                <w:rFonts w:hint="eastAsia" w:ascii="微软雅黑" w:hAnsi="微软雅黑" w:eastAsia="微软雅黑" w:cs="Times New Roman"/>
                <w:spacing w:val="-1"/>
                <w:sz w:val="18"/>
                <w:szCs w:val="18"/>
                <w:highlight w:val="none"/>
                <w:lang w:eastAsia="zh-CN"/>
              </w:rPr>
              <w:t>激活突变对司美替尼</w:t>
            </w:r>
            <w:r>
              <w:rPr>
                <w:rFonts w:ascii="微软雅黑" w:hAnsi="微软雅黑"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16</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69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3930"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MET</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704" w:type="dxa"/>
            <w:vAlign w:val="center"/>
          </w:tcPr>
          <w:p>
            <w:pPr>
              <w:jc w:val="left"/>
              <w:rPr>
                <w:sz w:val="24"/>
                <w:szCs w:val="24"/>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bCs/>
                <w:spacing w:val="-1"/>
                <w:sz w:val="18"/>
                <w:szCs w:val="18"/>
                <w:highlight w:val="none"/>
                <w:lang w:eastAsia="zh-CN"/>
              </w:rPr>
              <w:t>Tepotinib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spacing w:before="19"/>
              <w:ind w:right="-8"/>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tc>
        <w:tc>
          <w:tcPr>
            <w:tcW w:w="3821" w:type="dxa"/>
            <w:gridSpan w:val="2"/>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非小细胞肺癌中，</w:t>
            </w:r>
            <w:r>
              <w:rPr>
                <w:rFonts w:ascii="Times New Roman" w:hAnsi="Times New Roman" w:eastAsia="微软雅黑" w:cs="Times New Roman"/>
                <w:spacing w:val="-1"/>
                <w:sz w:val="18"/>
                <w:szCs w:val="18"/>
                <w:highlight w:val="none"/>
                <w:lang w:eastAsia="zh-CN"/>
              </w:rPr>
              <w:t>MET扩增对克唑替尼敏感</w:t>
            </w:r>
            <w:r>
              <w:rPr>
                <w:rFonts w:hint="eastAsia" w:ascii="Times New Roman" w:hAnsi="Times New Roman" w:eastAsia="微软雅黑" w:cs="Times New Roman"/>
                <w:spacing w:val="-1"/>
                <w:sz w:val="18"/>
                <w:szCs w:val="18"/>
                <w:highlight w:val="none"/>
                <w:lang w:eastAsia="zh-CN"/>
              </w:rPr>
              <w:t>，MET外显子14跳跃突变对Capmatinib</w:t>
            </w:r>
            <w:r>
              <w:rPr>
                <w:rFonts w:hint="eastAsia" w:ascii="微软雅黑" w:hAnsi="微软雅黑" w:eastAsia="微软雅黑" w:cs="Times New Roman"/>
                <w:spacing w:val="-1"/>
                <w:sz w:val="18"/>
                <w:szCs w:val="18"/>
                <w:highlight w:val="none"/>
                <w:lang w:eastAsia="zh-CN"/>
              </w:rPr>
              <w:t>、赛沃替尼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克唑替尼、</w:t>
            </w:r>
            <w:r>
              <w:rPr>
                <w:rFonts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敏感；并且</w:t>
            </w:r>
            <w:r>
              <w:rPr>
                <w:rFonts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耐药相关</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59,</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17</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62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NRAS</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贝美替尼</w:t>
            </w:r>
            <w:r>
              <w:rPr>
                <w:rFonts w:hint="eastAsia" w:ascii="Times New Roman" w:hAnsi="Times New Roman" w:eastAsia="微软雅黑" w:cs="Times New Roman"/>
                <w:spacing w:val="-1"/>
                <w:sz w:val="18"/>
                <w:szCs w:val="18"/>
                <w:highlight w:val="none"/>
                <w:lang w:eastAsia="zh-CN"/>
              </w:rPr>
              <w:t>（Binimetinib）（</w:t>
            </w:r>
            <w:r>
              <w:rPr>
                <w:rFonts w:hint="eastAsia" w:ascii="Times New Roman" w:hAnsi="Times New Roman" w:eastAsia="微软雅黑" w:cs="Times New Roman"/>
                <w:spacing w:val="-1"/>
                <w:sz w:val="18"/>
                <w:szCs w:val="18"/>
                <w:highlight w:val="none"/>
                <w:lang w:val="en-US" w:eastAsia="zh-CN"/>
              </w:rPr>
              <w:t>NCCN指南推荐用于皮肤黑色素瘤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821"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结直肠癌中，NRAS野生型对西妥昔单抗、帕尼单抗（EGFR单抗）敏感性增加；黑色素瘤中，</w:t>
            </w:r>
            <w:r>
              <w:rPr>
                <w:rFonts w:hint="eastAsia" w:ascii="Times New Roman" w:hAnsi="Times New Roman" w:eastAsia="微软雅黑" w:cs="Times New Roman"/>
                <w:spacing w:val="-1"/>
                <w:sz w:val="18"/>
                <w:szCs w:val="18"/>
                <w:highlight w:val="none"/>
                <w:lang w:eastAsia="zh-CN"/>
              </w:rPr>
              <w:t>NRAS突变</w:t>
            </w:r>
            <w:r>
              <w:rPr>
                <w:rFonts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36</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44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NTRK</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非小细胞肺癌）；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（FDA批准用于实体瘤）</w:t>
            </w:r>
          </w:p>
        </w:tc>
        <w:tc>
          <w:tcPr>
            <w:tcW w:w="3821"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局部晚期或转移性实体瘤中，NTRK融合的成人或者儿童患者对恩曲替尼和拉罗替尼敏感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43</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11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PDGFRA</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rPr>
              <w:t>、慢性</w:t>
            </w:r>
            <w:r>
              <w:rPr>
                <w:rFonts w:hint="eastAsia" w:ascii="Times New Roman" w:hAnsi="Times New Roman" w:eastAsia="微软雅黑" w:cs="Times New Roman"/>
                <w:spacing w:val="-1"/>
                <w:sz w:val="18"/>
                <w:szCs w:val="18"/>
                <w:highlight w:val="none"/>
                <w:lang w:val="en-US" w:eastAsia="zh-CN"/>
              </w:rPr>
              <w:t>髓</w:t>
            </w:r>
            <w:r>
              <w:rPr>
                <w:rFonts w:hint="eastAsia"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等</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rPr>
              <w:t>达沙替尼*（</w:t>
            </w:r>
            <w:r>
              <w:rPr>
                <w:rFonts w:ascii="Times New Roman" w:hAnsi="Times New Roman" w:eastAsia="微软雅黑" w:cs="Times New Roman"/>
                <w:b/>
                <w:spacing w:val="-1"/>
                <w:sz w:val="18"/>
                <w:szCs w:val="18"/>
                <w:highlight w:val="none"/>
              </w:rPr>
              <w:t>Dasatinib）</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（FDA/NMPA批准用于胃肠道间质瘤</w:t>
            </w:r>
            <w:bookmarkStart w:id="102" w:name="OLE_LINK1"/>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bookmarkEnd w:id="102"/>
            <w:r>
              <w:rPr>
                <w:rFonts w:ascii="Times New Roman" w:hAnsi="Times New Roman" w:eastAsia="微软雅黑" w:cs="Times New Roman"/>
                <w:spacing w:val="-1"/>
                <w:sz w:val="18"/>
                <w:szCs w:val="18"/>
                <w:highlight w:val="none"/>
              </w:rPr>
              <w:t>）</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胃肠道间质瘤中，PDGFRA</w:t>
            </w:r>
            <w:r>
              <w:rPr>
                <w:rFonts w:hint="eastAsia" w:ascii="Times New Roman" w:hAnsi="Times New Roman" w:eastAsia="微软雅黑" w:cs="Times New Roman"/>
                <w:spacing w:val="-1"/>
                <w:sz w:val="18"/>
                <w:szCs w:val="18"/>
                <w:highlight w:val="none"/>
                <w:lang w:eastAsia="zh-CN"/>
              </w:rPr>
              <w:t>突变（除</w:t>
            </w:r>
            <w:r>
              <w:rPr>
                <w:rFonts w:ascii="Times New Roman" w:hAnsi="Times New Roman" w:eastAsia="微软雅黑" w:cs="Times New Roman"/>
                <w:spacing w:val="-1"/>
                <w:sz w:val="18"/>
                <w:szCs w:val="18"/>
                <w:highlight w:val="none"/>
                <w:lang w:eastAsia="zh-CN"/>
              </w:rPr>
              <w:t>D842V</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对伊马替尼敏感，PDGFRA D842V</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达沙替尼敏感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第12、14、18外显子突变（除D842V）对伊马替尼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PDGFRA D842V对伊马替尼</w:t>
            </w:r>
            <w:r>
              <w:rPr>
                <w:rFonts w:hint="eastAsia" w:ascii="Times New Roman" w:hAnsi="Times New Roman" w:eastAsia="微软雅黑" w:cs="Times New Roman"/>
                <w:spacing w:val="-1"/>
                <w:sz w:val="18"/>
                <w:szCs w:val="18"/>
                <w:highlight w:val="none"/>
                <w:lang w:eastAsia="zh-CN"/>
              </w:rPr>
              <w:t>产生耐药</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44</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51</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147"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PIK3CA</w:t>
            </w:r>
          </w:p>
        </w:tc>
        <w:tc>
          <w:tcPr>
            <w:tcW w:w="612"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Alpelisib+</w:t>
            </w:r>
            <w:r>
              <w:rPr>
                <w:rFonts w:hint="eastAsia" w:ascii="微软雅黑" w:hAnsi="微软雅黑" w:eastAsia="微软雅黑" w:cs="Times New Roman"/>
                <w:b/>
                <w:bCs/>
                <w:spacing w:val="-1"/>
                <w:sz w:val="18"/>
                <w:szCs w:val="18"/>
                <w:highlight w:val="none"/>
              </w:rPr>
              <w:t>氟维司群（</w:t>
            </w:r>
            <w:r>
              <w:rPr>
                <w:rFonts w:hint="eastAsia" w:ascii="Times New Roman" w:hAnsi="Times New Roman" w:eastAsia="微软雅黑" w:cs="Times New Roman"/>
                <w:b/>
                <w:bCs/>
                <w:spacing w:val="-1"/>
                <w:sz w:val="18"/>
                <w:szCs w:val="18"/>
                <w:highlight w:val="none"/>
              </w:rPr>
              <w:t>Alpelisib+Fulvestrant</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批准用于乳腺癌）</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研究报告，PIK3CA激活性突变（E542K、E545K、E545Q、H1047L、H1047R等）可能对PI3K或mTOR抑制剂敏感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129"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PTEN</w:t>
            </w:r>
          </w:p>
        </w:tc>
        <w:tc>
          <w:tcPr>
            <w:tcW w:w="612"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脂肪肉瘤等）、</w:t>
            </w:r>
            <w:r>
              <w:rPr>
                <w:rFonts w:ascii="Times New Roman" w:hAnsi="Times New Roman" w:eastAsia="微软雅黑" w:cs="Times New Roman"/>
                <w:b/>
                <w:spacing w:val="-1"/>
                <w:sz w:val="18"/>
                <w:szCs w:val="18"/>
                <w:highlight w:val="none"/>
              </w:rPr>
              <w:t>替西罗莫司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Temsirolimus）</w:t>
            </w:r>
            <w:r>
              <w:rPr>
                <w:rFonts w:ascii="Times New Roman" w:hAnsi="Times New Roman" w:eastAsia="微软雅黑" w:cs="Times New Roman"/>
                <w:spacing w:val="-1"/>
                <w:sz w:val="18"/>
                <w:szCs w:val="18"/>
                <w:highlight w:val="none"/>
              </w:rPr>
              <w:t>（FDA批准用于肾细胞腺癌）</w:t>
            </w:r>
          </w:p>
        </w:tc>
        <w:tc>
          <w:tcPr>
            <w:tcW w:w="3821"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胶质瘤中，PTEN失活突变对依维莫司敏感；非霍奇金淋巴瘤和多发性骨髓瘤中，</w:t>
            </w:r>
            <w:r>
              <w:rPr>
                <w:rFonts w:ascii="Times New Roman" w:hAnsi="Times New Roman" w:eastAsia="微软雅黑" w:cs="Times New Roman"/>
                <w:spacing w:val="-1"/>
                <w:sz w:val="18"/>
                <w:szCs w:val="18"/>
                <w:highlight w:val="none"/>
                <w:lang w:eastAsia="zh-CN"/>
              </w:rPr>
              <w:t>PTEN</w:t>
            </w:r>
            <w:r>
              <w:rPr>
                <w:rFonts w:hint="eastAsia" w:ascii="Times New Roman" w:hAnsi="Times New Roman" w:eastAsia="微软雅黑" w:cs="Times New Roman"/>
                <w:spacing w:val="-1"/>
                <w:sz w:val="18"/>
                <w:szCs w:val="18"/>
                <w:highlight w:val="none"/>
                <w:lang w:eastAsia="zh-CN"/>
              </w:rPr>
              <w:t>失活突变对替西罗莫司敏感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702"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704" w:type="dxa"/>
            <w:vAlign w:val="center"/>
          </w:tcPr>
          <w:p>
            <w:pPr>
              <w:spacing w:before="19"/>
              <w:ind w:right="-8"/>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1" w:type="dxa"/>
            <w:gridSpan w:val="2"/>
            <w:vAlign w:val="center"/>
          </w:tcPr>
          <w:p>
            <w:pPr>
              <w:spacing w:before="19"/>
              <w:ind w:right="-8"/>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513"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RET</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融合</w:t>
            </w:r>
          </w:p>
        </w:tc>
        <w:tc>
          <w:tcPr>
            <w:tcW w:w="4704" w:type="dxa"/>
            <w:vAlign w:val="center"/>
          </w:tcPr>
          <w:p>
            <w:pPr>
              <w:spacing w:before="19"/>
              <w:ind w:right="-8"/>
              <w:jc w:val="both"/>
              <w:rPr>
                <w:rFonts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hint="eastAsia" w:ascii="Times New Roman" w:hAnsi="Times New Roman" w:eastAsia="微软雅黑" w:cs="Times New Roman"/>
                <w:b/>
                <w:spacing w:val="-1"/>
                <w:sz w:val="18"/>
                <w:szCs w:val="18"/>
                <w:highlight w:val="none"/>
                <w:lang w:val="en-US"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Selpercatinib</w:t>
            </w:r>
            <w:r>
              <w:rPr>
                <w:rFonts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ascii="Times New Roman" w:hAnsi="Times New Roman" w:eastAsia="微软雅黑" w:cs="Times New Roman"/>
                <w:b/>
                <w:spacing w:val="-1"/>
                <w:sz w:val="18"/>
                <w:szCs w:val="18"/>
                <w:highlight w:val="none"/>
              </w:rPr>
              <w:t>Vandetanib）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ascii="Times New Roman" w:hAnsi="Times New Roman" w:eastAsia="微软雅黑" w:cs="Times New Roman"/>
                <w:b/>
                <w:spacing w:val="-1"/>
                <w:sz w:val="18"/>
                <w:szCs w:val="18"/>
                <w:highlight w:val="none"/>
              </w:rPr>
              <w:t>Cabozantinib）</w:t>
            </w:r>
            <w:r>
              <w:rPr>
                <w:rFonts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ascii="Times New Roman" w:hAnsi="Times New Roman" w:eastAsia="微软雅黑" w:cs="Times New Roman"/>
                <w:spacing w:val="-1"/>
                <w:sz w:val="18"/>
                <w:szCs w:val="18"/>
                <w:highlight w:val="none"/>
              </w:rPr>
              <w:t>肝细胞癌）；</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仑伐替尼*（</w:t>
            </w:r>
            <w:r>
              <w:rPr>
                <w:rFonts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甲状腺癌）</w:t>
            </w:r>
          </w:p>
        </w:tc>
        <w:tc>
          <w:tcPr>
            <w:tcW w:w="3821" w:type="dxa"/>
            <w:gridSpan w:val="2"/>
            <w:vAlign w:val="center"/>
          </w:tcPr>
          <w:p>
            <w:pPr>
              <w:spacing w:before="19"/>
              <w:ind w:right="-8"/>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rPr>
              <w:t>甲状腺癌中，RET融合和突变对Selpercatinib敏感，RET C634、M918T突变</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凡德他尼</w:t>
            </w:r>
            <w:r>
              <w:rPr>
                <w:rFonts w:hint="eastAsia" w:ascii="Times New Roman" w:hAnsi="Times New Roman" w:eastAsia="微软雅黑" w:cs="Times New Roman"/>
                <w:spacing w:val="-1"/>
                <w:sz w:val="18"/>
                <w:szCs w:val="18"/>
                <w:highlight w:val="none"/>
              </w:rPr>
              <w:t>敏感，</w:t>
            </w:r>
            <w:r>
              <w:rPr>
                <w:rFonts w:ascii="Times New Roman" w:hAnsi="Times New Roman" w:eastAsia="微软雅黑" w:cs="Times New Roman"/>
                <w:spacing w:val="-1"/>
                <w:sz w:val="18"/>
                <w:szCs w:val="18"/>
                <w:highlight w:val="none"/>
              </w:rPr>
              <w:t>RET M918T</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卡博替尼敏感；非小细胞肺癌中，RET融合和突变对Selpercatinib敏感，临床试验研究表明，RET融合对卡博替尼和凡德他尼敏感；凡德他尼是多靶点激酶抑制剂，RET是靶点之一</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63</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66</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2671"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ROS1</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704"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Crizotinib）</w:t>
            </w:r>
            <w:r>
              <w:rPr>
                <w:rFonts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Ceritinib）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ascii="Times New Roman" w:hAnsi="Times New Roman" w:eastAsia="微软雅黑" w:cs="Times New Roman"/>
                <w:spacing w:val="-1"/>
                <w:sz w:val="18"/>
                <w:szCs w:val="18"/>
                <w:highlight w:val="none"/>
              </w:rPr>
              <w:t>、非小细胞肺癌）；</w:t>
            </w:r>
          </w:p>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spacing w:val="-1"/>
                <w:sz w:val="18"/>
                <w:szCs w:val="18"/>
                <w:highlight w:val="none"/>
              </w:rPr>
              <w:t>劳拉替尼（Lorlatinib）</w:t>
            </w:r>
            <w:r>
              <w:rPr>
                <w:rFonts w:ascii="Times New Roman" w:hAnsi="Times New Roman" w:eastAsia="微软雅黑" w:cs="Times New Roman"/>
                <w:spacing w:val="-1"/>
                <w:sz w:val="18"/>
                <w:szCs w:val="18"/>
                <w:highlight w:val="none"/>
              </w:rPr>
              <w:t>（FDA批准用于非小细胞肺癌）</w:t>
            </w:r>
          </w:p>
        </w:tc>
        <w:tc>
          <w:tcPr>
            <w:tcW w:w="3821" w:type="dxa"/>
            <w:gridSpan w:val="2"/>
            <w:vAlign w:val="center"/>
          </w:tcPr>
          <w:p>
            <w:pPr>
              <w:spacing w:before="19"/>
              <w:ind w:right="-8"/>
              <w:jc w:val="both"/>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非小细胞肺</w:t>
            </w:r>
            <w:r>
              <w:rPr>
                <w:rFonts w:ascii="Times New Roman" w:hAnsi="Times New Roman" w:eastAsia="微软雅黑" w:cs="Times New Roman"/>
                <w:spacing w:val="-1"/>
                <w:sz w:val="18"/>
                <w:szCs w:val="18"/>
                <w:highlight w:val="none"/>
              </w:rPr>
              <w:t>癌中，ROS1融合对克唑替尼（ALK/MET/ROS1抑制剂）</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塞瑞替尼、劳拉替尼敏感</w:t>
            </w:r>
            <w:r>
              <w:rPr>
                <w:rFonts w:hint="eastAsia" w:ascii="Times New Roman" w:hAnsi="Times New Roman" w:eastAsia="微软雅黑" w:cs="Times New Roman"/>
                <w:spacing w:val="-1"/>
                <w:sz w:val="18"/>
                <w:szCs w:val="18"/>
                <w:highlight w:val="none"/>
              </w:rPr>
              <w:t>，ROS1融合与</w:t>
            </w:r>
            <w:r>
              <w:rPr>
                <w:rFonts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ascii="Times New Roman" w:hAnsi="Times New Roman" w:eastAsia="微软雅黑" w:cs="Times New Roman"/>
                <w:spacing w:val="-1"/>
                <w:sz w:val="18"/>
                <w:szCs w:val="18"/>
                <w:highlight w:val="none"/>
              </w:rPr>
              <w:t>。FDA批准恩曲替尼用于携带ROS1融合的转移性非小细胞肺癌患者的治疗</w:t>
            </w:r>
            <w:r>
              <w:rPr>
                <w:rFonts w:ascii="Times New Roman" w:hAnsi="Times New Roman" w:eastAsia="微软雅黑" w:cs="Times New Roman"/>
                <w:spacing w:val="-1"/>
                <w:sz w:val="18"/>
                <w:szCs w:val="18"/>
                <w:highlight w:val="none"/>
                <w:vertAlign w:val="superscript"/>
              </w:rPr>
              <w:t>[16</w:t>
            </w:r>
            <w:r>
              <w:rPr>
                <w:rFonts w:hint="eastAsia" w:ascii="Times New Roman" w:hAnsi="Times New Roman" w:eastAsia="微软雅黑" w:cs="Times New Roman"/>
                <w:spacing w:val="-1"/>
                <w:sz w:val="18"/>
                <w:szCs w:val="18"/>
                <w:highlight w:val="none"/>
                <w:vertAlign w:val="superscript"/>
                <w:lang w:eastAsia="zh-CN"/>
              </w:rPr>
              <w:t>7</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72</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1278"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SMO</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704"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spacing w:val="-1"/>
                <w:sz w:val="18"/>
                <w:szCs w:val="18"/>
                <w:highlight w:val="none"/>
              </w:rPr>
              <w:t>维莫德吉</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Vismodegib）</w:t>
            </w:r>
            <w:r>
              <w:rPr>
                <w:rFonts w:ascii="Times New Roman" w:hAnsi="Times New Roman" w:eastAsia="微软雅黑" w:cs="Times New Roman"/>
                <w:spacing w:val="-1"/>
                <w:sz w:val="18"/>
                <w:szCs w:val="18"/>
                <w:highlight w:val="none"/>
              </w:rPr>
              <w:t>（FDA批准用于基底细胞癌）</w:t>
            </w:r>
          </w:p>
        </w:tc>
        <w:tc>
          <w:tcPr>
            <w:tcW w:w="3821"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髓母细胞瘤中，SMO D473H突变对维莫德吉</w:t>
            </w:r>
            <w:r>
              <w:rPr>
                <w:rFonts w:hint="eastAsia" w:ascii="Times New Roman" w:hAnsi="Times New Roman" w:eastAsia="微软雅黑" w:cs="Times New Roman"/>
                <w:spacing w:val="-1"/>
                <w:sz w:val="18"/>
                <w:szCs w:val="18"/>
                <w:highlight w:val="none"/>
                <w:lang w:eastAsia="zh-CN"/>
              </w:rPr>
              <w:t>发生继发性耐药；</w:t>
            </w:r>
            <w:r>
              <w:rPr>
                <w:rFonts w:ascii="Times New Roman" w:hAnsi="Times New Roman" w:eastAsia="微软雅黑" w:cs="Times New Roman"/>
                <w:spacing w:val="-1"/>
                <w:sz w:val="18"/>
                <w:szCs w:val="18"/>
                <w:highlight w:val="none"/>
                <w:lang w:eastAsia="zh-CN"/>
              </w:rPr>
              <w:t>基底细胞癌</w:t>
            </w:r>
            <w:r>
              <w:rPr>
                <w:rFonts w:hint="eastAsia" w:ascii="Times New Roman" w:hAnsi="Times New Roman" w:eastAsia="微软雅黑" w:cs="Times New Roman"/>
                <w:spacing w:val="-1"/>
                <w:sz w:val="18"/>
                <w:szCs w:val="18"/>
                <w:highlight w:val="none"/>
                <w:lang w:eastAsia="zh-CN"/>
              </w:rPr>
              <w:t>中，</w:t>
            </w:r>
            <w:r>
              <w:rPr>
                <w:rFonts w:ascii="Times New Roman" w:hAnsi="Times New Roman" w:eastAsia="微软雅黑" w:cs="Times New Roman"/>
                <w:spacing w:val="-1"/>
                <w:sz w:val="18"/>
                <w:szCs w:val="18"/>
                <w:highlight w:val="none"/>
                <w:lang w:eastAsia="zh-CN"/>
              </w:rPr>
              <w:t>SMO D473H突变对维莫德吉</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74</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222" w:type="dxa"/>
          <w:trHeight w:val="984" w:hRule="atLeast"/>
          <w:tblHeader/>
          <w:jc w:val="center"/>
        </w:trPr>
        <w:tc>
          <w:tcPr>
            <w:tcW w:w="1038"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TSC1</w:t>
            </w:r>
          </w:p>
        </w:tc>
        <w:tc>
          <w:tcPr>
            <w:tcW w:w="612"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7"/>
                <w:szCs w:val="17"/>
                <w:highlight w:val="none"/>
              </w:rPr>
              <w:t>突变</w:t>
            </w:r>
          </w:p>
        </w:tc>
        <w:tc>
          <w:tcPr>
            <w:tcW w:w="4704"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、神经内分泌癌、</w:t>
            </w:r>
            <w:r>
              <w:rPr>
                <w:rFonts w:ascii="Times New Roman" w:hAnsi="Times New Roman" w:eastAsia="微软雅黑" w:cs="Times New Roman"/>
                <w:spacing w:val="-1"/>
                <w:sz w:val="18"/>
                <w:szCs w:val="18"/>
                <w:highlight w:val="none"/>
              </w:rPr>
              <w:t>脂肪肉瘤</w:t>
            </w:r>
            <w:r>
              <w:rPr>
                <w:rFonts w:hint="eastAsia" w:ascii="Times New Roman" w:hAnsi="Times New Roman" w:eastAsia="微软雅黑" w:cs="Times New Roman"/>
                <w:spacing w:val="-1"/>
                <w:sz w:val="18"/>
                <w:szCs w:val="18"/>
                <w:highlight w:val="none"/>
                <w:lang w:eastAsia="zh-CN"/>
              </w:rPr>
              <w:t>等</w:t>
            </w:r>
            <w:r>
              <w:rPr>
                <w:rFonts w:ascii="Times New Roman" w:hAnsi="Times New Roman" w:eastAsia="微软雅黑" w:cs="Times New Roman"/>
                <w:spacing w:val="-1"/>
                <w:sz w:val="18"/>
                <w:szCs w:val="18"/>
                <w:highlight w:val="none"/>
              </w:rPr>
              <w:t>）</w:t>
            </w:r>
          </w:p>
        </w:tc>
        <w:tc>
          <w:tcPr>
            <w:tcW w:w="3821"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膀胱癌中，TSC1 E636移码突变对mTOR抑制剂依维莫司、替西罗莫司敏感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75-176</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bl>
    <w:p>
      <w:pPr>
        <w:widowControl/>
        <w:rPr>
          <w:rFonts w:ascii="Times New Roman" w:hAnsi="Times New Roman" w:eastAsia="微软雅黑" w:cs="Times New Roman"/>
          <w:sz w:val="24"/>
          <w:szCs w:val="24"/>
          <w:highlight w:val="none"/>
          <w:lang w:eastAsia="zh-CN"/>
        </w:rPr>
      </w:pPr>
    </w:p>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p>
      <w:pPr>
        <w:pStyle w:val="25"/>
        <w:spacing w:after="240" w:afterLines="100"/>
        <w:rPr>
          <w:highlight w:val="none"/>
        </w:rPr>
      </w:pPr>
      <w:bookmarkStart w:id="103" w:name="_Toc31974"/>
      <w:bookmarkStart w:id="104" w:name="_Toc25415_WPSOffice_Level1"/>
      <w:bookmarkStart w:id="105" w:name="_Toc14645_WPSOffice_Level1"/>
      <w:bookmarkStart w:id="106" w:name="_Toc15690"/>
      <w:bookmarkStart w:id="107" w:name="_Toc32730"/>
      <w:bookmarkStart w:id="108" w:name="_Toc13557_WPSOffice_Level1"/>
      <w:r>
        <w:rPr>
          <w:highlight w:val="none"/>
        </w:rPr>
        <w:t>靶向</w:t>
      </w:r>
      <w:r>
        <w:rPr>
          <w:rFonts w:hint="eastAsia"/>
          <w:highlight w:val="none"/>
        </w:rPr>
        <w:t>突变</w:t>
      </w:r>
      <w:r>
        <w:rPr>
          <w:highlight w:val="none"/>
        </w:rPr>
        <w:t>基因信号通路解析</w:t>
      </w:r>
      <w:bookmarkEnd w:id="103"/>
      <w:bookmarkEnd w:id="104"/>
      <w:bookmarkEnd w:id="105"/>
      <w:bookmarkEnd w:id="106"/>
      <w:bookmarkEnd w:id="107"/>
      <w:bookmarkEnd w:id="108"/>
    </w:p>
    <w:p>
      <w:pPr>
        <w:spacing w:line="276" w:lineRule="auto"/>
        <w:ind w:right="448"/>
        <w:rPr>
          <w:rFonts w:ascii="Times New Roman" w:hAnsi="Times New Roman" w:eastAsia="微软雅黑" w:cs="Times New Roman"/>
          <w:b/>
          <w:bCs/>
          <w:color w:val="416AAB"/>
          <w:sz w:val="24"/>
          <w:szCs w:val="24"/>
          <w:highlight w:val="none"/>
          <w:lang w:eastAsia="zh-CN"/>
        </w:rPr>
      </w:pPr>
      <w:bookmarkStart w:id="109" w:name="_Toc23221_WPSOffice_Level1"/>
      <w:bookmarkStart w:id="110" w:name="_Toc5261_WPSOffice_Level1"/>
      <w:bookmarkStart w:id="111" w:name="_Toc11554_WPSOffice_Level1"/>
      <w:bookmarkStart w:id="112" w:name="_Toc18696_WPSOffice_Level1"/>
      <w:bookmarkStart w:id="113" w:name="_Toc17905_WPSOffice_Level1"/>
      <w:bookmarkStart w:id="114" w:name="_Toc23388_WPSOffice_Level1"/>
      <w:bookmarkStart w:id="115" w:name="_Toc3819_WPSOffice_Level1"/>
      <w:bookmarkStart w:id="116" w:name="_Toc17314_WPSOffice_Level1"/>
      <w:r>
        <w:rPr>
          <w:rFonts w:ascii="Times New Roman" w:hAnsi="Times New Roman" w:eastAsia="微软雅黑" w:cs="Times New Roman"/>
          <w:b/>
          <w:bCs/>
          <w:color w:val="416AAB"/>
          <w:sz w:val="24"/>
          <w:szCs w:val="24"/>
          <w:highlight w:val="none"/>
          <w:lang w:eastAsia="zh-CN"/>
        </w:rPr>
        <w:t>细胞增殖通路</w:t>
      </w:r>
      <w:bookmarkEnd w:id="109"/>
      <w:bookmarkEnd w:id="110"/>
      <w:bookmarkEnd w:id="111"/>
      <w:bookmarkEnd w:id="112"/>
      <w:bookmarkEnd w:id="113"/>
      <w:bookmarkEnd w:id="114"/>
      <w:bookmarkEnd w:id="115"/>
      <w:bookmarkEnd w:id="116"/>
    </w:p>
    <w:tbl>
      <w:tblPr>
        <w:tblStyle w:val="13"/>
        <w:tblW w:w="9870" w:type="dxa"/>
        <w:tblInd w:w="0" w:type="dxa"/>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ind w:right="446"/>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1372" w:hRule="atLeast"/>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MAP kinase signalingpathway</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丝裂原活化蛋白激酶</w:t>
            </w:r>
          </w:p>
          <w:p>
            <w:pPr>
              <w:spacing w:before="12"/>
              <w:ind w:right="-135"/>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信号通路</w:t>
            </w:r>
          </w:p>
        </w:tc>
        <w:tc>
          <w:tcPr>
            <w:tcW w:w="7885" w:type="dxa"/>
          </w:tcPr>
          <w:p>
            <w:pPr>
              <w:spacing w:before="12"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PARP4,MAP3K1,FGF6,ACVR1B,AKT1,AKT2,AKT3,ARAF,AXL,BRAF,CEBPA,CRKL,CXCR4,DAXX,EGFR,EPHA7,ESR1/ER,ETV1,FAS,FGF10,FGF14,FGF19,FGF23,FGF3,FGF4,FGFR1,FGFR2,FGFR3,FGFR4,FUBP1,GNA11,GNA13,GNAQ,GNAS,ADGRA2,GRIN2A,H3F3A,HNF1A,HRAS,IGF2R,JUN,KRAS,LRP1B,MAP2K1,MAP2K2,MAP2K4,MAPK1,MAPK14,MITF,MTOR,MYC,MYCL,NF1,NRAS,NTRK1,NTRK2,PARP1,PARP2,PARP3,PDGFRA,PDGFRB,RAC1,RAF1,RANK,RANKL,RARA,RB1,SRC,TGFBR2,TNF/TNF-alpha,TNFRSF14,TSC2,MAX”</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before="12"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spacing w:before="12"/>
              <w:ind w:right="446"/>
              <w:jc w:val="both"/>
              <w:rPr>
                <w:rFonts w:ascii="Times New Roman" w:hAnsi="Times New Roman" w:eastAsia="微软雅黑" w:cs="Times New Roman"/>
                <w:b/>
                <w:bCs/>
                <w:sz w:val="16"/>
                <w:szCs w:val="16"/>
                <w:highlight w:val="none"/>
                <w:lang w:eastAsia="zh-CN"/>
              </w:rPr>
            </w:pPr>
          </w:p>
        </w:tc>
        <w:tc>
          <w:tcPr>
            <w:tcW w:w="7885" w:type="dxa"/>
          </w:tcPr>
          <w:p>
            <w:pPr>
              <w:spacing w:before="12"/>
              <w:ind w:right="-22" w:rightChars="-10"/>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MAPK（丝裂原活化蛋白激酶）是细胞内的一类丝氨酸/苏氨酸蛋白激酶，将细胞外刺激信号转导至细胞及其核内，在细胞的增殖、分化和迁移过程中具有至关重要的作用。在哺乳动物机体中至少有5个亚族：胞外信号调节激酶（ERK1/2），JUN 氨基末端激酶（JNK1/2/3），p38 激酶同工酶（p38α/β/δ），ERK3/4，ERK5。MAPK 通路的基本组成是一种从酵母到人类都保守的三级激酶模式，通过MAPKKK（促丝裂原活化蛋白激酶激酶激酶）、MAPKK（促丝裂原活化蛋白激酶激酶）和MAPK依次激活实现的。MAPK信号通路通过这些激酶的激活或失活调节细胞内的生物反应，参与肿瘤生长、增殖和转移。与正常组织相比，p38 MAPK信号通路在许多肿瘤中（如结直肠癌、食管癌和乳腺癌等）持续激活表达。BRAF抑制维莫非尼（Vemurafenib）、达拉非尼（Dabrafenib）及MEK抑制剂曲美替尼（Trametinib）、考比替尼已被FDA批准用于相关疾病的治疗；此外，部分生长因子受体抑制剂也可用于该通路相关疾病的治疗</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77</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80</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PI3K/AKT/mTOR</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signaling 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PI3K/AKT/mTOR信</w:t>
            </w:r>
          </w:p>
          <w:p>
            <w:pPr>
              <w:jc w:val="center"/>
              <w:rPr>
                <w:rFonts w:ascii="Times New Roman" w:hAnsi="Times New Roman" w:eastAsia="微软雅黑" w:cs="Times New Roman"/>
                <w:sz w:val="16"/>
                <w:szCs w:val="16"/>
                <w:highlight w:val="none"/>
                <w:lang w:eastAsia="zh-CN"/>
              </w:rPr>
            </w:pPr>
            <w:r>
              <w:rPr>
                <w:rFonts w:ascii="Times New Roman" w:hAnsi="Times New Roman" w:eastAsia="微软雅黑" w:cs="Times New Roman"/>
                <w:bCs/>
                <w:sz w:val="16"/>
                <w:szCs w:val="16"/>
                <w:highlight w:val="none"/>
                <w:lang w:eastAsia="zh-CN"/>
              </w:rPr>
              <w:t>号通路</w:t>
            </w:r>
          </w:p>
        </w:tc>
        <w:tc>
          <w:tcPr>
            <w:tcW w:w="7885" w:type="dxa"/>
          </w:tcPr>
          <w:p>
            <w:pPr>
              <w:spacing w:before="12"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RNF43,MET,KDR/VEGFR,IGF2,FGF6,CCND3,BRCA1,AKT1,AKT2,AKT3,AXL,BCL2,BCL2L1,BRAF,CBL,CCND1,CCND2,CCNE1,CDK4,CDK6,CDKN1A,CDKN1B,CRKL,CSF1R,EGFR,EPHA7,FGF10,FGF14,FGF19,FGF23,FGF3,FGF4,FGFR1,FGFR2,FGFR3,FGFR4,FLT1,FLT4,FRS2,FUBP1,GABRA6,ADGRA2,GRIN2A,GSK3B,HGF,HRAS,HSP90AA1/HSP90,IGF1R/IGFR,IGF2R,IL7R,INPP4B,IRS2,JAK1,JAK2,JAK3,KIT,KRAS,LYN,MAGI2,MAP2K1,MAP2K2,MCL1,MDM2,MTOR,MYB,MYC,MYCL,NRAS,PDGFRA,PDGFRB,PDK1,PIK3C2B,PIK3CA,PIK3CB,PIK3CG,PIK3R1,PIK3R2,PPP2R1A,PTEN,RAC1,RAF1,RICTOR,RPTOR,STK11,SYK,TEK,TNF/TNF-alpha,TSC1,TSC2,VEGFA,WEE1,TMEM127,FANCI”</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Style w:val="17"/>
                <w:rFonts w:ascii="微软雅黑" w:hAnsi="微软雅黑" w:eastAsia="微软雅黑" w:cs="微软雅黑"/>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spacing w:before="12"/>
              <w:ind w:right="446"/>
              <w:jc w:val="both"/>
              <w:rPr>
                <w:rFonts w:ascii="Times New Roman" w:hAnsi="Times New Roman" w:eastAsia="微软雅黑" w:cs="Times New Roman"/>
                <w:b/>
                <w:bCs/>
                <w:sz w:val="30"/>
                <w:szCs w:val="30"/>
                <w:highlight w:val="none"/>
                <w:lang w:eastAsia="zh-CN"/>
              </w:rPr>
            </w:pPr>
          </w:p>
        </w:tc>
        <w:tc>
          <w:tcPr>
            <w:tcW w:w="7885" w:type="dxa"/>
          </w:tcPr>
          <w:p>
            <w:pPr>
              <w:spacing w:before="12"/>
              <w:jc w:val="both"/>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sz w:val="16"/>
                <w:szCs w:val="16"/>
                <w:highlight w:val="none"/>
                <w:lang w:eastAsia="zh-CN"/>
              </w:rPr>
              <w:t>PI3K/AKT/mTOR信号通路在细胞生长、增殖，细胞周期及细胞凋亡的调控中起重要作用。多种生长因子激活磷脂酸肌醇3-激酶（PI3K），在质膜上产生第二信使PIP3，然后PIP3与细胞内含有PH结构域的信号蛋白Akt和PDK1结合，促使Akt的活化，后者作用于TSC复合体，并最终激活mTORCl复合体，使其下游靶蛋白磷酸化，调节蛋白翻译合成和细胞生长等。mTOR信号通路与肿瘤的发生密切相关，在多种肿瘤如膀胱癌、前列腺癌、乳腺癌、胃肠道间质瘤、肝癌、结肠癌、肺癌及卵巢癌等癌症中均可发现此通路的异常激活。mTOR信号通路目前已成为肿瘤治疗的重要药物靶点之一，相关的治疗药物依维莫司(Everolimus)及替西罗莫司(Temsirolimus)已被FDA批准用于晚期肾细胞癌的治疗</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81</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85</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Regulation of eIF4E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and p70 S6 Kinase</w:t>
            </w:r>
          </w:p>
          <w:p>
            <w:pPr>
              <w:jc w:val="center"/>
              <w:rPr>
                <w:rFonts w:ascii="Times New Roman" w:hAnsi="Times New Roman" w:eastAsia="微软雅黑" w:cs="Times New Roman"/>
                <w:b/>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eIF4Eand p70 S6激酶调节信号通路</w:t>
            </w:r>
          </w:p>
        </w:tc>
        <w:tc>
          <w:tcPr>
            <w:tcW w:w="7885" w:type="dxa"/>
          </w:tcPr>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“GNA11,GNA13,GNAS,IGF2R,MTOR,PDK1,PTEN,RICTOR,TSC1,TSC2”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rPr>
                <w:rFonts w:ascii="Times New Roman" w:hAnsi="Times New Roman" w:eastAsia="微软雅黑" w:cs="Times New Roman"/>
                <w:b/>
                <w:sz w:val="16"/>
                <w:szCs w:val="16"/>
                <w:highlight w:val="none"/>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真核起始因子4E（eIF4E）可以与eIF4A和eIF4G共同组成eIF4F复合物，P70 S6K是核糖体40S小亚基S6蛋白激酶, 在真核蛋白翻译和合成过程中起重要作用。</w:t>
            </w:r>
            <w:r>
              <w:rPr>
                <w:rFonts w:ascii="Times New Roman" w:hAnsi="Times New Roman" w:eastAsia="微软雅黑" w:cs="Times New Roman"/>
                <w:sz w:val="16"/>
                <w:szCs w:val="16"/>
                <w:highlight w:val="none"/>
                <w:lang w:eastAsia="zh-CN"/>
              </w:rPr>
              <w:t>生长因子及细胞因子等信号分子，通过对PI3K、PDK1/2、Akt/PKB及FRAP/mTOR激酶连续性激活，可启动对eIF4复合体及p70S6K的调控；此外，Erk及p38 MAPK通过激活MNK1/2，对eIF4E进行调控。eIF4E是原癌基因，可影响细胞的生长和分化，其表达与多种肿瘤的发生、浸润和转移有关，相关疾病包括结肠癌、前列腺癌和乳腺癌等。p70 S6K与蛋白质的合成、mRNA的加工以及细胞的生长和凋亡等进程密切相关，过度激活会导致肿瘤的发生。</w:t>
            </w:r>
            <w:r>
              <w:rPr>
                <w:rFonts w:ascii="Times New Roman" w:hAnsi="Times New Roman" w:eastAsia="微软雅黑" w:cs="Times New Roman"/>
                <w:sz w:val="16"/>
                <w:szCs w:val="16"/>
                <w:highlight w:val="none"/>
              </w:rPr>
              <w:t>该通路的靶向药物主要有mTOR抑制剂，如FDA8批准的替西罗莫司（Temsirolimus）、依维莫司（Everolimus）等</w:t>
            </w:r>
            <w:r>
              <w:rPr>
                <w:rFonts w:ascii="Times New Roman" w:hAnsi="Times New Roman" w:eastAsia="微软雅黑" w:cs="Times New Roman"/>
                <w:sz w:val="16"/>
                <w:szCs w:val="16"/>
                <w:highlight w:val="none"/>
                <w:vertAlign w:val="superscript"/>
              </w:rPr>
              <w:t>[1</w:t>
            </w:r>
            <w:r>
              <w:rPr>
                <w:rFonts w:hint="eastAsia" w:ascii="Times New Roman" w:hAnsi="Times New Roman" w:eastAsia="微软雅黑" w:cs="Times New Roman"/>
                <w:sz w:val="16"/>
                <w:szCs w:val="16"/>
                <w:highlight w:val="none"/>
                <w:vertAlign w:val="superscript"/>
                <w:lang w:eastAsia="zh-CN"/>
              </w:rPr>
              <w:t>86</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rPr>
              <w:t>1</w:t>
            </w:r>
            <w:r>
              <w:rPr>
                <w:rFonts w:hint="eastAsia" w:ascii="Times New Roman" w:hAnsi="Times New Roman" w:eastAsia="微软雅黑" w:cs="Times New Roman"/>
                <w:sz w:val="16"/>
                <w:szCs w:val="16"/>
                <w:highlight w:val="none"/>
                <w:vertAlign w:val="superscript"/>
                <w:lang w:eastAsia="zh-CN"/>
              </w:rPr>
              <w:t>89</w:t>
            </w:r>
            <w:r>
              <w:rPr>
                <w:rFonts w:ascii="Times New Roman" w:hAnsi="Times New Roman" w:eastAsia="微软雅黑" w:cs="Times New Roman"/>
                <w:sz w:val="16"/>
                <w:szCs w:val="16"/>
                <w:highlight w:val="none"/>
                <w:vertAlign w:val="superscript"/>
              </w:rPr>
              <w:t>]</w:t>
            </w:r>
            <w:r>
              <w:rPr>
                <w:rFonts w:ascii="Times New Roman" w:hAnsi="Times New Roman" w:eastAsia="微软雅黑" w:cs="Times New Roman"/>
                <w:sz w:val="16"/>
                <w:szCs w:val="16"/>
                <w:highlight w:val="none"/>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G-Protein-Coupled</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receptors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G蛋白偶联受体信号通路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“ARFRP1,AXL,CXCR4,EPHA7,GNA11,GNA13,GNAQ,GNAS,GRM3,NFE2L2,PTCH1,NCAIP,SOX10,SRC,TSHR”</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G蛋白偶联受体（GPCRs）是细胞表面蛋白中最大的一个家族，目前已知成员1200多个，在胞外信号向胞内转导过程中起到重要作用。GPCRs信号通路在正常生理功能中发挥着多种作用，调控激素、神经递质、生长因子、气味和光等介导的生理行为，部分通路已被证明是原癌基因信号通路的关键调控者。GPCRs活化可引起G蛋白的</w:t>
            </w:r>
            <w:r>
              <w:rPr>
                <w:rFonts w:ascii="Times New Roman" w:hAnsi="Times New Roman" w:eastAsia="微软雅黑" w:cs="Times New Roman"/>
                <w:color w:val="000000" w:themeColor="text1"/>
                <w:sz w:val="16"/>
                <w:szCs w:val="16"/>
                <w:highlight w:val="none"/>
                <w14:textFill>
                  <w14:solidFill>
                    <w14:schemeClr w14:val="tx1"/>
                  </w14:solidFill>
                </w14:textFill>
              </w:rPr>
              <w:t>α</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和</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亚基分离并触发信号通路，其中两个主要的通路分别涉及第二信使环腺苷酸(cAMP)和磷脂酰肌醇。G蛋白中癌症关键基因G</w:t>
            </w:r>
            <w:r>
              <w:rPr>
                <w:rFonts w:ascii="Times New Roman" w:hAnsi="Times New Roman" w:eastAsia="微软雅黑" w:cs="Times New Roman"/>
                <w:color w:val="000000" w:themeColor="text1"/>
                <w:sz w:val="16"/>
                <w:szCs w:val="16"/>
                <w:highlight w:val="none"/>
                <w14:textFill>
                  <w14:solidFill>
                    <w14:schemeClr w14:val="tx1"/>
                  </w14:solidFill>
                </w14:textFill>
              </w:rPr>
              <w:t>α</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12/13调控细胞骨架，与细胞迁移有关，同时能募集Src家族或PLC</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，从而介导PKC和CaMKII的活化，进一步激活MAPK通路和小G蛋白（Ras，Rac，Rho）等细胞信号, 推进细胞周期进程，促进细胞增殖，引发肿瘤发生。目前已在卵巢癌、乳腺癌、结直肠癌、前列腺癌等中发现GPCRs的高表达。基于GPCR在生理病理过程中的重要生物学作用，这一蛋白家族也是目前最重要的药物作用靶点，超过50%的临床药物以及正在研发的药物均以GPCRs作为靶点</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90</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92</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SAPK/JNK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cascades</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SAPK/JNK信号级联通路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“AXL,CRKL,DAXX,EPHA7,GNA11,GNA13,GNAQ,HNF1A,JUN,RAC1,SMAD4,STAT3”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14:textFill>
                  <w14:solidFill>
                    <w14:schemeClr w14:val="tx1"/>
                  </w14:solidFill>
                </w14:textFill>
              </w:rPr>
              <w:t>JNK是c-Jun氨基末端激酶（c-Jun N terminal kinase,JNK），由于JNK信号通路在细胞反应中起重要作用，并被多种细胞外应激信号激活，因而JNK也被称为应激活化蛋白激酶（stressactivated protein kinase, SAPK）。</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JNK有JNK1（SAPK）、JNK2（SAPK）、JNK3（SAPL）三种同工酶。JNK信号通路在细胞分化、细胞凋亡、应激反应以及多种人类疾病的发生发展中起着至关重要的作用。JNK/p38MAPK信号通路的激活参与了不同刺激所致的一些常见的恶性肿瘤细胞凋亡的启动，包括胃癌、肺癌、乳腺癌等</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93</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1</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96</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Receptor Tyrosine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kinase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受体酪氨酸激酶信号通路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RET,MET,FLT3,FGF6,EGF,ABL1,ABL2,AKT1,AKT2,AKT3,ALK,ARAF,BCR,BRAF,BRD4,CBL,CDKN1A,CDKN1B,CRKL,CSF1R,DDR2,EGFR,EPHA3,EPHA5,EPHB1,ERBB2,ERBB3,ERBB4,ERRFI1,ESR1/ER,ETV4,FGF10,FGF14,FGF19,FGF23,FGF3,FGF4,FGFR1,FGFR2,FGFR3,FGFR4,FLT1,FLT4,FRS2,FUBP1,GSK3B,HGF,HRAS,IGF-1,IGF1R/IGFR,IRS2,JUN,KIT,KRAS,LRP1B,MAP2K1,MAP2K2,MAP2K4,MAPK1,MAPK14,MTOR,MYC,NF1,NRAS,NTRK1,NTRK2,NTRK3,PAK3,PTPRD,PDGFRA,PDGFRB,PDK1,PIK3CA,PIK3CB,PIK3CG,PIK3R1,PIK3R2,PLCG2,PRKAR1A,PRKCI,PRSS8,PTEN,PTPN11,RAC1,RAF1,REL,RICTOR,ROS1,RPTOR,SLC19A1,SOCS1,SRC,SYK,TNF/TNF-alpha,TSC1,TSC2,SPINK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rPr>
                <w:rFonts w:ascii="Times New Roman" w:hAnsi="Times New Roman" w:eastAsia="微软雅黑" w:cs="Times New Roman"/>
                <w:b/>
                <w:sz w:val="16"/>
                <w:szCs w:val="16"/>
                <w:highlight w:val="none"/>
              </w:rPr>
            </w:pPr>
          </w:p>
        </w:tc>
        <w:tc>
          <w:tcPr>
            <w:tcW w:w="7885" w:type="dxa"/>
          </w:tcPr>
          <w:p>
            <w:pPr>
              <w:widowControl/>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受体酪氨酸激酶（RTKs）是一类催化ATP的γ-磷酸转移到蛋白质酪氨酸残基上的激酶，参与多种底物蛋白酪氨酸残基磷酸化。受体酪氨酸激酶细胞信号通路可以调控细胞生长、增殖、分化、生存、基因转录、代谢调节等一系列的活动，并与PI3K/AKT、MAPK、AMPK等信号通路交互作用。EGFR、IR、PDGFR、FGFR是不同类型的RTKs，结构相似但引起的最终细胞生物学效应各不相同。配体如EGF与受体结合触发受体的同源或异源二聚体复合物形成而激活下游的信号分子；同时机体也能通过负反馈机制抑制受体激活信号。RTKs的结构异常导致细胞发生恶变，Fms基因和ErbB家族基因突变，其表达的受体不依赖配体而持续激活下游通路，是细胞恶变的常见机制之一。许多上皮来源的肿瘤细胞，如乳腺癌、头颈癌、非小细胞肺癌、肾癌、卵巢癌、结肠癌、膀胱癌、肝癌及脑胶质瘤中都存在EGFR 高表达。目前，以酪氨酸激酶为靶点的药物研究是癌症治疗中十分活跃的领域之一，尤其多靶点受体酪氨酸激酶抑制剂，索拉非尼（Sorafenib）、舒尼替尼（Sunitinib）及凡德他尼（Vandetanib）等药物已被FDA 批准用于相关肿瘤治疗</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97-</w:t>
            </w:r>
            <w:r>
              <w:rPr>
                <w:rFonts w:ascii="Times New Roman" w:hAnsi="Times New Roman" w:eastAsia="微软雅黑" w:cs="Times New Roman"/>
                <w:sz w:val="16"/>
                <w:szCs w:val="16"/>
                <w:highlight w:val="none"/>
                <w:vertAlign w:val="superscript"/>
                <w:lang w:eastAsia="zh-CN"/>
              </w:rPr>
              <w:t>1</w:t>
            </w:r>
            <w:r>
              <w:rPr>
                <w:rFonts w:hint="eastAsia" w:ascii="Times New Roman" w:hAnsi="Times New Roman" w:eastAsia="微软雅黑" w:cs="Times New Roman"/>
                <w:sz w:val="16"/>
                <w:szCs w:val="16"/>
                <w:highlight w:val="none"/>
                <w:vertAlign w:val="superscript"/>
                <w:lang w:eastAsia="zh-CN"/>
              </w:rPr>
              <w:t>99</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firstLine="240" w:firstLineChars="100"/>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17" w:name="_Toc18182_WPSOffice_Level1"/>
      <w:bookmarkStart w:id="118" w:name="_Toc20683_WPSOffice_Level1"/>
      <w:bookmarkStart w:id="119" w:name="_Toc15300_WPSOffice_Level1"/>
      <w:r>
        <w:rPr>
          <w:rFonts w:ascii="Times New Roman" w:hAnsi="Times New Roman" w:eastAsia="微软雅黑" w:cs="Times New Roman"/>
          <w:b/>
          <w:bCs/>
          <w:color w:val="416AAB"/>
          <w:sz w:val="24"/>
          <w:szCs w:val="24"/>
          <w:highlight w:val="none"/>
          <w:lang w:eastAsia="zh-CN"/>
        </w:rPr>
        <w:t>细胞周期相关通路</w:t>
      </w:r>
      <w:bookmarkEnd w:id="93"/>
      <w:bookmarkEnd w:id="94"/>
      <w:bookmarkEnd w:id="95"/>
      <w:bookmarkEnd w:id="96"/>
      <w:bookmarkEnd w:id="97"/>
      <w:bookmarkEnd w:id="117"/>
      <w:bookmarkEnd w:id="118"/>
      <w:bookmarkEnd w:id="11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283" w:hRule="atLeast"/>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Phosphatidylinositol</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spacing w:before="12"/>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磷脂酰肌醇信号通路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“HDAC6,EGFR,GNA11,GNAS,IGF2R”</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磷脂酰肌醇途径是G蛋白偶联受体的信号转导通路中的一种途径，在磷脂酰肌醇信号通路中胞外信号分子与细胞表面G蛋白耦联型受体结合，激活质膜上的磷脂酶C（PLC-</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），使质膜上4，5-二磷酸磷脂酰肌醇（PIP2）水解成1，4，5-三磷酸肌醇（IP3）和二酰基甘油（DG）两个第二信使，胞外信号转换为胞内信号。IP3与内质网上的IP3配体门钙通道结合，开启钙通道，使胞内Ca</w:t>
            </w:r>
            <w:r>
              <w:rPr>
                <w:rFonts w:ascii="Times New Roman" w:hAnsi="Times New Roman" w:eastAsia="微软雅黑" w:cs="Times New Roman"/>
                <w:sz w:val="16"/>
                <w:szCs w:val="16"/>
                <w:highlight w:val="none"/>
                <w:vertAlign w:val="superscript"/>
                <w:lang w:eastAsia="zh-CN"/>
              </w:rPr>
              <w:t>2+</w:t>
            </w:r>
            <w:r>
              <w:rPr>
                <w:rFonts w:ascii="Times New Roman" w:hAnsi="Times New Roman" w:eastAsia="微软雅黑" w:cs="Times New Roman"/>
                <w:sz w:val="16"/>
                <w:szCs w:val="16"/>
                <w:highlight w:val="none"/>
                <w:lang w:eastAsia="zh-CN"/>
              </w:rPr>
              <w:t>浓度升高。激活各类依赖钙离子的蛋白。DG结合于质膜上，可活化与质膜结合的蛋白激酶C（PKC），PKC可以使蛋白质的丝氨酸/苏氨酸残基磷酸化是不同的细胞产生不同的反应，如细胞分泌、肌肉收缩、细胞增殖和分化等。PKC的活化不仅与正常细胞的生长、分化、凋亡等多种生物学效应有关，更在肺癌、结直肠癌等肿瘤的发生、发展、转移等方面发挥重要作用。靶向PKC的肿瘤药物目前处于临床研发阶段</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200</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Cell cycle signaling</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38"/>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细胞周期信号</w:t>
            </w:r>
            <w:r>
              <w:rPr>
                <w:rFonts w:ascii="Times New Roman" w:hAnsi="Times New Roman" w:eastAsia="微软雅黑" w:cs="Times New Roman"/>
                <w:bCs/>
                <w:sz w:val="16"/>
                <w:szCs w:val="16"/>
                <w:highlight w:val="none"/>
                <w:lang w:eastAsia="zh-CN"/>
              </w:rPr>
              <w:t>通</w:t>
            </w:r>
            <w:r>
              <w:rPr>
                <w:rFonts w:ascii="Times New Roman" w:hAnsi="Times New Roman" w:eastAsia="微软雅黑" w:cs="Times New Roman"/>
                <w:bCs/>
                <w:sz w:val="16"/>
                <w:szCs w:val="16"/>
                <w:highlight w:val="none"/>
              </w:rPr>
              <w:t>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XPC,TP53,POLE,POLD1,NUP93,MSH2,HDAC6,EP300,CCND3,BRCA1,ABL1,ATM,ATR,AURKA,AURKB,BARD1,BLM,BTG1,C11orf30,CCND1,CCND2,CCNE1,CDC73,CDK12,CDK4,CDK6,CDK8,CDKN1A,CDKN1B,CDKN2A,CDKN2B,CDKN2C,CHEK1,CHEK2,CREBBP,ERCC1,ERCC2,ERCC4,ESR1/ER,FBXW7,GSK3B,GSTP1,H3F3A,HDAC1,HDAC2,MDM2,MEN1,MRE11A,MSH6,MYC,NBN,PLK1,PRKDC,RAD50,RAD51,RANBP2,RB1,REL,SLC19A1,SMAD2,SMAD3,SMAD4,STAG2,TERT,TOP1,TOP2A,TYMS,XPO1,XRCC1,MAX”</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细胞周期信号通路参与调控细胞的生长、增殖及分化。细胞周期由四个时期组成：G1期、S期、G2期及M期，各个时期依次进行且受到严格而精细的调控。细胞周期检验点是决定细胞能否进入下一时期的监控点，是细胞周期中的一种反馈调节机制。在异常事件发生时（DNA损伤、复制阻滞、纺锤体组装异常等），细胞周期检验点即被激活阻断细胞进程，获得修复时间并诱导一系列修复基因表达。其功能异常可导致细胞异常增殖，产生肿瘤。其中细胞周期蛋白依赖性激酶CDK及细胞周期蛋白Cyclin是肿瘤药物的有效潜在靶标。CDK4/6抑制剂哌柏西利已被FDA批准用于转移性乳腺癌的治疗。此外，目前最常用的抗肿瘤药物是直接损伤细胞DNA的化疗药物，而细胞中存在的细胞周期检验点及DNA修复机制是影响化疗药物疗效及造成耐药的主要因素</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210</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206</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20" w:name="_Toc8398_WPSOffice_Level1"/>
      <w:bookmarkStart w:id="121" w:name="_Toc31650_WPSOffice_Level1"/>
      <w:bookmarkStart w:id="122" w:name="_Toc22590_WPSOffice_Level1"/>
      <w:bookmarkStart w:id="123" w:name="_Toc28534_WPSOffice_Level1"/>
      <w:bookmarkStart w:id="124" w:name="_Toc12493_WPSOffice_Level1"/>
      <w:bookmarkStart w:id="125" w:name="_Toc16027_WPSOffice_Level1"/>
      <w:r>
        <w:rPr>
          <w:rFonts w:ascii="Times New Roman" w:hAnsi="Times New Roman" w:eastAsia="微软雅黑" w:cs="Times New Roman"/>
          <w:b/>
          <w:bCs/>
          <w:color w:val="416AAB"/>
          <w:sz w:val="24"/>
          <w:szCs w:val="24"/>
          <w:highlight w:val="none"/>
          <w:lang w:eastAsia="zh-CN"/>
        </w:rPr>
        <w:t>免疫相关通路</w:t>
      </w:r>
      <w:bookmarkEnd w:id="98"/>
      <w:bookmarkEnd w:id="99"/>
      <w:bookmarkEnd w:id="120"/>
      <w:bookmarkEnd w:id="121"/>
      <w:bookmarkEnd w:id="122"/>
      <w:bookmarkEnd w:id="123"/>
      <w:bookmarkEnd w:id="124"/>
      <w:bookmarkEnd w:id="125"/>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Immunology</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70"/>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免疫相关信号通路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DCD1,MAP3K1,AKT1,AKT2,AKT3,BCL6,BTK,CARD11,CBL,CD22,CD274,CD74,CD79A,CD79B,CDK4,FAM46C,FCGR3A,FRS2,GSK3B,HRAS,IKBKE,IKZF1,IL7R,INHBA,IRF4,JUN,KLHL6,KRAS,LMO1,LYN,MAP2K1,MAP2K2,MAP2K4,MPL,MYD88,NFKBIA,NRAS,PAK3,PARK2,PDCD1LG2,PIK3C2B,PIK3CA,PIK3CB,PIK3CG,PIK3R1,PIK3R2,PLCG2,RAC1,RAF1,REL,SYK,TNF/TNF-alpha,TNFAIP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Style w:val="17"/>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机体免疫包括先天性免疫和后天性免疫，参与机体免疫的免疫细胞主要包括T淋巴细胞、B淋巴细胞树突状细胞、单核/巨噬细胞等。免疫调节过程包含T细胞和B细胞的活化、增殖、外源性抗原的清除及肿瘤细胞死亡感应等相关的信号通路的相互作用。免疫检查点是指免疫系统中存在的一些抑制性信号通路，调节外周组织中免疫反应的持续性和强度以避免组织损伤，并参与维持对于自身抗原的耐受。利用免疫检查点的抑制性信号通路抑制T 细胞活化是肿瘤逃避免疫杀伤的重要机制之一。对于免疫检查点抑制分子如CTLA4 及PD-1进行阻断也是肿瘤免疫治疗的有效策略之一，免疫检查点抑制剂伊匹单抗、纳武利尤单抗已被FDA批准用于相关疾病的治疗</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207</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214</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26" w:name="_Toc31447_WPSOffice_Level1"/>
      <w:bookmarkStart w:id="127" w:name="_Toc11689_WPSOffice_Level1"/>
      <w:bookmarkStart w:id="128" w:name="_Toc28312_WPSOffice_Level1"/>
      <w:bookmarkStart w:id="129" w:name="_Toc6863_WPSOffice_Level1"/>
      <w:bookmarkStart w:id="130" w:name="_Toc19289_WPSOffice_Level1"/>
      <w:bookmarkStart w:id="131" w:name="_Toc20217_WPSOffice_Level1"/>
      <w:bookmarkStart w:id="132" w:name="_Toc2683_WPSOffice_Level1"/>
      <w:bookmarkStart w:id="133" w:name="_Toc20571_WPSOffice_Level1"/>
      <w:r>
        <w:rPr>
          <w:rFonts w:ascii="Times New Roman" w:hAnsi="Times New Roman" w:eastAsia="微软雅黑" w:cs="Times New Roman"/>
          <w:b/>
          <w:bCs/>
          <w:color w:val="416AAB"/>
          <w:sz w:val="24"/>
          <w:szCs w:val="24"/>
          <w:highlight w:val="none"/>
          <w:lang w:eastAsia="zh-CN"/>
        </w:rPr>
        <w:t>炎症相关通路</w:t>
      </w:r>
      <w:bookmarkEnd w:id="126"/>
      <w:bookmarkEnd w:id="127"/>
      <w:bookmarkEnd w:id="128"/>
      <w:bookmarkEnd w:id="129"/>
      <w:bookmarkEnd w:id="130"/>
      <w:bookmarkEnd w:id="131"/>
      <w:bookmarkEnd w:id="132"/>
      <w:bookmarkEnd w:id="133"/>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TGF-β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spacing w:before="12"/>
              <w:ind w:right="-68" w:rightChars="-31"/>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TGF-β 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“EP300,AR,ACVR1B,BMPR1A,CBFB,CDKN2B,CREBBP,ESR1/ER,INHBA,MYC,PIK3C2B,PPP2R1A,REL,RUNX1,SMAD2,SMAD3,SMAD4,TGFBR2,TNF/TNF-alpha”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spacing w:before="12"/>
              <w:ind w:right="-23"/>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 xml:space="preserve"> 信号通路是一个包含众多成员的多功能细胞因子大家族，通过调节细胞的生长、增殖、分化、迁移和凋亡等过程，在组织与器官的发生和形成（胚胎发育、骨骼等器官形成）、机体的免疫反应等生物过程中发挥重要的功能。信号通路的激活首先是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s 配体分子与受体结合，从而使受体T</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Rs 磷酸化，磷酸化的T</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R-I 直接作用于底物Smads 蛋白，活化的Smads就将配体与受体作用的信号从细胞膜、胞浆传递到细胞核内，再与其他核内因子协同激活或者抑制靶基因的转录。Smads 是细胞内重要的TGF-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信号转导和调节分子，其功能发生异常会影响TGF-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信号的传导，从而导致肿瘤的发生。研究显示肝癌、结肠癌、胃癌、肾癌、胰腺癌、头颈部肿瘤等肿瘤中都发现有Smad基因的突变，其中以Smad2、Smad4基因突变较为常见。TGF-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在肿瘤组织中起复杂的双向作用，在肿瘤早期，TGF-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作为上皮细胞生长负调节剂抑制肿瘤生长，而在肿瘤进展期或晚期，则起到促进肿瘤生长作用</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218</w:t>
            </w:r>
            <w:r>
              <w:rPr>
                <w:rFonts w:ascii="Times New Roman" w:hAnsi="Times New Roman" w:eastAsia="微软雅黑" w:cs="Times New Roman"/>
                <w:sz w:val="16"/>
                <w:szCs w:val="16"/>
                <w:highlight w:val="none"/>
                <w:vertAlign w:val="superscript"/>
                <w:lang w:eastAsia="zh-CN"/>
              </w:rPr>
              <w:t>-</w:t>
            </w:r>
            <w:r>
              <w:rPr>
                <w:rFonts w:hint="eastAsia" w:ascii="Times New Roman" w:hAnsi="Times New Roman" w:eastAsia="微软雅黑" w:cs="Times New Roman"/>
                <w:sz w:val="16"/>
                <w:szCs w:val="16"/>
                <w:highlight w:val="none"/>
                <w:vertAlign w:val="superscript"/>
                <w:lang w:eastAsia="zh-CN"/>
              </w:rPr>
              <w:t>221</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NF-κB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spacing w:before="12"/>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NF-κB信号通路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“TP53,MAP3K1,AKT1,AKT2,AKT3,ATM,BCL2,BCL2L1,FAS,MYD88,NFKBIA,NTRK1,PIK3CA,PIK3CB,PIK3CG,PIK3R1,PIK3R2,PRKAR1A,RANK,RANKL,REL,SMARCA4,SMARCB1,TNF/TNF-alpha”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spacing w:before="12"/>
              <w:ind w:right="-23"/>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经典NF-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B信号通路的传导是发生在细胞质中的级联反应。当外界信号作用于细胞后会启动细胞质中NF-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B信号通路的传导，促进NF-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B从细胞质转移到细胞核，行使其转录因子的功能，调控靶基因的表达。NF-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B参与包括免疫、炎症、细胞凋亡及增殖等多种细胞生物学过程。NF-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B信号通路具有双向效应，NF-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B促进细胞调亡能抑制肿瘤发生，而异常活化则能推进细胞周期演进并抑制凋亡，从而促进细胞癌变。p53和NF-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B通路是损伤诱导凋亡的主要途径。目前发现，Burkitt淋巴瘤、急性淋巴细胞白血病、多发性骨髓瘤、乳腺癌、前列腺癌、肺癌、结肠癌、胰腺癌、头颈癌、食管癌及宫颈癌等都与NF-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B的组成性激活有关。硼替佐米是用于抑制NF-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B活化的蛋白酶抑制剂，被FDA 批准用于多发性骨髓瘤的治疗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22</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24</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Jak-STAT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ind w:right="-68" w:rightChars="-31"/>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Jak-STAT信号通路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“EP300,CCND3,AKT1,AKT2,AKT3,AXL,BCL2,BCL2L1,CBL,CCND1,CCND2,CREBBP,CRLF2,CXCR4,EGFR,EPHA7,ETV5,IL7R,JAK1,JAK2,JAK3,MPL,MTOR,MYC,PIK3CA,PIK3CB,PIK3CG,PIK3R1,PIK3R2,PTPN11,SOCS1,SRC,STAT3,STAT4,HOXB13”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Jak是胞质酪氨酸激酶，包括Tyk2、Jak1、Jak2、Jak3 四个成员，在细胞因子信号转导的初始步骤中起着至重要的作用。Jak与细胞因子结合而被激活，激活后可使底物蛋白Stat磷酸化，磷酸化的Stat形成同源和异源二聚体，进入细胞核，激活靶基因的转录。Jak-STAT信号通路参与细胞的增殖、分化、凋亡、炎症以及免疫调节等许多重要的生物学过程，且细胞中存在MAPK-STAT信号转导的旁路或调节方式。PIAS、SH-PTPs、SOCS等蛋白分子的协同作用可以对Jak-STAT信号通路进行负调控。该信号通路的异常激活，可导致基因组稳定性下降、细胞周期出现异常，最终导致肿瘤的形成。其中Stat1、Stat3和Stat5的表达与肿瘤形成的关系最为密切，在子宫平滑肌肉瘤、白血病、乳腺癌、肺癌、结肠癌、黑色素瘤、前列腺癌、骨髓瘤等疾病中均发现相关基因的突变或高表达。目前有大量针对JAK/STAT通路的靶向研究，主要以JAKs和STATs为治疗靶点。JAK抑制剂Ruxolitinib、Tofacitinib已被FDA批准用于相关疾病的治疗</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215</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217</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34" w:name="_Toc5164_WPSOffice_Level1"/>
      <w:bookmarkStart w:id="135" w:name="_Toc6170_WPSOffice_Level1"/>
      <w:bookmarkStart w:id="136" w:name="_Toc13817_WPSOffice_Level1"/>
      <w:bookmarkStart w:id="137" w:name="_Toc27568_WPSOffice_Level1"/>
      <w:bookmarkStart w:id="138" w:name="_Toc24628_WPSOffice_Level1"/>
      <w:bookmarkStart w:id="139" w:name="_Toc5423_WPSOffice_Level1"/>
      <w:bookmarkStart w:id="140" w:name="_Toc6645_WPSOffice_Level1"/>
      <w:bookmarkStart w:id="141" w:name="_Toc13225_WPSOffice_Level1"/>
      <w:r>
        <w:rPr>
          <w:rFonts w:ascii="Times New Roman" w:hAnsi="Times New Roman" w:eastAsia="微软雅黑" w:cs="Times New Roman"/>
          <w:b/>
          <w:bCs/>
          <w:color w:val="416AAB"/>
          <w:sz w:val="24"/>
          <w:szCs w:val="24"/>
          <w:highlight w:val="none"/>
          <w:lang w:eastAsia="zh-CN"/>
        </w:rPr>
        <w:t>侵袭和转移相关通路</w:t>
      </w:r>
      <w:bookmarkEnd w:id="134"/>
      <w:bookmarkEnd w:id="135"/>
      <w:bookmarkEnd w:id="136"/>
      <w:bookmarkEnd w:id="137"/>
      <w:bookmarkEnd w:id="138"/>
      <w:bookmarkEnd w:id="139"/>
      <w:bookmarkEnd w:id="140"/>
      <w:bookmarkEnd w:id="141"/>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Cytoskeletal</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regulation and vesicle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trafficking signaling</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细胞骨架调节及</w:t>
            </w:r>
            <w:r>
              <w:rPr>
                <w:rFonts w:hint="eastAsia" w:ascii="Times New Roman" w:hAnsi="Times New Roman" w:eastAsia="微软雅黑" w:cs="Times New Roman"/>
                <w:bCs/>
                <w:color w:val="000000" w:themeColor="text1"/>
                <w:sz w:val="16"/>
                <w:szCs w:val="16"/>
                <w:highlight w:val="none"/>
                <w:lang w:eastAsia="zh-CN"/>
                <w14:textFill>
                  <w14:solidFill>
                    <w14:schemeClr w14:val="tx1"/>
                  </w14:solidFill>
                </w14:textFill>
              </w:rPr>
              <w:t>囊</w:t>
            </w: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泡</w:t>
            </w:r>
          </w:p>
          <w:p>
            <w:pPr>
              <w:spacing w:before="12"/>
              <w:ind w:right="-59"/>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运输信号通路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“APC,BAP1,EPCAM,GNA13,GSK3B,KEAP1,PIK3C2B,PTEN,RAC1,SLIT2,SPTA1,SRC,STAT3”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骨架通常指的是细胞质骨架，包括微管、微丝、中间纤维等，与鞭毛的运动、胞浆运输、细胞增殖、迁移和侵袭密切相关。其中Ezrin蛋白作为膜与细胞骨架的连接分子，其在细胞内的表达和活性与细胞骨架的重排密切相关，一些研究发现转移能力较强的肿瘤细胞系均伴有Ezrin过表达。Rho蛋白主要通过其效应物ROCK调节细胞骨架蛋白，介导信号传导，连接胞外刺激和肌动蛋白骨架的组装，其中以Rho、Rac、Cdc42家族成员在细胞运动及肿瘤侵袭中的作用研究最为广泛。在黑色素瘤、肝癌、结肠癌、肺癌、睾丸生殖细胞癌、头颈部鳞状上皮细胞癌、胰导管腺癌及炎性乳腺癌中，发现有Rho蛋白的表达异常，与预后不良密切相关。在以细胞骨架为靶点的抗肿瘤药物的研究中，主要针对微丝及微管，通过抑制其蛋白活性，进而影响其生物学功能</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25</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29</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cellular architecture</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and</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microenvironment</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细胞结构及微环境信号通路</w:t>
            </w:r>
          </w:p>
        </w:tc>
        <w:tc>
          <w:tcPr>
            <w:tcW w:w="7885" w:type="dxa"/>
          </w:tcPr>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widowControl/>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“CDH1,EPCAM,FLCN,KEAP1,KEL,MAGI2,PREX2,SLIT2”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widowControl/>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肿瘤微环境包括许多基质细胞及与肿瘤细胞传递微环境信息的细胞因子。在肿瘤微环境中，肿瘤细胞与免疫细胞，以及肿瘤细胞与细胞因子之间相互作用共同促进或者抑制肿瘤的进展，迁移，侵袭等。其中可以通过VEGF 诱导血管的形成，通过分泌TGF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而抑制免疫细胞的增殖，通过表达相应的受体如CCR5等趋化位于其他器官中的趋化因子，从而引起肿瘤的转移，通过合成并分泌金属基质蛋白酶（MMPs），使得肿瘤更具有侵袭性，通过CDH1基因的失活而低表达或者不表达E-cadherin，降低细胞黏附性，使得细胞更具有运动性。目前，靶向VEGF的单克隆抗体贝伐珠单抗被批准用于多种实体瘤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84</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42" w:name="_Toc6323_WPSOffice_Level1"/>
      <w:bookmarkStart w:id="143" w:name="_Toc11082_WPSOffice_Level1"/>
      <w:bookmarkStart w:id="144" w:name="_Toc5860_WPSOffice_Level1"/>
      <w:bookmarkStart w:id="145" w:name="_Toc3387_WPSOffice_Level1"/>
      <w:bookmarkStart w:id="146" w:name="_Toc12046_WPSOffice_Level1"/>
      <w:bookmarkStart w:id="147" w:name="_Toc13244_WPSOffice_Level1"/>
      <w:bookmarkStart w:id="148" w:name="_Toc2788_WPSOffice_Level1"/>
      <w:bookmarkStart w:id="149" w:name="_Toc29762_WPSOffice_Level1"/>
      <w:r>
        <w:rPr>
          <w:rFonts w:ascii="Times New Roman" w:hAnsi="Times New Roman" w:eastAsia="微软雅黑" w:cs="Times New Roman"/>
          <w:b/>
          <w:bCs/>
          <w:color w:val="416AAB"/>
          <w:sz w:val="24"/>
          <w:szCs w:val="24"/>
          <w:highlight w:val="none"/>
          <w:lang w:eastAsia="zh-CN"/>
        </w:rPr>
        <w:t>血管生成相关通路</w:t>
      </w:r>
      <w:bookmarkEnd w:id="142"/>
      <w:bookmarkEnd w:id="143"/>
      <w:bookmarkEnd w:id="144"/>
      <w:bookmarkEnd w:id="145"/>
      <w:bookmarkEnd w:id="146"/>
      <w:bookmarkEnd w:id="147"/>
      <w:bookmarkEnd w:id="148"/>
      <w:bookmarkEnd w:id="14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VEGF and</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angiogenesis signaling</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VEGF和血管生成信号通路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“KDR/VEGFR,AKT1,AKT2,AKT3,CBL,EGFR,ESR1/ER,ETV6,HGF,HRAS,KRAS,MAP2K1,MAP2K2,MTOR,NRAS,PIK3C2B,PIK3CA,PIK3CB,PIK3R1,PIK3R2,RAF1,REL,SMAD2,SMAD3,SRC,VEGFA,VHL”</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血管内皮生长因子受体(VEGFR)与其配体结合后激活下游的信号级联反应，包括PI3K-Akt通路、p38-MAPK通路及Raf通路，进而控制血管内皮细胞的存活，增殖和迁移，促进血管新生并提高血管通透性。血管生成是肿瘤发生发展的重要因素，新生血管不仅为病变组织提供养分，保证其生长繁殖，同时使得肿瘤细胞与个体的血液循环系统直接相通，是恶性肿瘤发生远处转移播散的必要条件。在乳腺癌、非小细胞肺癌、大肠癌、前列腺癌等肿瘤中发现VEGF及其受体、MMP、HIF的过表达。因此，血管内皮生长因子及相关信号转导通路是许多抗肿瘤靶向药物的靶标。一些抗体类药物如抗VEGF抗体-贝伐珠单抗（Bevacizumab)，VEGFR2酪氨酸激酶抑制剂如仑伐替尼（Lenvatinib）、阿帕替尼（Apatinib），及小分子抑制剂如舒尼替尼(Sunitinib)、索拉非尼（Sorafenib）等已被FDA批准用于相关癌症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30</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33</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50" w:name="_Toc15619_WPSOffice_Level1"/>
      <w:bookmarkStart w:id="151" w:name="_Toc708_WPSOffice_Level1"/>
      <w:bookmarkStart w:id="152" w:name="_Toc31905_WPSOffice_Level1"/>
      <w:bookmarkStart w:id="153" w:name="_Toc6004_WPSOffice_Level1"/>
      <w:bookmarkStart w:id="154" w:name="_Toc22500_WPSOffice_Level1"/>
      <w:bookmarkStart w:id="155" w:name="_Toc23443_WPSOffice_Level1"/>
      <w:bookmarkStart w:id="156" w:name="_Toc21615_WPSOffice_Level1"/>
      <w:bookmarkStart w:id="157" w:name="_Toc21560_WPSOffice_Level1"/>
      <w:r>
        <w:rPr>
          <w:rFonts w:ascii="Times New Roman" w:hAnsi="Times New Roman" w:eastAsia="微软雅黑" w:cs="Times New Roman"/>
          <w:b/>
          <w:bCs/>
          <w:color w:val="416AAB"/>
          <w:sz w:val="24"/>
          <w:szCs w:val="24"/>
          <w:highlight w:val="none"/>
          <w:lang w:eastAsia="zh-CN"/>
        </w:rPr>
        <w:t>基因组不稳定相关通路</w:t>
      </w:r>
      <w:bookmarkEnd w:id="150"/>
      <w:bookmarkEnd w:id="151"/>
      <w:bookmarkEnd w:id="152"/>
      <w:bookmarkEnd w:id="153"/>
      <w:bookmarkEnd w:id="154"/>
      <w:bookmarkEnd w:id="155"/>
      <w:bookmarkEnd w:id="156"/>
      <w:bookmarkEnd w:id="157"/>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DNA damage/repair</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DNA损伤修复信号通路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MSH3,FANCM,XPC,TP53,SF3B1,POLD1,MSH2,DOT1L,CHD4,CCND3,BRCA2,BRCA1,ATRX,ATM,ATR,BARD1,BCL6,BLM,BRIP1,C11orf30,CCND1,CCND2,CCNE1,CDK12,CDK4,CDK6,CDKN1A,CDKN2A,CHD2,CHEK1,CHEK2,DPYD,ERCC1,ERCC2,ERCC4,ETV6,EWSR1,EZH2,FANCA,FANCC,FANCD2,FANCE,FANCF,FANCG,FANCL,FAS,KDM5C,KDM6A,KMT2C,MDM2,MDM4,MLH1,MRE11,MSH6,MUTYH,NBN,NPM1,NSD1,PALB2,PARP1,PMS2,PRDM1,PRKDC,PTEN,RAD50,RAD51,RAD51C,RAD51D,RANBP2,REL,RUNX1T1,SLC19A1,SMARCA4,SOD2,STAG2,TMPRSS2,TSC2,TYMS,U2AF1,XRCC1,ZNF703,WRN,ERCC3,FANCI”</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多种因素可导致细胞DNA损伤，如紫外照射、药物作用等外源因素和DNA复制错误、自由基氧化等内源作用。p53基因通过参与诱导细胞周期阻滞、促进细胞凋亡和DNA的修复等过程，发挥着避免受损DNA累积、维持基因组的稳定及调节细胞的分化与衰老等功能活动。DNA发生损伤后，ATM/ATR基因激活p53，轻度DNA损伤时，p53诱导CDK抑制剂引起细胞周期G1期阻滞，同时还可诱导DNA修复基因活化，进行DNA修复。活化的MDM2、Bax、DR5、Fas等基因参与p53介导的DNA修复过程。p53 突变的细胞中，DNA损伤后不能通过p53的介导进入G1停滞和DNA修复，因此DNA受损的细胞可进入增殖阶段，最终导致恶性肿瘤发生。目前，在多种肿瘤中发现有p53基因变异，针对p53与DNA损伤修复信号通路的相关药物正在研究之中</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34</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37</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78" w:rightChars="-8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Nuclear receptor</w:t>
            </w:r>
          </w:p>
          <w:p>
            <w:pPr>
              <w:ind w:right="-178" w:rightChars="-8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180"/>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核受体信号通路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“TAF1,NUP93,CIC,AR,ABCB1,ABCC2,ARID1B,ASXL1,CTCF,CYP2B6,CYP3A4,ESR1/ER,FOXL2,GID4,H3F3A,IGF2R,LZTR1,NCOR1,PBRM1,PPARG,SRC,ZBTB2,ZNF217”</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核受体(NR)超家族由甾体激素、甲状腺激素、维甲酸、维生素D等化学信号的受体及配体未明的多种孤儿受体组成。该家族成员的主要功能是作为配体激活的转录因子，调控代谢、发育、生殖相关基因的表达与多种癌症相关。核受体相关的肿瘤多为雌激素受体（ER）异常所引起，正常状态下ER与热休克蛋白（HSP）、Myc蛋白形成复合物，被限制在胞质中，当与雌激素结合时，ER形成同源二聚体进入细胞核，刺激目的基因表达，使细胞从G1期进入S期，由于雌激素这种刺激作用，增加了DNA复制过程中产生错误的机会，积累基因突变，从而导致肿瘤的发生。在乳腺癌、前列腺癌、结肠癌等多种肿瘤中发现高水平的NR。核受体作为调控基因表达的关键因素，可作为药物的作用靶点</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38</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42</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58" w:name="_Toc7586_WPSOffice_Level1"/>
      <w:bookmarkStart w:id="159" w:name="_Toc15479_WPSOffice_Level1"/>
      <w:bookmarkStart w:id="160" w:name="_Toc11464_WPSOffice_Level1"/>
      <w:bookmarkStart w:id="161" w:name="_Toc4042_WPSOffice_Level1"/>
      <w:bookmarkStart w:id="162" w:name="_Toc5629_WPSOffice_Level1"/>
      <w:bookmarkStart w:id="163" w:name="_Toc13664_WPSOffice_Level1"/>
      <w:bookmarkStart w:id="164" w:name="_Toc11254_WPSOffice_Level1"/>
      <w:bookmarkStart w:id="165" w:name="_Toc23537_WPSOffice_Level1"/>
      <w:r>
        <w:rPr>
          <w:rFonts w:ascii="Times New Roman" w:hAnsi="Times New Roman" w:eastAsia="微软雅黑" w:cs="Times New Roman"/>
          <w:b/>
          <w:bCs/>
          <w:color w:val="416AAB"/>
          <w:sz w:val="24"/>
          <w:szCs w:val="24"/>
          <w:highlight w:val="none"/>
          <w:lang w:eastAsia="zh-CN"/>
        </w:rPr>
        <w:t>凋亡抑制相关通路</w:t>
      </w:r>
      <w:bookmarkEnd w:id="158"/>
      <w:bookmarkEnd w:id="159"/>
      <w:bookmarkEnd w:id="160"/>
      <w:bookmarkEnd w:id="161"/>
      <w:bookmarkEnd w:id="162"/>
      <w:bookmarkEnd w:id="163"/>
      <w:bookmarkEnd w:id="164"/>
      <w:bookmarkEnd w:id="165"/>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Apoptosis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细胞凋亡信号通路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“TP53,PARP4,MAP3K1,AKT1,AKT2,AKT3,ATM,ATR,BCL2,BCL2L1,BCL2L2,CASP8,CYLD,ERG,FAS,IGF2R,IRF2,JUN,MYD88,NFKBIA,NTRK1,PARP1,PARP2,PARP3,PDK1,PIK3CA,PIK3CB,PIK3CG,PIK3R1,PIK3R2,PRKAR1A,PTEN,SRC,STAT3,TNF/TNF-alpha,TOP1”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spacing w:before="12"/>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凋亡又称程序性细胞死亡，主要的凋亡途径为由膜死亡受体介导的外源性通路和线粒体介导的内源性通路。外源性通路是一个由FAS配体/FAS受体介导的通路，通过细胞外的一些因素来引发；内源性通路由线粒体控制且由细胞内的一些因素来引发。两条通路都可以触发凋亡蛋白酶的级联反应，启动细胞的死亡。凋亡相关基因如TNF受体家族（如FAS等）、caspase家族及BCL-2家族（如BAK1、BAX 等）等的突变或表达异常可阻断细胞凋亡，促使肿瘤发生。在淋巴瘤、黑色素瘤、胃癌、肺癌、卵巢癌、乳腺癌和结肠癌等多种肿瘤中，均发现相关基因的突变、甲基化或表达异常。靶向抑制剂如Bcl-2抑制剂Navitoclax和Obatoclaxs等已进入II-III期临床试验，Oblimersen也被广泛用于肺癌、黑色素瘤等相关临床试验研究</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43</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46</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Death receptor</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死亡受体信号通路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“BCL2L2,CASP8,CYLD,DAXX,FAS,PARP1,PARP3,TNF/TNF-alpha,TNFRSF141”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表面的死亡受体是肿瘤坏死因子受体（TNFR）超家族的成员，特点是胞外具有富含Cys的结构域，胞质区有一具有蛋白水解功能的“死亡区域”，使得死亡信号进一步传递，从而启动凋亡。死亡受体介导细胞凋亡的途径主要是通过TNFR、TRAIL、Fas/FasL诱导的，各途径主要是通过跨膜受体将信号由胞外传递到胞内，衔接蛋白与受体结合后，再与执行蛋白结合，进而诱导细胞凋亡</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47</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51</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Autophagy signaling</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pathway</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自噬信号通路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“BCL2L2,KMT2A,MTOR,MYCN,PARP1”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spacing w:before="12"/>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自噬是一个保守的分解代谢过程，存在于大部分真核细胞中，是细胞内的再循环系统。自噬在各种生命活动中发挥着重要的作用，比如在应激条件下，如饥饿、低氧、热应激和药物处理，可诱导自噬，从而加速细胞内的新陈代谢。该通路在代谢废物清除、结构重建、细胞生长发育、蛋白代谢平衡维持和细胞内环境稳定中起重要作用。研究发现，mTOR、PI3K-Akt、MAPK、NF-</w:t>
            </w:r>
            <w:r>
              <w:rPr>
                <w:rFonts w:ascii="Times New Roman" w:hAnsi="Times New Roman" w:eastAsia="微软雅黑" w:cs="Times New Roman"/>
                <w:color w:val="000000" w:themeColor="text1"/>
                <w:sz w:val="16"/>
                <w:szCs w:val="16"/>
                <w:highlight w:val="none"/>
                <w14:textFill>
                  <w14:solidFill>
                    <w14:schemeClr w14:val="tx1"/>
                  </w14:solidFill>
                </w14:textFill>
              </w:rPr>
              <w:t>κ</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B等信号通路均参与自噬信号通路调控。其中mTOR在自噬调控中扮演非常重要的角色，是自噬调节的主要分子，其为负调节分子，p53在体内也发挥抑制自噬作用；而Beclin-1与III类PI3K形成复合物则促进自噬。自噬对肿瘤生长是一把双刃剑，随着肿瘤进展阶段的不同，自噬所扮演的角色也不尽相同。在肿瘤发生早期，自噬发挥肿瘤抑制作用；肿瘤中晚期，自噬则发挥促进肿瘤细胞生长、存活的作用</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52</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53</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66" w:name="_Toc28498_WPSOffice_Level1"/>
      <w:bookmarkStart w:id="167" w:name="_Toc18866_WPSOffice_Level1"/>
      <w:bookmarkStart w:id="168" w:name="_Toc10575_WPSOffice_Level1"/>
      <w:bookmarkStart w:id="169" w:name="_Toc22039_WPSOffice_Level1"/>
      <w:bookmarkStart w:id="170" w:name="_Toc29193_WPSOffice_Level1"/>
      <w:bookmarkStart w:id="171" w:name="_Toc2337_WPSOffice_Level1"/>
      <w:bookmarkStart w:id="172" w:name="_Toc8519_WPSOffice_Level1"/>
      <w:bookmarkStart w:id="173" w:name="_Toc17793_WPSOffice_Level1"/>
      <w:r>
        <w:rPr>
          <w:rFonts w:ascii="Times New Roman" w:hAnsi="Times New Roman" w:eastAsia="微软雅黑" w:cs="Times New Roman"/>
          <w:b/>
          <w:bCs/>
          <w:color w:val="416AAB"/>
          <w:sz w:val="24"/>
          <w:szCs w:val="24"/>
          <w:highlight w:val="none"/>
          <w:lang w:eastAsia="zh-CN"/>
        </w:rPr>
        <w:t>能量代谢相关通路</w:t>
      </w:r>
      <w:bookmarkEnd w:id="166"/>
      <w:bookmarkEnd w:id="167"/>
      <w:bookmarkEnd w:id="168"/>
      <w:bookmarkEnd w:id="169"/>
      <w:bookmarkEnd w:id="170"/>
      <w:bookmarkEnd w:id="171"/>
      <w:bookmarkEnd w:id="172"/>
      <w:bookmarkEnd w:id="173"/>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Cellular metabolism</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jc w:val="center"/>
              <w:rPr>
                <w:rFonts w:ascii="Times New Roman" w:hAnsi="Times New Roman" w:eastAsia="微软雅黑" w:cs="Times New Roman"/>
                <w:b/>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细胞代谢信号通路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RSS1,SLC22A16,SDHA,POLE,POLD1,PARP4,NUP93,FAT1,CYP2D6,CYP2A6,ATIC,ABCC1,ABCC2,ABCC4,ABCG2,AKT1,AKT2,AKT3,ARID1A,CCND1,CDK8,CEBPA,CXCR4,CYP1A2,CYP1B1,CYP2C19,CYP2C8,CYP3A4,CYP3A5,DHFR,DNMT3A,DPYD,ERCC2,FBXW7,FH,GATA2,GATA4,GNA11,GNA13,GNAQ,GNAS,GSTP1,HNF1A,HSD3B1,IDH1,IDH2,IGF1R/IGFR,IGF2R,INPP4B,IRS2,KDM5A,MED12,MEF2B,MTHFR,MTOR,MYC,NFE2L2,NKX2-1,PARP1,PARP2,PARP3,PIK3C2B,PIK3CA,PIK3CB,PIK3CG,PIK3R1,PIK3R2,PPP2R1A,RANBP2,RPTOR,SDHB,SDHC,SDHD,SETD2,SLC19A1,SLCO1B3,SMARCA4,SMARCB1,SMARCD1,STK11,TET2,TPMT,TSC1,TSC2,TYMS,UGT1A1,UMPS,SDHAF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根据Warburg 理论，肿瘤发生有且仅有一个最初原因，即正常细胞的氧化呼吸被糖类物质发酵所取代。肿瘤细胞用糖酵解替代正常组织细胞的氧化磷酸化，以维持细胞内正常的ATP和NADH水平。ATP和NADH是生物大分子合成、生物膜整合、离子浓度维持和DNA合成所必需的。肿瘤细胞除了对糖酵解的依赖外，也需要谷氨酰胺，它可以为三羧酸循环提供草酰乙酸等能源性前体物质，从而激活磷酸戊糖途径。基因突变可能是代谢和能量失衡的结果或补偿性反应。HIF1-</w:t>
            </w:r>
            <w:r>
              <w:rPr>
                <w:rFonts w:ascii="Times New Roman" w:hAnsi="Times New Roman" w:eastAsia="微软雅黑" w:cs="Times New Roman"/>
                <w:sz w:val="16"/>
                <w:szCs w:val="16"/>
                <w:highlight w:val="none"/>
              </w:rPr>
              <w:t>α</w:t>
            </w:r>
            <w:r>
              <w:rPr>
                <w:rFonts w:ascii="Times New Roman" w:hAnsi="Times New Roman" w:eastAsia="微软雅黑" w:cs="Times New Roman"/>
                <w:sz w:val="16"/>
                <w:szCs w:val="16"/>
                <w:highlight w:val="none"/>
                <w:lang w:eastAsia="zh-CN"/>
              </w:rPr>
              <w:t>、c-myc、ras、IGF-1和PI3K/Akt/mTOR，IDH1/2等信号分子在糖酵解代谢中发挥了重要作用。针对能量代谢相关信号及分子的靶向药物正广泛应用于临床。经典的致瘤信号通路常常和能量代谢通路交联，如PI3K/AKT和mTOR通路，信号通路抑制和能量限制联合治疗已成为热门治疗方案</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54</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59</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74" w:name="_Toc5106_WPSOffice_Level1"/>
      <w:bookmarkStart w:id="175" w:name="_Toc23413_WPSOffice_Level1"/>
      <w:bookmarkStart w:id="176" w:name="_Toc17621_WPSOffice_Level1"/>
      <w:bookmarkStart w:id="177" w:name="_Toc2613_WPSOffice_Level1"/>
      <w:bookmarkStart w:id="178" w:name="_Toc8985_WPSOffice_Level1"/>
      <w:bookmarkStart w:id="179" w:name="_Toc17668_WPSOffice_Level1"/>
      <w:bookmarkStart w:id="180" w:name="_Toc12118_WPSOffice_Level1"/>
      <w:bookmarkStart w:id="181" w:name="_Toc13246_WPSOffice_Level1"/>
      <w:r>
        <w:rPr>
          <w:rFonts w:ascii="Times New Roman" w:hAnsi="Times New Roman" w:eastAsia="微软雅黑" w:cs="Times New Roman"/>
          <w:b/>
          <w:bCs/>
          <w:color w:val="416AAB"/>
          <w:sz w:val="24"/>
          <w:szCs w:val="24"/>
          <w:highlight w:val="none"/>
          <w:lang w:eastAsia="zh-CN"/>
        </w:rPr>
        <w:t>肿瘤干细胞相关通路</w:t>
      </w:r>
      <w:bookmarkEnd w:id="174"/>
      <w:bookmarkEnd w:id="175"/>
      <w:bookmarkEnd w:id="176"/>
      <w:bookmarkEnd w:id="177"/>
      <w:bookmarkEnd w:id="178"/>
      <w:bookmarkEnd w:id="179"/>
      <w:bookmarkEnd w:id="180"/>
      <w:bookmarkEnd w:id="181"/>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Hippo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Hippo信号通路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“TP53,GLI2,CCND3,AXIN1,AXIN2,BMPR1A,CCND1,CCND2,CDH1,CTNNA1,CTNNB1,GSK3B,MYC,NF2,PPP2R1A,PRKCI,SMAD2,SMAD3,SMAD4,SOX2,TGFBR2”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Hippo是一种丝氨酸/苏氨酸激酶，属于Step20样激酶家族，在进化过程中高度保守。Hippo信号通路成员包括其哺乳动物中同源物MST1/2，辅因子salvador以及激酶LATS1/2在细胞浓度过高时，Hippo信号通路经过磷酸级联反应使转录辅助因子YAP与TAZ的作用受到抑制，导致促进细胞增殖和抑制细胞凋亡的基因不能转录。Hippo信号通路在胚胎发育中对细胞的生长分化、组织器官大小和体积以及成体干细胞特性的维持和自稳态的保持等方面具有重要作用。同时，Hippo信号通路与Wnt信号通路、Notch信号通路等密切相关，在肿瘤（如肺癌、结直肠癌、乳腺癌、肝癌等）的发生、发展过程中也起到关键作用</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60</w:t>
            </w:r>
            <w:r>
              <w:rPr>
                <w:rFonts w:ascii="Times New Roman" w:hAnsi="Times New Roman" w:eastAsia="微软雅黑" w:cs="Times New Roman"/>
                <w:i/>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63</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Stem cell markers</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and differentiation</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干细胞标</w:t>
            </w:r>
            <w:r>
              <w:rPr>
                <w:rFonts w:ascii="Times New Roman" w:hAnsi="Times New Roman" w:eastAsia="微软雅黑" w:cs="Times New Roman"/>
                <w:bCs/>
                <w:sz w:val="16"/>
                <w:szCs w:val="16"/>
                <w:highlight w:val="none"/>
                <w:lang w:eastAsia="zh-CN"/>
              </w:rPr>
              <w:t>记</w:t>
            </w:r>
            <w:r>
              <w:rPr>
                <w:rFonts w:ascii="Times New Roman" w:hAnsi="Times New Roman" w:eastAsia="微软雅黑" w:cs="Times New Roman"/>
                <w:bCs/>
                <w:sz w:val="16"/>
                <w:szCs w:val="16"/>
                <w:highlight w:val="none"/>
              </w:rPr>
              <w:t>和分化信号通路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“APC,AXL,BCOR,BCORL1,CBL,EPHA7,EZH2,GATA4,GATA6,GNA11,GNA13,GNAS,HNF1A,KAT6A,KDM6A,MITF,PIK3C2B,SMAD2,SMAD3,SMAD4,SOX2,TBX3”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lang w:eastAsia="zh-CN"/>
              </w:rPr>
              <w:t>干细胞是一类具有自我更新能力及多向分化潜能的细胞群体，根据干细胞发生来源可分为胚胎干细胞和成体干细胞。胚胎干细胞具有发育全能性，理论上可以诱导分化为机体中所有类型的细胞。Oct4、Sox2及Nanog转录因子及PcG蛋白家族成员EZH2在程序性控制胚胎干细胞基因表达及保持多潜能性过程中起着关键的作用。通过SMAD2/3/4介导的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信号通路和FGFR介导的MAPK、Akt信号通路与人胚胎干细胞的多分化潜能及自我更新能力有关。</w:t>
            </w:r>
            <w:r>
              <w:rPr>
                <w:rFonts w:ascii="Times New Roman" w:hAnsi="Times New Roman" w:eastAsia="微软雅黑" w:cs="Times New Roman"/>
                <w:sz w:val="16"/>
                <w:szCs w:val="16"/>
                <w:highlight w:val="none"/>
              </w:rPr>
              <w:t>研究表明，LIF/JAK/STAT3和Wnt/β-catenin信号通路与胚胎干细胞的自我更新和多潜能性以及肿瘤的发生有密切关系，在多种肿瘤中发现与胚胎发育相关的Wnt、Notch 和Hedgehog等信号途径的异常活化</w:t>
            </w:r>
            <w:r>
              <w:rPr>
                <w:rFonts w:ascii="Times New Roman" w:hAnsi="Times New Roman" w:eastAsia="微软雅黑" w:cs="Times New Roman"/>
                <w:sz w:val="16"/>
                <w:szCs w:val="16"/>
                <w:highlight w:val="none"/>
                <w:vertAlign w:val="superscript"/>
              </w:rPr>
              <w:t>[2</w:t>
            </w:r>
            <w:r>
              <w:rPr>
                <w:rFonts w:hint="eastAsia" w:ascii="Times New Roman" w:hAnsi="Times New Roman" w:eastAsia="微软雅黑" w:cs="Times New Roman"/>
                <w:sz w:val="16"/>
                <w:szCs w:val="16"/>
                <w:highlight w:val="none"/>
                <w:vertAlign w:val="superscript"/>
                <w:lang w:eastAsia="zh-CN"/>
              </w:rPr>
              <w:t>64</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rPr>
              <w:t>2</w:t>
            </w:r>
            <w:r>
              <w:rPr>
                <w:rFonts w:hint="eastAsia" w:ascii="Times New Roman" w:hAnsi="Times New Roman" w:eastAsia="微软雅黑" w:cs="Times New Roman"/>
                <w:sz w:val="16"/>
                <w:szCs w:val="16"/>
                <w:highlight w:val="none"/>
                <w:vertAlign w:val="superscript"/>
                <w:lang w:eastAsia="zh-CN"/>
              </w:rPr>
              <w:t>67</w:t>
            </w:r>
            <w:r>
              <w:rPr>
                <w:rFonts w:ascii="Times New Roman" w:hAnsi="Times New Roman" w:eastAsia="微软雅黑" w:cs="Times New Roman"/>
                <w:sz w:val="16"/>
                <w:szCs w:val="16"/>
                <w:highlight w:val="none"/>
                <w:vertAlign w:val="superscript"/>
              </w:rPr>
              <w:t>]</w:t>
            </w:r>
            <w:r>
              <w:rPr>
                <w:rFonts w:ascii="Times New Roman" w:hAnsi="Times New Roman" w:eastAsia="微软雅黑" w:cs="Times New Roman"/>
                <w:sz w:val="16"/>
                <w:szCs w:val="16"/>
                <w:highlight w:val="none"/>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rPr>
              <w:t>Wnt signaling</w:t>
            </w:r>
          </w:p>
          <w:p>
            <w:pPr>
              <w:jc w:val="center"/>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rPr>
              <w:t>pathway</w:t>
            </w:r>
          </w:p>
          <w:p>
            <w:pPr>
              <w:jc w:val="center"/>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Wnt信号通路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“TP53,EP300,CCND3,AR,AMER1,APC,AXIN1,AXIN2,CCND1,CCND2,CDC73,CDK8,CREBBP,CTNNA1,CTNNB1,CUL3,CYLD,FOXP1,GATA6,GNA11,GNA13,GNAS,GSK3B,HNF1A,JUN,KMT2D,MED12,MITF,MYC,PAX5,PPP2R1A,PTCH1,RAC1,SMAD2,SMAD3,SMAD4,SMARCA4,SOX9,SRC,TERT,WISP3,WT1,XPO1”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spacing w:before="12"/>
              <w:jc w:val="both"/>
              <w:rPr>
                <w:rFonts w:ascii="Times New Roman" w:hAnsi="Times New Roman" w:eastAsia="微软雅黑" w:cs="Times New Roman"/>
                <w:color w:val="000000" w:themeColor="text1"/>
                <w:sz w:val="16"/>
                <w:szCs w:val="16"/>
                <w:highlight w:val="none"/>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nt信号通路是一种在进化上保守的信号转导途径，在动物胚胎早期发育、器官形成、组织再生和其它生理过程中具有至关重要的作用。Wnt是一类分泌型糖蛋白，分泌后能与细胞表面特异性受体相互作用，通过下游一系列蛋白的磷酸化与去磷酸化，能引起胞内</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-catenin积累，然后</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-catenin可进入细胞核调节靶基因表达。Wnt在正常成熟的细胞中处于关闭状态，但在人类肿瘤特别是消化系统肿瘤中常发现Wnt信号的异常激活。Wnt与受体Frz作用产生的信号可通过经典Wnt途径、PCP途径及Wnt/Ca</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途径传递到细胞核。在Wnt信号通路中，Wnt、Frz及</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-catenin是正调控因素，Axin、APC、GSK-3</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、泛素等则是负调控因素。与该通路相关的疾病包括家族性腺瘤样息肉病、结直肠癌、乳腺癌、胰腺癌、非小细胞肺癌、黑色素瘤、肝细胞癌、脊髓母细胞瘤等。</w:t>
            </w:r>
            <w:r>
              <w:rPr>
                <w:rFonts w:ascii="Times New Roman" w:hAnsi="Times New Roman" w:eastAsia="微软雅黑" w:cs="Times New Roman"/>
                <w:color w:val="000000" w:themeColor="text1"/>
                <w:sz w:val="16"/>
                <w:szCs w:val="16"/>
                <w:highlight w:val="none"/>
                <w14:textFill>
                  <w14:solidFill>
                    <w14:schemeClr w14:val="tx1"/>
                  </w14:solidFill>
                </w14:textFill>
              </w:rPr>
              <w:t>目前靶向Wnt信号通路的药物如LGK-974、Vantictumab等大多处于早期临床试验阶段</w:t>
            </w:r>
            <w:r>
              <w:rPr>
                <w:rFonts w:ascii="Times New Roman" w:hAnsi="Times New Roman" w:eastAsia="微软雅黑" w:cs="Times New Roman"/>
                <w:color w:val="000000" w:themeColor="text1"/>
                <w:sz w:val="16"/>
                <w:szCs w:val="16"/>
                <w:highlight w:val="none"/>
                <w:vertAlign w:val="superscript"/>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68</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w:t>
            </w:r>
            <w:r>
              <w:rPr>
                <w:rFonts w:ascii="Times New Roman" w:hAnsi="Times New Roman" w:eastAsia="微软雅黑" w:cs="Times New Roman"/>
                <w:color w:val="000000" w:themeColor="text1"/>
                <w:sz w:val="16"/>
                <w:szCs w:val="16"/>
                <w:highlight w:val="none"/>
                <w:vertAlign w:val="superscript"/>
                <w14:textFill>
                  <w14:solidFill>
                    <w14:schemeClr w14:val="tx1"/>
                  </w14:solidFill>
                </w14:textFill>
              </w:rPr>
              <w:t>2</w:t>
            </w:r>
            <w:r>
              <w:rPr>
                <w:rFonts w:hint="eastAsia"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72</w:t>
            </w:r>
            <w:r>
              <w:rPr>
                <w:rFonts w:ascii="Times New Roman" w:hAnsi="Times New Roman" w:eastAsia="微软雅黑" w:cs="Times New Roman"/>
                <w:color w:val="000000" w:themeColor="text1"/>
                <w:sz w:val="16"/>
                <w:szCs w:val="16"/>
                <w:highlight w:val="none"/>
                <w:vertAlign w:val="superscript"/>
                <w14:textFill>
                  <w14:solidFill>
                    <w14:schemeClr w14:val="tx1"/>
                  </w14:solidFill>
                </w14:textFill>
              </w:rPr>
              <w:t>]</w:t>
            </w:r>
            <w:r>
              <w:rPr>
                <w:rFonts w:ascii="Times New Roman" w:hAnsi="Times New Roman" w:eastAsia="微软雅黑" w:cs="Times New Roman"/>
                <w:color w:val="000000" w:themeColor="text1"/>
                <w:sz w:val="16"/>
                <w:szCs w:val="16"/>
                <w:highlight w:val="none"/>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Notch signaling</w:t>
            </w:r>
          </w:p>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148"/>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Notch信号通路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“NOTCH1,GATA3,EP300,AR,AMER1,BCL6,CBL,CDC73,CDK8,CREBBP,FBXW7,FOXP1,GATA1,GATA4,GATA6,H3F3A,HDAC1,HDAC2,HNF1A,MYCN,NOTCH2,NOTCH3,NOTCH4,PARP1,PAX5,PTCH1,REL,SNAI1,SPEN”</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Notch信号通路是一个进化过程中高度保守的信号通路，介导细胞和细胞之间的直接接触，具有调控细胞增殖、分化和凋亡的功能，且在维持肿瘤的干细胞特性方面发挥重要作用。该通路由Notch受体、Notch配体、细胞内效应分子、DNA结合蛋白及Notch的调节分子等组成。当Notch配体与受体结合后，受体相继发生两次蛋白水解，受体胞内区域(NICD) 被水解下并转移至细胞核内，并与下游的转录因子CSL结合，构成转录活化复合体从而启动转录。该通路在干细胞中与Wnt、TGF-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Her-2等多个信号通路存在交互作用。研究发现，皮肤癌、肝癌、脑肿瘤、乳腺癌、子宫内膜癌、卵巢癌、肺癌、胰腺癌、前列腺癌等肿瘤都与Notch信号通路活性的改变相关，但表现形式不一。Notch信号通路对皮肤癌、肝癌表现为抑癌作用，而对脑肿瘤、乳腺癌则起促癌作用。靶向Notch信号通路的药物包括针对Notch受体及配体的单抗类药物及针对转录活化复合体的抑制剂等</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73</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76</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Hedgehog signaling</w:t>
            </w:r>
          </w:p>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147" w:rightChars="-67"/>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Hedgehog信号通路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“PTCH2,GLI2,AMER1,CDC73,FOXP1,GATA6,GLI1,GNA11,GNA13,GNAQ,GNAS,GSK3B,PAX5,PTCH1,SMO,SPOP,SUFU,XPO1”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Hedgehog(Hh)信号通路主要由分泌型糖蛋白配体Hedgehog、跨膜蛋白受体Ptched(Ptch)、跨膜蛋白Smoothened(Smo)、核转录因子Gli蛋白及下游靶基因组成，在胚胎时期的血管生成，干细胞分化，免疫细胞以及胚胎发育、器官形成等过程中扮演重要角色。</w:t>
            </w:r>
            <w:r>
              <w:rPr>
                <w:rFonts w:ascii="Times New Roman" w:hAnsi="Times New Roman" w:eastAsia="微软雅黑" w:cs="Times New Roman"/>
                <w:sz w:val="16"/>
                <w:szCs w:val="16"/>
                <w:highlight w:val="none"/>
                <w:lang w:eastAsia="zh-CN"/>
              </w:rPr>
              <w:t>Hh、Smo、Gli作为激动因子，发挥正调控作用；Ptch作为抑制因子，发挥负调控作用。研究发现，Hh信号通路在皮肤基底细胞癌、髓母细胞瘤、肺癌、消化道肿瘤、乳腺癌、前列腺癌、卵巢癌、子宫内膜癌等多种肿瘤组织中都存在着异常激活，并与肿瘤的增殖分化、细胞凋亡、血管新生、侵袭转移等密切相关，提示异常激活的Hh信号通路与肿瘤发生、发展过密切相关。靶向Hh信号通路的药物包括Shh抑制剂、Smo抑制剂、乙醇脱氢酶7(Adh7)及Gli转录抑制剂等。靶向SMO的抑制剂是研究的热点，其中Vismodegib已被FDA批准用于转移皮肤基底细胞癌的治疗</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77</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80</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82" w:name="_Toc6654_WPSOffice_Level1"/>
      <w:bookmarkStart w:id="183" w:name="_Toc2334_WPSOffice_Level1"/>
      <w:bookmarkStart w:id="184" w:name="_Toc12027_WPSOffice_Level1"/>
      <w:bookmarkStart w:id="185" w:name="_Toc9468_WPSOffice_Level1"/>
      <w:bookmarkStart w:id="186" w:name="_Toc5840_WPSOffice_Level1"/>
      <w:bookmarkStart w:id="187" w:name="_Toc24337_WPSOffice_Level1"/>
      <w:bookmarkStart w:id="188" w:name="_Toc25338_WPSOffice_Level1"/>
      <w:bookmarkStart w:id="189" w:name="_Toc6074_WPSOffice_Level1"/>
      <w:r>
        <w:rPr>
          <w:rFonts w:ascii="Times New Roman" w:hAnsi="Times New Roman" w:eastAsia="微软雅黑" w:cs="Times New Roman"/>
          <w:b/>
          <w:bCs/>
          <w:color w:val="416AAB"/>
          <w:sz w:val="24"/>
          <w:szCs w:val="24"/>
          <w:highlight w:val="none"/>
          <w:lang w:eastAsia="zh-CN"/>
        </w:rPr>
        <w:t>表观遗传相关通路</w:t>
      </w:r>
      <w:bookmarkEnd w:id="182"/>
      <w:bookmarkEnd w:id="183"/>
      <w:bookmarkEnd w:id="184"/>
      <w:bookmarkEnd w:id="185"/>
      <w:bookmarkEnd w:id="186"/>
      <w:bookmarkEnd w:id="187"/>
      <w:bookmarkEnd w:id="188"/>
      <w:bookmarkEnd w:id="18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671" w:hRule="atLeast"/>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Epigenetic</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changes</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jc w:val="center"/>
              <w:rPr>
                <w:rFonts w:ascii="Times New Roman" w:hAnsi="Times New Roman" w:eastAsia="微软雅黑" w:cs="Times New Roman"/>
                <w:b/>
                <w:sz w:val="16"/>
                <w:szCs w:val="16"/>
                <w:highlight w:val="none"/>
                <w:lang w:eastAsia="zh-CN"/>
              </w:rPr>
            </w:pPr>
            <w:r>
              <w:rPr>
                <w:rFonts w:ascii="Times New Roman" w:hAnsi="Times New Roman" w:eastAsia="微软雅黑" w:cs="Times New Roman"/>
                <w:bCs/>
                <w:sz w:val="16"/>
                <w:szCs w:val="16"/>
                <w:highlight w:val="none"/>
              </w:rPr>
              <w:t>表观遗传变化信号通路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“TAF1,EP300,CHD4,ARID1A,ARID2,BRD4,C8orf34,CHD2,DICER1,DNMT3A,ERCC2,EWSR1,EZH2,HDAC1,HDAC2,KAT6A/MYST3,KDM5A,KDM5C,KDM6A,KMT2A,KMT2C,KMT2D,MED12,MEN1,QKI,SMARCA4,SMARCB1,SMARCD1,TOP2A”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表观遗传学是一门研究基因表达的学科，它是指基因表达的改变不依赖于基因序列的改变，而是依赖于DNA和组蛋白的化学修饰，包括乙酰化、甲基化、磷酸化、泛素化、ADP核糖基化等可影响基因的转录活性的修饰，目前表观遗传学概念还包括了非编码RNA(ncRNA)的范畴。肿瘤发生过程最常见的表观遗传学改变为抑癌基因启动子区CpG岛的甲基化，甲基化沉默相关基因表达可以影响相关肿瘤信号通路。表观遗传组学已成为肿瘤个体化治疗的新靶标，很多表观遗传学改变也可作为化疗药的敏感性标志物。表观遗传药物也已用于临床治疗，如DNA甲基转移酶抑制剂Decitabine和组蛋白去乙酰化酶抑制剂Vorinostat(SAHA)已用于肿瘤的治疗。目前，许多针对表观遗传调控关键分子的靶向药物正在进行临床试验</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81</w:t>
            </w:r>
            <w:r>
              <w:rPr>
                <w:rFonts w:ascii="Times New Roman" w:hAnsi="Times New Roman" w:eastAsia="微软雅黑" w:cs="Times New Roman"/>
                <w:i/>
                <w:sz w:val="16"/>
                <w:szCs w:val="16"/>
                <w:highlight w:val="none"/>
                <w:vertAlign w:val="superscript"/>
                <w:lang w:eastAsia="zh-CN"/>
              </w:rPr>
              <w:t>-</w:t>
            </w:r>
            <w:r>
              <w:rPr>
                <w:rFonts w:ascii="Times New Roman" w:hAnsi="Times New Roman" w:eastAsia="微软雅黑" w:cs="Times New Roman"/>
                <w:sz w:val="16"/>
                <w:szCs w:val="16"/>
                <w:highlight w:val="none"/>
                <w:vertAlign w:val="superscript"/>
                <w:lang w:eastAsia="zh-CN"/>
              </w:rPr>
              <w:t>2</w:t>
            </w:r>
            <w:r>
              <w:rPr>
                <w:rFonts w:hint="eastAsia" w:ascii="Times New Roman" w:hAnsi="Times New Roman" w:eastAsia="微软雅黑" w:cs="Times New Roman"/>
                <w:sz w:val="16"/>
                <w:szCs w:val="16"/>
                <w:highlight w:val="none"/>
                <w:vertAlign w:val="superscript"/>
                <w:lang w:eastAsia="zh-CN"/>
              </w:rPr>
              <w:t>83</w:t>
            </w:r>
            <w:r>
              <w:rPr>
                <w:rFonts w:ascii="Times New Roman" w:hAnsi="Times New Roman" w:eastAsia="微软雅黑" w:cs="Times New Roman"/>
                <w:sz w:val="16"/>
                <w:szCs w:val="16"/>
                <w:highlight w:val="none"/>
                <w:vertAlign w:val="superscript"/>
                <w:lang w:eastAsia="zh-CN"/>
              </w:rPr>
              <w:t>]</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sz w:val="24"/>
          <w:highlight w:val="none"/>
          <w:lang w:eastAsia="zh-CN"/>
        </w:rPr>
      </w:pPr>
      <w:r>
        <w:rPr>
          <w:rFonts w:ascii="Times New Roman" w:hAnsi="Times New Roman" w:eastAsia="微软雅黑" w:cs="Times New Roman"/>
          <w:sz w:val="24"/>
          <w:highlight w:val="none"/>
          <w:lang w:eastAsia="zh-CN"/>
        </w:rPr>
        <w:br w:type="page"/>
      </w:r>
    </w:p>
    <w:p>
      <w:pPr>
        <w:pStyle w:val="25"/>
        <w:rPr>
          <w:highlight w:val="none"/>
        </w:rPr>
      </w:pPr>
      <w:bookmarkStart w:id="190" w:name="_Toc17711_WPSOffice_Level1"/>
      <w:bookmarkStart w:id="191" w:name="_Toc17254_WPSOffice_Level1"/>
      <w:bookmarkStart w:id="192" w:name="_Toc3901626"/>
      <w:bookmarkStart w:id="193" w:name="_Toc28807_WPSOffice_Level1"/>
      <w:bookmarkStart w:id="194" w:name="_Toc30929"/>
      <w:bookmarkStart w:id="195" w:name="_Toc20736_WPSOffice_Level1"/>
      <w:bookmarkStart w:id="196" w:name="_Toc26031_WPSOffice_Level1"/>
      <w:bookmarkStart w:id="197" w:name="_Toc22623_WPSOffice_Level1"/>
      <w:bookmarkStart w:id="198" w:name="_Toc27192_WPSOffice_Level1"/>
      <w:bookmarkStart w:id="199" w:name="_Toc10185"/>
      <w:r>
        <w:rPr>
          <w:highlight w:val="none"/>
        </w:rPr>
        <w:t>癌症相关的基因背景介绍</w:t>
      </w:r>
      <w:bookmarkEnd w:id="190"/>
      <w:bookmarkEnd w:id="191"/>
      <w:bookmarkEnd w:id="192"/>
      <w:bookmarkEnd w:id="193"/>
      <w:bookmarkEnd w:id="194"/>
      <w:bookmarkEnd w:id="195"/>
      <w:bookmarkEnd w:id="196"/>
      <w:bookmarkEnd w:id="197"/>
      <w:bookmarkEnd w:id="198"/>
      <w:bookmarkEnd w:id="199"/>
    </w:p>
    <w:p>
      <w:pPr>
        <w:widowControl/>
        <w:rPr>
          <w:rFonts w:ascii="Times New Roman" w:hAnsi="Times New Roman" w:eastAsia="微软雅黑" w:cs="Times New Roman"/>
          <w:b/>
          <w:bCs/>
          <w:color w:val="416AAB"/>
          <w:sz w:val="24"/>
          <w:szCs w:val="24"/>
          <w:highlight w:val="none"/>
          <w:lang w:eastAsia="zh-CN"/>
        </w:rPr>
      </w:pPr>
    </w:p>
    <w:p>
      <w:pPr>
        <w:widowControl/>
        <w:rPr>
          <w:rFonts w:ascii="Times New Roman" w:hAnsi="Times New Roman" w:eastAsia="微软雅黑" w:cs="Times New Roman"/>
          <w:b/>
          <w:bCs/>
          <w:color w:val="416AAB"/>
          <w:sz w:val="24"/>
          <w:szCs w:val="24"/>
          <w:highlight w:val="none"/>
          <w:lang w:eastAsia="zh-CN"/>
        </w:rPr>
      </w:pPr>
      <w:bookmarkStart w:id="200" w:name="_Toc31683_WPSOffice_Level1"/>
      <w:bookmarkStart w:id="201" w:name="_Toc25837_WPSOffice_Level1"/>
      <w:bookmarkStart w:id="202" w:name="_Toc24586_WPSOffice_Level1"/>
      <w:bookmarkStart w:id="203" w:name="_Toc18295_WPSOffice_Level1"/>
      <w:bookmarkStart w:id="204" w:name="_Toc18813_WPSOffice_Level1"/>
      <w:bookmarkStart w:id="205" w:name="_Toc11576_WPSOffice_Level1"/>
      <w:bookmarkStart w:id="206" w:name="_Toc10534_WPSOffice_Level1"/>
      <w:bookmarkStart w:id="207" w:name="_Toc18784_WPSOffice_Level1"/>
      <w:r>
        <w:rPr>
          <w:rFonts w:ascii="Times New Roman" w:hAnsi="Times New Roman" w:eastAsia="微软雅黑" w:cs="Times New Roman"/>
          <w:b/>
          <w:bCs/>
          <w:color w:val="416AAB"/>
          <w:sz w:val="24"/>
          <w:szCs w:val="24"/>
          <w:highlight w:val="none"/>
          <w:lang w:eastAsia="zh-CN"/>
        </w:rPr>
        <w:t>AKT1</w:t>
      </w:r>
      <w:bookmarkEnd w:id="200"/>
      <w:bookmarkEnd w:id="201"/>
      <w:bookmarkEnd w:id="202"/>
      <w:bookmarkEnd w:id="203"/>
      <w:bookmarkEnd w:id="204"/>
      <w:bookmarkEnd w:id="205"/>
      <w:bookmarkEnd w:id="206"/>
      <w:bookmarkEnd w:id="207"/>
      <w:r>
        <w:rPr>
          <w:rFonts w:ascii="Times New Roman" w:hAnsi="Times New Roman" w:eastAsia="微软雅黑" w:cs="Times New Roman"/>
          <w:b/>
          <w:bCs/>
          <w:color w:val="416AAB"/>
          <w:sz w:val="24"/>
          <w:szCs w:val="24"/>
          <w:highlight w:val="none"/>
          <w:lang w:eastAsia="zh-CN"/>
        </w:rPr>
        <w:t xml:space="preserve"> </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AKT1是丝氨酸-苏氨酸蛋白激酶家族的一个成员，该家族也包括AKT2和AKT3。AKT1 在多个细胞生理流程中起关键作用，如生长、增殖、存活和血管形成。AKT1是磷脂酰肌醇3-激酶的下游媒介者（图示）。所有非小细胞肺癌患者（组织学观察为腺癌或鳞状细胞癌）中，1%携带有AKT1基因体细胞突变</w:t>
      </w:r>
      <w:r>
        <w:rPr>
          <w:rFonts w:ascii="Times New Roman" w:hAnsi="Times New Roman" w:eastAsia="微软雅黑" w:cs="Times New Roman"/>
          <w:bCs/>
          <w:sz w:val="18"/>
          <w:szCs w:val="18"/>
          <w:highlight w:val="none"/>
          <w:shd w:val="clear" w:color="auto" w:fill="FFFFFF"/>
          <w:vertAlign w:val="superscript"/>
          <w:lang w:eastAsia="zh-CN"/>
        </w:rPr>
        <w:t>[1-3]</w:t>
      </w:r>
      <w:r>
        <w:rPr>
          <w:rFonts w:ascii="Times New Roman" w:hAnsi="Times New Roman" w:eastAsia="微软雅黑" w:cs="Times New Roman"/>
          <w:bCs/>
          <w:sz w:val="18"/>
          <w:szCs w:val="18"/>
          <w:highlight w:val="none"/>
          <w:shd w:val="clear" w:color="auto" w:fill="FFFFFF"/>
          <w:lang w:eastAsia="zh-CN"/>
        </w:rPr>
        <w:t>。临床前的体外和体内研究表明，细胞中存在AKT1基因突变将导致细胞发生转化</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。存在AKT1基因突变的肺癌患者的临床特征还有待详细阐述。绝大多数情况AKT1基因突变并不与其它原癌基因突变如EGFR突变、ALK重排等同时出现。</w:t>
      </w:r>
    </w:p>
    <w:p>
      <w:pPr>
        <w:spacing w:line="276" w:lineRule="auto"/>
        <w:ind w:firstLine="44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highlight w:val="none"/>
          <w:lang w:eastAsia="zh-CN"/>
        </w:rPr>
        <w:drawing>
          <wp:anchor distT="0" distB="0" distL="114300" distR="114300" simplePos="0" relativeHeight="251673600" behindDoc="0" locked="0" layoutInCell="1" allowOverlap="0">
            <wp:simplePos x="0" y="0"/>
            <wp:positionH relativeFrom="margin">
              <wp:posOffset>2081530</wp:posOffset>
            </wp:positionH>
            <wp:positionV relativeFrom="paragraph">
              <wp:posOffset>120650</wp:posOffset>
            </wp:positionV>
            <wp:extent cx="2084705" cy="2858135"/>
            <wp:effectExtent l="0" t="0" r="3175" b="6985"/>
            <wp:wrapNone/>
            <wp:docPr id="14580" name="Picture 14580"/>
            <wp:cNvGraphicFramePr/>
            <a:graphic xmlns:a="http://schemas.openxmlformats.org/drawingml/2006/main">
              <a:graphicData uri="http://schemas.openxmlformats.org/drawingml/2006/picture">
                <pic:pic xmlns:pic="http://schemas.openxmlformats.org/drawingml/2006/picture">
                  <pic:nvPicPr>
                    <pic:cNvPr id="14580" name="Picture 14580"/>
                    <pic:cNvPicPr/>
                  </pic:nvPicPr>
                  <pic:blipFill>
                    <a:blip r:embed="rId9">
                      <a:extLst>
                        <a:ext uri="{28A0092B-C50C-407E-A947-70E740481C1C}">
                          <a14:useLocalDpi xmlns:a14="http://schemas.microsoft.com/office/drawing/2010/main" val="0"/>
                        </a:ext>
                      </a:extLst>
                    </a:blip>
                    <a:stretch>
                      <a:fillRect/>
                    </a:stretch>
                  </pic:blipFill>
                  <pic:spPr>
                    <a:xfrm>
                      <a:off x="0" y="0"/>
                      <a:ext cx="2084400" cy="2858400"/>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59" w:lineRule="auto"/>
        <w:ind w:left="992" w:leftChars="451" w:right="1683" w:rightChars="765" w:firstLine="140" w:firstLineChars="64"/>
        <w:jc w:val="center"/>
        <w:rPr>
          <w:rFonts w:ascii="Times New Roman" w:hAnsi="Times New Roman" w:eastAsia="微软雅黑" w:cs="Times New Roman"/>
          <w:highlight w:val="none"/>
          <w:lang w:eastAsia="zh-CN"/>
        </w:rPr>
      </w:pPr>
    </w:p>
    <w:p>
      <w:pPr>
        <w:spacing w:line="400" w:lineRule="exact"/>
        <w:ind w:left="992" w:leftChars="451" w:right="1683" w:rightChars="765" w:firstLine="115" w:firstLineChars="64"/>
        <w:jc w:val="center"/>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spacing w:line="276" w:lineRule="auto"/>
        <w:ind w:firstLine="360" w:firstLineChars="200"/>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图示： AKT参与的MAPK和PI3K信号通路。生长因子与酪氨酸激酶受体的结合导致MAPK（RAS-RAF-MEK-ERK）和PI3K（PI3K-AKT-mTOR）信号通路的激活。</w:t>
      </w:r>
    </w:p>
    <w:p>
      <w:pPr>
        <w:spacing w:line="276" w:lineRule="auto"/>
        <w:ind w:firstLine="360" w:firstLineChars="200"/>
        <w:jc w:val="both"/>
        <w:rPr>
          <w:rFonts w:ascii="Times New Roman" w:hAnsi="Times New Roman" w:eastAsia="微软雅黑" w:cs="Times New Roman"/>
          <w:sz w:val="18"/>
          <w:szCs w:val="18"/>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Bleeker FE, Felicioni L, Buttitta F, Lamba S, Cardone L, Rodolfo M, Scarpa A, Leenstra S, Frattini M, Barbareschi M, Grammastro MD, Sciarrotta MG, Zanon C, Marchetti A, Bardelli A. AKT1(E17K) in human solid tumours. Oncogene. 2008, 27(42):5648-50.</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Do H, et al. Detection of the transforming AKT1 mutation E17K in non-small cell lung cancer by high resolution melting. BMC Res Notes. 2008, 1:14.</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Malanga D, et al. Activating E17K mutation in the gene encoding the protein kinase AKT1 in a subset of squamous cell carcinoma of the lung. Cell Cycle. 2008, 7(5):665-9.</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Carpten JD, et al. A transforming mutation in the pleckstrin homology domain of AKT1 in cancer. Nature. 2007, 448(7152):439-44.</w:t>
      </w:r>
    </w:p>
    <w:p>
      <w:pPr>
        <w:widowControl/>
        <w:ind w:left="992" w:leftChars="451" w:right="1683" w:rightChars="765" w:firstLine="140" w:firstLineChars="64"/>
        <w:jc w:val="center"/>
        <w:rPr>
          <w:rFonts w:ascii="Times New Roman" w:hAnsi="Times New Roman" w:eastAsia="微软雅黑" w:cs="Times New Roman"/>
          <w:highlight w:val="none"/>
        </w:rPr>
      </w:pPr>
      <w:r>
        <w:rPr>
          <w:rFonts w:ascii="Times New Roman" w:hAnsi="Times New Roman" w:eastAsia="微软雅黑" w:cs="Times New Roman"/>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08" w:name="_Toc24581_WPSOffice_Level1"/>
      <w:bookmarkStart w:id="209" w:name="_Toc21844_WPSOffice_Level1"/>
      <w:bookmarkStart w:id="210" w:name="_Toc31152_WPSOffice_Level1"/>
      <w:bookmarkStart w:id="211" w:name="_Toc30144_WPSOffice_Level1"/>
      <w:bookmarkStart w:id="212" w:name="_Toc22167_WPSOffice_Level1"/>
      <w:bookmarkStart w:id="213" w:name="_Toc2455_WPSOffice_Level1"/>
      <w:bookmarkStart w:id="214" w:name="_Toc15930_WPSOffice_Level1"/>
      <w:bookmarkStart w:id="215" w:name="_Toc6504_WPSOffice_Level1"/>
      <w:r>
        <w:rPr>
          <w:rFonts w:ascii="Times New Roman" w:hAnsi="Times New Roman" w:eastAsia="微软雅黑" w:cs="Times New Roman"/>
          <w:b/>
          <w:bCs/>
          <w:color w:val="416AAB"/>
          <w:sz w:val="24"/>
          <w:szCs w:val="24"/>
          <w:highlight w:val="none"/>
          <w:lang w:eastAsia="zh-CN"/>
        </w:rPr>
        <w:t>BRAF</w:t>
      </w:r>
      <w:bookmarkEnd w:id="208"/>
      <w:bookmarkEnd w:id="209"/>
      <w:bookmarkEnd w:id="210"/>
      <w:bookmarkEnd w:id="211"/>
      <w:bookmarkEnd w:id="212"/>
      <w:bookmarkEnd w:id="213"/>
      <w:bookmarkEnd w:id="214"/>
      <w:bookmarkEnd w:id="215"/>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BRAF是丝氨酸-苏氨酸蛋白激酶家族的一员，其它成员包括 ARAF、BRAF和CRAF (RAF1)。</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AF激酶是MAP激酶信号通路级联中的中心调节者，主要通过磷酸化和激活MEK起作用，这通常需要同源或异源RAF分子构成双体。作为MAP激酶通路的部分，RAF参与众多细胞生理过程，包括增殖、分化和转录调控。临床研究表明，BRAF突变体出现于多种癌症的发病过程，如黑色素瘤、非小细胞肺癌、结直肠癌、乳头状甲状腺癌和卵巢癌等。</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inline distT="0" distB="0" distL="0" distR="0">
            <wp:extent cx="2809875" cy="2476500"/>
            <wp:effectExtent l="0" t="0" r="9525" b="7620"/>
            <wp:docPr id="14949" name="Picture 14949"/>
            <wp:cNvGraphicFramePr/>
            <a:graphic xmlns:a="http://schemas.openxmlformats.org/drawingml/2006/main">
              <a:graphicData uri="http://schemas.openxmlformats.org/drawingml/2006/picture">
                <pic:pic xmlns:pic="http://schemas.openxmlformats.org/drawingml/2006/picture">
                  <pic:nvPicPr>
                    <pic:cNvPr id="14949" name="Picture 14949"/>
                    <pic:cNvPicPr/>
                  </pic:nvPicPr>
                  <pic:blipFill>
                    <a:blip r:embed="rId10"/>
                    <a:stretch>
                      <a:fillRect/>
                    </a:stretch>
                  </pic:blipFill>
                  <pic:spPr>
                    <a:xfrm>
                      <a:off x="0" y="0"/>
                      <a:ext cx="2809875" cy="2476500"/>
                    </a:xfrm>
                    <a:prstGeom prst="rect">
                      <a:avLst/>
                    </a:prstGeom>
                  </pic:spPr>
                </pic:pic>
              </a:graphicData>
            </a:graphic>
          </wp:inline>
        </w:drawing>
      </w: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图示：甲状腺癌有丝分裂原活性蛋白激酶MAPK通路的活化。图中显示，BRAF突变体（BRAF*）可直接刺激MEK。BRAF的化学抑制剂如索拉非尼等可抑制其下游信号通路传递。</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spacing w:after="84" w:line="259"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rPr>
        <w:t xml:space="preserve">1. Davies H, et al. Mutations of the BRAF gene in human cancer. </w:t>
      </w:r>
      <w:r>
        <w:rPr>
          <w:rFonts w:ascii="Times New Roman" w:hAnsi="Times New Roman" w:cs="Times New Roman"/>
          <w:sz w:val="15"/>
          <w:szCs w:val="15"/>
          <w:highlight w:val="none"/>
          <w:lang w:eastAsia="zh-CN"/>
        </w:rPr>
        <w:t>Nature. 2002, 417(6892):949-54.</w:t>
      </w:r>
    </w:p>
    <w:p>
      <w:pPr>
        <w:rPr>
          <w:rFonts w:ascii="Times New Roman" w:hAnsi="Times New Roman" w:eastAsia="微软雅黑" w:cs="Times New Roman"/>
          <w:b/>
          <w:bCs/>
          <w:color w:val="416AAB"/>
          <w:sz w:val="24"/>
          <w:szCs w:val="24"/>
          <w:highlight w:val="none"/>
          <w:lang w:eastAsia="zh-CN"/>
        </w:rPr>
      </w:pPr>
      <w:r>
        <w:rPr>
          <w:rFonts w:ascii="Times New Roman" w:hAnsi="Times New Roman" w:eastAsia="微软雅黑" w:cs="Times New Roman"/>
          <w:b/>
          <w:bCs/>
          <w:color w:val="416AAB"/>
          <w:sz w:val="24"/>
          <w:szCs w:val="24"/>
          <w:highlight w:val="none"/>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216" w:name="_Toc21218_WPSOffice_Level1"/>
      <w:bookmarkStart w:id="217" w:name="_Toc17817_WPSOffice_Level1"/>
      <w:bookmarkStart w:id="218" w:name="_Toc3881_WPSOffice_Level1"/>
      <w:bookmarkStart w:id="219" w:name="_Toc30383_WPSOffice_Level1"/>
      <w:bookmarkStart w:id="220" w:name="_Toc6105_WPSOffice_Level1"/>
      <w:bookmarkStart w:id="221" w:name="_Toc18298_WPSOffice_Level1"/>
      <w:bookmarkStart w:id="222" w:name="_Toc26632_WPSOffice_Level1"/>
      <w:bookmarkStart w:id="223" w:name="_Toc10927_WPSOffice_Level1"/>
      <w:r>
        <w:rPr>
          <w:rFonts w:ascii="Times New Roman" w:hAnsi="Times New Roman" w:eastAsia="微软雅黑" w:cs="Times New Roman"/>
          <w:b/>
          <w:bCs/>
          <w:color w:val="416AAB"/>
          <w:sz w:val="24"/>
          <w:szCs w:val="24"/>
          <w:highlight w:val="none"/>
          <w:lang w:eastAsia="zh-CN"/>
        </w:rPr>
        <w:t>DDR2</w:t>
      </w:r>
      <w:bookmarkEnd w:id="216"/>
      <w:bookmarkEnd w:id="217"/>
      <w:bookmarkEnd w:id="218"/>
      <w:bookmarkEnd w:id="219"/>
      <w:bookmarkEnd w:id="220"/>
      <w:bookmarkEnd w:id="221"/>
      <w:bookmarkEnd w:id="222"/>
      <w:bookmarkEnd w:id="223"/>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盘状死亡受体(DDR2)是DDR酪氨酸激酶受体家族的成员，这类激酶被胶原蛋白而非肽生长因子激活（图示）；其在癌症细胞中的下游信号通路并不清晰，但可能通过SRC 和STAT信号通路。与整合受体相似，DDR2可能在调节细胞与胞外基质反应中起作用。</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临床研究表明，DDR2突变低频出现于一些癌症，如肾细胞癌、胶质母细胞瘤、子宫癌、结直肠癌；被报道出现频率最高是在鳞状细胞肺癌</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anchor distT="0" distB="0" distL="114300" distR="114300" simplePos="0" relativeHeight="251674624" behindDoc="0" locked="0" layoutInCell="1" allowOverlap="1">
            <wp:simplePos x="0" y="0"/>
            <wp:positionH relativeFrom="margin">
              <wp:align>center</wp:align>
            </wp:positionH>
            <wp:positionV relativeFrom="paragraph">
              <wp:posOffset>133985</wp:posOffset>
            </wp:positionV>
            <wp:extent cx="3924300" cy="2876550"/>
            <wp:effectExtent l="0" t="0" r="7620" b="3810"/>
            <wp:wrapNone/>
            <wp:docPr id="15278" name="Picture 15278"/>
            <wp:cNvGraphicFramePr/>
            <a:graphic xmlns:a="http://schemas.openxmlformats.org/drawingml/2006/main">
              <a:graphicData uri="http://schemas.openxmlformats.org/drawingml/2006/picture">
                <pic:pic xmlns:pic="http://schemas.openxmlformats.org/drawingml/2006/picture">
                  <pic:nvPicPr>
                    <pic:cNvPr id="15278" name="Picture 15278"/>
                    <pic:cNvPicPr/>
                  </pic:nvPicPr>
                  <pic:blipFill>
                    <a:blip r:embed="rId11">
                      <a:extLst>
                        <a:ext uri="{28A0092B-C50C-407E-A947-70E740481C1C}">
                          <a14:useLocalDpi xmlns:a14="http://schemas.microsoft.com/office/drawing/2010/main" val="0"/>
                        </a:ext>
                      </a:extLst>
                    </a:blip>
                    <a:stretch>
                      <a:fillRect/>
                    </a:stretch>
                  </pic:blipFill>
                  <pic:spPr>
                    <a:xfrm>
                      <a:off x="0" y="0"/>
                      <a:ext cx="3924300" cy="2876550"/>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DDR2的信号通路。胶原蛋白与DDR2的结合激活了下游的信号通路。</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18"/>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Hammerman, et al. Mutations in the DDR2 kinase gene identify a novel therapeutic target in squamous cell lung cancer. Cancer Discov. 2011, 1(1):78-89.</w:t>
      </w:r>
    </w:p>
    <w:p>
      <w:pPr>
        <w:widowControl/>
        <w:rPr>
          <w:rFonts w:ascii="Times New Roman" w:hAnsi="Times New Roman" w:eastAsia="微软雅黑" w:cs="Times New Roman"/>
          <w:b/>
          <w:bCs/>
          <w:color w:val="416AAB"/>
          <w:sz w:val="24"/>
          <w:szCs w:val="24"/>
          <w:highlight w:val="none"/>
          <w:lang w:eastAsia="zh-CN"/>
        </w:rPr>
      </w:pPr>
      <w:r>
        <w:rPr>
          <w:rFonts w:ascii="Times New Roman" w:hAnsi="Times New Roman" w:eastAsia="微软雅黑" w:cs="Times New Roman"/>
          <w:bCs/>
          <w:sz w:val="18"/>
          <w:szCs w:val="18"/>
          <w:highlight w:val="none"/>
          <w:shd w:val="clear" w:color="auto" w:fill="FFFFFF"/>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224" w:name="_Toc20673_WPSOffice_Level1"/>
      <w:bookmarkStart w:id="225" w:name="_Toc22629_WPSOffice_Level1"/>
      <w:bookmarkStart w:id="226" w:name="_Toc22953_WPSOffice_Level1"/>
      <w:bookmarkStart w:id="227" w:name="_Toc14661_WPSOffice_Level1"/>
      <w:bookmarkStart w:id="228" w:name="_Toc7518_WPSOffice_Level1"/>
      <w:bookmarkStart w:id="229" w:name="_Toc5805_WPSOffice_Level1"/>
      <w:bookmarkStart w:id="230" w:name="_Toc32618_WPSOffice_Level1"/>
      <w:bookmarkStart w:id="231" w:name="_Toc29986_WPSOffice_Level1"/>
      <w:r>
        <w:rPr>
          <w:rFonts w:ascii="Times New Roman" w:hAnsi="Times New Roman" w:eastAsia="微软雅黑" w:cs="Times New Roman"/>
          <w:b/>
          <w:bCs/>
          <w:color w:val="416AAB"/>
          <w:sz w:val="24"/>
          <w:szCs w:val="24"/>
          <w:highlight w:val="none"/>
          <w:lang w:eastAsia="zh-CN"/>
        </w:rPr>
        <w:t>ERBB2 (HER2)</w:t>
      </w:r>
      <w:bookmarkEnd w:id="224"/>
      <w:bookmarkEnd w:id="225"/>
      <w:bookmarkEnd w:id="226"/>
      <w:bookmarkEnd w:id="227"/>
      <w:bookmarkEnd w:id="228"/>
      <w:bookmarkEnd w:id="229"/>
      <w:bookmarkEnd w:id="230"/>
      <w:bookmarkEnd w:id="231"/>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HER2 属 于受体酪氨酸激酶（RTK）家族，包括EGFR/ERBB1， HER2/ERBB2/NEU， HER3/ERBB3，和HER4/ERBB4。HER2的编码基因位于人类17号染色体上。有研究报道，在多种癌症鉴定到基因拷贝数增加</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（图示）。HER2基因扩增被认为促进了肿瘤发生进程，参与几种癌症的发病机制</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迄今为止，还没有鉴定到HER2的配体。HER2似乎适合与ErbB家族所有成员形成二聚体</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。配体结合及随后的异源二聚体化可激活HER2的酪氨酸激酶活性。活化的HER2 然后磷酸化它的底物，以至于激活下游多个细胞内通路，如决定细胞存活的PI3K-AKT-mTOR 通路，参与细胞增殖的RAS-RAF-MEK-ERK通路。</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inline distT="0" distB="0" distL="0" distR="0">
            <wp:extent cx="3838575" cy="2171700"/>
            <wp:effectExtent l="0" t="0" r="1905" b="762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12"/>
                    <a:stretch>
                      <a:fillRect/>
                    </a:stretch>
                  </pic:blipFill>
                  <pic:spPr>
                    <a:xfrm>
                      <a:off x="0" y="0"/>
                      <a:ext cx="3838575" cy="2171700"/>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图示：癌症细胞内由于HER2基因拷贝数增加导致过表达</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1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"http://www.ncbi.nlm.nih.gov/pubmed?term=J%C3%B8rgensen%20JT%5BAuthor%5D&amp;cauthor=true&amp;cauthor_uid=20185938" \h </w:instrText>
      </w:r>
      <w:r>
        <w:rPr>
          <w:highlight w:val="none"/>
        </w:rPr>
        <w:fldChar w:fldCharType="separate"/>
      </w:r>
      <w:r>
        <w:rPr>
          <w:rFonts w:ascii="Times New Roman" w:hAnsi="Times New Roman" w:cs="Times New Roman"/>
          <w:sz w:val="15"/>
          <w:szCs w:val="15"/>
          <w:highlight w:val="none"/>
        </w:rPr>
        <w:t>Jorgensen JT.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Targeted HER2 treatment in advanced gastric cancer. Oncology. 2010, 78(1):26-33.</w:t>
      </w:r>
    </w:p>
    <w:p>
      <w:pPr>
        <w:widowControl/>
        <w:numPr>
          <w:ilvl w:val="0"/>
          <w:numId w:val="1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"http://www.ncbi.nlm.nih.gov/pubmed?term=Moasser%20MM%5BAuthor%5D&amp;cauthor=true&amp;cauthor_uid=17471238" \h </w:instrText>
      </w:r>
      <w:r>
        <w:rPr>
          <w:highlight w:val="none"/>
        </w:rPr>
        <w:fldChar w:fldCharType="separate"/>
      </w:r>
      <w:r>
        <w:rPr>
          <w:rFonts w:ascii="Times New Roman" w:hAnsi="Times New Roman" w:cs="Times New Roman"/>
          <w:sz w:val="15"/>
          <w:szCs w:val="15"/>
          <w:highlight w:val="none"/>
        </w:rPr>
        <w:t>Moasser MM.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The oncogene HER2: its signaling and transforming functions and its role in human cancer pathogenesis. Oncology. 2007, 26(45):6469-87.</w:t>
      </w:r>
    </w:p>
    <w:p>
      <w:pPr>
        <w:widowControl/>
        <w:numPr>
          <w:ilvl w:val="0"/>
          <w:numId w:val="1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"http://www.ncbi.nlm.nih.gov/pubmed?term=Graus-Porta%20D%5BAuthor%5D&amp;cauthor=true&amp;cauthor_uid=9130710" \h </w:instrText>
      </w:r>
      <w:r>
        <w:rPr>
          <w:highlight w:val="none"/>
        </w:rPr>
        <w:fldChar w:fldCharType="separate"/>
      </w:r>
      <w:r>
        <w:rPr>
          <w:rFonts w:ascii="Times New Roman" w:hAnsi="Times New Roman" w:cs="Times New Roman"/>
          <w:sz w:val="15"/>
          <w:szCs w:val="15"/>
          <w:highlight w:val="none"/>
        </w:rPr>
        <w:t>Graus</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"http://www.ncbi.nlm.nih.gov/pubmed?term=Graus-Porta%20D%5BAuthor%5D&amp;cauthor=true&amp;cauthor_uid=9130710"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"http://www.ncbi.nlm.nih.gov/pubmed?term=Graus-Porta%20D%5BAuthor%5D&amp;cauthor=true&amp;cauthor_uid=9130710" \h </w:instrText>
      </w:r>
      <w:r>
        <w:rPr>
          <w:highlight w:val="none"/>
        </w:rPr>
        <w:fldChar w:fldCharType="separate"/>
      </w:r>
      <w:r>
        <w:rPr>
          <w:rFonts w:ascii="Times New Roman" w:hAnsi="Times New Roman" w:cs="Times New Roman"/>
          <w:sz w:val="15"/>
          <w:szCs w:val="15"/>
          <w:highlight w:val="none"/>
        </w:rPr>
        <w:t>Porta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ErbB-2, the preferred heterodimerization partner of all ErbB receptors, is a mediator of lateral signaling. EMBO J. 1997, 16(7):1647-55.</w:t>
      </w:r>
    </w:p>
    <w:p>
      <w:pPr>
        <w:rPr>
          <w:rFonts w:ascii="Times New Roman" w:hAnsi="Times New Roman" w:eastAsia="微软雅黑" w:cs="Times New Roman"/>
          <w:b/>
          <w:bCs/>
          <w:color w:val="416AAB"/>
          <w:sz w:val="24"/>
          <w:szCs w:val="24"/>
          <w:highlight w:val="none"/>
          <w:lang w:eastAsia="zh-CN"/>
        </w:rPr>
      </w:pPr>
      <w:bookmarkStart w:id="232" w:name="_Toc4328_WPSOffice_Level1"/>
      <w:r>
        <w:rPr>
          <w:rFonts w:ascii="Times New Roman" w:hAnsi="Times New Roman" w:eastAsia="微软雅黑" w:cs="Times New Roman"/>
          <w:b/>
          <w:bCs/>
          <w:color w:val="416AAB"/>
          <w:sz w:val="24"/>
          <w:szCs w:val="24"/>
          <w:highlight w:val="none"/>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233" w:name="_Toc9505_WPSOffice_Level1"/>
      <w:bookmarkStart w:id="234" w:name="_Toc22431_WPSOffice_Level1"/>
      <w:bookmarkStart w:id="235" w:name="_Toc31722_WPSOffice_Level1"/>
      <w:bookmarkStart w:id="236" w:name="_Toc15940_WPSOffice_Level1"/>
      <w:bookmarkStart w:id="237" w:name="_Toc5539_WPSOffice_Level1"/>
      <w:bookmarkStart w:id="238" w:name="_Toc25299_WPSOffice_Level1"/>
      <w:bookmarkStart w:id="239" w:name="_Toc27188_WPSOffice_Level1"/>
      <w:r>
        <w:rPr>
          <w:rFonts w:ascii="Times New Roman" w:hAnsi="Times New Roman" w:eastAsia="微软雅黑" w:cs="Times New Roman"/>
          <w:b/>
          <w:bCs/>
          <w:color w:val="416AAB"/>
          <w:sz w:val="24"/>
          <w:szCs w:val="24"/>
          <w:highlight w:val="none"/>
          <w:lang w:eastAsia="zh-CN"/>
        </w:rPr>
        <w:t>GNA11</w:t>
      </w:r>
      <w:bookmarkEnd w:id="232"/>
      <w:bookmarkEnd w:id="233"/>
      <w:bookmarkEnd w:id="234"/>
      <w:bookmarkEnd w:id="235"/>
      <w:bookmarkEnd w:id="236"/>
      <w:bookmarkEnd w:id="237"/>
      <w:bookmarkEnd w:id="238"/>
      <w:bookmarkEnd w:id="239"/>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鸟嘌呤核苷酸结合蛋白（G蛋白）是一类异源三聚体蛋白，可偶联七次跨膜结构域受体与细胞内的级联反应因子，如神经递质，生长因子和激素信号通路</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。异源三聚体G蛋白由三个亚基组成，Gα、Gβ和Gγ（图示），每个亚基又包含不同的成员。GNA11基因编码α-11亚基（Gα11）。受体活化可催化Gα 亚基上GDP（鸟苷二磷酸）置换为 GTP（三磷酸鸟苷），导致Gα亚基从Gßγ上解离。Gα或Gßγ均可激活下游的细胞信号传导通路；Gα亚基自身的GTPase活性将GTP水解为GDP后，该信号传导即被终止。GNA11基因突变多是位于第5外显子的密码子209，所在区域正好是具有GTPase 催化活性的。因此，在该区域的突变会导致基因的构成型激活，从而保持GTP结合的状态</w:t>
      </w:r>
      <w:r>
        <w:rPr>
          <w:rFonts w:ascii="Times New Roman" w:hAnsi="Times New Roman" w:eastAsia="微软雅黑" w:cs="Times New Roman"/>
          <w:bCs/>
          <w:sz w:val="18"/>
          <w:szCs w:val="18"/>
          <w:highlight w:val="none"/>
          <w:shd w:val="clear" w:color="auto" w:fill="FFFFFF"/>
          <w:vertAlign w:val="superscript"/>
          <w:lang w:eastAsia="zh-CN"/>
        </w:rPr>
        <w:t>[2，3]</w:t>
      </w:r>
      <w:r>
        <w:rPr>
          <w:rFonts w:ascii="Times New Roman" w:hAnsi="Times New Roman" w:eastAsia="微软雅黑" w:cs="Times New Roman"/>
          <w:bCs/>
          <w:sz w:val="18"/>
          <w:szCs w:val="18"/>
          <w:highlight w:val="none"/>
          <w:shd w:val="clear" w:color="auto" w:fill="FFFFFF"/>
          <w:lang w:eastAsia="zh-CN"/>
        </w:rPr>
        <w:t>。在小鼠体内表达GNA11 Q209L 直接导致黑素细胞癌化，并通过 MAPK 通路增加信号传导活性</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可在34％的原发性葡萄膜黑色素瘤患者检测到GNA11体细胞突变，在高达63％的葡萄膜黑色素瘤转移患者发现有该基因体细胞突变。以恶性黑色素瘤总体而言，约2％的样本可见GNA11突变；但尚未在眼黑色素瘤患者检测到该基因突变</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。绝大多数情况下，GNA11基因突变并不与黑色素瘤其它原癌基因突变如 BRAF 突变，KIT 突变等共存；目前也缺乏抗 GNA11 的靶向药物。</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drawing>
          <wp:inline distT="0" distB="0" distL="0" distR="0">
            <wp:extent cx="2981325" cy="2488565"/>
            <wp:effectExtent l="0" t="0" r="5715" b="10795"/>
            <wp:docPr id="16332" name="Picture 16332"/>
            <wp:cNvGraphicFramePr/>
            <a:graphic xmlns:a="http://schemas.openxmlformats.org/drawingml/2006/main">
              <a:graphicData uri="http://schemas.openxmlformats.org/drawingml/2006/picture">
                <pic:pic xmlns:pic="http://schemas.openxmlformats.org/drawingml/2006/picture">
                  <pic:nvPicPr>
                    <pic:cNvPr id="16332" name="Picture 16332"/>
                    <pic:cNvPicPr/>
                  </pic:nvPicPr>
                  <pic:blipFill>
                    <a:blip r:embed="rId13"/>
                    <a:stretch>
                      <a:fillRect/>
                    </a:stretch>
                  </pic:blipFill>
                  <pic:spPr>
                    <a:xfrm>
                      <a:off x="0" y="0"/>
                      <a:ext cx="2992689" cy="2497897"/>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Gα 亚基的活化</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"http://www.ncbi.nlm.nih.gov/pubmed?term=Rosenbaum%20DM%5BAuthor%5D&amp;cauthor=true&amp;cauthor_uid=19458711" \h </w:instrText>
      </w:r>
      <w:r>
        <w:rPr>
          <w:highlight w:val="none"/>
        </w:rPr>
        <w:fldChar w:fldCharType="separate"/>
      </w:r>
      <w:r>
        <w:rPr>
          <w:rFonts w:ascii="Times New Roman" w:hAnsi="Times New Roman" w:cs="Times New Roman"/>
          <w:sz w:val="15"/>
          <w:szCs w:val="15"/>
          <w:highlight w:val="none"/>
        </w:rPr>
        <w:t>Rosenbaum</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"http://www.ncbi.nlm.nih.gov/pubmed?term=Rosenbaum%20DM%5BAuthor%5D&amp;cauthor=true&amp;cauthor_uid=19458711"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DM, et al. The structure and function of G-protein-coupled receptors. Nature. 2009, 459(7245):356-63.</w:t>
      </w: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"http://www.ncbi.nlm.nih.gov/pubmed?term=Kalinec%20G%5BAuthor%5D&amp;cauthor=true&amp;cauthor_uid=1328859" \h </w:instrText>
      </w:r>
      <w:r>
        <w:rPr>
          <w:highlight w:val="none"/>
        </w:rPr>
        <w:fldChar w:fldCharType="separate"/>
      </w:r>
      <w:r>
        <w:rPr>
          <w:rFonts w:ascii="Times New Roman" w:hAnsi="Times New Roman" w:cs="Times New Roman"/>
          <w:sz w:val="15"/>
          <w:szCs w:val="15"/>
          <w:highlight w:val="none"/>
        </w:rPr>
        <w:t>Kalinec</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"http://www.ncbi.nlm.nih.gov/pubmed?term=Kalinec%20G%5BAuthor%5D&amp;cauthor=true&amp;cauthor_uid=1328859"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G, et al. Mutated alpha subunit of the Gq protein induces malignant transformation in NIH 3T3 cells. Mol Cell Biol. 1992, 12(10):4687-93.</w:t>
      </w: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"http://www.ncbi.nlm.nih.gov/pubmed?term=Landis%20CA%5BAuthor%5D&amp;cauthor=true&amp;cauthor_uid=2549426" \h </w:instrText>
      </w:r>
      <w:r>
        <w:rPr>
          <w:highlight w:val="none"/>
        </w:rPr>
        <w:fldChar w:fldCharType="separate"/>
      </w:r>
      <w:r>
        <w:rPr>
          <w:rFonts w:ascii="Times New Roman" w:hAnsi="Times New Roman" w:cs="Times New Roman"/>
          <w:sz w:val="15"/>
          <w:szCs w:val="15"/>
          <w:highlight w:val="none"/>
        </w:rPr>
        <w:t>Landis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A, et al. GTPase inhibiting mutations activate the alpha chain of Gs and stimulate adenylyl cyclase in human pituitary tumours. Nature. 1989, 340(6236):692-6.</w:t>
      </w:r>
    </w:p>
    <w:p>
      <w:pPr>
        <w:widowControl/>
        <w:numPr>
          <w:ilvl w:val="0"/>
          <w:numId w:val="2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"http://www.ncbi.nlm.nih.gov/pubmed?term=Van%20Raamsdonk%20CD%5BAuthor%5D&amp;cauthor=true&amp;cauthor_uid=21083380" \h </w:instrText>
      </w:r>
      <w:r>
        <w:rPr>
          <w:highlight w:val="none"/>
        </w:rPr>
        <w:fldChar w:fldCharType="separate"/>
      </w:r>
      <w:r>
        <w:rPr>
          <w:rFonts w:ascii="Times New Roman" w:hAnsi="Times New Roman" w:cs="Times New Roman"/>
          <w:sz w:val="15"/>
          <w:szCs w:val="15"/>
          <w:highlight w:val="none"/>
        </w:rPr>
        <w:t>Van Raamsdonk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D, et al. Mutations in GNA11 in uveal melanoma. N Engl J Med. 2010, 363(23):2191-9.</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40" w:name="_Toc7607_WPSOffice_Level1"/>
      <w:bookmarkStart w:id="241" w:name="_Toc5581_WPSOffice_Level1"/>
      <w:bookmarkStart w:id="242" w:name="_Toc24372_WPSOffice_Level1"/>
      <w:bookmarkStart w:id="243" w:name="_Toc27147_WPSOffice_Level1"/>
      <w:bookmarkStart w:id="244" w:name="_Toc26466_WPSOffice_Level1"/>
      <w:bookmarkStart w:id="245" w:name="_Toc8746_WPSOffice_Level1"/>
      <w:bookmarkStart w:id="246" w:name="_Toc1158_WPSOffice_Level1"/>
      <w:bookmarkStart w:id="247" w:name="_Toc20849_WPSOffice_Level1"/>
      <w:r>
        <w:rPr>
          <w:rFonts w:ascii="Times New Roman" w:hAnsi="Times New Roman" w:eastAsia="微软雅黑" w:cs="Times New Roman"/>
          <w:b/>
          <w:bCs/>
          <w:color w:val="416AAB"/>
          <w:sz w:val="24"/>
          <w:szCs w:val="24"/>
          <w:highlight w:val="none"/>
          <w:lang w:eastAsia="zh-CN"/>
        </w:rPr>
        <w:t>HRAS</w:t>
      </w:r>
      <w:bookmarkEnd w:id="240"/>
      <w:bookmarkEnd w:id="241"/>
      <w:bookmarkEnd w:id="242"/>
      <w:bookmarkEnd w:id="243"/>
      <w:bookmarkEnd w:id="244"/>
      <w:bookmarkEnd w:id="245"/>
      <w:bookmarkEnd w:id="246"/>
      <w:bookmarkEnd w:id="247"/>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已在人类鉴定出三种不同的RAS基因：KRAS基因（与 Kirsten大鼠肉瘤病毒致癌基因同源），HRAS（与哈维大鼠肉瘤病毒致癌基因同源），和NRAS（分离自人类神经母细胞瘤）。RAS基因高度同源但功能区分，基因冗余度有待深入研究</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 途径，参与细胞增殖的RAS-RAF-MEK-ERK 通路（图示）。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某种RAS基因常在恶性肿瘤中反复突变，如HRAS基因突变在唾液腺、尿道、上消化道、宫颈和胸腺等组织癌中特别常见</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44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highlight w:val="none"/>
          <w:lang w:eastAsia="zh-CN"/>
        </w:rPr>
        <w:drawing>
          <wp:anchor distT="0" distB="0" distL="114300" distR="114300" simplePos="0" relativeHeight="251675648" behindDoc="0" locked="0" layoutInCell="1" allowOverlap="1">
            <wp:simplePos x="0" y="0"/>
            <wp:positionH relativeFrom="margin">
              <wp:posOffset>1245235</wp:posOffset>
            </wp:positionH>
            <wp:positionV relativeFrom="paragraph">
              <wp:posOffset>75565</wp:posOffset>
            </wp:positionV>
            <wp:extent cx="3790950" cy="2867025"/>
            <wp:effectExtent l="0" t="0" r="3810" b="13335"/>
            <wp:wrapNone/>
            <wp:docPr id="16472" name="Picture 16472"/>
            <wp:cNvGraphicFramePr/>
            <a:graphic xmlns:a="http://schemas.openxmlformats.org/drawingml/2006/main">
              <a:graphicData uri="http://schemas.openxmlformats.org/drawingml/2006/picture">
                <pic:pic xmlns:pic="http://schemas.openxmlformats.org/drawingml/2006/picture">
                  <pic:nvPicPr>
                    <pic:cNvPr id="16472" name="Picture 16472"/>
                    <pic:cNvPicPr/>
                  </pic:nvPicPr>
                  <pic:blipFill>
                    <a:blip r:embed="rId14">
                      <a:extLst>
                        <a:ext uri="{28A0092B-C50C-407E-A947-70E740481C1C}">
                          <a14:useLocalDpi xmlns:a14="http://schemas.microsoft.com/office/drawing/2010/main" val="0"/>
                        </a:ext>
                      </a:extLst>
                    </a:blip>
                    <a:stretch>
                      <a:fillRect/>
                    </a:stretch>
                  </pic:blipFill>
                  <pic:spPr>
                    <a:xfrm>
                      <a:off x="0" y="0"/>
                      <a:ext cx="3790950" cy="2867025"/>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480" w:firstLineChars="200"/>
        <w:jc w:val="both"/>
        <w:rPr>
          <w:rFonts w:ascii="Times New Roman" w:hAnsi="Times New Roman" w:eastAsia="微软雅黑" w:cs="Times New Roman"/>
          <w:sz w:val="24"/>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RAS下游信号通路</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"http://www.ncbi.nlm.nih.gov/pubmed?term=Pylayeva-Gupta%20Y%5BAuthor%5D&amp;cauthor=true&amp;cauthor_uid=21993244" \h </w:instrText>
      </w:r>
      <w:r>
        <w:rPr>
          <w:highlight w:val="none"/>
        </w:rPr>
        <w:fldChar w:fldCharType="separate"/>
      </w:r>
      <w:r>
        <w:rPr>
          <w:rFonts w:ascii="Times New Roman" w:hAnsi="Times New Roman" w:cs="Times New Roman"/>
          <w:sz w:val="15"/>
          <w:szCs w:val="15"/>
          <w:highlight w:val="none"/>
        </w:rPr>
        <w:t>Pylayeva</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"http://www.ncbi.nlm.nih.gov/pubmed?term=Pylayeva-Gupta%20Y%5BAuthor%5D&amp;cauthor=true&amp;cauthor_uid=21993244"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"http://www.ncbi.nlm.nih.gov/pubmed?term=Pylayeva-Gupta%20Y%5BAuthor%5D&amp;cauthor=true&amp;cauthor_uid=21993244" \h </w:instrText>
      </w:r>
      <w:r>
        <w:rPr>
          <w:highlight w:val="none"/>
        </w:rPr>
        <w:fldChar w:fldCharType="separate"/>
      </w:r>
      <w:r>
        <w:rPr>
          <w:rFonts w:ascii="Times New Roman" w:hAnsi="Times New Roman" w:cs="Times New Roman"/>
          <w:sz w:val="15"/>
          <w:szCs w:val="15"/>
          <w:highlight w:val="none"/>
        </w:rPr>
        <w:t>Gupta Y,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RAS oncogenes: weaving a tumorigenic web. Nat Rev Cancer. 2011, 11(11):76174.</w:t>
      </w:r>
    </w:p>
    <w:p>
      <w:pPr>
        <w:widowControl/>
        <w:numPr>
          <w:ilvl w:val="0"/>
          <w:numId w:val="2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"http://www.ncbi.nlm.nih.gov/pubmed?term=Karnoub%20AE%5BAuthor%5D&amp;cauthor=true&amp;cauthor_uid=18568040" \h </w:instrText>
      </w:r>
      <w:r>
        <w:rPr>
          <w:highlight w:val="none"/>
        </w:rPr>
        <w:fldChar w:fldCharType="separate"/>
      </w:r>
      <w:r>
        <w:rPr>
          <w:rFonts w:ascii="Times New Roman" w:hAnsi="Times New Roman" w:cs="Times New Roman"/>
          <w:sz w:val="15"/>
          <w:szCs w:val="15"/>
          <w:highlight w:val="none"/>
        </w:rPr>
        <w:t>Karnoub AE</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"http://www.ncbi.nlm.nih.gov/pubmed?term=Karnoub%20AE%5BAuthor%5D&amp;cauthor=true&amp;cauthor_uid=18568040"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"http://www.ncbi.nlm.nih.gov/pubmed?term=Weinberg%20RA%5BAuthor%5D&amp;cauthor=true&amp;cauthor_uid=18568040"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"http://www.ncbi.nlm.nih.gov/pubmed?term=Weinberg%20RA%5BAuthor%5D&amp;cauthor=true&amp;cauthor_uid=18568040" \h </w:instrText>
      </w:r>
      <w:r>
        <w:rPr>
          <w:highlight w:val="none"/>
        </w:rPr>
        <w:fldChar w:fldCharType="separate"/>
      </w:r>
      <w:r>
        <w:rPr>
          <w:rFonts w:ascii="Times New Roman" w:hAnsi="Times New Roman" w:cs="Times New Roman"/>
          <w:sz w:val="15"/>
          <w:szCs w:val="15"/>
          <w:highlight w:val="none"/>
        </w:rPr>
        <w:t>Weinberg RA.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Ras oncogenes: split personalities. Nat Rev Mol Cell Biol. 2008, 9(7):517-31.</w:t>
      </w:r>
    </w:p>
    <w:p>
      <w:pPr>
        <w:widowControl/>
        <w:numPr>
          <w:ilvl w:val="0"/>
          <w:numId w:val="2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"http://www.ncbi.nlm.nih.gov/pubmed?term=Schubbert%20S%5BAuthor%5D&amp;cauthor=true&amp;cauthor_uid=17384584" \h </w:instrText>
      </w:r>
      <w:r>
        <w:rPr>
          <w:highlight w:val="none"/>
        </w:rPr>
        <w:fldChar w:fldCharType="separate"/>
      </w:r>
      <w:r>
        <w:rPr>
          <w:rFonts w:ascii="Times New Roman" w:hAnsi="Times New Roman" w:cs="Times New Roman"/>
          <w:sz w:val="15"/>
          <w:szCs w:val="15"/>
          <w:highlight w:val="none"/>
        </w:rPr>
        <w:t>Schubbert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Hyperactive Ras in developmental disorders and cancer. Nat Rev Cancer. 2007, 7(4):295-308.</w:t>
      </w:r>
    </w:p>
    <w:p>
      <w:pPr>
        <w:widowControl/>
        <w:spacing w:line="276" w:lineRule="auto"/>
        <w:ind w:firstLine="440" w:firstLineChars="200"/>
        <w:jc w:val="both"/>
        <w:rPr>
          <w:rFonts w:ascii="Times New Roman" w:hAnsi="Times New Roman" w:eastAsia="微软雅黑" w:cs="Times New Roman"/>
          <w:highlight w:val="none"/>
        </w:rPr>
      </w:pPr>
      <w:r>
        <w:rPr>
          <w:rFonts w:ascii="Times New Roman" w:hAnsi="Times New Roman" w:eastAsia="微软雅黑" w:cs="Times New Roman"/>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48" w:name="_Toc23854_WPSOffice_Level1"/>
      <w:bookmarkStart w:id="249" w:name="_Toc11511_WPSOffice_Level1"/>
      <w:bookmarkStart w:id="250" w:name="_Toc6069_WPSOffice_Level1"/>
      <w:bookmarkStart w:id="251" w:name="_Toc6871_WPSOffice_Level1"/>
      <w:bookmarkStart w:id="252" w:name="_Toc6343_WPSOffice_Level1"/>
      <w:bookmarkStart w:id="253" w:name="_Toc23457_WPSOffice_Level1"/>
      <w:bookmarkStart w:id="254" w:name="_Toc9066_WPSOffice_Level1"/>
      <w:bookmarkStart w:id="255" w:name="_Toc1557_WPSOffice_Level1"/>
      <w:r>
        <w:rPr>
          <w:rFonts w:ascii="Times New Roman" w:hAnsi="Times New Roman" w:eastAsia="微软雅黑" w:cs="Times New Roman"/>
          <w:b/>
          <w:bCs/>
          <w:color w:val="416AAB"/>
          <w:sz w:val="24"/>
          <w:szCs w:val="24"/>
          <w:highlight w:val="none"/>
          <w:lang w:eastAsia="zh-CN"/>
        </w:rPr>
        <w:t>KIT</w:t>
      </w:r>
      <w:bookmarkEnd w:id="248"/>
      <w:bookmarkEnd w:id="249"/>
      <w:bookmarkEnd w:id="250"/>
      <w:bookmarkEnd w:id="251"/>
      <w:bookmarkEnd w:id="252"/>
      <w:bookmarkEnd w:id="253"/>
      <w:bookmarkEnd w:id="254"/>
      <w:bookmarkEnd w:id="255"/>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KIT（也称为CD117），是一种受体酪氨酸激酶（RTK）,在多种细胞类型中的表达。KIT 的配体是干细胞因子（SCF）。SCF与KIT胞外结构域的结合诱导其二聚体化，从而活化下游信号传导途径，包括PI3K-AKT-mTOR通路、RAS-RAF-MEK-ERK途径和 STAT3（转录3的信号转导子和活化剂）途径，所有这些途径均调节细胞内促增长和促生存信号。</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KIT突变出现在多种癌症的发病机制中，包括黑色素瘤，急性白血病和胃肠道间质瘤（GIST）</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。KIT突变的发现彻底改变了间质瘤的治疗。使用一种口服KIT抑制剂甲磺酸伊马替尼（格列卫，诺华制药），可获得迅速、明显和持久的肿瘤反应</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。当然，不是所有的KIT突变都对伊马替尼敏感</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，有些突变仅对第二代KIT抑制剂敏感。</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324225" cy="2162175"/>
            <wp:effectExtent l="0" t="0" r="13335" b="1905"/>
            <wp:docPr id="17161" name="Picture 17161"/>
            <wp:cNvGraphicFramePr/>
            <a:graphic xmlns:a="http://schemas.openxmlformats.org/drawingml/2006/main">
              <a:graphicData uri="http://schemas.openxmlformats.org/drawingml/2006/picture">
                <pic:pic xmlns:pic="http://schemas.openxmlformats.org/drawingml/2006/picture">
                  <pic:nvPicPr>
                    <pic:cNvPr id="17161" name="Picture 17161"/>
                    <pic:cNvPicPr/>
                  </pic:nvPicPr>
                  <pic:blipFill>
                    <a:blip r:embed="rId15"/>
                    <a:stretch>
                      <a:fillRect/>
                    </a:stretch>
                  </pic:blipFill>
                  <pic:spPr>
                    <a:xfrm>
                      <a:off x="0" y="0"/>
                      <a:ext cx="3324225" cy="216217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图示：KIT抑制剂的作用机理</w:t>
      </w:r>
      <w:r>
        <w:rPr>
          <w:rFonts w:ascii="Times New Roman" w:hAnsi="Times New Roman" w:eastAsia="微软雅黑" w:cs="Times New Roman"/>
          <w:bCs/>
          <w:sz w:val="18"/>
          <w:szCs w:val="18"/>
          <w:highlight w:val="none"/>
          <w:shd w:val="clear" w:color="auto" w:fill="FFFFFF"/>
          <w:vertAlign w:val="superscript"/>
          <w:lang w:eastAsia="zh-CN"/>
        </w:rPr>
        <w:t>[5]</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"http://www.ncbi.nlm.nih.gov/pubmed?term=Heinrich%20MC%5BAuthor%5D&amp;cauthor=true&amp;cauthor_uid=14645423" \h </w:instrText>
      </w:r>
      <w:r>
        <w:rPr>
          <w:highlight w:val="none"/>
        </w:rPr>
        <w:fldChar w:fldCharType="separate"/>
      </w:r>
      <w:r>
        <w:rPr>
          <w:rFonts w:ascii="Times New Roman" w:hAnsi="Times New Roman" w:cs="Times New Roman"/>
          <w:sz w:val="15"/>
          <w:szCs w:val="15"/>
          <w:highlight w:val="none"/>
        </w:rPr>
        <w:t>Heinrich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C, et al. Kinase mutations and imatinib response in patients with metastatic gastrointestinal stromal tumor. J Clin Oncol. 2003, 21(23):4342-9.</w:t>
      </w: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"http://www.ncbi.nlm.nih.gov/pubmed?term=Hirota%20S%5BAuthor%5D&amp;cauthor=true&amp;cauthor_uid=9438854" \h </w:instrText>
      </w:r>
      <w:r>
        <w:rPr>
          <w:highlight w:val="none"/>
        </w:rPr>
        <w:fldChar w:fldCharType="separate"/>
      </w:r>
      <w:r>
        <w:rPr>
          <w:rFonts w:ascii="Times New Roman" w:hAnsi="Times New Roman" w:cs="Times New Roman"/>
          <w:sz w:val="15"/>
          <w:szCs w:val="15"/>
          <w:highlight w:val="none"/>
        </w:rPr>
        <w:t>Hirota</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"http://www.ncbi.nlm.nih.gov/pubmed?term=Hirota%20S%5BAuthor%5D&amp;cauthor=true&amp;cauthor_uid=9438854"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S, et al. Gain-of-function mutations of c-kit in human gastrointestinal stromal tumors. Science. 1998, 279(5350):577-80.</w:t>
      </w: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"http://www.ncbi.nlm.nih.gov/pubmed?term=Demetri%20GD%5BAuthor%5D&amp;cauthor=true&amp;cauthor_uid=12181401" \h </w:instrText>
      </w:r>
      <w:r>
        <w:rPr>
          <w:highlight w:val="none"/>
        </w:rPr>
        <w:fldChar w:fldCharType="separate"/>
      </w:r>
      <w:r>
        <w:rPr>
          <w:rFonts w:ascii="Times New Roman" w:hAnsi="Times New Roman" w:cs="Times New Roman"/>
          <w:sz w:val="15"/>
          <w:szCs w:val="15"/>
          <w:highlight w:val="none"/>
        </w:rPr>
        <w:t>Demetri G</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D, et al. Efficacy and safety of imatinib mesylate in advanced gastrointestinal stromal tumors. N Engl J Med. 2002, 347(7):472-80.</w:t>
      </w:r>
    </w:p>
    <w:p>
      <w:pPr>
        <w:widowControl/>
        <w:numPr>
          <w:ilvl w:val="0"/>
          <w:numId w:val="2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"http://www.ncbi.nlm.nih.gov/pubmed?term=Heinrich%20MC%5BAuthor%5D&amp;cauthor=true&amp;cauthor_uid=18955458" \h </w:instrText>
      </w:r>
      <w:r>
        <w:rPr>
          <w:highlight w:val="none"/>
        </w:rPr>
        <w:fldChar w:fldCharType="separate"/>
      </w:r>
      <w:r>
        <w:rPr>
          <w:rFonts w:ascii="Times New Roman" w:hAnsi="Times New Roman" w:cs="Times New Roman"/>
          <w:sz w:val="15"/>
          <w:szCs w:val="15"/>
          <w:highlight w:val="none"/>
        </w:rPr>
        <w:t>Heinrich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C, et al. Primary and secondary kinase genotypes correlate with the biological and clinical activity of sunitinib in imatinib-resistant gastrointestinal stromal tumor. </w:t>
      </w:r>
      <w:r>
        <w:rPr>
          <w:highlight w:val="none"/>
        </w:rPr>
        <w:fldChar w:fldCharType="begin"/>
      </w:r>
      <w:r>
        <w:rPr>
          <w:highlight w:val="none"/>
        </w:rPr>
        <w:instrText xml:space="preserve"> HYPERLINK "http://www.ncbi.nlm.nih.gov/pubmed/?term=Primary+and+secondary+kinase+genotypes+correlate+with+the+biological+and+clinical+activity+of+sunitinib+in+imatinib-resistant+gastrointestinal+stromal+tumor" \h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"http://www.ncbi.nlm.nih.gov/pubmed/?term=Primary+and+secondary+kinase+genotypes+correlate+with+the+biological+and+clinical+activity+of+sunitinib+in+imatinib-resistant+gastrointestinal+stromal+tumor"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2008, 26(33):53529.</w:t>
      </w:r>
    </w:p>
    <w:p>
      <w:pPr>
        <w:widowControl/>
        <w:numPr>
          <w:ilvl w:val="0"/>
          <w:numId w:val="22"/>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Heinrich MC, Corless CL. Cancer: Oncogenes in context. Nature. 2010, 467(7317):796-7.</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56" w:name="_Toc20319_WPSOffice_Level1"/>
      <w:bookmarkStart w:id="257" w:name="_Toc17440_WPSOffice_Level1"/>
      <w:bookmarkStart w:id="258" w:name="_Toc29285_WPSOffice_Level1"/>
      <w:bookmarkStart w:id="259" w:name="_Toc3049_WPSOffice_Level1"/>
      <w:bookmarkStart w:id="260" w:name="_Toc12685_WPSOffice_Level1"/>
      <w:bookmarkStart w:id="261" w:name="_Toc17938_WPSOffice_Level1"/>
      <w:bookmarkStart w:id="262" w:name="_Toc21686_WPSOffice_Level1"/>
      <w:bookmarkStart w:id="263" w:name="_Toc28180_WPSOffice_Level1"/>
      <w:r>
        <w:rPr>
          <w:rFonts w:ascii="Times New Roman" w:hAnsi="Times New Roman" w:eastAsia="微软雅黑" w:cs="Times New Roman"/>
          <w:b/>
          <w:bCs/>
          <w:color w:val="416AAB"/>
          <w:sz w:val="24"/>
          <w:szCs w:val="24"/>
          <w:highlight w:val="none"/>
          <w:lang w:eastAsia="zh-CN"/>
        </w:rPr>
        <w:t>KRAS</w:t>
      </w:r>
      <w:bookmarkEnd w:id="256"/>
      <w:bookmarkEnd w:id="257"/>
      <w:bookmarkEnd w:id="258"/>
      <w:bookmarkEnd w:id="259"/>
      <w:bookmarkEnd w:id="260"/>
      <w:bookmarkEnd w:id="261"/>
      <w:bookmarkEnd w:id="262"/>
      <w:bookmarkEnd w:id="263"/>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已在人类鉴定出三种不同的RAS基因：KRAS基因（与Kirsten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RAS被发现可在多种癌症的发病中起作用。RAS基因的激活性突变，在缺乏生长因子信号输入的情况下亦能保持 RAS的GTP酶活性持续存在，结果转化为细胞不断增殖的信号（图示）。某种RAS基因常在不同的恶性肿瘤中反复突变。KRAS基因突变特别常见于结肠癌，肺癌和胰腺癌</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400425" cy="1771650"/>
            <wp:effectExtent l="0" t="0" r="13335" b="11430"/>
            <wp:docPr id="17294" name="Picture 17294"/>
            <wp:cNvGraphicFramePr/>
            <a:graphic xmlns:a="http://schemas.openxmlformats.org/drawingml/2006/main">
              <a:graphicData uri="http://schemas.openxmlformats.org/drawingml/2006/picture">
                <pic:pic xmlns:pic="http://schemas.openxmlformats.org/drawingml/2006/picture">
                  <pic:nvPicPr>
                    <pic:cNvPr id="17294" name="Picture 17294"/>
                    <pic:cNvPicPr/>
                  </pic:nvPicPr>
                  <pic:blipFill>
                    <a:blip r:embed="rId16"/>
                    <a:stretch>
                      <a:fillRect/>
                    </a:stretch>
                  </pic:blipFill>
                  <pic:spPr>
                    <a:xfrm>
                      <a:off x="0" y="0"/>
                      <a:ext cx="3400425" cy="1771650"/>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图示：KRAS基因突变导致即使缺乏 EGFR 信号输入也能刺激细胞增殖</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"http://www.ncbi.nlm.nih.gov/pubmed?term=Schubbert%20S%5BAuthor%5D&amp;cauthor=true&amp;cauthor_uid=17384584" \h </w:instrText>
      </w:r>
      <w:r>
        <w:rPr>
          <w:highlight w:val="none"/>
        </w:rPr>
        <w:fldChar w:fldCharType="separate"/>
      </w:r>
      <w:r>
        <w:rPr>
          <w:rFonts w:ascii="Times New Roman" w:hAnsi="Times New Roman" w:cs="Times New Roman"/>
          <w:sz w:val="15"/>
          <w:szCs w:val="15"/>
          <w:highlight w:val="none"/>
        </w:rPr>
        <w:t>Schubbert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Hyperactive Ras in developmental disorders and cancer. Nat Rev Cancer. 2007, 7(4):295-308.</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64" w:name="_Toc24661_WPSOffice_Level1"/>
      <w:bookmarkStart w:id="265" w:name="_Toc27941_WPSOffice_Level1"/>
      <w:bookmarkStart w:id="266" w:name="_Toc4584_WPSOffice_Level1"/>
      <w:bookmarkStart w:id="267" w:name="_Toc19766_WPSOffice_Level1"/>
      <w:bookmarkStart w:id="268" w:name="_Toc27824_WPSOffice_Level1"/>
      <w:bookmarkStart w:id="269" w:name="_Toc18427_WPSOffice_Level1"/>
      <w:bookmarkStart w:id="270" w:name="_Toc25956_WPSOffice_Level1"/>
      <w:bookmarkStart w:id="271" w:name="_Toc29816_WPSOffice_Level1"/>
      <w:r>
        <w:rPr>
          <w:rFonts w:ascii="Times New Roman" w:hAnsi="Times New Roman" w:eastAsia="微软雅黑" w:cs="Times New Roman"/>
          <w:b/>
          <w:bCs/>
          <w:color w:val="416AAB"/>
          <w:sz w:val="24"/>
          <w:szCs w:val="24"/>
          <w:highlight w:val="none"/>
          <w:lang w:eastAsia="zh-CN"/>
        </w:rPr>
        <w:t>MAP2K1 (MEK1)</w:t>
      </w:r>
      <w:bookmarkEnd w:id="264"/>
      <w:bookmarkEnd w:id="265"/>
      <w:bookmarkEnd w:id="266"/>
      <w:bookmarkEnd w:id="267"/>
      <w:bookmarkEnd w:id="268"/>
      <w:bookmarkEnd w:id="269"/>
      <w:bookmarkEnd w:id="270"/>
      <w:bookmarkEnd w:id="271"/>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MEK1（也称为 MAP2K1）是一种丝氨酸 - 苏氨酸蛋白激酶，是MAP激酶信号传导途径的中央调控者。作为 MAP激酶途径的组成部分，MEK1参与细胞生命过程，包括细胞增殖、分化和转录调控。</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可在约1％的所有非小细胞肺癌病人发现MEK1体细胞突变，在肺腺癌中的出现频率高于鳞状细胞肺癌</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。携带有MEK1体细胞突变的肺癌病人的临床特征尚有待详细阐述。</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219450" cy="2867025"/>
            <wp:effectExtent l="0" t="0" r="11430" b="13335"/>
            <wp:docPr id="17381" name="Picture 17381"/>
            <wp:cNvGraphicFramePr/>
            <a:graphic xmlns:a="http://schemas.openxmlformats.org/drawingml/2006/main">
              <a:graphicData uri="http://schemas.openxmlformats.org/drawingml/2006/picture">
                <pic:pic xmlns:pic="http://schemas.openxmlformats.org/drawingml/2006/picture">
                  <pic:nvPicPr>
                    <pic:cNvPr id="17381" name="Picture 17381"/>
                    <pic:cNvPicPr/>
                  </pic:nvPicPr>
                  <pic:blipFill>
                    <a:blip r:embed="rId17"/>
                    <a:stretch>
                      <a:fillRect/>
                    </a:stretch>
                  </pic:blipFill>
                  <pic:spPr>
                    <a:xfrm>
                      <a:off x="0" y="0"/>
                      <a:ext cx="3219450" cy="286702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图示：MEK1突变与癌症治疗</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4"/>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"http://www.ncbi.nlm.nih.gov/pubmed?term=Marks%20JL%5BAuthor%5D&amp;cauthor=true&amp;cauthor_uid=18632602" \h </w:instrText>
      </w:r>
      <w:r>
        <w:rPr>
          <w:highlight w:val="none"/>
        </w:rPr>
        <w:fldChar w:fldCharType="separate"/>
      </w:r>
      <w:r>
        <w:rPr>
          <w:rFonts w:ascii="Times New Roman" w:hAnsi="Times New Roman" w:cs="Times New Roman"/>
          <w:sz w:val="15"/>
          <w:szCs w:val="15"/>
          <w:highlight w:val="none"/>
        </w:rPr>
        <w:t>Marks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L, et al. Novel MEK1 mutation identified by mutational analysis of epidermal growth factor receptor signaling pathway genes in lung adenocarcinoma. Cancer Res. 2008, 68(14):5524-8.</w:t>
      </w:r>
    </w:p>
    <w:p>
      <w:pPr>
        <w:spacing w:line="276" w:lineRule="auto"/>
        <w:ind w:firstLine="440" w:firstLineChars="200"/>
        <w:jc w:val="both"/>
        <w:rPr>
          <w:rFonts w:ascii="Times New Roman" w:hAnsi="Times New Roman" w:eastAsia="微软雅黑" w:cs="Times New Roman"/>
          <w:highlight w:val="none"/>
        </w:rPr>
      </w:pP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72" w:name="_Toc7268_WPSOffice_Level1"/>
      <w:bookmarkStart w:id="273" w:name="_Toc13267_WPSOffice_Level1"/>
      <w:bookmarkStart w:id="274" w:name="_Toc12258_WPSOffice_Level1"/>
      <w:bookmarkStart w:id="275" w:name="_Toc9870_WPSOffice_Level1"/>
      <w:bookmarkStart w:id="276" w:name="_Toc19658_WPSOffice_Level1"/>
      <w:bookmarkStart w:id="277" w:name="_Toc8959_WPSOffice_Level1"/>
      <w:bookmarkStart w:id="278" w:name="_Toc8141_WPSOffice_Level1"/>
      <w:bookmarkStart w:id="279" w:name="_Toc20570_WPSOffice_Level1"/>
      <w:r>
        <w:rPr>
          <w:rFonts w:ascii="Times New Roman" w:hAnsi="Times New Roman" w:eastAsia="微软雅黑" w:cs="Times New Roman"/>
          <w:b/>
          <w:bCs/>
          <w:color w:val="416AAB"/>
          <w:sz w:val="24"/>
          <w:szCs w:val="24"/>
          <w:highlight w:val="none"/>
          <w:lang w:eastAsia="zh-CN"/>
        </w:rPr>
        <w:t>MET</w:t>
      </w:r>
      <w:bookmarkEnd w:id="272"/>
      <w:bookmarkEnd w:id="273"/>
      <w:bookmarkEnd w:id="274"/>
      <w:bookmarkEnd w:id="275"/>
      <w:bookmarkEnd w:id="276"/>
      <w:bookmarkEnd w:id="277"/>
      <w:bookmarkEnd w:id="278"/>
      <w:bookmarkEnd w:id="279"/>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MET基因MNNG-HOS转化基因位于第7号染色体，编码一种受体酪氨酸激酶（RTK）</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与其配体肝细胞生长因子（HG）的结合，诱导MET受体的构象变化，由此磷酸化和激活。活化的MET接着磷酸化其底物，从而激活下游多个途径，包括涉及细胞存活的PI3K-AKT-mTOR途径，参与细胞增殖的RAS-RAF-MEK-ERK通路（图示）。恶性肿瘤细胞，由MET受体传输的异常信号会促成多效作用，包括生长、存活、侵入、迁移、血管生成和转移</w:t>
      </w:r>
      <w:r>
        <w:rPr>
          <w:rFonts w:ascii="Times New Roman" w:hAnsi="Times New Roman" w:eastAsia="微软雅黑" w:cs="Times New Roman"/>
          <w:bCs/>
          <w:sz w:val="18"/>
          <w:szCs w:val="18"/>
          <w:highlight w:val="none"/>
          <w:shd w:val="clear" w:color="auto" w:fill="FFFFFF"/>
          <w:vertAlign w:val="superscript"/>
          <w:lang w:eastAsia="zh-CN"/>
        </w:rPr>
        <w:t>[2，3]</w:t>
      </w:r>
      <w:r>
        <w:rPr>
          <w:rFonts w:ascii="Times New Roman" w:hAnsi="Times New Roman" w:eastAsia="微软雅黑" w:cs="Times New Roman"/>
          <w:bCs/>
          <w:sz w:val="18"/>
          <w:szCs w:val="18"/>
          <w:highlight w:val="none"/>
          <w:shd w:val="clear" w:color="auto" w:fill="FFFFFF"/>
          <w:lang w:eastAsia="zh-CN"/>
        </w:rPr>
        <w:t>。已在多种人类癌症鉴定到MET受体及其配体HGF的异常激活，如所有的遗传性乳头状肾细胞癌都存在MET基因酪氨酸激酶功能域的遗传性突变，而10-15％的散发性乳头状肾细胞癌也可检测到体细胞突变</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。头颈部鳞状细胞癌、儿童肝细胞癌、非小细胞肺癌和小细胞肺癌也能检测到低频的MET基因突变</w:t>
      </w:r>
      <w:r>
        <w:rPr>
          <w:rFonts w:ascii="Times New Roman" w:hAnsi="Times New Roman" w:eastAsia="微软雅黑" w:cs="Times New Roman"/>
          <w:bCs/>
          <w:sz w:val="18"/>
          <w:szCs w:val="18"/>
          <w:highlight w:val="none"/>
          <w:shd w:val="clear" w:color="auto" w:fill="FFFFFF"/>
          <w:vertAlign w:val="superscript"/>
          <w:lang w:eastAsia="zh-CN"/>
        </w:rPr>
        <w:t>[5]</w:t>
      </w:r>
      <w:r>
        <w:rPr>
          <w:rFonts w:ascii="Times New Roman" w:hAnsi="Times New Roman" w:eastAsia="微软雅黑" w:cs="Times New Roman"/>
          <w:bCs/>
          <w:sz w:val="18"/>
          <w:szCs w:val="18"/>
          <w:highlight w:val="none"/>
          <w:shd w:val="clear" w:color="auto" w:fill="FFFFFF"/>
          <w:lang w:eastAsia="zh-CN"/>
        </w:rPr>
        <w:t>。此外，MET基因扩增被报道出现于胃癌、食管癌、大肠癌、胶质瘤、非小细胞肺癌和透明细胞卵巢癌等</w:t>
      </w:r>
      <w:r>
        <w:rPr>
          <w:rFonts w:ascii="Times New Roman" w:hAnsi="Times New Roman" w:eastAsia="微软雅黑" w:cs="Times New Roman"/>
          <w:bCs/>
          <w:sz w:val="18"/>
          <w:szCs w:val="18"/>
          <w:highlight w:val="none"/>
          <w:shd w:val="clear" w:color="auto" w:fill="FFFFFF"/>
          <w:vertAlign w:val="superscript"/>
          <w:lang w:eastAsia="zh-CN"/>
        </w:rPr>
        <w:t>[6，7]</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2676525" cy="2066925"/>
            <wp:effectExtent l="0" t="0" r="5715" b="5715"/>
            <wp:docPr id="17574" name="Picture 17574"/>
            <wp:cNvGraphicFramePr/>
            <a:graphic xmlns:a="http://schemas.openxmlformats.org/drawingml/2006/main">
              <a:graphicData uri="http://schemas.openxmlformats.org/drawingml/2006/picture">
                <pic:pic xmlns:pic="http://schemas.openxmlformats.org/drawingml/2006/picture">
                  <pic:nvPicPr>
                    <pic:cNvPr id="17574" name="Picture 17574"/>
                    <pic:cNvPicPr/>
                  </pic:nvPicPr>
                  <pic:blipFill>
                    <a:blip r:embed="rId18"/>
                    <a:stretch>
                      <a:fillRect/>
                    </a:stretch>
                  </pic:blipFill>
                  <pic:spPr>
                    <a:xfrm>
                      <a:off x="0" y="0"/>
                      <a:ext cx="2676525" cy="206692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图示：MET信号通路</w:t>
      </w:r>
      <w:r>
        <w:rPr>
          <w:rFonts w:ascii="Times New Roman" w:hAnsi="Times New Roman" w:eastAsia="微软雅黑" w:cs="Times New Roman"/>
          <w:bCs/>
          <w:sz w:val="18"/>
          <w:szCs w:val="18"/>
          <w:highlight w:val="none"/>
          <w:shd w:val="clear" w:color="auto" w:fill="FFFFFF"/>
          <w:vertAlign w:val="superscript"/>
          <w:lang w:eastAsia="zh-CN"/>
        </w:rPr>
        <w:t xml:space="preserve"> 8</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Cooper CS, et al. Molecular cloning of a new transforming gene from a chemically transformed human cell line. Nature. 1984, 311(5981):29-33.</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Birchmeier C, et al. Met, metastasis, motility and more. Nat Rev Mol Cell Biol. 2003, 4(12):915-25.</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Peruzzi B, Bottaro DP. Targeting the c-Met signaling pathway in cancer. Clin Cancer Res. 2006, 12(12):3657-60.</w:t>
      </w:r>
    </w:p>
    <w:p>
      <w:pPr>
        <w:widowControl/>
        <w:numPr>
          <w:ilvl w:val="0"/>
          <w:numId w:val="2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"http://www.ncbi.nlm.nih.gov/pubmed?term=Schmidt%20L%5BAuthor%5D&amp;cauthor=true&amp;cauthor_uid=9140397" \h </w:instrText>
      </w:r>
      <w:r>
        <w:rPr>
          <w:highlight w:val="none"/>
        </w:rPr>
        <w:fldChar w:fldCharType="separate"/>
      </w:r>
      <w:r>
        <w:rPr>
          <w:rFonts w:ascii="Times New Roman" w:hAnsi="Times New Roman" w:cs="Times New Roman"/>
          <w:sz w:val="15"/>
          <w:szCs w:val="15"/>
          <w:highlight w:val="none"/>
        </w:rPr>
        <w:t>Schmidt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Germline and somatic mutations in the tyrosine kinase domain of the MET protooncogene in papillary renal carcinomas. </w:t>
      </w:r>
      <w:r>
        <w:rPr>
          <w:highlight w:val="none"/>
        </w:rPr>
        <w:fldChar w:fldCharType="begin"/>
      </w:r>
      <w:r>
        <w:rPr>
          <w:highlight w:val="none"/>
        </w:rPr>
        <w:instrText xml:space="preserve"> HYPERLINK "http://www.ncbi.nlm.nih.gov/pubmed/9140397" \h </w:instrText>
      </w:r>
      <w:r>
        <w:rPr>
          <w:highlight w:val="none"/>
        </w:rPr>
        <w:fldChar w:fldCharType="separate"/>
      </w:r>
      <w:r>
        <w:rPr>
          <w:rFonts w:ascii="Times New Roman" w:hAnsi="Times New Roman" w:cs="Times New Roman"/>
          <w:sz w:val="15"/>
          <w:szCs w:val="15"/>
          <w:highlight w:val="none"/>
        </w:rPr>
        <w:t>Nat Genet.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"http://www.ncbi.nlm.nih.gov/pubmed/9140397"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1997, 16(1):68-73.</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 PC, et al. c-MET mutational analysis in small cell lung cancer: novel juxtamembrane domain mutations regulating cytoskeletal functions. Cancer Res. 2003, 63(19):6272-81.</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Bean J, et al. MET amplification occurs with or without T790M mutations in EGFR mutant lung tumors with acquired resistance to gefitinib or erlotinib. Proc Natl Acad Sci U S A. 2007, 104(52):20932-7.</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Kubo T, et al. MET gene amplification or EGFR mutation activate MET in lung cancers untreated with EGFR tyrosine kinase inhibitors. Int J Cancer. 2009, 124(8):1778-84.</w:t>
      </w:r>
    </w:p>
    <w:p>
      <w:pPr>
        <w:widowControl/>
        <w:numPr>
          <w:ilvl w:val="0"/>
          <w:numId w:val="2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Linehan WM, et al. The genetic basis of kidney cancer: a metabolic disease. Nat Rev Urol. 2010, 7(5):277-85.</w:t>
      </w:r>
    </w:p>
    <w:p>
      <w:pPr>
        <w:spacing w:line="276" w:lineRule="auto"/>
        <w:ind w:firstLine="360" w:firstLineChars="200"/>
        <w:jc w:val="both"/>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80" w:name="_Toc3149_WPSOffice_Level1"/>
      <w:bookmarkStart w:id="281" w:name="_Toc22326_WPSOffice_Level1"/>
      <w:bookmarkStart w:id="282" w:name="_Toc25251_WPSOffice_Level1"/>
      <w:bookmarkStart w:id="283" w:name="_Toc18680_WPSOffice_Level1"/>
      <w:bookmarkStart w:id="284" w:name="_Toc14829_WPSOffice_Level1"/>
      <w:bookmarkStart w:id="285" w:name="_Toc29912_WPSOffice_Level1"/>
      <w:bookmarkStart w:id="286" w:name="_Toc7978_WPSOffice_Level1"/>
      <w:bookmarkStart w:id="287" w:name="_Toc21505_WPSOffice_Level1"/>
      <w:r>
        <w:rPr>
          <w:rFonts w:ascii="Times New Roman" w:hAnsi="Times New Roman" w:eastAsia="微软雅黑" w:cs="Times New Roman"/>
          <w:b/>
          <w:bCs/>
          <w:color w:val="416AAB"/>
          <w:sz w:val="24"/>
          <w:szCs w:val="24"/>
          <w:highlight w:val="none"/>
          <w:lang w:eastAsia="zh-CN"/>
        </w:rPr>
        <w:t>NRAS</w:t>
      </w:r>
      <w:bookmarkEnd w:id="280"/>
      <w:bookmarkEnd w:id="281"/>
      <w:bookmarkEnd w:id="282"/>
      <w:bookmarkEnd w:id="283"/>
      <w:bookmarkEnd w:id="284"/>
      <w:bookmarkEnd w:id="285"/>
      <w:bookmarkEnd w:id="286"/>
      <w:bookmarkEnd w:id="287"/>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已在人类鉴定出三种不同的RAS基因：KRAS基因（与 Kirsten 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RAS-RAF-MEK-ERK通路（图示）。不同的恶性肿瘤可观察到某种RAS基因的反复突变。NRAS突变特别常见于黑色素瘤、干细胞癌、髓性白血病，以及甲状腺癌</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40" w:firstLineChars="200"/>
        <w:jc w:val="both"/>
        <w:rPr>
          <w:rFonts w:ascii="Times New Roman" w:hAnsi="Times New Roman" w:eastAsia="微软雅黑" w:cs="Times New Roman"/>
          <w:sz w:val="17"/>
          <w:highlight w:val="none"/>
          <w:lang w:eastAsia="zh-CN"/>
        </w:rPr>
      </w:pPr>
    </w:p>
    <w:p>
      <w:pPr>
        <w:spacing w:line="276" w:lineRule="auto"/>
        <w:ind w:firstLine="440" w:firstLineChars="200"/>
        <w:jc w:val="both"/>
        <w:rPr>
          <w:rFonts w:ascii="Times New Roman" w:hAnsi="Times New Roman" w:eastAsia="微软雅黑" w:cs="Times New Roman"/>
          <w:sz w:val="17"/>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7696" behindDoc="0" locked="0" layoutInCell="1" allowOverlap="1">
            <wp:simplePos x="0" y="0"/>
            <wp:positionH relativeFrom="margin">
              <wp:align>center</wp:align>
            </wp:positionH>
            <wp:positionV relativeFrom="paragraph">
              <wp:posOffset>119380</wp:posOffset>
            </wp:positionV>
            <wp:extent cx="4400550" cy="2838450"/>
            <wp:effectExtent l="0" t="0" r="3810" b="11430"/>
            <wp:wrapNone/>
            <wp:docPr id="17902" name="Picture 17902"/>
            <wp:cNvGraphicFramePr/>
            <a:graphic xmlns:a="http://schemas.openxmlformats.org/drawingml/2006/main">
              <a:graphicData uri="http://schemas.openxmlformats.org/drawingml/2006/picture">
                <pic:pic xmlns:pic="http://schemas.openxmlformats.org/drawingml/2006/picture">
                  <pic:nvPicPr>
                    <pic:cNvPr id="17902" name="Picture 17902"/>
                    <pic:cNvPicPr/>
                  </pic:nvPicPr>
                  <pic:blipFill>
                    <a:blip r:embed="rId19">
                      <a:extLst>
                        <a:ext uri="{28A0092B-C50C-407E-A947-70E740481C1C}">
                          <a14:useLocalDpi xmlns:a14="http://schemas.microsoft.com/office/drawing/2010/main" val="0"/>
                        </a:ext>
                      </a:extLst>
                    </a:blip>
                    <a:stretch>
                      <a:fillRect/>
                    </a:stretch>
                  </pic:blipFill>
                  <pic:spPr>
                    <a:xfrm>
                      <a:off x="0" y="0"/>
                      <a:ext cx="4400550" cy="2838450"/>
                    </a:xfrm>
                    <a:prstGeom prst="rect">
                      <a:avLst/>
                    </a:prstGeom>
                  </pic:spPr>
                </pic:pic>
              </a:graphicData>
            </a:graphic>
          </wp:anchor>
        </w:drawing>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图示：突变 NARS 导致黑色素细胞癌变</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6"/>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"http://www.ncbi.nlm.nih.gov/pubmed?term=Schubbert%20S%5BAuthor%5D&amp;cauthor=true&amp;cauthor_uid=17384584" \h </w:instrText>
      </w:r>
      <w:r>
        <w:rPr>
          <w:highlight w:val="none"/>
        </w:rPr>
        <w:fldChar w:fldCharType="separate"/>
      </w:r>
      <w:r>
        <w:rPr>
          <w:rFonts w:ascii="Times New Roman" w:hAnsi="Times New Roman" w:cs="Times New Roman"/>
          <w:sz w:val="15"/>
          <w:szCs w:val="15"/>
          <w:highlight w:val="none"/>
        </w:rPr>
        <w:t>Schubbert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Hyperactive Ras in developmental disorders and cancer. Nat Rev Cancer. 2007, 7(4):295-308.</w:t>
      </w:r>
    </w:p>
    <w:p>
      <w:pPr>
        <w:widowControl/>
        <w:numPr>
          <w:ilvl w:val="0"/>
          <w:numId w:val="26"/>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Huang PH, Marais R. Cancer: Melanoma troops massed. Nature. 2009, 459(7245):336-7.</w:t>
      </w:r>
    </w:p>
    <w:p>
      <w:pPr>
        <w:widowControl/>
        <w:numPr>
          <w:ilvl w:val="0"/>
          <w:numId w:val="1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88" w:name="_Toc4993_WPSOffice_Level1"/>
      <w:bookmarkStart w:id="289" w:name="_Toc4238_WPSOffice_Level1"/>
      <w:bookmarkStart w:id="290" w:name="_Toc17014_WPSOffice_Level1"/>
      <w:bookmarkStart w:id="291" w:name="_Toc29741_WPSOffice_Level1"/>
      <w:bookmarkStart w:id="292" w:name="_Toc22522_WPSOffice_Level1"/>
      <w:bookmarkStart w:id="293" w:name="_Toc9131_WPSOffice_Level1"/>
      <w:bookmarkStart w:id="294" w:name="_Toc16333_WPSOffice_Level1"/>
      <w:bookmarkStart w:id="295" w:name="_Toc29818_WPSOffice_Level1"/>
      <w:r>
        <w:rPr>
          <w:rFonts w:ascii="Times New Roman" w:hAnsi="Times New Roman" w:eastAsia="微软雅黑" w:cs="Times New Roman"/>
          <w:b/>
          <w:bCs/>
          <w:color w:val="416AAB"/>
          <w:sz w:val="24"/>
          <w:szCs w:val="24"/>
          <w:highlight w:val="none"/>
          <w:lang w:eastAsia="zh-CN"/>
        </w:rPr>
        <w:t>PDGFRA</w:t>
      </w:r>
      <w:bookmarkEnd w:id="288"/>
      <w:bookmarkEnd w:id="289"/>
      <w:bookmarkEnd w:id="290"/>
      <w:bookmarkEnd w:id="291"/>
      <w:bookmarkEnd w:id="292"/>
      <w:bookmarkEnd w:id="293"/>
      <w:bookmarkEnd w:id="294"/>
      <w:bookmarkEnd w:id="295"/>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血小板衍生生长因子受体α（PDGFRA）属于受体酪氨酸激酶（RTK）家族，包括PDGFRA 和PDGFRB。与配体如血小板衍生生长因子（PDGF）的结合，诱导构象变化从而形成同源或异源二聚体，这样活化PDGFRA 酪氨酸激酶活性（图示）。活化的PDGFRA 然后磷酸化其底物，导致细胞中多个下游途径的激活，包括与细胞存活有关的PI3K-AKT-mTOR途径，和涉及细胞增殖的RAS-RAF-MEKERK通路。突变体PDGFRA被报道参与了一些癌症的发病。如突变可见于胃肠道间质瘤（GIST）</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，基因融合见于嗜酸性粒细胞增多综合征</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和隆突皮肤纤维肉瘤</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。5%的GIST患者能检测到PDGFRA基因突变，大部分是胃性GIST。PDGFRA基因突变主要在其18外显子（也就是酪氨酸激酶 2功能域，约5%）、12外显子上（近膜功能域，约1%）、14外显子（也就是酪氨酸激酶1功能域，少于1%）。除D842V外，18号外显子其它的突变均对伊马替尼（Imatinib）敏感</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1771650" cy="2409825"/>
            <wp:effectExtent l="0" t="0" r="11430" b="13335"/>
            <wp:docPr id="18082" name="Picture 18082"/>
            <wp:cNvGraphicFramePr/>
            <a:graphic xmlns:a="http://schemas.openxmlformats.org/drawingml/2006/main">
              <a:graphicData uri="http://schemas.openxmlformats.org/drawingml/2006/picture">
                <pic:pic xmlns:pic="http://schemas.openxmlformats.org/drawingml/2006/picture">
                  <pic:nvPicPr>
                    <pic:cNvPr id="18082" name="Picture 18082"/>
                    <pic:cNvPicPr/>
                  </pic:nvPicPr>
                  <pic:blipFill>
                    <a:blip r:embed="rId20"/>
                    <a:stretch>
                      <a:fillRect/>
                    </a:stretch>
                  </pic:blipFill>
                  <pic:spPr>
                    <a:xfrm>
                      <a:off x="0" y="0"/>
                      <a:ext cx="1771650" cy="2409825"/>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图示：PDGFRA信号传递途径</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7"/>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Corless CL, et al. PDGFRA mutations in gastrointestinal stromal tumors: frequency, spectrum and in vitro sensitivity to imatinib. J Clin Oncol. 2005, 23(23):5357-64.</w:t>
      </w:r>
    </w:p>
    <w:p>
      <w:pPr>
        <w:widowControl/>
        <w:numPr>
          <w:ilvl w:val="0"/>
          <w:numId w:val="27"/>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"http://www.ncbi.nlm.nih.gov/pubmed?term=Heinrich%20MC%5BAuthor%5D&amp;cauthor=true&amp;cauthor_uid=12522257" \h </w:instrText>
      </w:r>
      <w:r>
        <w:rPr>
          <w:highlight w:val="none"/>
        </w:rPr>
        <w:fldChar w:fldCharType="separate"/>
      </w:r>
      <w:r>
        <w:rPr>
          <w:rFonts w:ascii="Times New Roman" w:hAnsi="Times New Roman" w:cs="Times New Roman"/>
          <w:sz w:val="15"/>
          <w:szCs w:val="15"/>
          <w:highlight w:val="none"/>
        </w:rPr>
        <w:t>Heinrich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C, et al. PDGFRA activating mutations in gastrointestinal stromal tumors. Science. 2003, 299(5607):708-10.</w:t>
      </w:r>
    </w:p>
    <w:p>
      <w:pPr>
        <w:widowControl/>
        <w:numPr>
          <w:ilvl w:val="0"/>
          <w:numId w:val="27"/>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"http://www.ncbi.nlm.nih.gov/pubmed?term=Cools%20J%5BAuthor%5D&amp;cauthor=true&amp;cauthor_uid=12660384" \h </w:instrText>
      </w:r>
      <w:r>
        <w:rPr>
          <w:highlight w:val="none"/>
        </w:rPr>
        <w:fldChar w:fldCharType="separate"/>
      </w:r>
      <w:r>
        <w:rPr>
          <w:rFonts w:ascii="Times New Roman" w:hAnsi="Times New Roman" w:cs="Times New Roman"/>
          <w:sz w:val="15"/>
          <w:szCs w:val="15"/>
          <w:highlight w:val="none"/>
        </w:rPr>
        <w:t>Cools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 tyrosine kinase created by fusion of the PDGFRA and FIP1L1 genes as a therapeutic target of imatinib in idiopathic hypereosinophilic syndrome. N Engl J Med. 2003, 348(13):1201-14.</w:t>
      </w:r>
    </w:p>
    <w:p>
      <w:pPr>
        <w:widowControl/>
        <w:numPr>
          <w:ilvl w:val="0"/>
          <w:numId w:val="27"/>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"http://www.ncbi.nlm.nih.gov/pubmed?term=Simon%20MP%5BAuthor%5D&amp;cauthor=true&amp;cauthor_uid=8988177" \h </w:instrText>
      </w:r>
      <w:r>
        <w:rPr>
          <w:highlight w:val="none"/>
        </w:rPr>
        <w:fldChar w:fldCharType="separate"/>
      </w:r>
      <w:r>
        <w:rPr>
          <w:rFonts w:ascii="Times New Roman" w:hAnsi="Times New Roman" w:cs="Times New Roman"/>
          <w:sz w:val="15"/>
          <w:szCs w:val="15"/>
          <w:highlight w:val="none"/>
        </w:rPr>
        <w:t>Simon MP,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Deregulation of the platelet-derived growth factor B-chain gene via fusion with collagen gene COL1A1 in dermatofibrosarcoma protuberans and giant-cell fibroblastoma. Nat Genet. 1997, 15(1):95-8.</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296" w:name="_Toc17792_WPSOffice_Level1"/>
      <w:bookmarkStart w:id="297" w:name="_Toc19245_WPSOffice_Level1"/>
      <w:bookmarkStart w:id="298" w:name="_Toc17536_WPSOffice_Level1"/>
      <w:bookmarkStart w:id="299" w:name="_Toc6659_WPSOffice_Level1"/>
      <w:bookmarkStart w:id="300" w:name="_Toc8457_WPSOffice_Level1"/>
      <w:bookmarkStart w:id="301" w:name="_Toc30785_WPSOffice_Level1"/>
      <w:bookmarkStart w:id="302" w:name="_Toc25804_WPSOffice_Level1"/>
      <w:bookmarkStart w:id="303" w:name="_Toc1871_WPSOffice_Level1"/>
      <w:r>
        <w:rPr>
          <w:rFonts w:ascii="Times New Roman" w:hAnsi="Times New Roman" w:eastAsia="微软雅黑" w:cs="Times New Roman"/>
          <w:b/>
          <w:bCs/>
          <w:color w:val="416AAB"/>
          <w:sz w:val="24"/>
          <w:szCs w:val="24"/>
          <w:highlight w:val="none"/>
          <w:lang w:eastAsia="zh-CN"/>
        </w:rPr>
        <w:t>PIK3CA</w:t>
      </w:r>
      <w:bookmarkEnd w:id="296"/>
      <w:bookmarkEnd w:id="297"/>
      <w:bookmarkEnd w:id="298"/>
      <w:bookmarkEnd w:id="299"/>
      <w:bookmarkEnd w:id="300"/>
      <w:bookmarkEnd w:id="301"/>
      <w:bookmarkEnd w:id="302"/>
      <w:bookmarkEnd w:id="303"/>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磷脂酰肌醇3 -激酶（PI3K）属于脂质激酶家族的一种，参与许多细胞过程，包括细胞生长、增殖、分化、迁移和存活等。PI3K由2个非同源亚基组成，包括一个85 kDa 的调节亚基（p85）和110 kDa的催化亚基。PIK3CA基因编码p110α催化亚基。</w:t>
      </w:r>
    </w:p>
    <w:p>
      <w:pPr>
        <w:spacing w:line="276" w:lineRule="auto"/>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 xml:space="preserve">在细胞膜内侧，PI3K转换PI（4,5）P2[磷脂酰肌醇4,5 -二磷酸]为PI（3,4,5）P3[磷脂酰肌醇（3,4,5）-三磷酸]。PI（3,4,5）P3可富集重要的下游信号转导蛋白例如AKT到细胞膜区域，从而使这些蛋白活性增加。PIK3CA基因突变被报道参与多种癌症的发病机制（图示），包括结肠癌、神经胶质瘤、胃癌、乳腺癌、子宫内膜癌和肺癌 </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w:t>
      </w:r>
    </w:p>
    <w:p>
      <w:pPr>
        <w:spacing w:line="276" w:lineRule="auto"/>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2895600" cy="2876550"/>
            <wp:effectExtent l="0" t="0" r="0" b="3810"/>
            <wp:docPr id="18217" name="Picture 18217"/>
            <wp:cNvGraphicFramePr/>
            <a:graphic xmlns:a="http://schemas.openxmlformats.org/drawingml/2006/main">
              <a:graphicData uri="http://schemas.openxmlformats.org/drawingml/2006/picture">
                <pic:pic xmlns:pic="http://schemas.openxmlformats.org/drawingml/2006/picture">
                  <pic:nvPicPr>
                    <pic:cNvPr id="18217" name="Picture 18217"/>
                    <pic:cNvPicPr/>
                  </pic:nvPicPr>
                  <pic:blipFill>
                    <a:blip r:embed="rId21"/>
                    <a:stretch>
                      <a:fillRect/>
                    </a:stretch>
                  </pic:blipFill>
                  <pic:spPr>
                    <a:xfrm>
                      <a:off x="0" y="0"/>
                      <a:ext cx="2895600" cy="2876550"/>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图示：PIK3CA基因突变参与细胞癌变</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8"/>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"http://www.ncbi.nlm.nih.gov/pubmed?term=Samuels%20Y%5BAuthor%5D&amp;cauthor=true&amp;cauthor_uid=15016963" \h </w:instrText>
      </w:r>
      <w:r>
        <w:rPr>
          <w:highlight w:val="none"/>
        </w:rPr>
        <w:fldChar w:fldCharType="separate"/>
      </w:r>
      <w:r>
        <w:rPr>
          <w:rFonts w:ascii="Times New Roman" w:hAnsi="Times New Roman" w:cs="Times New Roman"/>
          <w:sz w:val="15"/>
          <w:szCs w:val="15"/>
          <w:highlight w:val="none"/>
        </w:rPr>
        <w:t>Samuels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High frequency of mutations of the PIK3CA gene in human cancers. Science. 2004, 304(5670):554.</w:t>
      </w:r>
    </w:p>
    <w:p>
      <w:pPr>
        <w:widowControl/>
        <w:spacing w:line="276" w:lineRule="auto"/>
        <w:ind w:firstLine="360" w:firstLineChars="200"/>
        <w:jc w:val="both"/>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304" w:name="_Toc12526_WPSOffice_Level1"/>
      <w:bookmarkStart w:id="305" w:name="_Toc20595_WPSOffice_Level1"/>
      <w:bookmarkStart w:id="306" w:name="_Toc26181_WPSOffice_Level1"/>
      <w:bookmarkStart w:id="307" w:name="_Toc21199_WPSOffice_Level1"/>
      <w:bookmarkStart w:id="308" w:name="_Toc6188_WPSOffice_Level1"/>
      <w:bookmarkStart w:id="309" w:name="_Toc254_WPSOffice_Level1"/>
      <w:bookmarkStart w:id="310" w:name="_Toc8036_WPSOffice_Level1"/>
      <w:bookmarkStart w:id="311" w:name="_Toc23348_WPSOffice_Level1"/>
      <w:r>
        <w:rPr>
          <w:rFonts w:ascii="Times New Roman" w:hAnsi="Times New Roman" w:eastAsia="微软雅黑" w:cs="Times New Roman"/>
          <w:b/>
          <w:bCs/>
          <w:color w:val="416AAB"/>
          <w:sz w:val="24"/>
          <w:szCs w:val="24"/>
          <w:highlight w:val="none"/>
          <w:lang w:eastAsia="zh-CN"/>
        </w:rPr>
        <w:t>PTEN</w:t>
      </w:r>
      <w:bookmarkEnd w:id="304"/>
      <w:bookmarkEnd w:id="305"/>
      <w:bookmarkEnd w:id="306"/>
      <w:bookmarkEnd w:id="307"/>
      <w:bookmarkEnd w:id="308"/>
      <w:bookmarkEnd w:id="309"/>
      <w:bookmarkEnd w:id="310"/>
      <w:bookmarkEnd w:id="311"/>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PTEN（磷酸酶和张力蛋白同源物，10号染色体删除）是一种脂质/蛋白质磷酸，在生长、增殖、存活和维持基因组完整性等多种细胞过程起作用。PTEN是一种肿瘤抑制因子，通过对细胞膜上磷脂酰肌醇（3,4,5）-三磷酸（PIP3）的去磷酸化负调控PI3K/AKT 信号传导途径实现功能。</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癌症相关PTEN基因的变异经常导致基因失活，从而PI3K-AKT通路活性增加。PTEN 基因体细胞突变可发生于多种恶性肿瘤，包括神经胶质瘤、黑色素瘤、前列腺癌、子宫内膜癌、乳腺癌、卵巢癌、肾癌和肺癌。PTEN基因胚系突变导致遗传性错构瘤和考登综合征</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。也可通过其他机制如表观遗传学改变或翻译后修饰丢失PTEN的活性</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。免疫化学方法是一种鉴定PTEN表达的常用方式，若低表达则经常被认为是PTEN表达丢失，会导致PI3K- AKT途径活性增加（图示）。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3619500" cy="2876550"/>
            <wp:effectExtent l="0" t="0" r="7620" b="3810"/>
            <wp:docPr id="18377" name="Picture 18377"/>
            <wp:cNvGraphicFramePr/>
            <a:graphic xmlns:a="http://schemas.openxmlformats.org/drawingml/2006/main">
              <a:graphicData uri="http://schemas.openxmlformats.org/drawingml/2006/picture">
                <pic:pic xmlns:pic="http://schemas.openxmlformats.org/drawingml/2006/picture">
                  <pic:nvPicPr>
                    <pic:cNvPr id="18377" name="Picture 18377"/>
                    <pic:cNvPicPr/>
                  </pic:nvPicPr>
                  <pic:blipFill>
                    <a:blip r:embed="rId22"/>
                    <a:stretch>
                      <a:fillRect/>
                    </a:stretch>
                  </pic:blipFill>
                  <pic:spPr>
                    <a:xfrm>
                      <a:off x="0" y="0"/>
                      <a:ext cx="3619500" cy="2876550"/>
                    </a:xfrm>
                    <a:prstGeom prst="rect">
                      <a:avLst/>
                    </a:prstGeom>
                  </pic:spPr>
                </pic:pic>
              </a:graphicData>
            </a:graphic>
          </wp:inline>
        </w:drawing>
      </w:r>
    </w:p>
    <w:p>
      <w:pPr>
        <w:spacing w:line="276" w:lineRule="auto"/>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图示：PTEN与PI3K-AKT途径</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2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"http://www.ncbi.nlm.nih.gov/pubmed?term=Chalhoub%20N%5BAuthor%5D&amp;cauthor=true&amp;cauthor_uid=18767981" \h </w:instrText>
      </w:r>
      <w:r>
        <w:rPr>
          <w:highlight w:val="none"/>
        </w:rPr>
        <w:fldChar w:fldCharType="separate"/>
      </w:r>
      <w:r>
        <w:rPr>
          <w:rFonts w:ascii="Times New Roman" w:hAnsi="Times New Roman" w:cs="Times New Roman"/>
          <w:sz w:val="15"/>
          <w:szCs w:val="15"/>
          <w:highlight w:val="none"/>
        </w:rPr>
        <w:t>Chalhoub N</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"http://www.ncbi.nlm.nih.gov/pubmed?term=Chalhoub%20N%5BAuthor%5D&amp;cauthor=true&amp;cauthor_uid=18767981"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"http://www.ncbi.nlm.nih.gov/pubmed?term=Baker%20SJ%5BAuthor%5D&amp;cauthor=true&amp;cauthor_uid=18767981"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"http://www.ncbi.nlm.nih.gov/pubmed?term=Baker%20SJ%5BAuthor%5D&amp;cauthor=true&amp;cauthor_uid=18767981" \h </w:instrText>
      </w:r>
      <w:r>
        <w:rPr>
          <w:highlight w:val="none"/>
        </w:rPr>
        <w:fldChar w:fldCharType="separate"/>
      </w:r>
      <w:r>
        <w:rPr>
          <w:rFonts w:ascii="Times New Roman" w:hAnsi="Times New Roman" w:cs="Times New Roman"/>
          <w:sz w:val="15"/>
          <w:szCs w:val="15"/>
          <w:highlight w:val="none"/>
        </w:rPr>
        <w:t>Baker SJ.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PTEN and the PI3-kinase pathway in cancer. Annu Rev Pathol. 2009, 4:127-50.</w:t>
      </w:r>
    </w:p>
    <w:p>
      <w:pPr>
        <w:widowControl/>
        <w:numPr>
          <w:ilvl w:val="0"/>
          <w:numId w:val="2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"http://www.ncbi.nlm.nih.gov/pubmed?term=Maehama%20T%5BAuthor%5D&amp;cauthor=true&amp;cauthor_uid=17827710" \h </w:instrText>
      </w:r>
      <w:r>
        <w:rPr>
          <w:highlight w:val="none"/>
        </w:rPr>
        <w:fldChar w:fldCharType="separate"/>
      </w:r>
      <w:r>
        <w:rPr>
          <w:rFonts w:ascii="Times New Roman" w:hAnsi="Times New Roman" w:cs="Times New Roman"/>
          <w:sz w:val="15"/>
          <w:szCs w:val="15"/>
          <w:highlight w:val="none"/>
        </w:rPr>
        <w:t>Maehama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PTEN: its deregulation and tumorigenesis. Biol Pharm Bull. 2007, 30(9):1624-7.</w:t>
      </w:r>
    </w:p>
    <w:p>
      <w:pPr>
        <w:widowControl/>
        <w:numPr>
          <w:ilvl w:val="0"/>
          <w:numId w:val="29"/>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"http://www.ncbi.nlm.nih.gov/pubmed?term=Leslie%20NR%5BAuthor%5D&amp;cauthor=true&amp;cauthor_uid=21236500" \h </w:instrText>
      </w:r>
      <w:r>
        <w:rPr>
          <w:highlight w:val="none"/>
        </w:rPr>
        <w:fldChar w:fldCharType="separate"/>
      </w:r>
      <w:r>
        <w:rPr>
          <w:rFonts w:ascii="Times New Roman" w:hAnsi="Times New Roman" w:cs="Times New Roman"/>
          <w:sz w:val="15"/>
          <w:szCs w:val="15"/>
          <w:highlight w:val="none"/>
        </w:rPr>
        <w:t>Leslie NR</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"http://www.ncbi.nlm.nih.gov/pubmed?term=Leslie%20NR%5BAuthor%5D&amp;cauthor=true&amp;cauthor_uid=21236500"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"http://www.ncbi.nlm.nih.gov/pubmed?term=Foti%20M%5BAuthor%5D&amp;cauthor=true&amp;cauthor_uid=21236500"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"http://www.ncbi.nlm.nih.gov/pubmed?term=Foti%20M%5BAuthor%5D&amp;cauthor=true&amp;cauthor_uid=21236500" \h </w:instrText>
      </w:r>
      <w:r>
        <w:rPr>
          <w:highlight w:val="none"/>
        </w:rPr>
        <w:fldChar w:fldCharType="separate"/>
      </w:r>
      <w:r>
        <w:rPr>
          <w:rFonts w:ascii="Times New Roman" w:hAnsi="Times New Roman" w:cs="Times New Roman"/>
          <w:sz w:val="15"/>
          <w:szCs w:val="15"/>
          <w:highlight w:val="none"/>
        </w:rPr>
        <w:t>Foti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Non-genomic loss of PTEN function in cancer: not in my genes. Trends Pharmacol Sci. 2011, 32(3):131-40.</w:t>
      </w:r>
    </w:p>
    <w:p>
      <w:pPr>
        <w:spacing w:line="276" w:lineRule="auto"/>
        <w:ind w:firstLine="360" w:firstLineChars="200"/>
        <w:jc w:val="both"/>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sz w:val="18"/>
          <w:szCs w:val="18"/>
          <w:highlight w:val="none"/>
        </w:rPr>
        <w:br w:type="page"/>
      </w:r>
    </w:p>
    <w:p>
      <w:pPr>
        <w:widowControl/>
        <w:rPr>
          <w:rFonts w:ascii="Times New Roman" w:hAnsi="Times New Roman" w:eastAsia="微软雅黑" w:cs="Times New Roman"/>
          <w:b/>
          <w:bCs/>
          <w:color w:val="416AAB"/>
          <w:sz w:val="24"/>
          <w:szCs w:val="24"/>
          <w:highlight w:val="none"/>
          <w:lang w:eastAsia="zh-CN"/>
        </w:rPr>
      </w:pPr>
      <w:bookmarkStart w:id="312" w:name="_Toc19656_WPSOffice_Level1"/>
      <w:bookmarkStart w:id="313" w:name="_Toc30905_WPSOffice_Level1"/>
      <w:bookmarkStart w:id="314" w:name="_Toc18437_WPSOffice_Level1"/>
      <w:bookmarkStart w:id="315" w:name="_Toc30457_WPSOffice_Level1"/>
      <w:bookmarkStart w:id="316" w:name="_Toc15158_WPSOffice_Level1"/>
      <w:bookmarkStart w:id="317" w:name="_Toc8445_WPSOffice_Level1"/>
      <w:bookmarkStart w:id="318" w:name="_Toc2410_WPSOffice_Level1"/>
      <w:bookmarkStart w:id="319" w:name="_Toc7716_WPSOffice_Level1"/>
      <w:r>
        <w:rPr>
          <w:rFonts w:ascii="Times New Roman" w:hAnsi="Times New Roman" w:eastAsia="微软雅黑" w:cs="Times New Roman"/>
          <w:b/>
          <w:bCs/>
          <w:color w:val="416AAB"/>
          <w:sz w:val="24"/>
          <w:szCs w:val="24"/>
          <w:highlight w:val="none"/>
          <w:lang w:eastAsia="zh-CN"/>
        </w:rPr>
        <w:t>RET</w:t>
      </w:r>
      <w:bookmarkEnd w:id="312"/>
      <w:bookmarkEnd w:id="313"/>
      <w:bookmarkEnd w:id="314"/>
      <w:bookmarkEnd w:id="315"/>
      <w:bookmarkEnd w:id="316"/>
      <w:bookmarkEnd w:id="317"/>
      <w:bookmarkEnd w:id="318"/>
      <w:bookmarkEnd w:id="319"/>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RET基因（“转染过程中重新排列”</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），位于10号染色体上，编码一种受体酪氨酸激酶（RTK），属于RTK的RET家庭。RET基因在神经嵴发育中起到至关重要的作用。与带有胞外信号分子的胶质细胞源性神经营养因子（GDNF）配体家族</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 xml:space="preserve">的结合，诱导受体磷酸化和激活。活化的RET进一步磷酸化其底物，最终激活多个下游的细胞通路 </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（图示）。</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RET变异主要发现于甲状腺癌。体细胞和胚系点突变与散发性和家族性甲状腺髓样癌相关</w:t>
      </w:r>
      <w:r>
        <w:rPr>
          <w:rFonts w:ascii="Times New Roman" w:hAnsi="Times New Roman" w:eastAsia="微软雅黑" w:cs="Times New Roman"/>
          <w:bCs/>
          <w:sz w:val="18"/>
          <w:szCs w:val="18"/>
          <w:highlight w:val="none"/>
          <w:shd w:val="clear" w:color="auto" w:fill="FFFFFF"/>
          <w:vertAlign w:val="superscript"/>
          <w:lang w:eastAsia="zh-CN"/>
        </w:rPr>
        <w:t>[4，5]</w:t>
      </w:r>
      <w:r>
        <w:rPr>
          <w:rFonts w:ascii="Times New Roman" w:hAnsi="Times New Roman" w:eastAsia="微软雅黑" w:cs="Times New Roman"/>
          <w:bCs/>
          <w:sz w:val="18"/>
          <w:szCs w:val="18"/>
          <w:highlight w:val="none"/>
          <w:shd w:val="clear" w:color="auto" w:fill="FFFFFF"/>
          <w:lang w:eastAsia="zh-CN"/>
        </w:rPr>
        <w:t>。 RET融合还发现于某些肺腺癌病人</w:t>
      </w:r>
      <w:r>
        <w:rPr>
          <w:rFonts w:ascii="Times New Roman" w:hAnsi="Times New Roman" w:eastAsia="微软雅黑" w:cs="Times New Roman"/>
          <w:bCs/>
          <w:sz w:val="18"/>
          <w:szCs w:val="18"/>
          <w:highlight w:val="none"/>
          <w:shd w:val="clear" w:color="auto" w:fill="FFFFFF"/>
          <w:vertAlign w:val="superscript"/>
          <w:lang w:eastAsia="zh-CN"/>
        </w:rPr>
        <w:t>[6]</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sz w:val="18"/>
          <w:highlight w:val="none"/>
          <w:lang w:eastAsia="zh-CN"/>
        </w:rPr>
      </w:pPr>
      <w:r>
        <w:rPr>
          <w:rFonts w:ascii="Times New Roman" w:hAnsi="Times New Roman" w:eastAsia="微软雅黑" w:cs="Times New Roman"/>
          <w:highlight w:val="none"/>
          <w:lang w:eastAsia="zh-CN"/>
        </w:rPr>
        <w:drawing>
          <wp:inline distT="0" distB="0" distL="0" distR="0">
            <wp:extent cx="3038475" cy="2486025"/>
            <wp:effectExtent l="0" t="0" r="9525" b="13335"/>
            <wp:docPr id="18674" name="Picture 18674"/>
            <wp:cNvGraphicFramePr/>
            <a:graphic xmlns:a="http://schemas.openxmlformats.org/drawingml/2006/main">
              <a:graphicData uri="http://schemas.openxmlformats.org/drawingml/2006/picture">
                <pic:pic xmlns:pic="http://schemas.openxmlformats.org/drawingml/2006/picture">
                  <pic:nvPicPr>
                    <pic:cNvPr id="18674" name="Picture 18674"/>
                    <pic:cNvPicPr/>
                  </pic:nvPicPr>
                  <pic:blipFill>
                    <a:blip r:embed="rId23"/>
                    <a:stretch>
                      <a:fillRect/>
                    </a:stretch>
                  </pic:blipFill>
                  <pic:spPr>
                    <a:xfrm>
                      <a:off x="0" y="0"/>
                      <a:ext cx="3038475" cy="2486025"/>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图示：RET信号通路</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"http://www.ncbi.nlm.nih.gov/pubmed?term=Takahashi%20M%5BAuthor%5D&amp;cauthor=true&amp;cauthor_uid=2992805" \h </w:instrText>
      </w:r>
      <w:r>
        <w:rPr>
          <w:highlight w:val="none"/>
        </w:rPr>
        <w:fldChar w:fldCharType="separate"/>
      </w:r>
      <w:r>
        <w:rPr>
          <w:rFonts w:ascii="Times New Roman" w:hAnsi="Times New Roman" w:cs="Times New Roman"/>
          <w:sz w:val="15"/>
          <w:szCs w:val="15"/>
          <w:highlight w:val="none"/>
        </w:rPr>
        <w:t>Takahashi</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"http://www.ncbi.nlm.nih.gov/pubmed?term=Takahashi%20M%5BAuthor%5D&amp;cauthor=true&amp;cauthor_uid=2992805"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M, et al. Activation of a novel human transforming gene, ret, by DNA rearrangement. Cell. 1985, 42(2):581-8.</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"http://www.ncbi.nlm.nih.gov/pubmed?term=Airaksinen%20MS%5BAuthor%5D&amp;cauthor=true&amp;cauthor_uid=10356294" \h </w:instrText>
      </w:r>
      <w:r>
        <w:rPr>
          <w:highlight w:val="none"/>
        </w:rPr>
        <w:fldChar w:fldCharType="separate"/>
      </w:r>
      <w:r>
        <w:rPr>
          <w:rFonts w:ascii="Times New Roman" w:hAnsi="Times New Roman" w:cs="Times New Roman"/>
          <w:sz w:val="15"/>
          <w:szCs w:val="15"/>
          <w:highlight w:val="none"/>
        </w:rPr>
        <w:t>Airaksinen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S, et al. GDNF family neurotrophic factor signaling: four masters, one servant? Mol Cell Neurosci. 1999, 13(5):313-25.</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"http://www.ncbi.nlm.nih.gov/pubmed?term=Phay%20JE%5BAuthor%5D&amp;cauthor=true&amp;cauthor_uid=20930041" \h </w:instrText>
      </w:r>
      <w:r>
        <w:rPr>
          <w:highlight w:val="none"/>
        </w:rPr>
        <w:fldChar w:fldCharType="separate"/>
      </w:r>
      <w:r>
        <w:rPr>
          <w:rFonts w:ascii="Times New Roman" w:hAnsi="Times New Roman" w:cs="Times New Roman"/>
          <w:sz w:val="15"/>
          <w:szCs w:val="15"/>
          <w:highlight w:val="none"/>
        </w:rPr>
        <w:t>Phay JE</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"http://www.ncbi.nlm.nih.gov/pubmed?term=Phay%20JE%5BAuthor%5D&amp;cauthor=true&amp;cauthor_uid=20930041"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"http://www.ncbi.nlm.nih.gov/pubmed?term=Shah%20MH%5BAuthor%5D&amp;cauthor=true&amp;cauthor_uid=20930041"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"http://www.ncbi.nlm.nih.gov/pubmed?term=Shah%20MH%5BAuthor%5D&amp;cauthor=true&amp;cauthor_uid=20930041" \h </w:instrText>
      </w:r>
      <w:r>
        <w:rPr>
          <w:highlight w:val="none"/>
        </w:rPr>
        <w:fldChar w:fldCharType="separate"/>
      </w:r>
      <w:r>
        <w:rPr>
          <w:rFonts w:ascii="Times New Roman" w:hAnsi="Times New Roman" w:cs="Times New Roman"/>
          <w:sz w:val="15"/>
          <w:szCs w:val="15"/>
          <w:highlight w:val="none"/>
        </w:rPr>
        <w:t>Shah MH.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Targeting RET receptor tyrosine kinase activation in cancer. Clin Cancer Res. 2010, 16(24):5936-41.</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"http://www.ncbi.nlm.nih.gov/pubmed?term=Ciampi%20R%5BAuthor%5D&amp;cauthor=true&amp;cauthor_uid=16946010" \h </w:instrText>
      </w:r>
      <w:r>
        <w:rPr>
          <w:highlight w:val="none"/>
        </w:rPr>
        <w:fldChar w:fldCharType="separate"/>
      </w:r>
      <w:r>
        <w:rPr>
          <w:rFonts w:ascii="Times New Roman" w:hAnsi="Times New Roman" w:cs="Times New Roman"/>
          <w:sz w:val="15"/>
          <w:szCs w:val="15"/>
          <w:highlight w:val="none"/>
        </w:rPr>
        <w:t>Ciampi R</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"http://www.ncbi.nlm.nih.gov/pubmed?term=Ciampi%20R%5BAuthor%5D&amp;cauthor=true&amp;cauthor_uid=16946010"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w:t>
      </w:r>
      <w:r>
        <w:rPr>
          <w:highlight w:val="none"/>
        </w:rPr>
        <w:fldChar w:fldCharType="begin"/>
      </w:r>
      <w:r>
        <w:rPr>
          <w:highlight w:val="none"/>
        </w:rPr>
        <w:instrText xml:space="preserve"> HYPERLINK "http://www.ncbi.nlm.nih.gov/pubmed?term=Nikiforov%20YE%5BAuthor%5D&amp;cauthor=true&amp;cauthor_uid=16946010" \h </w:instrText>
      </w:r>
      <w:r>
        <w:rPr>
          <w:highlight w:val="none"/>
        </w:rPr>
        <w:fldChar w:fldCharType="separate"/>
      </w:r>
      <w:r>
        <w:rPr>
          <w:rFonts w:ascii="Times New Roman" w:hAnsi="Times New Roman" w:cs="Times New Roman"/>
          <w:sz w:val="15"/>
          <w:szCs w:val="15"/>
          <w:highlight w:val="none"/>
        </w:rPr>
        <w:t>Nikiforov YE.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RET/PTC rearrangements and BRAF mutations in thyroid tumorigenesis. Endocrinology. 2007, 148(3):936-41.</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"http://www.ncbi.nlm.nih.gov/pubmed?term=Salvatore%20D%5BAuthor%5D&amp;cauthor=true&amp;cauthor_uid=11061555" \h </w:instrText>
      </w:r>
      <w:r>
        <w:rPr>
          <w:highlight w:val="none"/>
        </w:rPr>
        <w:fldChar w:fldCharType="separate"/>
      </w:r>
      <w:r>
        <w:rPr>
          <w:rFonts w:ascii="Times New Roman" w:hAnsi="Times New Roman" w:cs="Times New Roman"/>
          <w:sz w:val="15"/>
          <w:szCs w:val="15"/>
          <w:highlight w:val="none"/>
        </w:rPr>
        <w:t>Salvatore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Tyrosines 1015 and 1062 are in vivo autophosphorylation sites in ret and ret-derived oncoproteins. J Clin Endocrinol Metab. 2000, 85(10):3898-907.</w:t>
      </w:r>
    </w:p>
    <w:p>
      <w:pPr>
        <w:widowControl/>
        <w:numPr>
          <w:ilvl w:val="0"/>
          <w:numId w:val="30"/>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"http://www.ncbi.nlm.nih.gov/pubmed?term=Pao%20W%5BAuthor%5D&amp;cauthor=true&amp;cauthor_uid=22395697" \h </w:instrText>
      </w:r>
      <w:r>
        <w:rPr>
          <w:highlight w:val="none"/>
        </w:rPr>
        <w:fldChar w:fldCharType="separate"/>
      </w:r>
      <w:r>
        <w:rPr>
          <w:rFonts w:ascii="Times New Roman" w:hAnsi="Times New Roman" w:cs="Times New Roman"/>
          <w:sz w:val="15"/>
          <w:szCs w:val="15"/>
          <w:highlight w:val="none"/>
        </w:rPr>
        <w:t>Pao W</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"http://www.ncbi.nlm.nih.gov/pubmed?term=Pao%20W%5BAuthor%5D&amp;cauthor=true&amp;cauthor_uid=22395697"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"http://www.ncbi.nlm.nih.gov/pubmed?term=Hutchinson%20KE%5BAuthor%5D&amp;cauthor=true&amp;cauthor_uid=22395697"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"http://www.ncbi.nlm.nih.gov/pubmed?term=Hutchinson%20KE%5BAuthor%5D&amp;cauthor=true&amp;cauthor_uid=22395697" \h </w:instrText>
      </w:r>
      <w:r>
        <w:rPr>
          <w:highlight w:val="none"/>
        </w:rPr>
        <w:fldChar w:fldCharType="separate"/>
      </w:r>
      <w:r>
        <w:rPr>
          <w:rFonts w:ascii="Times New Roman" w:hAnsi="Times New Roman" w:cs="Times New Roman"/>
          <w:sz w:val="15"/>
          <w:szCs w:val="15"/>
          <w:highlight w:val="none"/>
        </w:rPr>
        <w:t>Hutchinson KE.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Chipping away at the lung cancer genome. Nat Med. 2012, 18(3):349-51.</w:t>
      </w:r>
    </w:p>
    <w:p>
      <w:pPr>
        <w:rPr>
          <w:rFonts w:ascii="Times New Roman" w:hAnsi="Times New Roman" w:eastAsia="微软雅黑" w:cs="Times New Roman"/>
          <w:b/>
          <w:bCs/>
          <w:color w:val="416AAB"/>
          <w:sz w:val="24"/>
          <w:szCs w:val="24"/>
          <w:highlight w:val="none"/>
          <w:lang w:eastAsia="zh-CN"/>
        </w:rPr>
      </w:pPr>
      <w:bookmarkStart w:id="320" w:name="_Toc26285_WPSOffice_Level1"/>
      <w:r>
        <w:rPr>
          <w:rFonts w:ascii="Times New Roman" w:hAnsi="Times New Roman" w:eastAsia="微软雅黑" w:cs="Times New Roman"/>
          <w:b/>
          <w:bCs/>
          <w:color w:val="416AAB"/>
          <w:sz w:val="24"/>
          <w:szCs w:val="24"/>
          <w:highlight w:val="none"/>
          <w:lang w:eastAsia="zh-CN"/>
        </w:rPr>
        <w:br w:type="page"/>
      </w:r>
    </w:p>
    <w:p>
      <w:pPr>
        <w:widowControl/>
        <w:spacing w:line="276" w:lineRule="auto"/>
        <w:jc w:val="both"/>
        <w:rPr>
          <w:rFonts w:ascii="Times New Roman" w:hAnsi="Times New Roman" w:eastAsia="微软雅黑" w:cs="Times New Roman"/>
          <w:sz w:val="18"/>
          <w:szCs w:val="18"/>
          <w:highlight w:val="none"/>
          <w:lang w:eastAsia="zh-CN"/>
        </w:rPr>
      </w:pPr>
      <w:bookmarkStart w:id="321" w:name="_Toc25973_WPSOffice_Level1"/>
      <w:bookmarkStart w:id="322" w:name="_Toc18172_WPSOffice_Level1"/>
      <w:bookmarkStart w:id="323" w:name="_Toc17426_WPSOffice_Level1"/>
      <w:bookmarkStart w:id="324" w:name="_Toc13533_WPSOffice_Level1"/>
      <w:bookmarkStart w:id="325" w:name="_Toc5538_WPSOffice_Level1"/>
      <w:bookmarkStart w:id="326" w:name="_Toc22982_WPSOffice_Level1"/>
      <w:bookmarkStart w:id="327" w:name="_Toc24927_WPSOffice_Level1"/>
      <w:r>
        <w:rPr>
          <w:rFonts w:ascii="Times New Roman" w:hAnsi="Times New Roman" w:eastAsia="微软雅黑" w:cs="Times New Roman"/>
          <w:b/>
          <w:bCs/>
          <w:color w:val="416AAB"/>
          <w:sz w:val="24"/>
          <w:szCs w:val="24"/>
          <w:highlight w:val="none"/>
          <w:lang w:eastAsia="zh-CN"/>
        </w:rPr>
        <w:t>ROS1</w:t>
      </w:r>
      <w:bookmarkEnd w:id="320"/>
      <w:bookmarkEnd w:id="321"/>
      <w:bookmarkEnd w:id="322"/>
      <w:bookmarkEnd w:id="323"/>
      <w:bookmarkEnd w:id="324"/>
      <w:bookmarkEnd w:id="325"/>
      <w:bookmarkEnd w:id="326"/>
      <w:bookmarkEnd w:id="327"/>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ROS1是一种受体酪氨酸激酶（RTK），属于胰岛素受体家族。最早在胶质母细胞瘤发现了涉及ROS1基因的染色体重排如FIG-ROS1，在染色体的6q22位置</w:t>
      </w:r>
      <w:r>
        <w:rPr>
          <w:rFonts w:ascii="Times New Roman" w:hAnsi="Times New Roman" w:eastAsia="微软雅黑" w:cs="Times New Roman"/>
          <w:bCs/>
          <w:sz w:val="18"/>
          <w:szCs w:val="18"/>
          <w:highlight w:val="none"/>
          <w:shd w:val="clear" w:color="auto" w:fill="FFFFFF"/>
          <w:vertAlign w:val="superscript"/>
          <w:lang w:eastAsia="zh-CN"/>
        </w:rPr>
        <w:t>[1-3]</w:t>
      </w:r>
      <w:r>
        <w:rPr>
          <w:rFonts w:ascii="Times New Roman" w:hAnsi="Times New Roman" w:eastAsia="微软雅黑" w:cs="Times New Roman"/>
          <w:bCs/>
          <w:sz w:val="18"/>
          <w:szCs w:val="18"/>
          <w:highlight w:val="none"/>
          <w:shd w:val="clear" w:color="auto" w:fill="FFFFFF"/>
          <w:lang w:eastAsia="zh-CN"/>
        </w:rPr>
        <w:t>。最近，ROS1融合被确定为非小细胞肺癌</w:t>
      </w:r>
      <w:r>
        <w:rPr>
          <w:rFonts w:ascii="Times New Roman" w:hAnsi="Times New Roman" w:eastAsia="微软雅黑" w:cs="Times New Roman"/>
          <w:bCs/>
          <w:sz w:val="18"/>
          <w:szCs w:val="18"/>
          <w:highlight w:val="none"/>
          <w:shd w:val="clear" w:color="auto" w:fill="FFFFFF"/>
          <w:vertAlign w:val="superscript"/>
          <w:lang w:eastAsia="zh-CN"/>
        </w:rPr>
        <w:t>[4]</w:t>
      </w:r>
      <w:r>
        <w:rPr>
          <w:rFonts w:ascii="Times New Roman" w:hAnsi="Times New Roman" w:eastAsia="微软雅黑" w:cs="Times New Roman"/>
          <w:bCs/>
          <w:sz w:val="18"/>
          <w:szCs w:val="18"/>
          <w:highlight w:val="none"/>
          <w:shd w:val="clear" w:color="auto" w:fill="FFFFFF"/>
          <w:lang w:eastAsia="zh-CN"/>
        </w:rPr>
        <w:t>和胆管癌</w:t>
      </w:r>
      <w:r>
        <w:rPr>
          <w:rFonts w:ascii="Times New Roman" w:hAnsi="Times New Roman" w:eastAsia="微软雅黑" w:cs="Times New Roman"/>
          <w:bCs/>
          <w:sz w:val="18"/>
          <w:szCs w:val="18"/>
          <w:highlight w:val="none"/>
          <w:shd w:val="clear" w:color="auto" w:fill="FFFFFF"/>
          <w:vertAlign w:val="superscript"/>
          <w:lang w:eastAsia="zh-CN"/>
        </w:rPr>
        <w:t>[5]</w:t>
      </w:r>
      <w:r>
        <w:rPr>
          <w:rFonts w:ascii="Times New Roman" w:hAnsi="Times New Roman" w:eastAsia="微软雅黑" w:cs="Times New Roman"/>
          <w:bCs/>
          <w:sz w:val="18"/>
          <w:szCs w:val="18"/>
          <w:highlight w:val="none"/>
          <w:shd w:val="clear" w:color="auto" w:fill="FFFFFF"/>
          <w:lang w:eastAsia="zh-CN"/>
        </w:rPr>
        <w:t>的一个潜在驱动突变基因。</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ROS1融合蛋白包含一个完整的酪氨酸激酶结构域。迄今为止，这些已经生物学测试的融合蛋白都具有致癌活性</w:t>
      </w:r>
      <w:r>
        <w:rPr>
          <w:rFonts w:ascii="Times New Roman" w:hAnsi="Times New Roman" w:eastAsia="微软雅黑" w:cs="Times New Roman"/>
          <w:bCs/>
          <w:sz w:val="18"/>
          <w:szCs w:val="18"/>
          <w:highlight w:val="none"/>
          <w:shd w:val="clear" w:color="auto" w:fill="FFFFFF"/>
          <w:vertAlign w:val="superscript"/>
          <w:lang w:eastAsia="zh-CN"/>
        </w:rPr>
        <w:t>[3，4]</w:t>
      </w:r>
      <w:r>
        <w:rPr>
          <w:rFonts w:ascii="Times New Roman" w:hAnsi="Times New Roman" w:eastAsia="微软雅黑" w:cs="Times New Roman"/>
          <w:bCs/>
          <w:sz w:val="18"/>
          <w:szCs w:val="18"/>
          <w:highlight w:val="none"/>
          <w:shd w:val="clear" w:color="auto" w:fill="FFFFFF"/>
          <w:lang w:eastAsia="zh-CN"/>
        </w:rPr>
        <w:t>。ROS1融合蛋白向下游的信号传递会激活参与细胞生长和细胞增殖的通路（图示）。ROS1融合蛋白在体外实验中，表现出了对酪氨酸激酶抑制剂的敏感性</w:t>
      </w:r>
      <w:r>
        <w:rPr>
          <w:rFonts w:ascii="Times New Roman" w:hAnsi="Times New Roman" w:eastAsia="微软雅黑" w:cs="Times New Roman"/>
          <w:bCs/>
          <w:sz w:val="18"/>
          <w:szCs w:val="18"/>
          <w:highlight w:val="none"/>
          <w:shd w:val="clear" w:color="auto" w:fill="FFFFFF"/>
          <w:vertAlign w:val="superscript"/>
          <w:lang w:eastAsia="zh-CN"/>
        </w:rPr>
        <w:t>[6]</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2714625" cy="1419225"/>
            <wp:effectExtent l="0" t="0" r="13335" b="13335"/>
            <wp:docPr id="18875" name="Picture 18875"/>
            <wp:cNvGraphicFramePr/>
            <a:graphic xmlns:a="http://schemas.openxmlformats.org/drawingml/2006/main">
              <a:graphicData uri="http://schemas.openxmlformats.org/drawingml/2006/picture">
                <pic:pic xmlns:pic="http://schemas.openxmlformats.org/drawingml/2006/picture">
                  <pic:nvPicPr>
                    <pic:cNvPr id="18875" name="Picture 18875"/>
                    <pic:cNvPicPr/>
                  </pic:nvPicPr>
                  <pic:blipFill>
                    <a:blip r:embed="rId24"/>
                    <a:stretch>
                      <a:fillRect/>
                    </a:stretch>
                  </pic:blipFill>
                  <pic:spPr>
                    <a:xfrm>
                      <a:off x="0" y="0"/>
                      <a:ext cx="2714625" cy="1419225"/>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 ROS1 融合蛋白的激活。“X”代表各种可能的融合片断，融合蛋白的二聚体</w:t>
      </w: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化会持续激活 ROS1 酪氨酸激酶活性，其信号传递导致细胞生长和抗凋亡效应。</w:t>
      </w:r>
    </w:p>
    <w:p>
      <w:pPr>
        <w:spacing w:line="276" w:lineRule="auto"/>
        <w:ind w:firstLine="440" w:firstLineChars="200"/>
        <w:jc w:val="both"/>
        <w:rPr>
          <w:rFonts w:ascii="Times New Roman" w:hAnsi="Times New Roman" w:eastAsia="微软雅黑" w:cs="Times New Roman"/>
          <w:highlight w:val="none"/>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"http://www.ncbi.nlm.nih.gov/pubmed?term=Birchmeier%20C%5BAuthor%5D&amp;cauthor=true&amp;cauthor_uid=2827175" \h </w:instrText>
      </w:r>
      <w:r>
        <w:rPr>
          <w:highlight w:val="none"/>
        </w:rPr>
        <w:fldChar w:fldCharType="separate"/>
      </w:r>
      <w:r>
        <w:rPr>
          <w:rFonts w:ascii="Times New Roman" w:hAnsi="Times New Roman" w:cs="Times New Roman"/>
          <w:sz w:val="15"/>
          <w:szCs w:val="15"/>
          <w:highlight w:val="none"/>
        </w:rPr>
        <w:t>Birchmeier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Expression and rearrangement of the ROS1 gene in human glioblastoma cells. Proc Natl Acad Sci U S A. 1987, 84(24):9270-4.</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"http://www.ncbi.nlm.nih.gov/pubmed?term=Birchmeier%20C%5BAuthor%5D&amp;cauthor=true&amp;cauthor_uid=2352949" \h </w:instrText>
      </w:r>
      <w:r>
        <w:rPr>
          <w:highlight w:val="none"/>
        </w:rPr>
        <w:fldChar w:fldCharType="separate"/>
      </w:r>
      <w:r>
        <w:rPr>
          <w:rFonts w:ascii="Times New Roman" w:hAnsi="Times New Roman" w:cs="Times New Roman"/>
          <w:sz w:val="15"/>
          <w:szCs w:val="15"/>
          <w:highlight w:val="none"/>
        </w:rPr>
        <w:t>Birchmeier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Characterization of ROS1 cDNA from a human glioblastoma cell line. Proc Natl Acad Sci U S A. 1990, 87(12):4799-803.</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"http://www.ncbi.nlm.nih.gov/pubmed?term=Charest%20A%5BAuthor%5D&amp;cauthor=true&amp;cauthor_uid=12661006" \h </w:instrText>
      </w:r>
      <w:r>
        <w:rPr>
          <w:highlight w:val="none"/>
        </w:rPr>
        <w:fldChar w:fldCharType="separate"/>
      </w:r>
      <w:r>
        <w:rPr>
          <w:rFonts w:ascii="Times New Roman" w:hAnsi="Times New Roman" w:cs="Times New Roman"/>
          <w:sz w:val="15"/>
          <w:szCs w:val="15"/>
          <w:highlight w:val="none"/>
        </w:rPr>
        <w:t>Charest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Fusion of FIG to the receptor tyrosine kinase ROS in a glioblastoma with an interstitial del(6)(q21q21). Genes Chromosomes Cancer. 2003, 37(1):58-71.</w:t>
      </w:r>
    </w:p>
    <w:p>
      <w:pPr>
        <w:widowControl/>
        <w:numPr>
          <w:ilvl w:val="0"/>
          <w:numId w:val="31"/>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Rikova K, et al. Global survey of phosphotyrosine signaling identifies oncogenic kinases in lung cancer. Cell. 2007, 131(6):1190-203.</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"http://www.ncbi.nlm.nih.gov/pubmed?term=Gu%20TL%5BAuthor%5D&amp;cauthor=true&amp;cauthor_uid=21253578" \h </w:instrText>
      </w:r>
      <w:r>
        <w:rPr>
          <w:highlight w:val="none"/>
        </w:rPr>
        <w:fldChar w:fldCharType="separate"/>
      </w:r>
      <w:r>
        <w:rPr>
          <w:rFonts w:ascii="Times New Roman" w:hAnsi="Times New Roman" w:cs="Times New Roman"/>
          <w:sz w:val="15"/>
          <w:szCs w:val="15"/>
          <w:highlight w:val="none"/>
        </w:rPr>
        <w:t>Gu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L, et al. Survey of tyrosine kinase signaling reveals ROS kinase fusions in human cholangiocarcinoma. PLoS One. 2011, 6(1):e15640.</w:t>
      </w:r>
    </w:p>
    <w:p>
      <w:pPr>
        <w:widowControl/>
        <w:numPr>
          <w:ilvl w:val="0"/>
          <w:numId w:val="31"/>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"http://www.ncbi.nlm.nih.gov/pubmed?term=McDermott%20U%5BAuthor%5D&amp;cauthor=true&amp;cauthor_uid=18451166" \h </w:instrText>
      </w:r>
      <w:r>
        <w:rPr>
          <w:highlight w:val="none"/>
        </w:rPr>
        <w:fldChar w:fldCharType="separate"/>
      </w:r>
      <w:r>
        <w:rPr>
          <w:rFonts w:ascii="Times New Roman" w:hAnsi="Times New Roman" w:cs="Times New Roman"/>
          <w:sz w:val="15"/>
          <w:szCs w:val="15"/>
          <w:highlight w:val="none"/>
        </w:rPr>
        <w:t>McDermott U</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Genomic alterations of anaplastic lymphoma kinase may sensitize tumors to anaplastic lymphoma kinase inhibitors. Cancer Res. 2008, 68(9):3389-95.</w:t>
      </w:r>
    </w:p>
    <w:p>
      <w:pPr>
        <w:rPr>
          <w:rFonts w:ascii="Times New Roman" w:hAnsi="Times New Roman" w:eastAsia="微软雅黑" w:cs="Times New Roman"/>
          <w:b/>
          <w:bCs/>
          <w:color w:val="416AAB"/>
          <w:sz w:val="24"/>
          <w:szCs w:val="24"/>
          <w:highlight w:val="none"/>
          <w:lang w:eastAsia="zh-CN"/>
        </w:rPr>
      </w:pPr>
      <w:bookmarkStart w:id="328" w:name="_Toc21222_WPSOffice_Level1"/>
      <w:r>
        <w:rPr>
          <w:rFonts w:ascii="Times New Roman" w:hAnsi="Times New Roman" w:eastAsia="微软雅黑" w:cs="Times New Roman"/>
          <w:b/>
          <w:bCs/>
          <w:color w:val="416AAB"/>
          <w:sz w:val="24"/>
          <w:szCs w:val="24"/>
          <w:highlight w:val="none"/>
          <w:lang w:eastAsia="zh-CN"/>
        </w:rPr>
        <w:br w:type="page"/>
      </w:r>
    </w:p>
    <w:p>
      <w:pPr>
        <w:widowControl/>
        <w:spacing w:line="276" w:lineRule="auto"/>
        <w:jc w:val="both"/>
        <w:rPr>
          <w:rFonts w:ascii="Times New Roman" w:hAnsi="Times New Roman" w:eastAsia="微软雅黑" w:cs="Times New Roman"/>
          <w:sz w:val="18"/>
          <w:szCs w:val="18"/>
          <w:highlight w:val="none"/>
          <w:lang w:eastAsia="zh-CN"/>
        </w:rPr>
      </w:pPr>
      <w:bookmarkStart w:id="329" w:name="_Toc13585_WPSOffice_Level1"/>
      <w:bookmarkStart w:id="330" w:name="_Toc39_WPSOffice_Level1"/>
      <w:bookmarkStart w:id="331" w:name="_Toc27795_WPSOffice_Level1"/>
      <w:bookmarkStart w:id="332" w:name="_Toc20469_WPSOffice_Level1"/>
      <w:bookmarkStart w:id="333" w:name="_Toc9351_WPSOffice_Level1"/>
      <w:bookmarkStart w:id="334" w:name="_Toc26839_WPSOffice_Level1"/>
      <w:bookmarkStart w:id="335" w:name="_Toc32385_WPSOffice_Level1"/>
      <w:r>
        <w:rPr>
          <w:rFonts w:ascii="Times New Roman" w:hAnsi="Times New Roman" w:eastAsia="微软雅黑" w:cs="Times New Roman"/>
          <w:b/>
          <w:bCs/>
          <w:color w:val="416AAB"/>
          <w:sz w:val="24"/>
          <w:szCs w:val="24"/>
          <w:highlight w:val="none"/>
          <w:lang w:eastAsia="zh-CN"/>
        </w:rPr>
        <w:t>SMO</w:t>
      </w:r>
      <w:bookmarkEnd w:id="328"/>
      <w:bookmarkEnd w:id="329"/>
      <w:bookmarkEnd w:id="330"/>
      <w:bookmarkEnd w:id="331"/>
      <w:bookmarkEnd w:id="332"/>
      <w:bookmarkEnd w:id="333"/>
      <w:bookmarkEnd w:id="334"/>
      <w:bookmarkEnd w:id="335"/>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SMO是Hedgehog信号通路的一个组成部分（图示）。SMO和PTCH1是跨膜受体蛋白，可传递 Hedgehog 配体信号到细胞内。PTCH1或SMO突变均会导致SMO的构成型活化，已知在基底细胞癌、胶质母细胞瘤、髓母细胞瘤、横纹肌肉瘤的癌变中起一定的作用</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。Hedgehog 信号通路对胚胎发育至关重要；以皮肤为例，Hedgehog 参与维持干细胞生长、毛囊和腺体的发育及调节皮肤生长</w:t>
      </w:r>
      <w:r>
        <w:rPr>
          <w:rFonts w:ascii="Times New Roman" w:hAnsi="Times New Roman" w:eastAsia="微软雅黑" w:cs="Times New Roman"/>
          <w:bCs/>
          <w:sz w:val="18"/>
          <w:szCs w:val="18"/>
          <w:highlight w:val="none"/>
          <w:shd w:val="clear" w:color="auto" w:fill="FFFFFF"/>
          <w:vertAlign w:val="superscript"/>
          <w:lang w:eastAsia="zh-CN"/>
        </w:rPr>
        <w:t>[2]</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胚胎发育完成后，大多数人类组织Hedgehog信号通路处于非活动状态</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。该信号途径的激活可导致或有助于癌变</w:t>
      </w:r>
      <w:r>
        <w:rPr>
          <w:rFonts w:ascii="Times New Roman" w:hAnsi="Times New Roman" w:eastAsia="微软雅黑" w:cs="Times New Roman"/>
          <w:bCs/>
          <w:sz w:val="18"/>
          <w:szCs w:val="18"/>
          <w:highlight w:val="none"/>
          <w:shd w:val="clear" w:color="auto" w:fill="FFFFFF"/>
          <w:vertAlign w:val="superscript"/>
          <w:lang w:eastAsia="zh-CN"/>
        </w:rPr>
        <w:t>[1]</w:t>
      </w:r>
      <w:r>
        <w:rPr>
          <w:rFonts w:ascii="Times New Roman" w:hAnsi="Times New Roman" w:eastAsia="微软雅黑" w:cs="Times New Roman"/>
          <w:bCs/>
          <w:sz w:val="18"/>
          <w:szCs w:val="18"/>
          <w:highlight w:val="none"/>
          <w:shd w:val="clear" w:color="auto" w:fill="FFFFFF"/>
          <w:lang w:eastAsia="zh-CN"/>
        </w:rPr>
        <w:t>。有研究发现SMO可作为癌症治疗的靶标</w:t>
      </w:r>
      <w:r>
        <w:rPr>
          <w:rFonts w:ascii="Times New Roman" w:hAnsi="Times New Roman" w:eastAsia="微软雅黑" w:cs="Times New Roman"/>
          <w:bCs/>
          <w:sz w:val="18"/>
          <w:szCs w:val="18"/>
          <w:highlight w:val="none"/>
          <w:shd w:val="clear" w:color="auto" w:fill="FFFFFF"/>
          <w:vertAlign w:val="superscript"/>
          <w:lang w:eastAsia="zh-CN"/>
        </w:rPr>
        <w:t>[3-5]</w:t>
      </w:r>
      <w:r>
        <w:rPr>
          <w:rFonts w:ascii="Times New Roman" w:hAnsi="Times New Roman" w:eastAsia="微软雅黑" w:cs="Times New Roman"/>
          <w:bCs/>
          <w:sz w:val="18"/>
          <w:szCs w:val="18"/>
          <w:highlight w:val="none"/>
          <w:shd w:val="clear" w:color="auto" w:fill="FFFFFF"/>
          <w:lang w:eastAsia="zh-CN"/>
        </w:rPr>
        <w:t>。SMO抑制剂，以环杷明为例，可紧密结合SMO受体，从而抑制Hedgehog信号通路</w:t>
      </w:r>
      <w:r>
        <w:rPr>
          <w:rFonts w:ascii="Times New Roman" w:hAnsi="Times New Roman" w:eastAsia="微软雅黑" w:cs="Times New Roman"/>
          <w:bCs/>
          <w:sz w:val="18"/>
          <w:szCs w:val="18"/>
          <w:highlight w:val="none"/>
          <w:shd w:val="clear" w:color="auto" w:fill="FFFFFF"/>
          <w:vertAlign w:val="superscript"/>
          <w:lang w:eastAsia="zh-CN"/>
        </w:rPr>
        <w:t>[3，6]</w:t>
      </w:r>
      <w:r>
        <w:rPr>
          <w:rFonts w:ascii="Times New Roman" w:hAnsi="Times New Roman" w:eastAsia="微软雅黑" w:cs="Times New Roman"/>
          <w:bCs/>
          <w:sz w:val="18"/>
          <w:szCs w:val="18"/>
          <w:highlight w:val="none"/>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rPr>
        <w:drawing>
          <wp:inline distT="0" distB="0" distL="0" distR="0">
            <wp:extent cx="1600200" cy="2114550"/>
            <wp:effectExtent l="0" t="0" r="0" b="3810"/>
            <wp:docPr id="19260" name="Picture 19260"/>
            <wp:cNvGraphicFramePr/>
            <a:graphic xmlns:a="http://schemas.openxmlformats.org/drawingml/2006/main">
              <a:graphicData uri="http://schemas.openxmlformats.org/drawingml/2006/picture">
                <pic:pic xmlns:pic="http://schemas.openxmlformats.org/drawingml/2006/picture">
                  <pic:nvPicPr>
                    <pic:cNvPr id="19260" name="Picture 19260"/>
                    <pic:cNvPicPr/>
                  </pic:nvPicPr>
                  <pic:blipFill>
                    <a:blip r:embed="rId25"/>
                    <a:stretch>
                      <a:fillRect/>
                    </a:stretch>
                  </pic:blipFill>
                  <pic:spPr>
                    <a:xfrm>
                      <a:off x="0" y="0"/>
                      <a:ext cx="1600200" cy="2114550"/>
                    </a:xfrm>
                    <a:prstGeom prst="rect">
                      <a:avLst/>
                    </a:prstGeom>
                  </pic:spPr>
                </pic:pic>
              </a:graphicData>
            </a:graphic>
          </wp:inline>
        </w:drawing>
      </w:r>
    </w:p>
    <w:p>
      <w:pPr>
        <w:spacing w:line="276" w:lineRule="auto"/>
        <w:ind w:firstLine="440" w:firstLineChars="200"/>
        <w:jc w:val="center"/>
        <w:rPr>
          <w:rFonts w:ascii="Times New Roman" w:hAnsi="Times New Roman" w:eastAsia="微软雅黑" w:cs="Times New Roman"/>
          <w:highlight w:val="none"/>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图示：Hedgehog信号通路</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"http://www.ncbi.nlm.nih.gov/pubmed?term=Onishi%20H%5BAuthor%5D&amp;cauthor=true&amp;cauthor_uid=21679342" \h </w:instrText>
      </w:r>
      <w:r>
        <w:rPr>
          <w:highlight w:val="none"/>
        </w:rPr>
        <w:fldChar w:fldCharType="separate"/>
      </w:r>
      <w:r>
        <w:rPr>
          <w:rFonts w:ascii="Times New Roman" w:hAnsi="Times New Roman" w:cs="Times New Roman"/>
          <w:sz w:val="15"/>
          <w:szCs w:val="15"/>
          <w:highlight w:val="none"/>
        </w:rPr>
        <w:t>Onishi H</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"http://www.ncbi.nlm.nih.gov/pubmed?term=Onishi%20H%5BAuthor%5D&amp;cauthor=true&amp;cauthor_uid=21679342" \h </w:instrText>
      </w:r>
      <w:r>
        <w:rPr>
          <w:highlight w:val="none"/>
        </w:rPr>
        <w:fldChar w:fldCharType="separate"/>
      </w:r>
      <w:r>
        <w:rPr>
          <w:rFonts w:ascii="Times New Roman" w:hAnsi="Times New Roman" w:cs="Times New Roman"/>
          <w:sz w:val="15"/>
          <w:szCs w:val="15"/>
          <w:highlight w:val="none"/>
        </w:rPr>
        <w:t>,</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"http://www.ncbi.nlm.nih.gov/pubmed?term=Katano%20M%5BAuthor%5D&amp;cauthor=true&amp;cauthor_uid=21679342"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"http://www.ncbi.nlm.nih.gov/pubmed?term=Katano%20M%5BAuthor%5D&amp;cauthor=true&amp;cauthor_uid=21679342" \h </w:instrText>
      </w:r>
      <w:r>
        <w:rPr>
          <w:highlight w:val="none"/>
        </w:rPr>
        <w:fldChar w:fldCharType="separate"/>
      </w:r>
      <w:r>
        <w:rPr>
          <w:rFonts w:ascii="Times New Roman" w:hAnsi="Times New Roman" w:cs="Times New Roman"/>
          <w:sz w:val="15"/>
          <w:szCs w:val="15"/>
          <w:highlight w:val="none"/>
        </w:rPr>
        <w:t>Katano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Hedgehog signaling pathway as a therapeutic target in various types of cancer. Cancer Sci. 2011, 102(10):1756-60.</w:t>
      </w: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"http://www.ncbi.nlm.nih.gov/pubmed?term=Athar%20M%5BAuthor%5D&amp;cauthor=true&amp;cauthor_uid=16881963" \h </w:instrText>
      </w:r>
      <w:r>
        <w:rPr>
          <w:highlight w:val="none"/>
        </w:rPr>
        <w:fldChar w:fldCharType="separate"/>
      </w:r>
      <w:r>
        <w:rPr>
          <w:rFonts w:ascii="Times New Roman" w:hAnsi="Times New Roman" w:cs="Times New Roman"/>
          <w:sz w:val="15"/>
          <w:szCs w:val="15"/>
          <w:highlight w:val="none"/>
        </w:rPr>
        <w:t>Athar M,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Hedgehog signalling in skin development and cancer. Exp Dermatol. 2006, 15(9):667-77.</w:t>
      </w: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"http://www.ncbi.nlm.nih.gov/pubmed?term=Rudin%20CM%5BAuthor%5D&amp;cauthor=true&amp;cauthor_uid=22679179" \h </w:instrText>
      </w:r>
      <w:r>
        <w:rPr>
          <w:highlight w:val="none"/>
        </w:rPr>
        <w:fldChar w:fldCharType="separate"/>
      </w:r>
      <w:r>
        <w:rPr>
          <w:rFonts w:ascii="Times New Roman" w:hAnsi="Times New Roman" w:cs="Times New Roman"/>
          <w:sz w:val="15"/>
          <w:szCs w:val="15"/>
          <w:highlight w:val="none"/>
        </w:rPr>
        <w:t>Rudin CM.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Vismodegib. Clin Cancer Res. 2012, 18(12):3218-22.</w:t>
      </w:r>
    </w:p>
    <w:p>
      <w:pPr>
        <w:widowControl/>
        <w:numPr>
          <w:ilvl w:val="0"/>
          <w:numId w:val="32"/>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"http://www.ncbi.nlm.nih.gov/pubmed?term=Hahn%20H%5BAuthor%5D&amp;cauthor=true&amp;cauthor_uid=8681379" \h </w:instrText>
      </w:r>
      <w:r>
        <w:rPr>
          <w:highlight w:val="none"/>
        </w:rPr>
        <w:fldChar w:fldCharType="separate"/>
      </w:r>
      <w:r>
        <w:rPr>
          <w:rFonts w:ascii="Times New Roman" w:hAnsi="Times New Roman" w:cs="Times New Roman"/>
          <w:sz w:val="15"/>
          <w:szCs w:val="15"/>
          <w:highlight w:val="none"/>
        </w:rPr>
        <w:t>Hahn</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"http://www.ncbi.nlm.nih.gov/pubmed?term=Hahn%20H%5BAuthor%5D&amp;cauthor=true&amp;cauthor_uid=8681379"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et al. Mutations of the human homolog of Drosophila patched in the nevoid basal cell carcinoma syndrome. Cell. 1996, 85(6):841-51.</w:t>
      </w:r>
    </w:p>
    <w:p>
      <w:pPr>
        <w:widowControl/>
        <w:numPr>
          <w:ilvl w:val="0"/>
          <w:numId w:val="32"/>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Johnson RL, et al. Human homolog of patched, a candidate gene for the basal cell nevus syndrome. Science. 1996, 272(5268):1668-71.</w:t>
      </w:r>
    </w:p>
    <w:p>
      <w:pPr>
        <w:widowControl/>
        <w:numPr>
          <w:ilvl w:val="0"/>
          <w:numId w:val="32"/>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Robarge KD, et al. GDC-0449-a potent inhibitor of the hedgehog pathway. Bioorg Med Chem Lett. 2009, 19(19):5576-81.</w:t>
      </w:r>
    </w:p>
    <w:p>
      <w:pPr>
        <w:rPr>
          <w:rFonts w:ascii="Times New Roman" w:hAnsi="Times New Roman" w:eastAsia="微软雅黑" w:cs="Times New Roman"/>
          <w:b/>
          <w:bCs/>
          <w:color w:val="416AAB"/>
          <w:sz w:val="24"/>
          <w:szCs w:val="24"/>
          <w:highlight w:val="none"/>
          <w:lang w:eastAsia="zh-CN"/>
        </w:rPr>
      </w:pPr>
      <w:bookmarkStart w:id="336" w:name="_Toc11373_WPSOffice_Level1"/>
      <w:r>
        <w:rPr>
          <w:rFonts w:ascii="Times New Roman" w:hAnsi="Times New Roman" w:eastAsia="微软雅黑" w:cs="Times New Roman"/>
          <w:b/>
          <w:bCs/>
          <w:color w:val="416AAB"/>
          <w:sz w:val="24"/>
          <w:szCs w:val="24"/>
          <w:highlight w:val="none"/>
          <w:lang w:eastAsia="zh-CN"/>
        </w:rPr>
        <w:br w:type="page"/>
      </w:r>
    </w:p>
    <w:p>
      <w:pPr>
        <w:widowControl/>
        <w:rPr>
          <w:rFonts w:ascii="Times New Roman" w:hAnsi="Times New Roman" w:eastAsia="微软雅黑" w:cs="Times New Roman"/>
          <w:b/>
          <w:bCs/>
          <w:color w:val="416AAB"/>
          <w:sz w:val="24"/>
          <w:szCs w:val="24"/>
          <w:highlight w:val="none"/>
          <w:lang w:eastAsia="zh-CN"/>
        </w:rPr>
      </w:pPr>
      <w:bookmarkStart w:id="337" w:name="_Toc27187_WPSOffice_Level1"/>
      <w:bookmarkStart w:id="338" w:name="_Toc21295_WPSOffice_Level1"/>
      <w:bookmarkStart w:id="339" w:name="_Toc28921_WPSOffice_Level1"/>
      <w:bookmarkStart w:id="340" w:name="_Toc2234_WPSOffice_Level1"/>
      <w:bookmarkStart w:id="341" w:name="_Toc25551_WPSOffice_Level1"/>
      <w:bookmarkStart w:id="342" w:name="_Toc29352_WPSOffice_Level1"/>
      <w:bookmarkStart w:id="343" w:name="_Toc31405_WPSOffice_Level1"/>
      <w:r>
        <w:rPr>
          <w:rFonts w:ascii="Times New Roman" w:hAnsi="Times New Roman" w:eastAsia="微软雅黑" w:cs="Times New Roman"/>
          <w:b/>
          <w:bCs/>
          <w:color w:val="416AAB"/>
          <w:sz w:val="24"/>
          <w:szCs w:val="24"/>
          <w:highlight w:val="none"/>
          <w:lang w:eastAsia="zh-CN"/>
        </w:rPr>
        <w:t>TSC1</w:t>
      </w:r>
      <w:bookmarkEnd w:id="336"/>
      <w:bookmarkEnd w:id="337"/>
      <w:bookmarkEnd w:id="338"/>
      <w:bookmarkEnd w:id="339"/>
      <w:bookmarkEnd w:id="340"/>
      <w:bookmarkEnd w:id="341"/>
      <w:bookmarkEnd w:id="342"/>
      <w:bookmarkEnd w:id="343"/>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结节性硬化症1（TSC1）基因编码的蛋白质，Hamartin，可与由TSC2基因编码的蛋白质---马铃薯球蛋白1交互作用（图示）。TSC1通过调控与细胞增殖有关的mTOR 通路起到肿瘤抑制的作用</w:t>
      </w:r>
      <w:r>
        <w:rPr>
          <w:rFonts w:ascii="Times New Roman" w:hAnsi="Times New Roman" w:eastAsia="微软雅黑" w:cs="Times New Roman"/>
          <w:bCs/>
          <w:sz w:val="18"/>
          <w:szCs w:val="18"/>
          <w:highlight w:val="none"/>
          <w:shd w:val="clear" w:color="auto" w:fill="FFFFFF"/>
          <w:vertAlign w:val="superscript"/>
          <w:lang w:eastAsia="zh-CN"/>
        </w:rPr>
        <w:t>[1，2]</w:t>
      </w:r>
      <w:r>
        <w:rPr>
          <w:rFonts w:ascii="Times New Roman" w:hAnsi="Times New Roman" w:eastAsia="微软雅黑" w:cs="Times New Roman"/>
          <w:bCs/>
          <w:sz w:val="18"/>
          <w:szCs w:val="18"/>
          <w:highlight w:val="none"/>
          <w:shd w:val="clear" w:color="auto" w:fill="FFFFFF"/>
          <w:lang w:eastAsia="zh-CN"/>
        </w:rPr>
        <w:t>。TSC1与mTOR信号途径的蛋白质相互作用；有报道一位携带TSC1突变的膀胱癌患者，使用mTOR抑制剂依维莫司取得疗效</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。约7-12％的膀胱癌患者存在TSC1突变，突变的频率在低级别、非侵入性和高级别、侵入性癌症中相似</w:t>
      </w:r>
      <w:r>
        <w:rPr>
          <w:rFonts w:ascii="Times New Roman" w:hAnsi="Times New Roman" w:eastAsia="微软雅黑" w:cs="Times New Roman"/>
          <w:bCs/>
          <w:sz w:val="18"/>
          <w:szCs w:val="18"/>
          <w:highlight w:val="none"/>
          <w:shd w:val="clear" w:color="auto" w:fill="FFFFFF"/>
          <w:vertAlign w:val="superscript"/>
          <w:lang w:eastAsia="zh-CN"/>
        </w:rPr>
        <w:t>[2，3]</w:t>
      </w:r>
      <w:r>
        <w:rPr>
          <w:rFonts w:ascii="Times New Roman" w:hAnsi="Times New Roman" w:eastAsia="微软雅黑" w:cs="Times New Roman"/>
          <w:bCs/>
          <w:sz w:val="18"/>
          <w:szCs w:val="18"/>
          <w:highlight w:val="none"/>
          <w:shd w:val="clear" w:color="auto" w:fill="FFFFFF"/>
          <w:lang w:eastAsia="zh-CN"/>
        </w:rPr>
        <w:t>。mTOR 抑制剂已被提出作为一种治疗携带TSC1突变膀胱癌病人的潜在方法</w:t>
      </w:r>
      <w:r>
        <w:rPr>
          <w:rFonts w:ascii="Times New Roman" w:hAnsi="Times New Roman" w:eastAsia="微软雅黑" w:cs="Times New Roman"/>
          <w:bCs/>
          <w:sz w:val="18"/>
          <w:szCs w:val="18"/>
          <w:highlight w:val="none"/>
          <w:shd w:val="clear" w:color="auto" w:fill="FFFFFF"/>
          <w:vertAlign w:val="superscript"/>
          <w:lang w:eastAsia="zh-CN"/>
        </w:rPr>
        <w:t>[3]</w:t>
      </w:r>
      <w:r>
        <w:rPr>
          <w:rFonts w:ascii="Times New Roman" w:hAnsi="Times New Roman" w:eastAsia="微软雅黑" w:cs="Times New Roman"/>
          <w:bCs/>
          <w:sz w:val="18"/>
          <w:szCs w:val="18"/>
          <w:highlight w:val="none"/>
          <w:shd w:val="clear" w:color="auto" w:fill="FFFFFF"/>
          <w:lang w:eastAsia="zh-CN"/>
        </w:rPr>
        <w:t>，还需要进一步的研究来证实该治疗方案或探索其他的治疗策略，实现膀胱癌的靶向治疗。</w:t>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440" w:firstLineChars="200"/>
        <w:jc w:val="both"/>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8720" behindDoc="0" locked="0" layoutInCell="1" allowOverlap="1">
            <wp:simplePos x="0" y="0"/>
            <wp:positionH relativeFrom="margin">
              <wp:posOffset>1852930</wp:posOffset>
            </wp:positionH>
            <wp:positionV relativeFrom="paragraph">
              <wp:posOffset>52070</wp:posOffset>
            </wp:positionV>
            <wp:extent cx="2533650" cy="2505075"/>
            <wp:effectExtent l="0" t="0" r="11430" b="9525"/>
            <wp:wrapNone/>
            <wp:docPr id="19414" name="Picture 19414"/>
            <wp:cNvGraphicFramePr/>
            <a:graphic xmlns:a="http://schemas.openxmlformats.org/drawingml/2006/main">
              <a:graphicData uri="http://schemas.openxmlformats.org/drawingml/2006/picture">
                <pic:pic xmlns:pic="http://schemas.openxmlformats.org/drawingml/2006/picture">
                  <pic:nvPicPr>
                    <pic:cNvPr id="19414" name="Picture 19414"/>
                    <pic:cNvPicPr/>
                  </pic:nvPicPr>
                  <pic:blipFill>
                    <a:blip r:embed="rId26">
                      <a:extLst>
                        <a:ext uri="{28A0092B-C50C-407E-A947-70E740481C1C}">
                          <a14:useLocalDpi xmlns:a14="http://schemas.microsoft.com/office/drawing/2010/main" val="0"/>
                        </a:ext>
                      </a:extLst>
                    </a:blip>
                    <a:stretch>
                      <a:fillRect/>
                    </a:stretch>
                  </pic:blipFill>
                  <pic:spPr>
                    <a:xfrm>
                      <a:off x="0" y="0"/>
                      <a:ext cx="2533650" cy="2505075"/>
                    </a:xfrm>
                    <a:prstGeom prst="rect">
                      <a:avLst/>
                    </a:prstGeom>
                  </pic:spPr>
                </pic:pic>
              </a:graphicData>
            </a:graphic>
          </wp:anchor>
        </w:drawing>
      </w:r>
    </w:p>
    <w:p>
      <w:pPr>
        <w:spacing w:line="276" w:lineRule="auto"/>
        <w:ind w:firstLine="440" w:firstLineChars="200"/>
        <w:jc w:val="both"/>
        <w:rPr>
          <w:rFonts w:ascii="Times New Roman" w:hAnsi="Times New Roman" w:eastAsia="微软雅黑" w:cs="Times New Roman"/>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ind w:firstLine="360" w:firstLineChars="200"/>
        <w:jc w:val="both"/>
        <w:rPr>
          <w:rFonts w:ascii="Times New Roman" w:hAnsi="Times New Roman" w:eastAsia="微软雅黑" w:cs="Times New Roman"/>
          <w:sz w:val="18"/>
          <w:highlight w:val="none"/>
          <w:lang w:eastAsia="zh-CN"/>
        </w:rPr>
      </w:pPr>
    </w:p>
    <w:p>
      <w:pPr>
        <w:spacing w:line="276" w:lineRule="auto"/>
        <w:jc w:val="center"/>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图示：TSC1与TSC2复合体的调控网络</w:t>
      </w:r>
    </w:p>
    <w:p>
      <w:pPr>
        <w:rPr>
          <w:rFonts w:ascii="Times New Roman" w:hAnsi="Times New Roman" w:eastAsia="微软雅黑" w:cs="Times New Roman"/>
          <w:b/>
          <w:sz w:val="18"/>
          <w:highlight w:val="none"/>
          <w:shd w:val="clear" w:color="auto" w:fill="FFFFFF"/>
          <w:lang w:eastAsia="zh-CN"/>
        </w:rPr>
      </w:pPr>
    </w:p>
    <w:p>
      <w:pPr>
        <w:rPr>
          <w:rFonts w:ascii="Times New Roman" w:hAnsi="Times New Roman" w:eastAsia="微软雅黑" w:cs="Times New Roman"/>
          <w:b/>
          <w:sz w:val="18"/>
          <w:highlight w:val="none"/>
          <w:shd w:val="clear" w:color="auto" w:fill="FFFFFF"/>
          <w:lang w:eastAsia="zh-CN"/>
        </w:rPr>
      </w:pPr>
      <w:r>
        <w:rPr>
          <w:rFonts w:ascii="Times New Roman" w:hAnsi="Times New Roman" w:eastAsia="微软雅黑" w:cs="Times New Roman"/>
          <w:b/>
          <w:sz w:val="18"/>
          <w:highlight w:val="none"/>
          <w:shd w:val="clear" w:color="auto" w:fill="FFFFFF"/>
          <w:lang w:eastAsia="zh-CN"/>
        </w:rPr>
        <w:t>参考文献</w:t>
      </w:r>
    </w:p>
    <w:p>
      <w:pPr>
        <w:rPr>
          <w:rFonts w:ascii="Times New Roman" w:hAnsi="Times New Roman" w:eastAsia="微软雅黑" w:cs="Times New Roman"/>
          <w:b/>
          <w:sz w:val="18"/>
          <w:highlight w:val="none"/>
          <w:shd w:val="clear" w:color="auto" w:fill="FFFFFF"/>
          <w:lang w:eastAsia="zh-CN"/>
        </w:rPr>
      </w:pPr>
    </w:p>
    <w:p>
      <w:pPr>
        <w:widowControl/>
        <w:numPr>
          <w:ilvl w:val="0"/>
          <w:numId w:val="3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"http://ghr.nlm.nih.gov/gene/TSC1" \h </w:instrText>
      </w:r>
      <w:r>
        <w:rPr>
          <w:highlight w:val="none"/>
        </w:rPr>
        <w:fldChar w:fldCharType="separate"/>
      </w:r>
      <w:r>
        <w:rPr>
          <w:rFonts w:ascii="Times New Roman" w:hAnsi="Times New Roman" w:cs="Times New Roman"/>
          <w:sz w:val="15"/>
          <w:szCs w:val="15"/>
          <w:highlight w:val="none"/>
        </w:rPr>
        <w:t>http://ghr.nlm.nih.gov/gene/TSC1</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"http://ghr.nlm.nih.gov/gene/TSC1"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p>
    <w:p>
      <w:pPr>
        <w:widowControl/>
        <w:numPr>
          <w:ilvl w:val="0"/>
          <w:numId w:val="3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"http://www.ncbi.nlm.nih.gov/pubmed?term=Sj%C3%B6dahl%20G%5BAuthor%5D&amp;cauthor=true&amp;cauthor_uid=21533174" \h </w:instrText>
      </w:r>
      <w:r>
        <w:rPr>
          <w:highlight w:val="none"/>
        </w:rPr>
        <w:fldChar w:fldCharType="separate"/>
      </w:r>
      <w:r>
        <w:rPr>
          <w:rFonts w:ascii="Times New Roman" w:hAnsi="Times New Roman" w:cs="Times New Roman"/>
          <w:sz w:val="15"/>
          <w:szCs w:val="15"/>
          <w:highlight w:val="none"/>
        </w:rPr>
        <w:t>Sjodahl G, e</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t al. A systematic study of gene mutations in urothelial carcinoma; inactivating mutations in TSC2 and PIK3R1. PLoS One. 2011, 6(4):e18583.</w:t>
      </w:r>
    </w:p>
    <w:p>
      <w:pPr>
        <w:widowControl/>
        <w:numPr>
          <w:ilvl w:val="0"/>
          <w:numId w:val="3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"http://www.ncbi.nlm.nih.gov/pubmed?term=Iyer%20G%5BAuthor%5D&amp;cauthor=true&amp;cauthor_uid=22923433" \h </w:instrText>
      </w:r>
      <w:r>
        <w:rPr>
          <w:highlight w:val="none"/>
        </w:rPr>
        <w:fldChar w:fldCharType="separate"/>
      </w:r>
      <w:r>
        <w:rPr>
          <w:rFonts w:ascii="Times New Roman" w:hAnsi="Times New Roman" w:cs="Times New Roman"/>
          <w:sz w:val="15"/>
          <w:szCs w:val="15"/>
          <w:highlight w:val="none"/>
        </w:rPr>
        <w:t>Iyer</w:t>
      </w:r>
      <w:r>
        <w:rPr>
          <w:rFonts w:ascii="Times New Roman" w:hAnsi="Times New Roman" w:cs="Times New Roman"/>
          <w:sz w:val="15"/>
          <w:szCs w:val="15"/>
          <w:highlight w:val="none"/>
        </w:rPr>
        <w:fldChar w:fldCharType="end"/>
      </w:r>
      <w:r>
        <w:rPr>
          <w:highlight w:val="none"/>
        </w:rPr>
        <w:fldChar w:fldCharType="begin"/>
      </w:r>
      <w:r>
        <w:rPr>
          <w:highlight w:val="none"/>
        </w:rPr>
        <w:instrText xml:space="preserve"> HYPERLINK "http://www.ncbi.nlm.nih.gov/pubmed?term=Iyer%20G%5BAuthor%5D&amp;cauthor=true&amp;cauthor_uid=22923433" \h </w:instrText>
      </w:r>
      <w:r>
        <w:rPr>
          <w:highlight w:val="none"/>
        </w:rPr>
        <w:fldChar w:fldCharType="separate"/>
      </w:r>
      <w:r>
        <w:rPr>
          <w:rFonts w:ascii="Times New Roman" w:hAnsi="Times New Roman" w:cs="Times New Roman"/>
          <w:sz w:val="15"/>
          <w:szCs w:val="15"/>
          <w:highlight w:val="none"/>
        </w:rPr>
        <w:t xml:space="preserve"> </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G, et al. Genome sequencing identifies a basis for everolimus sensitivity. Science. 2012, 338(6104):221.</w:t>
      </w:r>
    </w:p>
    <w:p>
      <w:pPr>
        <w:spacing w:before="12"/>
        <w:ind w:right="446"/>
        <w:rPr>
          <w:rFonts w:ascii="Times New Roman" w:hAnsi="Times New Roman" w:eastAsia="微软雅黑" w:cs="Times New Roman"/>
          <w:sz w:val="24"/>
          <w:highlight w:val="none"/>
          <w:lang w:eastAsia="zh-CN"/>
        </w:rPr>
      </w:pPr>
    </w:p>
    <w:p>
      <w:pPr>
        <w:spacing w:before="12"/>
        <w:ind w:right="446"/>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b/>
          <w:bCs/>
          <w:sz w:val="30"/>
          <w:szCs w:val="30"/>
          <w:highlight w:val="none"/>
          <w:lang w:eastAsia="zh-CN"/>
        </w:rPr>
        <w:br w:type="page"/>
      </w:r>
    </w:p>
    <w:p>
      <w:pPr>
        <w:pStyle w:val="25"/>
        <w:rPr>
          <w:highlight w:val="none"/>
        </w:rPr>
      </w:pPr>
      <w:bookmarkStart w:id="344" w:name="_Toc7549"/>
      <w:bookmarkStart w:id="345" w:name="_Toc16368_WPSOffice_Level1"/>
      <w:bookmarkStart w:id="346" w:name="_Toc28910_WPSOffice_Level1"/>
      <w:bookmarkStart w:id="347" w:name="_Toc11722"/>
      <w:bookmarkStart w:id="348" w:name="_Toc17294"/>
      <w:bookmarkStart w:id="349" w:name="_Toc22484_WPSOffice_Level1"/>
      <w:bookmarkStart w:id="350" w:name="_Toc19099"/>
      <w:r>
        <w:rPr>
          <w:highlight w:val="none"/>
        </w:rPr>
        <w:t>检测基因列表</w:t>
      </w:r>
      <w:bookmarkEnd w:id="344"/>
      <w:bookmarkEnd w:id="345"/>
      <w:bookmarkEnd w:id="346"/>
      <w:bookmarkEnd w:id="347"/>
      <w:bookmarkEnd w:id="348"/>
      <w:bookmarkEnd w:id="349"/>
      <w:bookmarkEnd w:id="350"/>
    </w:p>
    <w:p>
      <w:pPr>
        <w:rPr>
          <w:highlight w:val="none"/>
        </w:rPr>
      </w:pPr>
    </w:p>
    <w:p>
      <w:pPr>
        <w:spacing w:line="259" w:lineRule="exact"/>
        <w:ind w:left="3328" w:right="3328"/>
        <w:jc w:val="center"/>
        <w:rPr>
          <w:rFonts w:ascii="Times New Roman" w:hAnsi="Times New Roman" w:eastAsia="微软雅黑" w:cs="Times New Roman"/>
          <w:b/>
          <w:color w:val="416AAB"/>
          <w:sz w:val="24"/>
          <w:highlight w:val="none"/>
          <w:lang w:eastAsia="zh-CN"/>
        </w:rPr>
      </w:pPr>
      <w:bookmarkStart w:id="351" w:name="_Toc19280_WPSOffice_Level2"/>
      <w:bookmarkStart w:id="352" w:name="_Toc3488_WPSOffice_Level2"/>
      <w:bookmarkStart w:id="353" w:name="_Toc6931_WPSOffice_Level2"/>
      <w:bookmarkStart w:id="354" w:name="_Toc6304_WPSOffice_Level2"/>
      <w:bookmarkStart w:id="355" w:name="_Toc17111_WPSOffice_Level2"/>
      <w:bookmarkStart w:id="356" w:name="_Toc31515_WPSOffice_Level2"/>
      <w:bookmarkStart w:id="357" w:name="_Toc11193_WPSOffice_Level2"/>
      <w:bookmarkStart w:id="358" w:name="_Toc28454_WPSOffice_Level1"/>
      <w:r>
        <w:rPr>
          <w:rFonts w:hint="eastAsia" w:ascii="Times New Roman" w:hAnsi="Times New Roman" w:eastAsia="微软雅黑" w:cs="Times New Roman"/>
          <w:b/>
          <w:color w:val="416AAB"/>
          <w:sz w:val="24"/>
          <w:highlight w:val="none"/>
          <w:lang w:eastAsia="zh-CN"/>
        </w:rPr>
        <w:t>A</w:t>
      </w:r>
      <w:bookmarkEnd w:id="351"/>
      <w:bookmarkEnd w:id="352"/>
      <w:bookmarkEnd w:id="353"/>
      <w:bookmarkEnd w:id="354"/>
      <w:bookmarkEnd w:id="355"/>
      <w:bookmarkEnd w:id="356"/>
      <w:bookmarkEnd w:id="357"/>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5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“ABCB1,ABCC2,ABCC4,ABCG2,ABL1,ABL2,ABRAXAS1,ACVR1B,ADGRA2,AKT1,AKT2,AKT3,ALK,ALOX12B,AMER1,APC*,APCDD1,AR,ARAF,ARFRP1,ARID1A,ARID1B,ARID2,ASXL1,ATM*,ATR,ATRX,AURKA,AURKB,AXIN1,AXIN2*,AXL”</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sz w:val="24"/>
          <w:szCs w:val="24"/>
          <w:highlight w:val="none"/>
        </w:rPr>
      </w:pPr>
      <w:bookmarkStart w:id="359" w:name="_Toc14645_WPSOffice_Level2"/>
      <w:bookmarkStart w:id="360" w:name="_Toc12087_WPSOffice_Level2"/>
      <w:bookmarkStart w:id="361" w:name="_Toc29205_WPSOffice_Level2"/>
      <w:bookmarkStart w:id="362" w:name="_Toc2822_WPSOffice_Level2"/>
      <w:bookmarkStart w:id="363" w:name="_Toc26578_WPSOffice_Level2"/>
      <w:bookmarkStart w:id="364" w:name="_Toc25864_WPSOffice_Level2"/>
      <w:bookmarkStart w:id="365" w:name="_Toc31138_WPSOffice_Level2"/>
      <w:r>
        <w:rPr>
          <w:rFonts w:ascii="Times New Roman" w:hAnsi="Times New Roman" w:eastAsia="微软雅黑" w:cs="Times New Roman"/>
          <w:b/>
          <w:color w:val="416AAB"/>
          <w:sz w:val="24"/>
          <w:highlight w:val="none"/>
        </w:rPr>
        <w:t>B</w:t>
      </w:r>
      <w:bookmarkEnd w:id="359"/>
      <w:bookmarkEnd w:id="360"/>
      <w:bookmarkEnd w:id="361"/>
      <w:bookmarkEnd w:id="362"/>
      <w:bookmarkEnd w:id="363"/>
      <w:bookmarkEnd w:id="364"/>
      <w:bookmarkEnd w:id="365"/>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5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66" w:name="_Toc31020_WPSOffice_Level2"/>
            <w:bookmarkStart w:id="367" w:name="_Toc3819_WPSOffice_Level2"/>
            <w:bookmarkStart w:id="368" w:name="_Toc5660_WPSOffice_Level2"/>
            <w:bookmarkStart w:id="369" w:name="_Toc17905_WPSOffice_Level2"/>
            <w:bookmarkStart w:id="370" w:name="_Toc5261_WPSOffice_Level2"/>
            <w:bookmarkStart w:id="371" w:name="_Toc23221_WPSOffice_Level2"/>
            <w:bookmarkStart w:id="372" w:name="_Toc1869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“BACH1,BAP1,BARD1,BCL2,BCL2A1,BCL2L1,BCL2L2,BCL6,BCOR,BCORL1,BCR,BLM*,BMPR1A*,BRAF,BRCA1*,BRCA2*,BRD4,BRIP1*,BTG1,BTG2,BTK”</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0070C0"/>
          <w:sz w:val="24"/>
          <w:szCs w:val="24"/>
          <w:highlight w:val="none"/>
        </w:rPr>
      </w:pPr>
      <w:r>
        <w:rPr>
          <w:rFonts w:ascii="Times New Roman" w:hAnsi="Times New Roman" w:eastAsia="微软雅黑" w:cs="Times New Roman"/>
          <w:b/>
          <w:color w:val="416AAB"/>
          <w:sz w:val="24"/>
          <w:highlight w:val="none"/>
        </w:rPr>
        <w:t>C</w:t>
      </w:r>
      <w:bookmarkEnd w:id="366"/>
      <w:bookmarkEnd w:id="367"/>
      <w:bookmarkEnd w:id="368"/>
      <w:bookmarkEnd w:id="369"/>
      <w:bookmarkEnd w:id="370"/>
      <w:bookmarkEnd w:id="371"/>
      <w:bookmarkEnd w:id="372"/>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04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73" w:name="_Toc2588_WPSOffice_Level2"/>
            <w:bookmarkStart w:id="374" w:name="_Toc15300_WPSOffice_Level2"/>
            <w:bookmarkStart w:id="375" w:name="_Toc24626_WPSOffice_Level2"/>
            <w:bookmarkStart w:id="376" w:name="_Toc11554_WPSOffice_Level2"/>
            <w:bookmarkStart w:id="377" w:name="_Toc28235_WPSOffice_Level2"/>
            <w:bookmarkStart w:id="378" w:name="_Toc23388_WPSOffice_Level2"/>
            <w:bookmarkStart w:id="379" w:name="_Toc20683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C8orf34,CALR,CARD11,CASP8,CBFB,CBL,CCND1,CCND2,CCND3,CCNE1,CD22,CD274,CD70,CD74,CD79A,CD79B,CDC73,CDH1*,CDH2,CDH20,CDH5,CDK4*,CDK6,CDK8,CDK12,CDKN1A,CDKN1B,CDKN2A*,CDKN2B,CDKN2C,CEBPA,CFTR*,CHD2,CHD4,CHEK1,CHEK2*,CHUK,CIC,CRBN,CREBBP,CRKL,CRLF2,CSF1R,CSF3R,CTCF,CTNNA1,CTNNB1,CUL3,CUL4A,CUL4B,CXCR4,CYLD,CYP17A1,CYP1B1,CYP2C19,CYP2C8,CYP2D6,CYP3A4,CYP3A5”</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D</w:t>
      </w:r>
      <w:bookmarkEnd w:id="373"/>
      <w:bookmarkEnd w:id="374"/>
      <w:bookmarkEnd w:id="375"/>
      <w:bookmarkEnd w:id="376"/>
      <w:bookmarkEnd w:id="377"/>
      <w:bookmarkEnd w:id="378"/>
      <w:bookmarkEnd w:id="379"/>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9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80" w:name="_Toc30071_WPSOffice_Level2"/>
            <w:bookmarkStart w:id="381" w:name="_Toc19892_WPSOffice_Level2"/>
            <w:bookmarkStart w:id="382" w:name="_Toc18182_WPSOffice_Level2"/>
            <w:bookmarkStart w:id="383" w:name="_Toc12493_WPSOffice_Level2"/>
            <w:bookmarkStart w:id="384" w:name="_Toc31650_WPSOffice_Level2"/>
            <w:bookmarkStart w:id="385" w:name="_Toc22590_WPSOffice_Level2"/>
            <w:bookmarkStart w:id="386" w:name="_Toc1602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“DAXX,DDR1,DDR2,DICER1,DIS3,DNMT3A,DOT1L,DPYD”</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E</w:t>
      </w:r>
      <w:bookmarkEnd w:id="380"/>
      <w:bookmarkEnd w:id="381"/>
      <w:bookmarkEnd w:id="382"/>
      <w:bookmarkEnd w:id="383"/>
      <w:bookmarkEnd w:id="384"/>
      <w:bookmarkEnd w:id="385"/>
      <w:bookmarkEnd w:id="386"/>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1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87" w:name="_Toc28534_WPSOffice_Level2"/>
            <w:bookmarkStart w:id="388" w:name="_Toc19289_WPSOffice_Level2"/>
            <w:bookmarkStart w:id="389" w:name="_Toc20571_WPSOffice_Level2"/>
            <w:bookmarkStart w:id="390" w:name="_Toc28312_WPSOffice_Level2"/>
            <w:bookmarkStart w:id="391" w:name="_Toc11689_WPSOffice_Level2"/>
            <w:bookmarkStart w:id="392" w:name="_Toc8398_WPSOffice_Level2"/>
            <w:bookmarkStart w:id="393" w:name="_Toc3144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“EED,EGFR,EMSY,EP300,EPCAM*,EPHA3,EPHA5,EPHA6,EPHA7,EPHB1,EPHB4,EPHB6,ERBB2,ERBB3,ERBB4,ERCC1,ERCC2,ERCC3,ERCC4,ERG,ERRFI1,ESR1,ESR2,ETV1,ETV4,ETV5,ETV6,EWSR1,EZH2*,EZR”</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lang w:eastAsia="zh-CN"/>
        </w:rPr>
        <w:t>F</w:t>
      </w:r>
      <w:bookmarkEnd w:id="387"/>
      <w:bookmarkEnd w:id="388"/>
      <w:bookmarkEnd w:id="389"/>
      <w:bookmarkEnd w:id="390"/>
      <w:bookmarkEnd w:id="391"/>
      <w:bookmarkEnd w:id="392"/>
      <w:bookmarkEnd w:id="393"/>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84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94" w:name="_Toc6170_WPSOffice_Level2"/>
            <w:bookmarkStart w:id="395" w:name="_Toc2683_WPSOffice_Level2"/>
            <w:bookmarkStart w:id="396" w:name="_Toc6863_WPSOffice_Level2"/>
            <w:bookmarkStart w:id="397" w:name="_Toc6645_WPSOffice_Level2"/>
            <w:bookmarkStart w:id="398" w:name="_Toc5423_WPSOffice_Level2"/>
            <w:bookmarkStart w:id="399" w:name="_Toc5164_WPSOffice_Level2"/>
            <w:bookmarkStart w:id="400" w:name="_Toc13225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“FAM46C,FANCA,FANCC*,FANCD2,FANCE,FANCF,FANCG*,FANCI,FANCL,FANCM,FAS,FAT1,FAT3,FBXW7,FCGR3A,FGF10,FGF12,FGF14,FGF19,FGF23,FGF3,FGF4,FGF6,FGF7,FGFR1,FGFR2,FGFR3,FGFR4,FH*,FLCN,FLT1,FLT3,FLT4,FOXL2,FOXP1,FRS2,FUBP1”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G</w:t>
      </w:r>
      <w:bookmarkEnd w:id="394"/>
      <w:bookmarkEnd w:id="395"/>
      <w:bookmarkEnd w:id="396"/>
      <w:bookmarkEnd w:id="397"/>
      <w:bookmarkEnd w:id="398"/>
      <w:bookmarkEnd w:id="399"/>
      <w:bookmarkEnd w:id="400"/>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84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01" w:name="_Toc6323_WPSOffice_Level2"/>
            <w:bookmarkStart w:id="402" w:name="_Toc3387_WPSOffice_Level2"/>
            <w:bookmarkStart w:id="403" w:name="_Toc12046_WPSOffice_Level2"/>
            <w:bookmarkStart w:id="404" w:name="_Toc29762_WPSOffice_Level2"/>
            <w:bookmarkStart w:id="405" w:name="_Toc13817_WPSOffice_Level2"/>
            <w:bookmarkStart w:id="406" w:name="_Toc24628_WPSOffice_Level2"/>
            <w:bookmarkStart w:id="407" w:name="_Toc5860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“GABRA6,GALNT12*,GATA1,GATA2,GATA3,GATA4,GATA6,GEN1,GID4,GLI1,GNA11,GNA13,GNAQ,GNAS,GREM1*,GRIN2A,GRM3,GSK3B,GSTP1”</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H</w:t>
      </w:r>
      <w:bookmarkEnd w:id="401"/>
      <w:bookmarkEnd w:id="402"/>
      <w:bookmarkEnd w:id="403"/>
      <w:bookmarkEnd w:id="404"/>
      <w:bookmarkEnd w:id="405"/>
      <w:bookmarkEnd w:id="406"/>
      <w:bookmarkEnd w:id="407"/>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50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08" w:name="_Toc31905_WPSOffice_Level2"/>
            <w:bookmarkStart w:id="409" w:name="_Toc11082_WPSOffice_Level2"/>
            <w:bookmarkStart w:id="410" w:name="_Toc22500_WPSOffice_Level2"/>
            <w:bookmarkStart w:id="411" w:name="_Toc13244_WPSOffice_Level2"/>
            <w:bookmarkStart w:id="412" w:name="_Toc6004_WPSOffice_Level2"/>
            <w:bookmarkStart w:id="413" w:name="_Toc15619_WPSOffice_Level2"/>
            <w:bookmarkStart w:id="414" w:name="_Toc708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“H3F3A,HDAC1,HDAC2,HFE*,HGF,HLA-A,HLA-B,HLA-C,HNF1A,HOXB13*,HRAS,HSD3B1,HSP90AA1”</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45"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I</w:t>
      </w:r>
      <w:bookmarkEnd w:id="408"/>
      <w:bookmarkEnd w:id="409"/>
      <w:bookmarkEnd w:id="410"/>
      <w:bookmarkEnd w:id="411"/>
      <w:bookmarkEnd w:id="412"/>
      <w:bookmarkEnd w:id="413"/>
      <w:bookmarkEnd w:id="414"/>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68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15" w:name="_Toc23443_WPSOffice_Level2"/>
            <w:bookmarkStart w:id="416" w:name="_Toc15479_WPSOffice_Level2"/>
            <w:bookmarkStart w:id="417" w:name="_Toc13664_WPSOffice_Level2"/>
            <w:bookmarkStart w:id="418" w:name="_Toc21560_WPSOffice_Level2"/>
            <w:bookmarkStart w:id="419" w:name="_Toc23537_WPSOffice_Level2"/>
            <w:bookmarkStart w:id="420" w:name="_Toc4042_WPSOffice_Level2"/>
            <w:bookmarkStart w:id="421" w:name="_Toc758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“ID3,IDH1,IDH2,IDO1,IDO2,IGF1,IGF1R,IGF2,IGF2R,IKBKE,IKZF1,IL7R,INHBA,INPP4B,INSR,IRF2,IRF4,IRS2,ITPA”</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J</w:t>
      </w:r>
      <w:bookmarkEnd w:id="415"/>
      <w:bookmarkEnd w:id="416"/>
      <w:bookmarkEnd w:id="417"/>
      <w:bookmarkEnd w:id="418"/>
      <w:bookmarkEnd w:id="419"/>
      <w:bookmarkEnd w:id="420"/>
      <w:bookmarkEnd w:id="421"/>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22" w:name="_Toc11254_WPSOffice_Level2"/>
            <w:bookmarkStart w:id="423" w:name="_Toc28498_WPSOffice_Level2"/>
            <w:bookmarkStart w:id="424" w:name="_Toc5629_WPSOffice_Level2"/>
            <w:bookmarkStart w:id="425" w:name="_Toc10575_WPSOffice_Level2"/>
            <w:bookmarkStart w:id="426" w:name="_Toc2337_WPSOffice_Level2"/>
            <w:bookmarkStart w:id="427" w:name="_Toc29193_WPSOffice_Level2"/>
            <w:bookmarkStart w:id="428" w:name="_Toc22039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“JAK1,JAK2,JAK3,JUN”</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right="2"/>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K</w:t>
      </w:r>
      <w:bookmarkEnd w:id="422"/>
      <w:bookmarkEnd w:id="423"/>
      <w:bookmarkEnd w:id="424"/>
      <w:bookmarkEnd w:id="425"/>
      <w:bookmarkEnd w:id="426"/>
      <w:bookmarkEnd w:id="427"/>
      <w:bookmarkEnd w:id="428"/>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54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29" w:name="_Toc2613_WPSOffice_Level2"/>
            <w:bookmarkStart w:id="430" w:name="_Toc8519_WPSOffice_Level2"/>
            <w:bookmarkStart w:id="431" w:name="_Toc17668_WPSOffice_Level2"/>
            <w:bookmarkStart w:id="432" w:name="_Toc13246_WPSOffice_Level2"/>
            <w:bookmarkStart w:id="433" w:name="_Toc17621_WPSOffice_Level2"/>
            <w:bookmarkStart w:id="434" w:name="_Toc8985_WPSOffice_Level2"/>
            <w:bookmarkStart w:id="435" w:name="_Toc1886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“KAT6A,KDM5A,KDM5C,KDM6A,KDR,KEAP1,KEL,KIT*,KLHL6,KMT2A,KMT2C,KMT2D,KRAS”</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L</w:t>
      </w:r>
      <w:bookmarkEnd w:id="429"/>
      <w:bookmarkEnd w:id="430"/>
      <w:bookmarkEnd w:id="431"/>
      <w:bookmarkEnd w:id="432"/>
      <w:bookmarkEnd w:id="433"/>
      <w:bookmarkEnd w:id="434"/>
      <w:bookmarkEnd w:id="435"/>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6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36" w:name="_Toc24337_WPSOffice_Level2"/>
            <w:bookmarkStart w:id="437" w:name="_Toc12118_WPSOffice_Level2"/>
            <w:bookmarkStart w:id="438" w:name="_Toc6654_WPSOffice_Level2"/>
            <w:bookmarkStart w:id="439" w:name="_Toc12027_WPSOffice_Level2"/>
            <w:bookmarkStart w:id="440" w:name="_Toc2334_WPSOffice_Level2"/>
            <w:bookmarkStart w:id="441" w:name="_Toc25338_WPSOffice_Level2"/>
            <w:bookmarkStart w:id="442" w:name="_Toc23413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“LMO1,LRP1B,LRP2,LRP6,LTK,LYN,LZTR1”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M</w:t>
      </w:r>
      <w:bookmarkEnd w:id="436"/>
      <w:bookmarkEnd w:id="437"/>
      <w:bookmarkEnd w:id="438"/>
      <w:bookmarkEnd w:id="439"/>
      <w:bookmarkEnd w:id="440"/>
      <w:bookmarkEnd w:id="441"/>
      <w:bookmarkEnd w:id="442"/>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92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43" w:name="_Toc17254_WPSOffice_Level2"/>
            <w:bookmarkStart w:id="444" w:name="_Toc20736_WPSOffice_Level2"/>
            <w:bookmarkStart w:id="445" w:name="_Toc5840_WPSOffice_Level2"/>
            <w:bookmarkStart w:id="446" w:name="_Toc28807_WPSOffice_Level2"/>
            <w:bookmarkStart w:id="447" w:name="_Toc17711_WPSOffice_Level2"/>
            <w:bookmarkStart w:id="448" w:name="_Toc20271_WPSOffice_Level2"/>
            <w:bookmarkStart w:id="449" w:name="_Toc6074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“MAF,MAGI2,MAN1B1,MAP2K1,MAP2K2,MAP2K4,MAP3K1,MAP3K13,MAPK1,MAX*,MC1R*,MCL1,MDM2,MDM4,MED12,MEF2B,MEN1*,MERTK*,MET*,MITF*,MKNK1,MKNK2,MLH1*,MLH3,MPL,MRE11,MSH2*,MSH3,MSH6*,MST1R,MTAP,MTHFR,MTOR,MUTYH*,MYB,MYC,MYCL,MYCN,MYD88”</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N</w:t>
      </w:r>
      <w:bookmarkEnd w:id="443"/>
      <w:bookmarkEnd w:id="444"/>
      <w:bookmarkEnd w:id="445"/>
      <w:bookmarkEnd w:id="446"/>
      <w:bookmarkEnd w:id="447"/>
      <w:bookmarkEnd w:id="448"/>
      <w:bookmarkEnd w:id="449"/>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71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50" w:name="_Toc22623_WPSOffice_Level2"/>
            <w:bookmarkStart w:id="451" w:name="_Toc31683_WPSOffice_Level2"/>
            <w:bookmarkStart w:id="452" w:name="_Toc24586_WPSOffice_Level2"/>
            <w:bookmarkStart w:id="453" w:name="_Toc26031_WPSOffice_Level2"/>
            <w:bookmarkStart w:id="454" w:name="_Toc18784_WPSOffice_Level2"/>
            <w:bookmarkStart w:id="455" w:name="_Toc18295_WPSOffice_Level2"/>
            <w:bookmarkStart w:id="456" w:name="_Toc18813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“NBN*,NCOR1,NF1*,NF2,NFE2L2,NFKBIA,NKX2-1*,NOTCH1,NOTCH2,NOTCH3,NOTCH4,NPM1,NQO1,NRAS,NRP2*,NSD1,NSD2,NSD3,NT5C2,NTHL1*,NTRK1,NTRK2,NTRK3,NUDT1,NUP93,NUTM1”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rPr>
        <w:t>P</w:t>
      </w:r>
      <w:bookmarkEnd w:id="450"/>
      <w:bookmarkEnd w:id="451"/>
      <w:bookmarkEnd w:id="452"/>
      <w:bookmarkEnd w:id="453"/>
      <w:bookmarkEnd w:id="454"/>
      <w:bookmarkEnd w:id="455"/>
      <w:bookmarkEnd w:id="456"/>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13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57" w:name="_Toc22167_WPSOffice_Level2"/>
            <w:bookmarkStart w:id="458" w:name="_Toc2455_WPSOffice_Level2"/>
            <w:bookmarkStart w:id="459" w:name="_Toc15930_WPSOffice_Level2"/>
            <w:bookmarkStart w:id="460" w:name="_Toc25837_WPSOffice_Level2"/>
            <w:bookmarkStart w:id="461" w:name="_Toc11576_WPSOffice_Level2"/>
            <w:bookmarkStart w:id="462" w:name="_Toc30144_WPSOffice_Level2"/>
            <w:bookmarkStart w:id="463" w:name="_Toc31152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P2RY8,PAK3,PAK5,PALB2*,PARP1,PARP2,PARP3,PARP4,PAX5,PBRM1,PDCD1,PDCD1LG2,PDGFRA*,PDGFRB,PDK1,PHLPP2,PIK3C2B,PIK3C2G,PIK3C3,PIK3CA,PIK3CB,PIK3CG,PIK3R1,PIK3R2,PIM1,PLCG2,PMS2*,PNRC1,POLD1*,POLE*,PPARG,PPM1D,PPP2R1A,PPP2R2A,PRDM1,PREX2,PRKAR1A,PRKCI,PRKDC,PRKN,PRSS1*,PRSS8,PTCH1,PTCH2,PTEN*,PTPN11,PTPRD,PTPRO”</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lang w:eastAsia="zh-CN"/>
        </w:rPr>
        <w:t>Q</w:t>
      </w:r>
      <w:bookmarkEnd w:id="457"/>
      <w:bookmarkEnd w:id="458"/>
      <w:bookmarkEnd w:id="459"/>
      <w:bookmarkEnd w:id="460"/>
      <w:bookmarkEnd w:id="461"/>
      <w:bookmarkEnd w:id="462"/>
      <w:bookmarkEnd w:id="463"/>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3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64" w:name="_Toc17817_WPSOffice_Level2"/>
            <w:bookmarkStart w:id="465" w:name="_Toc21218_WPSOffice_Level2"/>
            <w:bookmarkStart w:id="466" w:name="_Toc6105_WPSOffice_Level2"/>
            <w:bookmarkStart w:id="467" w:name="_Toc18298_WPSOffice_Level2"/>
            <w:bookmarkStart w:id="468" w:name="_Toc24581_WPSOffice_Level2"/>
            <w:bookmarkStart w:id="469" w:name="_Toc21844_WPSOffice_Level2"/>
            <w:bookmarkStart w:id="470" w:name="_Toc1092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“QKI”</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6"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R</w:t>
      </w:r>
      <w:bookmarkEnd w:id="464"/>
      <w:bookmarkEnd w:id="465"/>
      <w:bookmarkEnd w:id="466"/>
      <w:bookmarkEnd w:id="467"/>
      <w:bookmarkEnd w:id="468"/>
      <w:bookmarkEnd w:id="469"/>
      <w:bookmarkEnd w:id="470"/>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74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71" w:name="_Toc26632_WPSOffice_Level2"/>
            <w:bookmarkStart w:id="472" w:name="_Toc20673_WPSOffice_Level2"/>
            <w:bookmarkStart w:id="473" w:name="_Toc3881_WPSOffice_Level2"/>
            <w:bookmarkStart w:id="474" w:name="_Toc5805_WPSOffice_Level2"/>
            <w:bookmarkStart w:id="475" w:name="_Toc7518_WPSOffice_Level2"/>
            <w:bookmarkStart w:id="476" w:name="_Toc32618_WPSOffice_Level2"/>
            <w:bookmarkStart w:id="477" w:name="_Toc22953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“RAC1,RAD21,RAD50,RAD51,RAD51B,RAD51C*,RAD51D*,RAD52,RAD54L,RAF1,RANBP2,RARA,RB1*,RBM10,REL,RET*,RICTOR,RNF43,ROS1,RPA1,RPTOR,RSPO2,RUNX1,RUNX1T1”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S</w:t>
      </w:r>
      <w:bookmarkEnd w:id="471"/>
      <w:bookmarkEnd w:id="472"/>
      <w:bookmarkEnd w:id="473"/>
      <w:bookmarkEnd w:id="474"/>
      <w:bookmarkEnd w:id="475"/>
      <w:bookmarkEnd w:id="476"/>
      <w:bookmarkEnd w:id="477"/>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8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78" w:name="_Toc31722_WPSOffice_Level2"/>
            <w:bookmarkStart w:id="479" w:name="_Toc22431_WPSOffice_Level2"/>
            <w:bookmarkStart w:id="480" w:name="_Toc25299_WPSOffice_Level2"/>
            <w:bookmarkStart w:id="481" w:name="_Toc9505_WPSOffice_Level2"/>
            <w:bookmarkStart w:id="482" w:name="_Toc15940_WPSOffice_Level2"/>
            <w:bookmarkStart w:id="483" w:name="_Toc22629_WPSOffice_Level2"/>
            <w:bookmarkStart w:id="484" w:name="_Toc14661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“SDC4,SDHA*,SDHAF2*,SDHB*,SDHC*,SDHD*,SETD2,SF3B1,SGK1,SH2B3,SLC19A1,SLC22A2,SLC34A2,SLCO1B3,SLIT2,SMAD2,SMAD3,SMAD4*,SMARCA4,SMARCB1,SMARCD1,SMO,SNCAIP,SOCS1,SOD2,SOX10,SOX2,SOX9,SPEN,SPINK1*,SPOP,SPTA1,SRC,STAG2,STAT3,STAT4,STK11*,SUFU,SULT1A1,SYK”</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45"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T</w:t>
      </w:r>
      <w:bookmarkEnd w:id="478"/>
      <w:bookmarkEnd w:id="479"/>
      <w:bookmarkEnd w:id="480"/>
      <w:bookmarkEnd w:id="481"/>
      <w:bookmarkEnd w:id="482"/>
      <w:bookmarkEnd w:id="483"/>
      <w:bookmarkEnd w:id="484"/>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8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85" w:name="_Toc20849_WPSOffice_Level2"/>
            <w:bookmarkStart w:id="486" w:name="_Toc7607_WPSOffice_Level2"/>
            <w:bookmarkStart w:id="487" w:name="_Toc27147_WPSOffice_Level2"/>
            <w:bookmarkStart w:id="488" w:name="_Toc5581_WPSOffice_Level2"/>
            <w:bookmarkStart w:id="489" w:name="_Toc27188_WPSOffice_Level2"/>
            <w:bookmarkStart w:id="490" w:name="_Toc4328_WPSOffice_Level2"/>
            <w:bookmarkStart w:id="491" w:name="_Toc24372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“TAF1,TBX3,TDO2,TEK,TERC,TERT,TET2,TGFBR2,TIPARP,TMEM127*,TMPRSS2,TNF,TNFAIP3,TNFRSF14,TNKS,TNKS2,TOP1,TOP2A,TP53*,TP53BP1,TPMT,TRRAP,TSC1,TSC2,TSHR,TYMS,TYRO3”</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U</w:t>
      </w:r>
      <w:bookmarkEnd w:id="485"/>
      <w:bookmarkEnd w:id="486"/>
      <w:bookmarkEnd w:id="487"/>
      <w:bookmarkEnd w:id="488"/>
      <w:bookmarkEnd w:id="489"/>
      <w:bookmarkEnd w:id="490"/>
      <w:bookmarkEnd w:id="491"/>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92" w:name="_Toc9066_WPSOffice_Level2"/>
            <w:bookmarkStart w:id="493" w:name="_Toc11511_WPSOffice_Level2"/>
            <w:bookmarkStart w:id="494" w:name="_Toc23854_WPSOffice_Level2"/>
            <w:bookmarkStart w:id="495" w:name="_Toc6343_WPSOffice_Level2"/>
            <w:bookmarkStart w:id="496" w:name="_Toc26466_WPSOffice_Level2"/>
            <w:bookmarkStart w:id="497" w:name="_Toc8746_WPSOffice_Level2"/>
            <w:bookmarkStart w:id="498" w:name="_Toc2345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“U2AF1,UGT1A1,UMPS”</w:t>
            </w:r>
            <w:r>
              <w:rPr>
                <w:rFonts w:hint="eastAsia" w:ascii="Times New Roman" w:hAnsi="Times New Roman" w:eastAsia="微软雅黑" w:cs="Times New Roman"/>
                <w:sz w:val="18"/>
                <w:szCs w:val="18"/>
                <w:highlight w:val="none"/>
                <w:lang w:eastAsia="zh-CN"/>
              </w:rPr>
              <w:t xml:space="preserv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V</w:t>
      </w:r>
      <w:bookmarkEnd w:id="492"/>
      <w:bookmarkEnd w:id="493"/>
      <w:bookmarkEnd w:id="494"/>
      <w:bookmarkEnd w:id="495"/>
      <w:bookmarkEnd w:id="496"/>
      <w:bookmarkEnd w:id="497"/>
      <w:bookmarkEnd w:id="498"/>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499" w:name="_Toc17938_WPSOffice_Level2"/>
            <w:bookmarkStart w:id="500" w:name="_Toc20319_WPSOffice_Level2"/>
            <w:bookmarkStart w:id="501" w:name="_Toc1557_WPSOffice_Level2"/>
            <w:bookmarkStart w:id="502" w:name="_Toc3049_WPSOffice_Level2"/>
            <w:bookmarkStart w:id="503" w:name="_Toc12685_WPSOffice_Level2"/>
            <w:bookmarkStart w:id="504" w:name="_Toc17440_WPSOffice_Level2"/>
            <w:bookmarkStart w:id="505" w:name="_Toc6069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“VEGFA,VHL*”</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W</w:t>
      </w:r>
      <w:bookmarkEnd w:id="499"/>
      <w:bookmarkEnd w:id="500"/>
      <w:bookmarkEnd w:id="501"/>
      <w:bookmarkEnd w:id="502"/>
      <w:bookmarkEnd w:id="503"/>
      <w:bookmarkEnd w:id="504"/>
      <w:bookmarkEnd w:id="505"/>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506" w:name="_Toc27824_WPSOffice_Level2"/>
            <w:bookmarkStart w:id="507" w:name="_Toc21686_WPSOffice_Level2"/>
            <w:bookmarkStart w:id="508" w:name="_Toc28180_WPSOffice_Level2"/>
            <w:bookmarkStart w:id="509" w:name="_Toc19766_WPSOffice_Level2"/>
            <w:bookmarkStart w:id="510" w:name="_Toc18427_WPSOffice_Level2"/>
            <w:bookmarkStart w:id="511" w:name="_Toc29816_WPSOffice_Level2"/>
            <w:bookmarkStart w:id="512" w:name="_Toc2595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“WISP3,WRN*,WT1”</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X</w:t>
      </w:r>
      <w:bookmarkEnd w:id="506"/>
      <w:bookmarkEnd w:id="507"/>
      <w:bookmarkEnd w:id="508"/>
      <w:bookmarkEnd w:id="509"/>
      <w:bookmarkEnd w:id="510"/>
      <w:bookmarkEnd w:id="511"/>
      <w:bookmarkEnd w:id="512"/>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513" w:name="_Toc7268_WPSOffice_Level2"/>
            <w:bookmarkStart w:id="514" w:name="_Toc27941_WPSOffice_Level2"/>
            <w:bookmarkStart w:id="515" w:name="_Toc9870_WPSOffice_Level2"/>
            <w:bookmarkStart w:id="516" w:name="_Toc24661_WPSOffice_Level2"/>
            <w:bookmarkStart w:id="517" w:name="_Toc20570_WPSOffice_Level2"/>
            <w:bookmarkStart w:id="518" w:name="_Toc19658_WPSOffice_Level2"/>
            <w:bookmarkStart w:id="519" w:name="_Toc8959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“XPC,XPO1,XRCC1,XRCC2,XRCC3”</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Z</w:t>
      </w:r>
      <w:bookmarkEnd w:id="513"/>
      <w:bookmarkEnd w:id="514"/>
      <w:bookmarkEnd w:id="515"/>
      <w:bookmarkEnd w:id="516"/>
      <w:bookmarkEnd w:id="517"/>
      <w:bookmarkEnd w:id="518"/>
      <w:bookmarkEnd w:id="519"/>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“ZBTB2,ZNF217,ZNF703,ZNRF3”</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before="19" w:line="160" w:lineRule="exact"/>
        <w:rPr>
          <w:rFonts w:ascii="Times New Roman" w:hAnsi="Times New Roman" w:eastAsia="微软雅黑" w:cs="Times New Roman"/>
          <w:sz w:val="16"/>
          <w:szCs w:val="16"/>
          <w:highlight w:val="none"/>
        </w:rPr>
      </w:pPr>
    </w:p>
    <w:p>
      <w:pPr>
        <w:spacing w:before="47"/>
        <w:ind w:right="446"/>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pacing w:val="-1"/>
          <w:sz w:val="18"/>
          <w:szCs w:val="18"/>
          <w:highlight w:val="none"/>
          <w:lang w:eastAsia="zh-CN"/>
        </w:rPr>
        <w:t>注：</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2"/>
          <w:sz w:val="18"/>
          <w:szCs w:val="18"/>
          <w:highlight w:val="none"/>
          <w:lang w:eastAsia="zh-CN"/>
        </w:rPr>
        <w:t xml:space="preserve"> </w:t>
      </w:r>
      <w:r>
        <w:rPr>
          <w:rFonts w:ascii="Times New Roman" w:hAnsi="Times New Roman" w:eastAsia="微软雅黑" w:cs="Times New Roman"/>
          <w:sz w:val="18"/>
          <w:szCs w:val="18"/>
          <w:highlight w:val="none"/>
          <w:lang w:eastAsia="zh-CN"/>
        </w:rPr>
        <w:t xml:space="preserve">号标注为 </w:t>
      </w:r>
      <w:r>
        <w:rPr>
          <w:rFonts w:hint="eastAsia" w:ascii="Times New Roman" w:hAnsi="Times New Roman" w:eastAsia="微软雅黑" w:cs="Times New Roman"/>
          <w:sz w:val="18"/>
          <w:szCs w:val="18"/>
          <w:highlight w:val="none"/>
          <w:lang w:eastAsia="zh-CN"/>
        </w:rPr>
        <w:t>58</w:t>
      </w:r>
      <w:r>
        <w:rPr>
          <w:rFonts w:ascii="Times New Roman" w:hAnsi="Times New Roman" w:eastAsia="微软雅黑" w:cs="Times New Roman"/>
          <w:sz w:val="18"/>
          <w:szCs w:val="18"/>
          <w:highlight w:val="none"/>
          <w:lang w:eastAsia="zh-CN"/>
        </w:rPr>
        <w:t>个遗传风险检测基因。</w:t>
      </w:r>
    </w:p>
    <w:p>
      <w:pPr>
        <w:rPr>
          <w:highlight w:val="none"/>
          <w:lang w:eastAsia="zh-CN"/>
        </w:rPr>
      </w:pPr>
      <w:bookmarkStart w:id="520" w:name="_Toc20170_WPSOffice_Level1"/>
      <w:bookmarkStart w:id="521" w:name="_Toc5476"/>
      <w:bookmarkStart w:id="522" w:name="_Toc26985_WPSOffice_Level1"/>
      <w:r>
        <w:rPr>
          <w:highlight w:val="none"/>
          <w:lang w:eastAsia="zh-CN"/>
        </w:rPr>
        <w:br w:type="page"/>
      </w:r>
    </w:p>
    <w:p>
      <w:pPr>
        <w:pStyle w:val="25"/>
        <w:rPr>
          <w:highlight w:val="none"/>
        </w:rPr>
      </w:pPr>
      <w:bookmarkStart w:id="523" w:name="_Toc26594"/>
      <w:r>
        <w:rPr>
          <w:highlight w:val="none"/>
        </w:rPr>
        <w:t>检测流程</w:t>
      </w:r>
      <w:bookmarkEnd w:id="358"/>
      <w:bookmarkEnd w:id="520"/>
      <w:bookmarkEnd w:id="521"/>
      <w:bookmarkEnd w:id="522"/>
      <w:bookmarkEnd w:id="523"/>
    </w:p>
    <w:p>
      <w:pPr>
        <w:rPr>
          <w:rFonts w:ascii="Times New Roman" w:hAnsi="Times New Roman" w:eastAsia="微软雅黑" w:cs="Times New Roman"/>
          <w:highlight w:val="none"/>
          <w:lang w:eastAsia="zh-CN"/>
        </w:rPr>
      </w:pPr>
    </w:p>
    <w:p>
      <w:pPr>
        <w:rPr>
          <w:rFonts w:ascii="Times New Roman" w:hAnsi="Times New Roman" w:eastAsia="微软雅黑" w:cs="Times New Roman"/>
          <w:highlight w:val="none"/>
          <w:lang w:eastAsia="zh-CN"/>
        </w:rPr>
      </w:pPr>
    </w:p>
    <w:p>
      <w:pPr>
        <w:ind w:firstLine="3740" w:firstLineChars="1700"/>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highlight w:val="none"/>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1</w:t>
      </w: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3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34"/>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524" w:name="_Toc3149_WPSOffice_Level2"/>
      <w:bookmarkStart w:id="525" w:name="_Toc19277_WPSOffice_Level2"/>
      <w:r>
        <w:rPr>
          <w:rFonts w:ascii="Times New Roman" w:hAnsi="Times New Roman" w:eastAsia="微软雅黑" w:cs="Times New Roman"/>
          <w:color w:val="416AAB"/>
          <w:sz w:val="72"/>
          <w:szCs w:val="72"/>
          <w:highlight w:val="none"/>
          <w:lang w:eastAsia="zh-CN"/>
        </w:rPr>
        <w:t>2</w:t>
      </w:r>
      <w:bookmarkEnd w:id="524"/>
      <w:bookmarkEnd w:id="525"/>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526" w:name="_Toc17014_WPSOffice_Level2"/>
      <w:bookmarkStart w:id="527" w:name="_Toc206_WPSOffice_Level2"/>
      <w:r>
        <w:rPr>
          <w:rFonts w:ascii="Times New Roman" w:hAnsi="Times New Roman" w:eastAsia="微软雅黑" w:cs="Times New Roman"/>
          <w:color w:val="416AAB"/>
          <w:sz w:val="72"/>
          <w:szCs w:val="72"/>
          <w:highlight w:val="none"/>
          <w:lang w:eastAsia="zh-CN"/>
        </w:rPr>
        <w:t>3</w:t>
      </w:r>
      <w:bookmarkEnd w:id="526"/>
      <w:bookmarkEnd w:id="527"/>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34"/>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highlight w:val="none"/>
          <w:lang w:eastAsia="zh-CN"/>
        </w:rPr>
      </w:pPr>
      <w:bookmarkStart w:id="528" w:name="_Toc50_WPSOffice_Level2"/>
      <w:bookmarkStart w:id="529" w:name="_Toc17792_WPSOffice_Level2"/>
      <w:r>
        <w:rPr>
          <w:rFonts w:ascii="Times New Roman" w:hAnsi="Times New Roman" w:eastAsia="微软雅黑" w:cs="Times New Roman"/>
          <w:color w:val="416AAB"/>
          <w:sz w:val="72"/>
          <w:szCs w:val="72"/>
          <w:highlight w:val="none"/>
          <w:lang w:eastAsia="zh-CN"/>
        </w:rPr>
        <w:t>4</w:t>
      </w:r>
      <w:bookmarkEnd w:id="528"/>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r>
        <w:rPr>
          <w:rFonts w:ascii="Times New Roman" w:hAnsi="Times New Roman" w:eastAsia="微软雅黑" w:cs="Times New Roman"/>
          <w:color w:val="416AAB"/>
          <w:sz w:val="72"/>
          <w:szCs w:val="72"/>
          <w:highlight w:val="none"/>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5</w:t>
      </w:r>
    </w:p>
    <w:p>
      <w:pPr>
        <w:rPr>
          <w:rFonts w:ascii="Times New Roman" w:hAnsi="Times New Roman" w:eastAsia="微软雅黑" w:cs="Times New Roman"/>
          <w:highlight w:val="none"/>
          <w:lang w:eastAsia="zh-CN"/>
        </w:rPr>
      </w:pPr>
    </w:p>
    <w:p>
      <w:pPr>
        <w:tabs>
          <w:tab w:val="left" w:pos="6770"/>
        </w:tabs>
        <w:spacing w:before="27"/>
        <w:rPr>
          <w:rFonts w:ascii="Times New Roman" w:hAnsi="Times New Roman" w:eastAsia="微软雅黑" w:cs="Times New Roman"/>
          <w:sz w:val="15"/>
          <w:highlight w:val="none"/>
          <w:lang w:eastAsia="zh-CN"/>
        </w:rPr>
      </w:pPr>
      <w:r>
        <w:rPr>
          <w:rFonts w:ascii="Times New Roman" w:hAnsi="Times New Roman" w:eastAsia="微软雅黑" w:cs="Times New Roman"/>
          <w:color w:val="0070C0"/>
          <w:highlight w:val="none"/>
          <w:lang w:eastAsia="zh-CN"/>
        </w:rPr>
        <w:br w:type="page"/>
      </w:r>
    </w:p>
    <w:p>
      <w:pPr>
        <w:pStyle w:val="25"/>
        <w:rPr>
          <w:highlight w:val="none"/>
        </w:rPr>
      </w:pPr>
      <w:bookmarkStart w:id="530" w:name="_Toc21361"/>
      <w:bookmarkStart w:id="531" w:name="_Toc27946"/>
      <w:bookmarkStart w:id="532" w:name="_Toc19584_WPSOffice_Level1"/>
      <w:bookmarkStart w:id="533" w:name="_Toc22162_WPSOffice_Level1"/>
      <w:bookmarkStart w:id="534" w:name="_Toc22623"/>
      <w:bookmarkStart w:id="535" w:name="_Toc13275"/>
      <w:bookmarkStart w:id="536" w:name="_Toc14611_WPSOffice_Level1"/>
      <w:r>
        <w:rPr>
          <w:highlight w:val="none"/>
        </w:rPr>
        <w:t>参考文献</w:t>
      </w:r>
      <w:bookmarkEnd w:id="530"/>
      <w:bookmarkEnd w:id="531"/>
    </w:p>
    <w:bookmarkEnd w:id="529"/>
    <w:bookmarkEnd w:id="532"/>
    <w:bookmarkEnd w:id="533"/>
    <w:bookmarkEnd w:id="534"/>
    <w:bookmarkEnd w:id="535"/>
    <w:bookmarkEnd w:id="536"/>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Doi T, Fujiwara Y, et al. Phase I study of ipatasertib as a single agent and in combination with abiraterone plus prednisolone in Japanese patients with advanced solid tumors[J]. Cancer Chemother Pharmacol, 2019, 84(2):393-404.</w:t>
      </w:r>
    </w:p>
    <w:p>
      <w:pPr>
        <w:pStyle w:val="29"/>
        <w:numPr>
          <w:ilvl w:val="0"/>
          <w:numId w:val="35"/>
        </w:numPr>
        <w:ind w:firstLineChars="0"/>
        <w:rPr>
          <w:rFonts w:ascii="Times New Roman" w:hAnsi="Times New Roman"/>
          <w:sz w:val="15"/>
          <w:szCs w:val="15"/>
          <w:highlight w:val="none"/>
        </w:rPr>
      </w:pPr>
      <w:r>
        <w:rPr>
          <w:rFonts w:ascii="Times New Roman" w:hAnsi="Times New Roman"/>
          <w:sz w:val="15"/>
          <w:szCs w:val="15"/>
          <w:highlight w:val="none"/>
        </w:rPr>
        <w:t>Sung-Bae K, Rebecca D, et al. Ipatasertib plus paclitaxel versus placebo plus paclitaxel as first-line therapy for metastatic triple-negative breast cancer (LOTUS): a multicentre, randomised, double-blind, placebo-controlled, phase 2 trial[J]. et Oncol,</w:t>
      </w:r>
      <w:r>
        <w:rPr>
          <w:rFonts w:hint="eastAsia" w:ascii="Times New Roman" w:hAnsi="Times New Roman"/>
          <w:sz w:val="15"/>
          <w:szCs w:val="15"/>
          <w:highlight w:val="none"/>
        </w:rPr>
        <w:t xml:space="preserve"> </w:t>
      </w:r>
      <w:r>
        <w:rPr>
          <w:rFonts w:ascii="Times New Roman" w:hAnsi="Times New Roman"/>
          <w:sz w:val="15"/>
          <w:szCs w:val="15"/>
          <w:highlight w:val="none"/>
        </w:rPr>
        <w:t>2017, 18(10):1360-1372.</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"https://www.ncbi.nlm.nih.gov/pubmed/?term=Sharma%20J%5BAuthor%5D&amp;cauthor=true&amp;cauthor_uid=27122312" </w:instrText>
      </w:r>
      <w:r>
        <w:rPr>
          <w:highlight w:val="none"/>
        </w:rPr>
        <w:fldChar w:fldCharType="separate"/>
      </w:r>
      <w:r>
        <w:rPr>
          <w:rFonts w:ascii="Times New Roman" w:hAnsi="Times New Roman"/>
          <w:sz w:val="15"/>
          <w:szCs w:val="15"/>
          <w:highlight w:val="none"/>
        </w:rPr>
        <w:t>Sharma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"https://www.ncbi.nlm.nih.gov/pubmed/?term=Pareek%20V%5BAuthor%5D&amp;cauthor=true&amp;cauthor_uid=27122312" </w:instrText>
      </w:r>
      <w:r>
        <w:rPr>
          <w:highlight w:val="none"/>
        </w:rPr>
        <w:fldChar w:fldCharType="separate"/>
      </w:r>
      <w:r>
        <w:rPr>
          <w:rFonts w:ascii="Times New Roman" w:hAnsi="Times New Roman"/>
          <w:sz w:val="15"/>
          <w:szCs w:val="15"/>
          <w:highlight w:val="none"/>
        </w:rPr>
        <w:t>Pareek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"https://www.ncbi.nlm.nih.gov/pubmed/?term=Liu%20H%5BAuthor%5D&amp;cauthor=true&amp;cauthor_uid=27122312" </w:instrText>
      </w:r>
      <w:r>
        <w:rPr>
          <w:highlight w:val="none"/>
        </w:rPr>
        <w:fldChar w:fldCharType="separate"/>
      </w:r>
      <w:r>
        <w:rPr>
          <w:rFonts w:ascii="Times New Roman" w:hAnsi="Times New Roman"/>
          <w:sz w:val="15"/>
          <w:szCs w:val="15"/>
          <w:highlight w:val="none"/>
        </w:rPr>
        <w:t>Liu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"https://www.ncbi.nlm.nih.gov/pubmed/?term=Cheng%20H%5BAuthor%5D&amp;cauthor=true&amp;cauthor_uid=27122312" </w:instrText>
      </w:r>
      <w:r>
        <w:rPr>
          <w:highlight w:val="none"/>
        </w:rPr>
        <w:fldChar w:fldCharType="separate"/>
      </w:r>
      <w:r>
        <w:rPr>
          <w:rFonts w:ascii="Times New Roman" w:hAnsi="Times New Roman"/>
          <w:sz w:val="15"/>
          <w:szCs w:val="15"/>
          <w:highlight w:val="none"/>
        </w:rPr>
        <w:t>Cheng H</w:t>
      </w:r>
      <w:r>
        <w:rPr>
          <w:rFonts w:ascii="Times New Roman" w:hAnsi="Times New Roman"/>
          <w:sz w:val="15"/>
          <w:szCs w:val="15"/>
          <w:highlight w:val="none"/>
        </w:rPr>
        <w:fldChar w:fldCharType="end"/>
      </w:r>
      <w:r>
        <w:rPr>
          <w:rFonts w:ascii="Times New Roman" w:hAnsi="Times New Roman"/>
          <w:sz w:val="15"/>
          <w:szCs w:val="15"/>
          <w:highlight w:val="none"/>
        </w:rPr>
        <w:t>. Emerging treatment for ALK-positive lung cancer[J].</w:t>
      </w:r>
      <w:r>
        <w:rPr>
          <w:rFonts w:ascii="Times New Roman" w:hAnsi="Times New Roman" w:eastAsia="Times New Roman"/>
          <w:color w:val="000000"/>
          <w:sz w:val="17"/>
          <w:szCs w:val="17"/>
          <w:highlight w:val="none"/>
        </w:rPr>
        <w:t xml:space="preserve"> </w:t>
      </w:r>
      <w:r>
        <w:rPr>
          <w:highlight w:val="none"/>
        </w:rPr>
        <w:fldChar w:fldCharType="begin"/>
      </w:r>
      <w:r>
        <w:rPr>
          <w:highlight w:val="none"/>
        </w:rPr>
        <w:instrText xml:space="preserve"> HYPERLINK "https://www.ncbi.nlm.nih.gov/pubmed/27122312" \o "Expert opinion on emerging drugs." </w:instrText>
      </w:r>
      <w:r>
        <w:rPr>
          <w:highlight w:val="none"/>
        </w:rPr>
        <w:fldChar w:fldCharType="separate"/>
      </w:r>
      <w:r>
        <w:rPr>
          <w:rFonts w:ascii="Times New Roman" w:hAnsi="Times New Roman"/>
          <w:sz w:val="15"/>
          <w:szCs w:val="15"/>
          <w:highlight w:val="none"/>
        </w:rPr>
        <w:t>Expert Opin Emerg Drugs</w:t>
      </w:r>
      <w:r>
        <w:rPr>
          <w:rFonts w:ascii="Times New Roman" w:hAnsi="Times New Roman"/>
          <w:sz w:val="15"/>
          <w:szCs w:val="15"/>
          <w:highlight w:val="none"/>
        </w:rPr>
        <w:fldChar w:fldCharType="end"/>
      </w:r>
      <w:r>
        <w:rPr>
          <w:rFonts w:ascii="Times New Roman" w:hAnsi="Times New Roman"/>
          <w:sz w:val="15"/>
          <w:szCs w:val="15"/>
          <w:highlight w:val="none"/>
        </w:rPr>
        <w:t>, 2016, 21(2):147-55.</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"https://www.ncbi.nlm.nih.gov/pubmed/?term=Lin%20JJ%5BAuthor%5D&amp;cauthor=true&amp;cauthor_uid=28122866" </w:instrText>
      </w:r>
      <w:r>
        <w:rPr>
          <w:highlight w:val="none"/>
        </w:rPr>
        <w:fldChar w:fldCharType="separate"/>
      </w:r>
      <w:r>
        <w:rPr>
          <w:rFonts w:ascii="Times New Roman" w:hAnsi="Times New Roman"/>
          <w:sz w:val="15"/>
          <w:szCs w:val="15"/>
          <w:highlight w:val="none"/>
        </w:rPr>
        <w:t>Lin JJ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"https://www.ncbi.nlm.nih.gov/pubmed/?term=Riely%20GJ%5BAuthor%5D&amp;cauthor=true&amp;cauthor_uid=28122866" </w:instrText>
      </w:r>
      <w:r>
        <w:rPr>
          <w:highlight w:val="none"/>
        </w:rPr>
        <w:fldChar w:fldCharType="separate"/>
      </w:r>
      <w:r>
        <w:rPr>
          <w:rFonts w:ascii="Times New Roman" w:hAnsi="Times New Roman"/>
          <w:sz w:val="15"/>
          <w:szCs w:val="15"/>
          <w:highlight w:val="none"/>
        </w:rPr>
        <w:t>Riely GJ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"https://www.ncbi.nlm.nih.gov/pubmed/?term=Shaw%20AT%5BAuthor%5D&amp;cauthor=true&amp;cauthor_uid=28122866" </w:instrText>
      </w:r>
      <w:r>
        <w:rPr>
          <w:highlight w:val="none"/>
        </w:rPr>
        <w:fldChar w:fldCharType="separate"/>
      </w:r>
      <w:r>
        <w:rPr>
          <w:rFonts w:ascii="Times New Roman" w:hAnsi="Times New Roman"/>
          <w:sz w:val="15"/>
          <w:szCs w:val="15"/>
          <w:highlight w:val="none"/>
        </w:rPr>
        <w:t>Shaw AT</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ALK: Precision Medicine Takes on Drug Resistance[J]. </w:t>
      </w:r>
      <w:r>
        <w:rPr>
          <w:highlight w:val="none"/>
        </w:rPr>
        <w:fldChar w:fldCharType="begin"/>
      </w:r>
      <w:r>
        <w:rPr>
          <w:highlight w:val="none"/>
        </w:rPr>
        <w:instrText xml:space="preserve"> HYPERLINK "https://www.ncbi.nlm.nih.gov/pubmed/28122866" \o "Cancer discovery." </w:instrText>
      </w:r>
      <w:r>
        <w:rPr>
          <w:highlight w:val="none"/>
        </w:rPr>
        <w:fldChar w:fldCharType="separate"/>
      </w:r>
      <w:r>
        <w:rPr>
          <w:rFonts w:ascii="Times New Roman" w:hAnsi="Times New Roman"/>
          <w:sz w:val="15"/>
          <w:szCs w:val="15"/>
          <w:highlight w:val="none"/>
        </w:rPr>
        <w:t>Cancer Discov,</w:t>
      </w:r>
      <w:r>
        <w:rPr>
          <w:rFonts w:ascii="Times New Roman" w:hAnsi="Times New Roman"/>
          <w:sz w:val="15"/>
          <w:szCs w:val="15"/>
          <w:highlight w:val="none"/>
        </w:rPr>
        <w:fldChar w:fldCharType="end"/>
      </w:r>
      <w:r>
        <w:rPr>
          <w:rFonts w:ascii="Times New Roman" w:hAnsi="Times New Roman"/>
          <w:sz w:val="15"/>
          <w:szCs w:val="15"/>
          <w:highlight w:val="none"/>
        </w:rPr>
        <w:t> 2017, 7(2):137-155.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Katayama R, et al. Mechanisms of acquired crizotinib resistance in ALK-rearranged lung cancers[J]. Science translational medicine, 2012, 4(120): 120ra17-120ra17.</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Lipson, D, et al. Identification of new ALK and RET gene fusions from colorectal and lung cancer biopsies[J]. Nature medicine, 2012, 18(3): 382-384.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Doebele R C, et al. Mechanisms of resistance to crizotinib in patients with ALK gene rearranged non-small cell lung cancer[J]. Clinical Cancer Research,2012, 18(5): 1472-1482.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Kim D W, et al. Ceritinib in advanced anaplastic lymphoma kinase (ALK)-rearranged (ALK+) non-small cell lung cancer (NSCLC): Results of theASCEND-1 trial[C]. ASCO Annual Meeting Proceedings 2014, 32(15_suppl): 8003.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Socinski M A, et al. A multicenter phase II study of ganetespib monotherapy in patients with genotypically defined advanced non-small cell lungcancer[J]. Clinical Cancer Research, 2013, 19(11): 3068-3077.</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Yunpeng Y, et al. Efficacy, safety, and biomarker analysis of ensartinib in crizotinib-resistant, ALK-positive non-small-cell lung cancer: a multicentre, phase 2 trial[J]. Lancet Respir Med, 2020, 8(1): 45-53.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Hofman V, et al. Usefulness of immunocytochemistry for the detection of the BRAFV600Emutation in circulating tumor cells from metastatic melanoma patients[J]. Journal of Investigative Dermatology, 2013, 133(5): 1378-1381.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Corcoran R B, et al. EGFR-mediated re-activation of MAPK signaling contributes to insensitivity of BRAFmutant colorectal cancers to RAF inhibition with vemurafenib[J]. Cancer Discovery, 2012, 2(3): 227-235.</w:t>
      </w:r>
    </w:p>
    <w:p>
      <w:pPr>
        <w:widowControl/>
        <w:numPr>
          <w:ilvl w:val="0"/>
          <w:numId w:val="35"/>
        </w:numPr>
        <w:spacing w:after="84" w:line="259" w:lineRule="auto"/>
        <w:rPr>
          <w:rFonts w:ascii="Times New Roman" w:hAnsi="Times New Roman"/>
          <w:sz w:val="15"/>
          <w:szCs w:val="15"/>
          <w:highlight w:val="none"/>
        </w:rPr>
      </w:pPr>
      <w:r>
        <w:rPr>
          <w:rFonts w:hint="eastAsia" w:ascii="Times New Roman" w:hAnsi="Times New Roman"/>
          <w:sz w:val="15"/>
          <w:szCs w:val="15"/>
          <w:highlight w:val="none"/>
        </w:rPr>
        <w:t>Georgina V Long, et al. Adjuvant Dabrafenib plus Trametinib in Stage III BRAF-Mutated Melanoma[J]. N Engl J Med, 2017, 377(19):1813-1823.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Shi H, et al. Melanoma whole-exome sequencing identifies V600EB-RAF amplification-mediated acquired B-RAF inhibitor resistance[J]. Nature Communications, 2012, 3: 724.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De Roock W, et al. Effects of KRAS, BRAF, NRAS, and PIK3CA mutations on the efficacy of cetuximab plus chemotherapy in chemotherapy-refractorymetastatic colorectal cancer: a retrospective consortium analysis[J]. The Lancet Oncology, 2010, 11(8):753-762.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Combined BRAF and MEK inhibition in melanoma with BRAF V600 mutations[J]. New England Journal of Medicine, 2012, 367(18):1694-1703.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Gautschi O, et al. A patient with BRAF V600E lung adenocarcinoma responding to vemurafenib[J]. Journal of Thoracic Oncology, 2012, 7(10): e23-e24.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Heidorn, S J, et al. Kinase-dead BRAF and oncogenic RAS cooperate to drive tumor progression through CRAF[J]. Cell, 2010, 140(2): 209-221.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Joensuu H, et al. Vatalanib for metastatic gastrointestinal stromal tumour (GIST) resistant to imatinib: final results of a phase II study[J]. British Journal of Cancer, 2011, 104(11): 1686-1690.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et al. Phase II trial of infusional fluorouracil, irinotecan, and bevacizumab for metastatic colorectal cancer: efficacy and circulating angiogenic biomarkers associated with therapeutic resistance[J]. Journal of Clinical Oncology, 2010, 28(3):453-459.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Prahallad A, et al. Unresponsiveness of colon cancer to BRAF (V600E) inhibition through feedback activation of EGFR[J]. Nature, 2012, 483(7388):100-103.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Rubinstein J C, et al. Incidence of the V600K mutation among melanoma patients with BRAF mutations, and potential therapeutic response to thespecific BRAF inhibitor PLX4032[J]. Transl Med, 2010, 8(67): 10.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Sen B, et al. Kinase-impaired BRAF mutations in lung cancer confer sensitivity to dasatinib[J]. Science Translational Medicine, 2012, 4(136): 136ra70-136ra70.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Sosman J A, et al. Survival in BRAF V600-mutant advanced melanoma treated with vemurafenib[J]. New England Journal of Medicine, 2012, 366(8):707-714.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Heinrich M C, et al. Primary and secondary kinase genotypes correlate with the biological and clinical activity of sunitinib in imatinib-resistant gastrointestinal stromal tumor[J]. Journal of Clinical Oncology, 2008, 26(33): 5352-5359.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Kindler H L, Campbell N P, Wroblewski K, et al. Sorafenib (SOR) in patients (pts) with imatinib (IM) and sunitinib (SU)-resistant (RES) gastrointestinal stromal tumors (GIST): Final results of a University of Chicago Phase II Consortium trial[J]. Journal of Clinical Oncology, 2011, 29(15_suppl):10009.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Demetri G D, et al. Efficacy and safety of regorafenib for advanced gastrointestinal stromal tumours after failure of imatinib and sunitinib (GRID): aninternational, multicentre, randomised, placebo-controlled, phase 3 trial[J]. The Lancet, 2013, 381(9863):295-302.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Improved survival with MEK inhibition in BRAF-mutated melanoma[J]. New England Journal of Medicine, 2012, 367(2): 107-114.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Falchook G S, et al. Activity of the oral MEK inhibitor trametinib in patients with advanced melanoma: a phase 1 dose-escalation trial[J]. The Lancet Oncology, 2012, 13(8): 782-789.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Long G V, et al. Combined BRAF and MEK inhibition versus BRAF inhibition alone in melanoma[J]. New England Journal of Medicine, 2014, 371(20):1877-1888.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Peng S, et al. Dasatinib induces DNA damage and activates DNA repair pathways leading to senescence in non-small cell lung cancer cell lines with kinase-inactivating BRAF mutations[J].Oncotarget, 2016, 7(1):565-579.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Hauschild A, et al. Dabrafenib in BRAF-mutatedmetastatic melanoma: a multicentre, open-label, phase 3 randomised controlled trial[J]. The Lancet, 2012, 380(9839):358-65.</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Ascierto P A, Schadendorf D, Berking C, et al. MEK162 for patients with advanced melanoma harbouring NRAS or Val600 BRAF mutations: a non-randomised, open-label phase 2 study[J]. The Lancet Oncology, 2013, 14(3):249-256.</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Yaeger R, Cercek A, O"Reilly E M, et al. Pilot trial of combined BRAF and EGFR inhibition in BRAF-mutant metastatic colorectal cancer patients[J]. Clinical Cancer Research, 2015, 21(6):1313-1320.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Desai J, Chan E, et al. Phase II pilot study of Vemurafenib in patients with metastatic BRAF-mutated colorectal cancer[J]. Journal of Clinical Oncology, 2015, 63:2497.</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Herr R, Halbach S, Heizmann M, et al. BRAF inhibition upregulates a variety of receptor tyrosine kinases and their downstream effector Gab2 in colorectal cancer cell lines[J]. Oncogene, 2018, 37(12):1576-1593.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Di Nicolantonio F, Martini M, Molinari F, et al. Wild-type BRAF is required for response to Panitumumab or Cetuximab in metastatic colorectal cancer[J]. Journal of Clinical Oncology, 2008, 26(35):5705-5712.</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Tabernero J, Guren T K, Yaeger R, et al. Combination of encorafenib and cetuximab with or without alpelisib in patients with advanced BRAF-mutant (BRAFm) colorectal cancer: Phase 2 results[J]. Annals of Oncology, 2016, 27(suppl_2):ii127-ii128.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Bubolz A M, Weissinger S E, Stenzinger A, et al. Potential clinical implications of BRAF mutations in histiocytic proliferations[J]. Oncotarget, 1949, 5(12):4060.</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Hyman D M, Diamond E L, Vibat C R T, et al. Prospective blinded study of BRAFV600E mutation detection in cell-free DNA of patients with systemic histiocytic disorders[J]. Cancer Discovery, 2015, 5(1):64-71.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Ralf G, Daniil S, et al. Atezolizumab, Vemurafenib, and Cobimetinib as First-Line Treatment for Unresectable Advanced BRAF V600 Mutation-Positive Melanoma (IMspire150): Primary Analysis of the Randomised, Double-Blind, Placebo-Controlled, Phase 3 Trial[J]. Lancet, 2020, 395(10240):1835-1844.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Scott K, Axel G, et al. Encorafenib, Binimetinib, and Cetuximab in BRAF V600E-Mutated Colorectal Cancer</w:t>
      </w:r>
      <w:r>
        <w:rPr>
          <w:rFonts w:hint="eastAsia" w:ascii="Times New Roman" w:hAnsi="Times New Roman"/>
          <w:sz w:val="15"/>
          <w:szCs w:val="15"/>
          <w:highlight w:val="none"/>
        </w:rPr>
        <w:t>[</w:t>
      </w:r>
      <w:r>
        <w:rPr>
          <w:rFonts w:ascii="Times New Roman" w:hAnsi="Times New Roman"/>
          <w:sz w:val="15"/>
          <w:szCs w:val="15"/>
          <w:highlight w:val="none"/>
        </w:rPr>
        <w:t>J]. N Engl J Med, 2019, 381(17):1632-1643.</w:t>
      </w:r>
    </w:p>
    <w:p>
      <w:pPr>
        <w:widowControl/>
        <w:numPr>
          <w:ilvl w:val="0"/>
          <w:numId w:val="35"/>
        </w:numPr>
        <w:spacing w:after="84" w:line="259" w:lineRule="auto"/>
        <w:rPr>
          <w:rFonts w:ascii="Times New Roman" w:hAnsi="Times New Roman"/>
          <w:sz w:val="15"/>
          <w:szCs w:val="15"/>
          <w:highlight w:val="none"/>
        </w:rPr>
      </w:pPr>
      <w:r>
        <w:rPr>
          <w:rFonts w:hint="eastAsia" w:ascii="Times New Roman" w:hAnsi="Times New Roman"/>
          <w:sz w:val="15"/>
          <w:szCs w:val="15"/>
          <w:highlight w:val="none"/>
          <w:lang w:val="en-US" w:eastAsia="zh-CN"/>
        </w:rPr>
        <w:t>Ferrucci PF, Di Giacomo AM, Del Vecchio, et al. MKEYNOTE-022 part 3: a randomized, double-blind, phase 2 study of pembrolizumab, dabrafenib, and trametinib in BRAF-mutant melanoma.J Immunother Cancer. 2020 Dec;8(2):e001806.</w:t>
      </w:r>
    </w:p>
    <w:p>
      <w:pPr>
        <w:widowControl/>
        <w:numPr>
          <w:ilvl w:val="0"/>
          <w:numId w:val="35"/>
        </w:numPr>
        <w:spacing w:after="84" w:line="259" w:lineRule="auto"/>
        <w:rPr>
          <w:rFonts w:ascii="Times New Roman" w:hAnsi="Times New Roman"/>
          <w:sz w:val="15"/>
          <w:szCs w:val="15"/>
          <w:highlight w:val="none"/>
        </w:rPr>
      </w:pPr>
      <w:r>
        <w:rPr>
          <w:rFonts w:hint="eastAsia" w:ascii="Times New Roman" w:hAnsi="Times New Roman" w:cs="Times New Roman"/>
          <w:sz w:val="15"/>
          <w:szCs w:val="15"/>
          <w:highlight w:val="none"/>
          <w:lang w:eastAsia="zh-CN"/>
        </w:rPr>
        <w:t xml:space="preserve">Jacqulyne PR, Yasir YE, Zhi T, et al. </w:t>
      </w:r>
      <w:r>
        <w:rPr>
          <w:rFonts w:ascii="Times New Roman" w:hAnsi="Times New Roman" w:cs="Times New Roman"/>
          <w:sz w:val="15"/>
          <w:szCs w:val="15"/>
          <w:highlight w:val="none"/>
        </w:rPr>
        <w:t>Mechanisms and clinical activity of an EGFR and HER2 exon 20-selective kinase inhibitor in non-small cell lung</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cancer[J].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Nat Med</w:t>
      </w:r>
      <w:r>
        <w:rPr>
          <w:rFonts w:hint="eastAsia" w:ascii="Times New Roman" w:hAnsi="Times New Roman" w:cs="Times New Roman"/>
          <w:sz w:val="15"/>
          <w:szCs w:val="15"/>
          <w:highlight w:val="none"/>
          <w:lang w:eastAsia="zh-CN"/>
        </w:rPr>
        <w:t>, 2018, 24(5)</w:t>
      </w:r>
      <w:r>
        <w:rPr>
          <w:rFonts w:ascii="Times New Roman" w:hAnsi="Times New Roman" w:cs="Times New Roman"/>
          <w:sz w:val="15"/>
          <w:szCs w:val="15"/>
          <w:highlight w:val="none"/>
        </w:rPr>
        <w:t xml:space="preserve">, </w:t>
      </w:r>
      <w:r>
        <w:rPr>
          <w:rFonts w:hint="eastAsia" w:ascii="Times New Roman" w:hAnsi="Times New Roman" w:cs="Times New Roman"/>
          <w:sz w:val="15"/>
          <w:szCs w:val="15"/>
          <w:highlight w:val="none"/>
          <w:lang w:eastAsia="zh-CN"/>
        </w:rPr>
        <w:t>638-646.</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"https://www.ncbi.nlm.nih.gov/pubmed/?term=Vyse%20S%5BAuthor%5D&amp;cauthor=true&amp;cauthor_uid=30854234" </w:instrText>
      </w:r>
      <w:r>
        <w:rPr>
          <w:highlight w:val="none"/>
        </w:rPr>
        <w:fldChar w:fldCharType="separate"/>
      </w:r>
      <w:r>
        <w:rPr>
          <w:rFonts w:ascii="Times New Roman" w:hAnsi="Times New Roman"/>
          <w:sz w:val="15"/>
          <w:szCs w:val="15"/>
          <w:highlight w:val="none"/>
        </w:rPr>
        <w:t>Vyse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"https://www.ncbi.nlm.nih.gov/pubmed/?term=Huang%20PH%5BAuthor%5D&amp;cauthor=true&amp;cauthor_uid=30854234" </w:instrText>
      </w:r>
      <w:r>
        <w:rPr>
          <w:highlight w:val="none"/>
        </w:rPr>
        <w:fldChar w:fldCharType="separate"/>
      </w:r>
      <w:r>
        <w:rPr>
          <w:rFonts w:ascii="Times New Roman" w:hAnsi="Times New Roman"/>
          <w:sz w:val="15"/>
          <w:szCs w:val="15"/>
          <w:highlight w:val="none"/>
        </w:rPr>
        <w:t>Huang PH</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EGFR exon 20 insertion mutations in non-small cell lung cancer[J]. </w:t>
      </w:r>
      <w:r>
        <w:rPr>
          <w:highlight w:val="none"/>
        </w:rPr>
        <w:fldChar w:fldCharType="begin"/>
      </w:r>
      <w:r>
        <w:rPr>
          <w:highlight w:val="none"/>
        </w:rPr>
        <w:instrText xml:space="preserve"> HYPERLINK "https://www.ncbi.nlm.nih.gov/pubmed/30854234" \o "Signal transduction and targeted therapy." </w:instrText>
      </w:r>
      <w:r>
        <w:rPr>
          <w:highlight w:val="none"/>
        </w:rPr>
        <w:fldChar w:fldCharType="separate"/>
      </w:r>
      <w:r>
        <w:rPr>
          <w:rFonts w:ascii="Times New Roman" w:hAnsi="Times New Roman"/>
          <w:sz w:val="15"/>
          <w:szCs w:val="15"/>
          <w:highlight w:val="none"/>
        </w:rPr>
        <w:t>Signal Transduct Target Ther.</w:t>
      </w:r>
      <w:r>
        <w:rPr>
          <w:rFonts w:ascii="Times New Roman" w:hAnsi="Times New Roman"/>
          <w:sz w:val="15"/>
          <w:szCs w:val="15"/>
          <w:highlight w:val="none"/>
        </w:rPr>
        <w:fldChar w:fldCharType="end"/>
      </w:r>
      <w:r>
        <w:rPr>
          <w:rFonts w:ascii="Times New Roman" w:hAnsi="Times New Roman"/>
          <w:sz w:val="15"/>
          <w:szCs w:val="15"/>
          <w:highlight w:val="none"/>
        </w:rPr>
        <w:t> 2019, 4:5.</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"https://www.ncbi.nlm.nih.gov/pubmed/?term=Yasuda%20H%5BAuthor%5D&amp;cauthor=true&amp;cauthor_uid=24353160" </w:instrText>
      </w:r>
      <w:r>
        <w:rPr>
          <w:highlight w:val="none"/>
        </w:rPr>
        <w:fldChar w:fldCharType="separate"/>
      </w:r>
      <w:r>
        <w:rPr>
          <w:rFonts w:ascii="Times New Roman" w:hAnsi="Times New Roman"/>
          <w:sz w:val="15"/>
          <w:szCs w:val="15"/>
          <w:highlight w:val="none"/>
        </w:rPr>
        <w:t>Yasuda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"https://www.ncbi.nlm.nih.gov/pubmed/?term=Park%20E%5BAuthor%5D&amp;cauthor=true&amp;cauthor_uid=24353160" </w:instrText>
      </w:r>
      <w:r>
        <w:rPr>
          <w:highlight w:val="none"/>
        </w:rPr>
        <w:fldChar w:fldCharType="separate"/>
      </w:r>
      <w:r>
        <w:rPr>
          <w:rFonts w:ascii="Times New Roman" w:hAnsi="Times New Roman"/>
          <w:sz w:val="15"/>
          <w:szCs w:val="15"/>
          <w:highlight w:val="none"/>
        </w:rPr>
        <w:t>Park E</w:t>
      </w:r>
      <w:r>
        <w:rPr>
          <w:rFonts w:ascii="Times New Roman" w:hAnsi="Times New Roman"/>
          <w:sz w:val="15"/>
          <w:szCs w:val="15"/>
          <w:highlight w:val="none"/>
        </w:rPr>
        <w:fldChar w:fldCharType="end"/>
      </w:r>
      <w:r>
        <w:rPr>
          <w:rFonts w:ascii="Times New Roman" w:hAnsi="Times New Roman"/>
          <w:sz w:val="15"/>
          <w:szCs w:val="15"/>
          <w:highlight w:val="none"/>
        </w:rPr>
        <w:t xml:space="preserve">, et al. Structural, biochemical, and clinical characterization of epidermal growth factor receptor (EGFR) exon 20 insertion mutations in lung cancer[J]. </w:t>
      </w:r>
      <w:r>
        <w:rPr>
          <w:highlight w:val="none"/>
        </w:rPr>
        <w:fldChar w:fldCharType="begin"/>
      </w:r>
      <w:r>
        <w:rPr>
          <w:highlight w:val="none"/>
        </w:rPr>
        <w:instrText xml:space="preserve"> HYPERLINK "https://www.ncbi.nlm.nih.gov/pubmed/?term=24353160" \o "Science translational medicine." </w:instrText>
      </w:r>
      <w:r>
        <w:rPr>
          <w:highlight w:val="none"/>
        </w:rPr>
        <w:fldChar w:fldCharType="separate"/>
      </w:r>
      <w:r>
        <w:rPr>
          <w:rFonts w:ascii="Times New Roman" w:hAnsi="Times New Roman"/>
          <w:sz w:val="15"/>
          <w:szCs w:val="15"/>
          <w:highlight w:val="none"/>
        </w:rPr>
        <w:t>Sci Transl Med,</w:t>
      </w:r>
      <w:r>
        <w:rPr>
          <w:rFonts w:ascii="Times New Roman" w:hAnsi="Times New Roman"/>
          <w:sz w:val="15"/>
          <w:szCs w:val="15"/>
          <w:highlight w:val="none"/>
        </w:rPr>
        <w:fldChar w:fldCharType="end"/>
      </w:r>
      <w:r>
        <w:rPr>
          <w:rFonts w:ascii="Times New Roman" w:hAnsi="Times New Roman"/>
          <w:sz w:val="15"/>
          <w:szCs w:val="15"/>
          <w:highlight w:val="none"/>
        </w:rPr>
        <w:t> 2013, 5(216):216ra177</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"https://www.ncbi.nlm.nih.gov/pubmed/?term=Kobayashi%20S%5BAuthor%5D&amp;cauthor=true&amp;cauthor_uid=23242437" </w:instrText>
      </w:r>
      <w:r>
        <w:rPr>
          <w:highlight w:val="none"/>
        </w:rPr>
        <w:fldChar w:fldCharType="separate"/>
      </w:r>
      <w:r>
        <w:rPr>
          <w:rFonts w:ascii="Times New Roman" w:hAnsi="Times New Roman"/>
          <w:sz w:val="15"/>
          <w:szCs w:val="15"/>
          <w:highlight w:val="none"/>
        </w:rPr>
        <w:t>Kobayashi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"https://www.ncbi.nlm.nih.gov/pubmed/?term=Canepa%20HM%5BAuthor%5D&amp;cauthor=true&amp;cauthor_uid=23242437" </w:instrText>
      </w:r>
      <w:r>
        <w:rPr>
          <w:highlight w:val="none"/>
        </w:rPr>
        <w:fldChar w:fldCharType="separate"/>
      </w:r>
      <w:r>
        <w:rPr>
          <w:rFonts w:ascii="Times New Roman" w:hAnsi="Times New Roman"/>
          <w:sz w:val="15"/>
          <w:szCs w:val="15"/>
          <w:highlight w:val="none"/>
        </w:rPr>
        <w:t>Canepa HM</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Compound EGFR mutations and response to EGFR tyrosine kinase inhibitors[J]. </w:t>
      </w:r>
      <w:r>
        <w:rPr>
          <w:highlight w:val="none"/>
        </w:rPr>
        <w:fldChar w:fldCharType="begin"/>
      </w:r>
      <w:r>
        <w:rPr>
          <w:highlight w:val="none"/>
        </w:rPr>
        <w:instrText xml:space="preserve"> HYPERLINK "https://www.ncbi.nlm.nih.gov/pubmed/?term=23242437" \o "Journal of thoracic oncology : official publication of the International Association for the Study of Lung Cancer." </w:instrText>
      </w:r>
      <w:r>
        <w:rPr>
          <w:highlight w:val="none"/>
        </w:rPr>
        <w:fldChar w:fldCharType="separate"/>
      </w:r>
      <w:r>
        <w:rPr>
          <w:rFonts w:ascii="Times New Roman" w:hAnsi="Times New Roman"/>
          <w:sz w:val="15"/>
          <w:szCs w:val="15"/>
          <w:highlight w:val="none"/>
        </w:rPr>
        <w:t>J Thorac Oncol,</w:t>
      </w:r>
      <w:r>
        <w:rPr>
          <w:rFonts w:ascii="Times New Roman" w:hAnsi="Times New Roman"/>
          <w:sz w:val="15"/>
          <w:szCs w:val="15"/>
          <w:highlight w:val="none"/>
        </w:rPr>
        <w:fldChar w:fldCharType="end"/>
      </w:r>
      <w:r>
        <w:rPr>
          <w:rFonts w:ascii="Times New Roman" w:hAnsi="Times New Roman"/>
          <w:sz w:val="15"/>
          <w:szCs w:val="15"/>
          <w:highlight w:val="none"/>
        </w:rPr>
        <w:t> 2013, 8(1):45-51.</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"https://www.ncbi.nlm.nih.gov/pubmed/?term=Choo%20JR%5BAuthor%5D&amp;cauthor=true&amp;cauthor_uid=29423594" </w:instrText>
      </w:r>
      <w:r>
        <w:rPr>
          <w:highlight w:val="none"/>
        </w:rPr>
        <w:fldChar w:fldCharType="separate"/>
      </w:r>
      <w:r>
        <w:rPr>
          <w:rFonts w:ascii="Times New Roman" w:hAnsi="Times New Roman"/>
          <w:sz w:val="15"/>
          <w:szCs w:val="15"/>
          <w:highlight w:val="none"/>
        </w:rPr>
        <w:t>Choo JR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"https://www.ncbi.nlm.nih.gov/pubmed/?term=Tan%20CS%5BAuthor%5D&amp;cauthor=true&amp;cauthor_uid=29423594"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"https://www.ncbi.nlm.nih.gov/pubmed/?term=Soo%20RA%5BAuthor%5D&amp;cauthor=true&amp;cauthor_uid=29423594" </w:instrText>
      </w:r>
      <w:r>
        <w:rPr>
          <w:highlight w:val="none"/>
        </w:rPr>
        <w:fldChar w:fldCharType="separate"/>
      </w:r>
      <w:r>
        <w:rPr>
          <w:rFonts w:ascii="Times New Roman" w:hAnsi="Times New Roman"/>
          <w:sz w:val="15"/>
          <w:szCs w:val="15"/>
          <w:highlight w:val="none"/>
        </w:rPr>
        <w:t>Soo RA</w:t>
      </w:r>
      <w:r>
        <w:rPr>
          <w:rFonts w:ascii="Times New Roman" w:hAnsi="Times New Roman"/>
          <w:sz w:val="15"/>
          <w:szCs w:val="15"/>
          <w:highlight w:val="none"/>
        </w:rPr>
        <w:fldChar w:fldCharType="end"/>
      </w:r>
      <w:r>
        <w:rPr>
          <w:rFonts w:ascii="Times New Roman" w:hAnsi="Times New Roman"/>
          <w:sz w:val="15"/>
          <w:szCs w:val="15"/>
          <w:highlight w:val="none"/>
        </w:rPr>
        <w:t xml:space="preserve">. Treatment of EGFR T790M-Positive Non-Small Cell Lung Cancer[J]. </w:t>
      </w:r>
      <w:r>
        <w:rPr>
          <w:highlight w:val="none"/>
        </w:rPr>
        <w:fldChar w:fldCharType="begin"/>
      </w:r>
      <w:r>
        <w:rPr>
          <w:highlight w:val="none"/>
        </w:rPr>
        <w:instrText xml:space="preserve"> HYPERLINK "https://www.ncbi.nlm.nih.gov/pubmed/?term=29423594" \o "Targeted oncology." </w:instrText>
      </w:r>
      <w:r>
        <w:rPr>
          <w:highlight w:val="none"/>
        </w:rPr>
        <w:fldChar w:fldCharType="separate"/>
      </w:r>
      <w:r>
        <w:rPr>
          <w:rFonts w:ascii="Times New Roman" w:hAnsi="Times New Roman"/>
          <w:sz w:val="15"/>
          <w:szCs w:val="15"/>
          <w:highlight w:val="none"/>
        </w:rPr>
        <w:t>Target Oncol,</w:t>
      </w:r>
      <w:r>
        <w:rPr>
          <w:rFonts w:ascii="Times New Roman" w:hAnsi="Times New Roman"/>
          <w:sz w:val="15"/>
          <w:szCs w:val="15"/>
          <w:highlight w:val="none"/>
        </w:rPr>
        <w:fldChar w:fldCharType="end"/>
      </w:r>
      <w:r>
        <w:rPr>
          <w:rFonts w:ascii="Times New Roman" w:hAnsi="Times New Roman"/>
          <w:sz w:val="15"/>
          <w:szCs w:val="15"/>
          <w:highlight w:val="none"/>
        </w:rPr>
        <w:t> 2018, 13(2):141-156.</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"https://www.ncbi.nlm.nih.gov/pubmed/?term=Tan%20CS%5BAuthor%5D&amp;cauthor=true&amp;cauthor_uid=29455654"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"https://www.ncbi.nlm.nih.gov/pubmed/?term=Kumarakulasinghe%20NB%5BAuthor%5D&amp;cauthor=true&amp;cauthor_uid=29455654" </w:instrText>
      </w:r>
      <w:r>
        <w:rPr>
          <w:highlight w:val="none"/>
        </w:rPr>
        <w:fldChar w:fldCharType="separate"/>
      </w:r>
      <w:r>
        <w:rPr>
          <w:rFonts w:ascii="Times New Roman" w:hAnsi="Times New Roman"/>
          <w:sz w:val="15"/>
          <w:szCs w:val="15"/>
          <w:highlight w:val="none"/>
        </w:rPr>
        <w:t>Kumarakulasinghe NB</w:t>
      </w:r>
      <w:r>
        <w:rPr>
          <w:rFonts w:ascii="Times New Roman" w:hAnsi="Times New Roman"/>
          <w:sz w:val="15"/>
          <w:szCs w:val="15"/>
          <w:highlight w:val="none"/>
        </w:rPr>
        <w:fldChar w:fldCharType="end"/>
      </w:r>
      <w:r>
        <w:rPr>
          <w:rFonts w:ascii="Times New Roman" w:hAnsi="Times New Roman"/>
          <w:sz w:val="15"/>
          <w:szCs w:val="15"/>
          <w:highlight w:val="none"/>
        </w:rPr>
        <w:t xml:space="preserve">, et al. Third generation EGFR TKIs: current data and future directions[J]. </w:t>
      </w:r>
      <w:r>
        <w:rPr>
          <w:highlight w:val="none"/>
        </w:rPr>
        <w:fldChar w:fldCharType="begin"/>
      </w:r>
      <w:r>
        <w:rPr>
          <w:highlight w:val="none"/>
        </w:rPr>
        <w:instrText xml:space="preserve"> HYPERLINK "https://www.ncbi.nlm.nih.gov/pubmed/?term=29455654" \o "Molecular cancer." </w:instrText>
      </w:r>
      <w:r>
        <w:rPr>
          <w:highlight w:val="none"/>
        </w:rPr>
        <w:fldChar w:fldCharType="separate"/>
      </w:r>
      <w:r>
        <w:rPr>
          <w:rFonts w:ascii="Times New Roman" w:hAnsi="Times New Roman"/>
          <w:sz w:val="15"/>
          <w:szCs w:val="15"/>
          <w:highlight w:val="none"/>
        </w:rPr>
        <w:t>Mol Cancer,</w:t>
      </w:r>
      <w:r>
        <w:rPr>
          <w:rFonts w:ascii="Times New Roman" w:hAnsi="Times New Roman"/>
          <w:sz w:val="15"/>
          <w:szCs w:val="15"/>
          <w:highlight w:val="none"/>
        </w:rPr>
        <w:fldChar w:fldCharType="end"/>
      </w:r>
      <w:r>
        <w:rPr>
          <w:rFonts w:ascii="Times New Roman" w:hAnsi="Times New Roman"/>
          <w:sz w:val="15"/>
          <w:szCs w:val="15"/>
          <w:highlight w:val="none"/>
        </w:rPr>
        <w:t> 2018, 19;17(1):29.</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"https://www.ncbi.nlm.nih.gov/pubmed/?term=Soria%20JC%5BAuthor%5D&amp;cauthor=true&amp;cauthor_uid=29151359" </w:instrText>
      </w:r>
      <w:r>
        <w:rPr>
          <w:highlight w:val="none"/>
        </w:rPr>
        <w:fldChar w:fldCharType="separate"/>
      </w:r>
      <w:r>
        <w:rPr>
          <w:rFonts w:ascii="Times New Roman" w:hAnsi="Times New Roman"/>
          <w:sz w:val="15"/>
          <w:szCs w:val="15"/>
          <w:highlight w:val="none"/>
        </w:rPr>
        <w:t>Soria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"https://www.ncbi.nlm.nih.gov/pubmed/?term=Ohe%20Y%5BAuthor%5D&amp;cauthor=true&amp;cauthor_uid=29151359" </w:instrText>
      </w:r>
      <w:r>
        <w:rPr>
          <w:highlight w:val="none"/>
        </w:rPr>
        <w:fldChar w:fldCharType="separate"/>
      </w:r>
      <w:r>
        <w:rPr>
          <w:rFonts w:ascii="Times New Roman" w:hAnsi="Times New Roman"/>
          <w:sz w:val="15"/>
          <w:szCs w:val="15"/>
          <w:highlight w:val="none"/>
        </w:rPr>
        <w:t>Ohe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Osimertinib in Untreated EGFR-Mutated Advanced Non-Small-Cell Lung Cancer[J]. </w:t>
      </w:r>
      <w:r>
        <w:rPr>
          <w:highlight w:val="none"/>
        </w:rPr>
        <w:fldChar w:fldCharType="begin"/>
      </w:r>
      <w:r>
        <w:rPr>
          <w:highlight w:val="none"/>
        </w:rPr>
        <w:instrText xml:space="preserve"> HYPERLINK "https://www.ncbi.nlm.nih.gov/pubmed/?term=29151359%EF%BC%9B" \o "The New England journal of medicine." </w:instrText>
      </w:r>
      <w:r>
        <w:rPr>
          <w:highlight w:val="none"/>
        </w:rPr>
        <w:fldChar w:fldCharType="separate"/>
      </w:r>
      <w:r>
        <w:rPr>
          <w:rFonts w:ascii="Times New Roman" w:hAnsi="Times New Roman"/>
          <w:sz w:val="15"/>
          <w:szCs w:val="15"/>
          <w:highlight w:val="none"/>
        </w:rPr>
        <w:t>N Engl J Med,</w:t>
      </w:r>
      <w:r>
        <w:rPr>
          <w:rFonts w:ascii="Times New Roman" w:hAnsi="Times New Roman"/>
          <w:sz w:val="15"/>
          <w:szCs w:val="15"/>
          <w:highlight w:val="none"/>
        </w:rPr>
        <w:fldChar w:fldCharType="end"/>
      </w:r>
      <w:r>
        <w:rPr>
          <w:rFonts w:ascii="Times New Roman" w:hAnsi="Times New Roman"/>
          <w:sz w:val="15"/>
          <w:szCs w:val="15"/>
          <w:highlight w:val="none"/>
        </w:rPr>
        <w:t> 2018, 378(2):113-125.</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"https://www.ncbi.nlm.nih.gov/pubmed/?term=Gu%C3%A9rin%20O%5BAuthor%5D&amp;cauthor=true&amp;cauthor_uid=22608542" </w:instrText>
      </w:r>
      <w:r>
        <w:rPr>
          <w:highlight w:val="none"/>
        </w:rPr>
        <w:fldChar w:fldCharType="separate"/>
      </w:r>
      <w:r>
        <w:rPr>
          <w:rFonts w:ascii="Times New Roman" w:hAnsi="Times New Roman"/>
          <w:sz w:val="15"/>
          <w:szCs w:val="15"/>
          <w:highlight w:val="none"/>
        </w:rPr>
        <w:t>Guérin 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"https://www.ncbi.nlm.nih.gov/pubmed/?term=Etienne-Grimaldi%20MC%5BAuthor%5D&amp;cauthor=true&amp;cauthor_uid=22608542" </w:instrText>
      </w:r>
      <w:r>
        <w:rPr>
          <w:highlight w:val="none"/>
        </w:rPr>
        <w:fldChar w:fldCharType="separate"/>
      </w:r>
      <w:r>
        <w:rPr>
          <w:rFonts w:ascii="Times New Roman" w:hAnsi="Times New Roman"/>
          <w:sz w:val="15"/>
          <w:szCs w:val="15"/>
          <w:highlight w:val="none"/>
        </w:rPr>
        <w:t>Etienne-Grimaldi MC</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Contrasted effects of the multitarget TKi vandetanib on docetaxel-sensitive and docetaxel-resistant prostate cancer cell lines[J]. </w:t>
      </w:r>
      <w:r>
        <w:rPr>
          <w:highlight w:val="none"/>
        </w:rPr>
        <w:fldChar w:fldCharType="begin"/>
      </w:r>
      <w:r>
        <w:rPr>
          <w:highlight w:val="none"/>
        </w:rPr>
        <w:instrText xml:space="preserve"> HYPERLINK "https://www.ncbi.nlm.nih.gov/pubmed/?term=22608542" \o "Urologic oncology." </w:instrText>
      </w:r>
      <w:r>
        <w:rPr>
          <w:highlight w:val="none"/>
        </w:rPr>
        <w:fldChar w:fldCharType="separate"/>
      </w:r>
      <w:r>
        <w:rPr>
          <w:rFonts w:ascii="Times New Roman" w:hAnsi="Times New Roman"/>
          <w:sz w:val="15"/>
          <w:szCs w:val="15"/>
          <w:highlight w:val="none"/>
        </w:rPr>
        <w:t>Urol Oncol,</w:t>
      </w:r>
      <w:r>
        <w:rPr>
          <w:rFonts w:ascii="Times New Roman" w:hAnsi="Times New Roman"/>
          <w:sz w:val="15"/>
          <w:szCs w:val="15"/>
          <w:highlight w:val="none"/>
        </w:rPr>
        <w:fldChar w:fldCharType="end"/>
      </w:r>
      <w:r>
        <w:rPr>
          <w:rFonts w:ascii="Times New Roman" w:hAnsi="Times New Roman"/>
          <w:sz w:val="15"/>
          <w:szCs w:val="15"/>
          <w:highlight w:val="none"/>
        </w:rPr>
        <w:t> 2013, 31(8):1567-75.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"https://www.ncbi.nlm.nih.gov/pubmed/?term=Bagchi%20A%5BAuthor%5D&amp;cauthor=true&amp;cauthor_uid=29158469" </w:instrText>
      </w:r>
      <w:r>
        <w:rPr>
          <w:highlight w:val="none"/>
        </w:rPr>
        <w:fldChar w:fldCharType="separate"/>
      </w:r>
      <w:r>
        <w:rPr>
          <w:rFonts w:ascii="Times New Roman" w:hAnsi="Times New Roman"/>
          <w:sz w:val="15"/>
          <w:szCs w:val="15"/>
          <w:highlight w:val="none"/>
        </w:rPr>
        <w:t>Bagchi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"https://www.ncbi.nlm.nih.gov/pubmed/?term=Haidar%20JN%5BAuthor%5D&amp;cauthor=true&amp;cauthor_uid=29158469" </w:instrText>
      </w:r>
      <w:r>
        <w:rPr>
          <w:highlight w:val="none"/>
        </w:rPr>
        <w:fldChar w:fldCharType="separate"/>
      </w:r>
      <w:r>
        <w:rPr>
          <w:rFonts w:ascii="Times New Roman" w:hAnsi="Times New Roman"/>
          <w:sz w:val="15"/>
          <w:szCs w:val="15"/>
          <w:highlight w:val="none"/>
        </w:rPr>
        <w:t>Haidar JN</w:t>
      </w:r>
      <w:r>
        <w:rPr>
          <w:rFonts w:ascii="Times New Roman" w:hAnsi="Times New Roman"/>
          <w:sz w:val="15"/>
          <w:szCs w:val="15"/>
          <w:highlight w:val="none"/>
        </w:rPr>
        <w:fldChar w:fldCharType="end"/>
      </w:r>
      <w:r>
        <w:rPr>
          <w:rFonts w:ascii="Times New Roman" w:hAnsi="Times New Roman"/>
          <w:sz w:val="15"/>
          <w:szCs w:val="15"/>
          <w:highlight w:val="none"/>
        </w:rPr>
        <w:t xml:space="preserve">, et al. Molecular Basis for Necitumumab Inhibition of EGFR Variants Associated with Acquired Cetuximab Resistance[J]. </w:t>
      </w:r>
      <w:r>
        <w:rPr>
          <w:highlight w:val="none"/>
        </w:rPr>
        <w:fldChar w:fldCharType="begin"/>
      </w:r>
      <w:r>
        <w:rPr>
          <w:highlight w:val="none"/>
        </w:rPr>
        <w:instrText xml:space="preserve"> HYPERLINK "https://www.ncbi.nlm.nih.gov/pubmed/?term=29158469" \o "Molecular cancer therapeutics." </w:instrText>
      </w:r>
      <w:r>
        <w:rPr>
          <w:highlight w:val="none"/>
        </w:rPr>
        <w:fldChar w:fldCharType="separate"/>
      </w:r>
      <w:r>
        <w:rPr>
          <w:rFonts w:ascii="Times New Roman" w:hAnsi="Times New Roman"/>
          <w:sz w:val="15"/>
          <w:szCs w:val="15"/>
          <w:highlight w:val="none"/>
        </w:rPr>
        <w:t>Mol Cancer Ther,</w:t>
      </w:r>
      <w:r>
        <w:rPr>
          <w:rFonts w:ascii="Times New Roman" w:hAnsi="Times New Roman"/>
          <w:sz w:val="15"/>
          <w:szCs w:val="15"/>
          <w:highlight w:val="none"/>
        </w:rPr>
        <w:fldChar w:fldCharType="end"/>
      </w:r>
      <w:r>
        <w:rPr>
          <w:rFonts w:ascii="Times New Roman" w:hAnsi="Times New Roman"/>
          <w:sz w:val="15"/>
          <w:szCs w:val="15"/>
          <w:highlight w:val="none"/>
        </w:rPr>
        <w:t> 2018, 17(2):521-531.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"https://www.ncbi.nlm.nih.gov/pubmed/?term=D%C3%ADaz-Serrano%20A%5BAuthor%5D&amp;cauthor=true&amp;cauthor_uid=30501503" </w:instrText>
      </w:r>
      <w:r>
        <w:rPr>
          <w:highlight w:val="none"/>
        </w:rPr>
        <w:fldChar w:fldCharType="separate"/>
      </w:r>
      <w:r>
        <w:rPr>
          <w:rFonts w:ascii="Times New Roman" w:hAnsi="Times New Roman"/>
          <w:sz w:val="15"/>
          <w:szCs w:val="15"/>
          <w:highlight w:val="none"/>
        </w:rPr>
        <w:t>Díaz-Serrano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"https://www.ncbi.nlm.nih.gov/pubmed/?term=S%C3%A1nchez-Torre%20A%5BAuthor%5D&amp;cauthor=true&amp;cauthor_uid=30501503" </w:instrText>
      </w:r>
      <w:r>
        <w:rPr>
          <w:highlight w:val="none"/>
        </w:rPr>
        <w:fldChar w:fldCharType="separate"/>
      </w:r>
      <w:r>
        <w:rPr>
          <w:rFonts w:ascii="Times New Roman" w:hAnsi="Times New Roman"/>
          <w:sz w:val="15"/>
          <w:szCs w:val="15"/>
          <w:highlight w:val="none"/>
        </w:rPr>
        <w:t>Sánchez-Torre A</w:t>
      </w:r>
      <w:r>
        <w:rPr>
          <w:rFonts w:ascii="Times New Roman" w:hAnsi="Times New Roman"/>
          <w:sz w:val="15"/>
          <w:szCs w:val="15"/>
          <w:highlight w:val="none"/>
        </w:rPr>
        <w:fldChar w:fldCharType="end"/>
      </w:r>
      <w:r>
        <w:rPr>
          <w:rFonts w:ascii="Times New Roman" w:hAnsi="Times New Roman"/>
          <w:sz w:val="15"/>
          <w:szCs w:val="15"/>
          <w:highlight w:val="none"/>
        </w:rPr>
        <w:t xml:space="preserve">, Necitumumab for the treatment of advanced non-small-cell lung cancer[J]. </w:t>
      </w:r>
      <w:r>
        <w:rPr>
          <w:highlight w:val="none"/>
        </w:rPr>
        <w:fldChar w:fldCharType="begin"/>
      </w:r>
      <w:r>
        <w:rPr>
          <w:highlight w:val="none"/>
        </w:rPr>
        <w:instrText xml:space="preserve"> HYPERLINK "https://www.ncbi.nlm.nih.gov/pubmed/?term=30501503"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2019, 15(7):705-716.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"https://www.ncbi.nlm.nih.gov/pubmed/?term=Mazzarella%20L%5BAuthor%5D&amp;cauthor=true&amp;cauthor_uid=29534625" </w:instrText>
      </w:r>
      <w:r>
        <w:rPr>
          <w:highlight w:val="none"/>
        </w:rPr>
        <w:fldChar w:fldCharType="separate"/>
      </w:r>
      <w:r>
        <w:rPr>
          <w:rFonts w:ascii="Times New Roman" w:hAnsi="Times New Roman"/>
          <w:sz w:val="15"/>
          <w:szCs w:val="15"/>
          <w:highlight w:val="none"/>
        </w:rPr>
        <w:t>Mazzarella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"https://www.ncbi.nlm.nih.gov/pubmed/?term=Guida%20A%5BAuthor%5D&amp;cauthor=true&amp;cauthor_uid=29534625" </w:instrText>
      </w:r>
      <w:r>
        <w:rPr>
          <w:highlight w:val="none"/>
        </w:rPr>
        <w:fldChar w:fldCharType="separate"/>
      </w:r>
      <w:r>
        <w:rPr>
          <w:rFonts w:ascii="Times New Roman" w:hAnsi="Times New Roman"/>
          <w:sz w:val="15"/>
          <w:szCs w:val="15"/>
          <w:highlight w:val="none"/>
        </w:rPr>
        <w:t>Guida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"https://www.ncbi.nlm.nih.gov/pubmed/?term=Curigliano%20G%5BAuthor%5D&amp;cauthor=true&amp;cauthor_uid=29534625" </w:instrText>
      </w:r>
      <w:r>
        <w:rPr>
          <w:highlight w:val="none"/>
        </w:rPr>
        <w:fldChar w:fldCharType="separate"/>
      </w:r>
      <w:r>
        <w:rPr>
          <w:rFonts w:ascii="Times New Roman" w:hAnsi="Times New Roman"/>
          <w:sz w:val="15"/>
          <w:szCs w:val="15"/>
          <w:highlight w:val="none"/>
        </w:rPr>
        <w:t>Curigliano G</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for treating non-small cell lung cancer[J]. </w:t>
      </w:r>
      <w:r>
        <w:rPr>
          <w:highlight w:val="none"/>
        </w:rPr>
        <w:fldChar w:fldCharType="begin"/>
      </w:r>
      <w:r>
        <w:rPr>
          <w:highlight w:val="none"/>
        </w:rPr>
        <w:instrText xml:space="preserve"> HYPERLINK "https://www.ncbi.nlm.nih.gov/pubmed/?term=29534625" \o "Expert opinion on biological therapy." </w:instrText>
      </w:r>
      <w:r>
        <w:rPr>
          <w:highlight w:val="none"/>
        </w:rPr>
        <w:fldChar w:fldCharType="separate"/>
      </w:r>
      <w:r>
        <w:rPr>
          <w:rFonts w:ascii="Times New Roman" w:hAnsi="Times New Roman"/>
          <w:sz w:val="15"/>
          <w:szCs w:val="15"/>
          <w:highlight w:val="none"/>
        </w:rPr>
        <w:t>Expert Opin Biol Ther,</w:t>
      </w:r>
      <w:r>
        <w:rPr>
          <w:rFonts w:ascii="Times New Roman" w:hAnsi="Times New Roman"/>
          <w:sz w:val="15"/>
          <w:szCs w:val="15"/>
          <w:highlight w:val="none"/>
        </w:rPr>
        <w:fldChar w:fldCharType="end"/>
      </w:r>
      <w:r>
        <w:rPr>
          <w:rFonts w:ascii="Times New Roman" w:hAnsi="Times New Roman"/>
          <w:sz w:val="15"/>
          <w:szCs w:val="15"/>
          <w:highlight w:val="none"/>
        </w:rPr>
        <w:t xml:space="preserve"> 2018, 18(4):483-493.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Grépin R, Guyot M, Dumond A, et al. combination of bevacizumab/Avastin and erlotinib/Tarceva is relevant for the treatment of metastatic renal cell carcinoma: the role of a synonymous mutation of the EGFR receptor[J]. Theranostics, 2020, 10(3):1107-1121.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Li Y, Chen LA. Precise therapy for lung cancer patients with rare sensitive mutations of epidermal growth factor receptor[J]. Zhonghua Zhong Liu Za Zhi, 2017, 39(12):881-884.</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Joel W Neal, Suzanne E Dahlberg, Heather A Wakelee, et al. Erlotinib, Cabozantinib, or Erlotinib Plus Cabozantinib as Second-Line or Third-Line Treatment of Patients With EGFR Wild-Type Advanced Non-Small-Cell Lung Cancer (ECOG-ACRIN 1512): A Randomised, Controlled, Open-Label, Multicentre, Phase 2 Trial[J]. ancet Oncol, 2016, 17 (12): 1661-1671.</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Carlo G, et al. EGFR Gene Copy Number by FISH May Predict Outcome of Necitumumab in Squamous Lung Carcinomas: Analysis from the SQUIRE Study[J]. J Thorac Oncol, 2018, 13(2): 228-236.</w:t>
      </w:r>
    </w:p>
    <w:p>
      <w:pPr>
        <w:widowControl/>
        <w:numPr>
          <w:ilvl w:val="0"/>
          <w:numId w:val="35"/>
        </w:numPr>
        <w:spacing w:after="84" w:line="260" w:lineRule="auto"/>
        <w:rPr>
          <w:rFonts w:ascii="Times New Roman" w:hAnsi="Times New Roman"/>
          <w:sz w:val="15"/>
          <w:szCs w:val="15"/>
          <w:highlight w:val="none"/>
        </w:rPr>
      </w:pPr>
      <w:r>
        <w:rPr>
          <w:rFonts w:ascii="Times New Roman" w:hAnsi="Times New Roman" w:cs="Times New Roman"/>
          <w:sz w:val="15"/>
          <w:szCs w:val="15"/>
          <w:highlight w:val="none"/>
          <w:lang w:eastAsia="zh-CN"/>
        </w:rPr>
        <w:t>Le X, Felip E, Veillon R et al. ASCO Virtual Scientific Program. American Society of Clinical Oncology</w:t>
      </w:r>
      <w:r>
        <w:rPr>
          <w:rFonts w:ascii="Times New Roman" w:hAnsi="Times New Roman" w:cs="Times New Roman"/>
          <w:sz w:val="15"/>
          <w:szCs w:val="15"/>
          <w:highlight w:val="none"/>
        </w:rPr>
        <w:t>[J]</w:t>
      </w:r>
      <w:r>
        <w:rPr>
          <w:rFonts w:ascii="Times New Roman" w:hAnsi="Times New Roman" w:cs="Times New Roman"/>
          <w:sz w:val="15"/>
          <w:szCs w:val="15"/>
          <w:highlight w:val="none"/>
          <w:lang w:eastAsia="zh-CN"/>
        </w:rPr>
        <w:t>. J Clin Oncol 2020;38(suppl; abstr 9556).</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"https://www.nature.com/articles/s41416-018-0334-0" \l "auth-1" </w:instrText>
      </w:r>
      <w:r>
        <w:rPr>
          <w:highlight w:val="none"/>
        </w:rPr>
        <w:fldChar w:fldCharType="separate"/>
      </w:r>
      <w:r>
        <w:rPr>
          <w:rFonts w:ascii="Times New Roman" w:hAnsi="Times New Roman"/>
          <w:sz w:val="15"/>
          <w:szCs w:val="15"/>
          <w:highlight w:val="none"/>
        </w:rPr>
        <w:t>Vincenzo Mazzaferro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"https://www.nature.com/articles/s41416-018-0334-0" \l "auth-2" </w:instrText>
      </w:r>
      <w:r>
        <w:rPr>
          <w:highlight w:val="none"/>
        </w:rPr>
        <w:fldChar w:fldCharType="separate"/>
      </w:r>
      <w:r>
        <w:rPr>
          <w:rFonts w:ascii="Times New Roman" w:hAnsi="Times New Roman"/>
          <w:sz w:val="15"/>
          <w:szCs w:val="15"/>
          <w:highlight w:val="none"/>
        </w:rPr>
        <w:t>Bassel F. El-Rayes</w:t>
      </w:r>
      <w:r>
        <w:rPr>
          <w:rFonts w:ascii="Times New Roman" w:hAnsi="Times New Roman"/>
          <w:sz w:val="15"/>
          <w:szCs w:val="15"/>
          <w:highlight w:val="none"/>
        </w:rPr>
        <w:fldChar w:fldCharType="end"/>
      </w:r>
      <w:r>
        <w:rPr>
          <w:rFonts w:ascii="Times New Roman" w:hAnsi="Times New Roman"/>
          <w:sz w:val="15"/>
          <w:szCs w:val="15"/>
          <w:highlight w:val="none"/>
        </w:rPr>
        <w:t>, et al.Derazantinib (ARQ 087) in advanced or inoperable FGFR2 gene fusion-positive intrahepatic cholangiocarcinoma[J]. B</w:t>
      </w:r>
      <w:r>
        <w:rPr>
          <w:highlight w:val="none"/>
        </w:rPr>
        <w:fldChar w:fldCharType="begin"/>
      </w:r>
      <w:r>
        <w:rPr>
          <w:highlight w:val="none"/>
        </w:rPr>
        <w:instrText xml:space="preserve"> HYPERLINK "https://www.nature.com/bjc" </w:instrText>
      </w:r>
      <w:r>
        <w:rPr>
          <w:highlight w:val="none"/>
        </w:rPr>
        <w:fldChar w:fldCharType="separate"/>
      </w:r>
      <w:r>
        <w:rPr>
          <w:rFonts w:ascii="Times New Roman" w:hAnsi="Times New Roman"/>
          <w:sz w:val="15"/>
          <w:szCs w:val="15"/>
          <w:highlight w:val="none"/>
        </w:rPr>
        <w:t>ritish Journal of Cancer</w:t>
      </w:r>
      <w:r>
        <w:rPr>
          <w:rFonts w:ascii="Times New Roman" w:hAnsi="Times New Roman"/>
          <w:sz w:val="15"/>
          <w:szCs w:val="15"/>
          <w:highlight w:val="none"/>
        </w:rPr>
        <w:fldChar w:fldCharType="end"/>
      </w:r>
      <w:r>
        <w:rPr>
          <w:rFonts w:ascii="Times New Roman" w:hAnsi="Times New Roman"/>
          <w:sz w:val="15"/>
          <w:szCs w:val="15"/>
          <w:highlight w:val="none"/>
        </w:rPr>
        <w:t> volume, 2019, 120(165–171).</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"https://www.ncbi.nlm.nih.gov/pubmed/?term=Huynh%20H%5BAuthor%5D&amp;cauthor=true&amp;cauthor_uid=30575985" </w:instrText>
      </w:r>
      <w:r>
        <w:rPr>
          <w:highlight w:val="none"/>
        </w:rPr>
        <w:fldChar w:fldCharType="separate"/>
      </w:r>
      <w:r>
        <w:rPr>
          <w:rFonts w:ascii="Times New Roman" w:hAnsi="Times New Roman"/>
          <w:sz w:val="15"/>
          <w:szCs w:val="15"/>
          <w:highlight w:val="none"/>
        </w:rPr>
        <w:t>Huynh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"https://www.ncbi.nlm.nih.gov/pubmed/?term=Lee%20LY%5BAuthor%5D&amp;cauthor=true&amp;cauthor_uid=30575985" </w:instrText>
      </w:r>
      <w:r>
        <w:rPr>
          <w:highlight w:val="none"/>
        </w:rPr>
        <w:fldChar w:fldCharType="separate"/>
      </w:r>
      <w:r>
        <w:rPr>
          <w:rFonts w:ascii="Times New Roman" w:hAnsi="Times New Roman"/>
          <w:sz w:val="15"/>
          <w:szCs w:val="15"/>
          <w:highlight w:val="none"/>
        </w:rPr>
        <w:t>Lee LY</w:t>
      </w:r>
      <w:r>
        <w:rPr>
          <w:rFonts w:ascii="Times New Roman" w:hAnsi="Times New Roman"/>
          <w:sz w:val="15"/>
          <w:szCs w:val="15"/>
          <w:highlight w:val="none"/>
        </w:rPr>
        <w:fldChar w:fldCharType="end"/>
      </w:r>
      <w:r>
        <w:rPr>
          <w:rFonts w:ascii="Times New Roman" w:hAnsi="Times New Roman"/>
          <w:sz w:val="15"/>
          <w:szCs w:val="15"/>
          <w:highlight w:val="none"/>
        </w:rPr>
        <w:t xml:space="preserve">, et al.Infigratinib Mediates Vascular Normalization, Impairs Metastasis, and Improves Chemotherapy in Hepatocellular Carcinoma[J]. </w:t>
      </w:r>
      <w:r>
        <w:rPr>
          <w:highlight w:val="none"/>
        </w:rPr>
        <w:fldChar w:fldCharType="begin"/>
      </w:r>
      <w:r>
        <w:rPr>
          <w:highlight w:val="none"/>
        </w:rPr>
        <w:instrText xml:space="preserve"> HYPERLINK "https://www.ncbi.nlm.nih.gov/pubmed/30575985" \o "Hepatology (Baltimore, Md.)." </w:instrText>
      </w:r>
      <w:r>
        <w:rPr>
          <w:highlight w:val="none"/>
        </w:rPr>
        <w:fldChar w:fldCharType="separate"/>
      </w:r>
      <w:r>
        <w:rPr>
          <w:rFonts w:ascii="Times New Roman" w:hAnsi="Times New Roman"/>
          <w:sz w:val="15"/>
          <w:szCs w:val="15"/>
          <w:highlight w:val="none"/>
        </w:rPr>
        <w:t>Hepatology,</w:t>
      </w:r>
      <w:r>
        <w:rPr>
          <w:rFonts w:ascii="Times New Roman" w:hAnsi="Times New Roman"/>
          <w:sz w:val="15"/>
          <w:szCs w:val="15"/>
          <w:highlight w:val="none"/>
        </w:rPr>
        <w:fldChar w:fldCharType="end"/>
      </w:r>
      <w:r>
        <w:rPr>
          <w:rFonts w:ascii="Times New Roman" w:hAnsi="Times New Roman"/>
          <w:sz w:val="15"/>
          <w:szCs w:val="15"/>
          <w:highlight w:val="none"/>
        </w:rPr>
        <w:t> 2019, 69(3):943-958. </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"https://www.ncbi.nlm.nih.gov/pubmed/?term=Andr%C3%A9%20F%5BAuthor%5D&amp;cauthor=true&amp;cauthor_uid=23658459" </w:instrText>
      </w:r>
      <w:r>
        <w:rPr>
          <w:highlight w:val="none"/>
        </w:rPr>
        <w:fldChar w:fldCharType="separate"/>
      </w:r>
      <w:r>
        <w:rPr>
          <w:rFonts w:ascii="Times New Roman" w:hAnsi="Times New Roman"/>
          <w:sz w:val="15"/>
          <w:szCs w:val="15"/>
          <w:highlight w:val="none"/>
        </w:rPr>
        <w:t>André F</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"https://www.ncbi.nlm.nih.gov/pubmed/?term=Bachelot%20T%5BAuthor%5D&amp;cauthor=true&amp;cauthor_uid=23658459" </w:instrText>
      </w:r>
      <w:r>
        <w:rPr>
          <w:highlight w:val="none"/>
        </w:rPr>
        <w:fldChar w:fldCharType="separate"/>
      </w:r>
      <w:r>
        <w:rPr>
          <w:rFonts w:ascii="Times New Roman" w:hAnsi="Times New Roman"/>
          <w:sz w:val="15"/>
          <w:szCs w:val="15"/>
          <w:highlight w:val="none"/>
        </w:rPr>
        <w:t>Bachelot T</w:t>
      </w:r>
      <w:r>
        <w:rPr>
          <w:rFonts w:ascii="Times New Roman" w:hAnsi="Times New Roman"/>
          <w:sz w:val="15"/>
          <w:szCs w:val="15"/>
          <w:highlight w:val="none"/>
        </w:rPr>
        <w:fldChar w:fldCharType="end"/>
      </w:r>
      <w:r>
        <w:rPr>
          <w:rFonts w:ascii="Times New Roman" w:hAnsi="Times New Roman"/>
          <w:sz w:val="15"/>
          <w:szCs w:val="15"/>
          <w:highlight w:val="none"/>
        </w:rPr>
        <w:t xml:space="preserve">, </w:t>
      </w:r>
      <w:r>
        <w:rPr>
          <w:highlight w:val="none"/>
        </w:rPr>
        <w:fldChar w:fldCharType="begin"/>
      </w:r>
      <w:r>
        <w:rPr>
          <w:highlight w:val="none"/>
        </w:rPr>
        <w:instrText xml:space="preserve"> HYPERLINK "https://www.ncbi.nlm.nih.gov/pubmed/?term=Campone%20M%5BAuthor%5D&amp;cauthor=true&amp;cauthor_uid=23658459" </w:instrText>
      </w:r>
      <w:r>
        <w:rPr>
          <w:highlight w:val="none"/>
        </w:rPr>
        <w:fldChar w:fldCharType="separate"/>
      </w:r>
      <w:r>
        <w:rPr>
          <w:rFonts w:ascii="Times New Roman" w:hAnsi="Times New Roman"/>
          <w:sz w:val="15"/>
          <w:szCs w:val="15"/>
          <w:highlight w:val="none"/>
        </w:rPr>
        <w:t>Campone M</w:t>
      </w:r>
      <w:r>
        <w:rPr>
          <w:rFonts w:ascii="Times New Roman" w:hAnsi="Times New Roman"/>
          <w:sz w:val="15"/>
          <w:szCs w:val="15"/>
          <w:highlight w:val="none"/>
        </w:rPr>
        <w:fldChar w:fldCharType="end"/>
      </w:r>
      <w:r>
        <w:rPr>
          <w:rFonts w:ascii="Times New Roman" w:hAnsi="Times New Roman"/>
          <w:sz w:val="15"/>
          <w:szCs w:val="15"/>
          <w:highlight w:val="none"/>
        </w:rPr>
        <w:t xml:space="preserve">, et al. Targeting FGFR with dovitinib (TKI258): preclinical and clinical data in breast cancer[J]. </w:t>
      </w:r>
      <w:r>
        <w:rPr>
          <w:highlight w:val="none"/>
        </w:rPr>
        <w:fldChar w:fldCharType="begin"/>
      </w:r>
      <w:r>
        <w:rPr>
          <w:highlight w:val="none"/>
        </w:rPr>
        <w:instrText xml:space="preserve"> HYPERLINK "https://www.ncbi.nlm.nih.gov/pubmed/23658459"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2013, 19(13):3693-702.</w:t>
      </w:r>
    </w:p>
    <w:p>
      <w:pPr>
        <w:numPr>
          <w:ilvl w:val="0"/>
          <w:numId w:val="35"/>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Abou-Alfa GK, Sahai V, Hollebecque A, et al. Pemigatinib for</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previously treated, locally advanced or metastatic cholangiocarcinoma: a</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multicentre, open-label, phase 2 study</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Lancet Oncol 2020</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 xml:space="preserve">21(5):671-684. </w:t>
      </w:r>
    </w:p>
    <w:p>
      <w:pPr>
        <w:numPr>
          <w:ilvl w:val="0"/>
          <w:numId w:val="35"/>
        </w:numPr>
        <w:spacing w:after="84" w:line="260" w:lineRule="auto"/>
        <w:rPr>
          <w:rFonts w:ascii="Times New Roman" w:hAnsi="Times New Roman"/>
          <w:sz w:val="15"/>
          <w:szCs w:val="15"/>
          <w:highlight w:val="none"/>
        </w:rPr>
      </w:pPr>
      <w:r>
        <w:rPr>
          <w:highlight w:val="none"/>
        </w:rPr>
        <w:fldChar w:fldCharType="begin"/>
      </w:r>
      <w:r>
        <w:rPr>
          <w:highlight w:val="none"/>
        </w:rPr>
        <w:instrText xml:space="preserve"> HYPERLINK "https://pubmed.ncbi.nlm.nih.gov/?term=Javle+M&amp;cauthor_id=29182496" </w:instrText>
      </w:r>
      <w:r>
        <w:rPr>
          <w:highlight w:val="none"/>
        </w:rPr>
        <w:fldChar w:fldCharType="separate"/>
      </w:r>
      <w:r>
        <w:rPr>
          <w:rFonts w:ascii="Times New Roman" w:hAnsi="Times New Roman" w:cs="Times New Roman"/>
          <w:sz w:val="15"/>
          <w:szCs w:val="15"/>
          <w:highlight w:val="none"/>
        </w:rPr>
        <w:t>Milind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"https://pubmed.ncbi.nlm.nih.gov/?term=Lowery+M&amp;cauthor_id=29182496" </w:instrText>
      </w:r>
      <w:r>
        <w:rPr>
          <w:highlight w:val="none"/>
        </w:rPr>
        <w:fldChar w:fldCharType="separate"/>
      </w:r>
      <w:r>
        <w:rPr>
          <w:rFonts w:ascii="Times New Roman" w:hAnsi="Times New Roman" w:cs="Times New Roman"/>
          <w:sz w:val="15"/>
          <w:szCs w:val="15"/>
          <w:highlight w:val="none"/>
        </w:rPr>
        <w:t>Maeve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"https://pubmed.ncbi.nlm.nih.gov/?term=Shroff+RT&amp;cauthor_id=29182496" </w:instrText>
      </w:r>
      <w:r>
        <w:rPr>
          <w:highlight w:val="none"/>
        </w:rPr>
        <w:fldChar w:fldCharType="separate"/>
      </w:r>
      <w:r>
        <w:rPr>
          <w:rFonts w:ascii="Times New Roman" w:hAnsi="Times New Roman" w:cs="Times New Roman"/>
          <w:sz w:val="15"/>
          <w:szCs w:val="15"/>
          <w:highlight w:val="none"/>
        </w:rPr>
        <w:t>Rachna T</w:t>
      </w:r>
      <w:r>
        <w:rPr>
          <w:rFonts w:hint="eastAsia" w:ascii="Times New Roman" w:hAnsi="Times New Roman" w:cs="Times New Roman"/>
          <w:sz w:val="15"/>
          <w:szCs w:val="15"/>
          <w:highlight w:val="none"/>
          <w:lang w:eastAsia="zh-CN"/>
        </w:rPr>
        <w:t>, et al.</w:t>
      </w:r>
      <w:r>
        <w:rPr>
          <w:rFonts w:hint="eastAsia" w:ascii="Times New Roman" w:hAnsi="Times New Roman" w:cs="Times New Roman"/>
          <w:sz w:val="15"/>
          <w:szCs w:val="15"/>
          <w:highlight w:val="none"/>
          <w:lang w:eastAsia="zh-CN"/>
        </w:rPr>
        <w:fldChar w:fldCharType="end"/>
      </w:r>
      <w:r>
        <w:rPr>
          <w:rFonts w:hint="eastAsia" w:ascii="Times New Roman" w:hAnsi="Times New Roman" w:cs="Times New Roman"/>
          <w:sz w:val="15"/>
          <w:szCs w:val="15"/>
          <w:highlight w:val="none"/>
          <w:lang w:eastAsia="zh-CN"/>
        </w:rPr>
        <w:t xml:space="preserve"> Phase II study of BGJ398 in patients with FGFR-altered advanced cholangiocarcinoma</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J Clin Oncol, 18, 36(3):276-282.</w:t>
      </w:r>
    </w:p>
    <w:p>
      <w:pPr>
        <w:numPr>
          <w:ilvl w:val="0"/>
          <w:numId w:val="35"/>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Josep T, Rastislav B, Rodrigo 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et al. Phase I dose-escalation study of JNJ-42756493, an oral pan-fibroblast growth factor receptor inhibitor, in patients with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w:t>
      </w:r>
      <w:r>
        <w:rPr>
          <w:rFonts w:hint="eastAsia" w:ascii="Times New Roman" w:hAnsi="Times New Roman" w:cs="Times New Roman"/>
          <w:sz w:val="15"/>
          <w:szCs w:val="15"/>
          <w:highlight w:val="none"/>
        </w:rPr>
        <w:t xml:space="preserve"> J Clin Oncol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2015</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33(30):3401-8.</w:t>
      </w:r>
    </w:p>
    <w:p>
      <w:pPr>
        <w:widowControl/>
        <w:numPr>
          <w:ilvl w:val="0"/>
          <w:numId w:val="35"/>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"https://www.ncbi.nlm.nih.gov/pubmed/?term=Moore%20AR%5BAuthor%5D&amp;cauthor=true&amp;cauthor_uid=29490280" </w:instrText>
      </w:r>
      <w:r>
        <w:rPr>
          <w:highlight w:val="none"/>
        </w:rPr>
        <w:fldChar w:fldCharType="separate"/>
      </w:r>
      <w:r>
        <w:rPr>
          <w:rFonts w:ascii="Times New Roman" w:hAnsi="Times New Roman"/>
          <w:sz w:val="15"/>
          <w:szCs w:val="15"/>
          <w:highlight w:val="none"/>
        </w:rPr>
        <w:t>Moore AR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"https://www.ncbi.nlm.nih.gov/pubmed/?term=Ran%20L%5BAuthor%5D&amp;cauthor=true&amp;cauthor_uid=29490280" </w:instrText>
      </w:r>
      <w:r>
        <w:rPr>
          <w:highlight w:val="none"/>
        </w:rPr>
        <w:fldChar w:fldCharType="separate"/>
      </w:r>
      <w:r>
        <w:rPr>
          <w:rFonts w:ascii="Times New Roman" w:hAnsi="Times New Roman"/>
          <w:sz w:val="15"/>
          <w:szCs w:val="15"/>
          <w:highlight w:val="none"/>
        </w:rPr>
        <w:t>Ran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"https://www.ncbi.nlm.nih.gov/pubmed/?term=Guan%20Y%5BAuthor%5D&amp;cauthor=true&amp;cauthor_uid=29490280" </w:instrText>
      </w:r>
      <w:r>
        <w:rPr>
          <w:highlight w:val="none"/>
        </w:rPr>
        <w:fldChar w:fldCharType="separate"/>
      </w:r>
      <w:r>
        <w:rPr>
          <w:rFonts w:ascii="Times New Roman" w:hAnsi="Times New Roman"/>
          <w:sz w:val="15"/>
          <w:szCs w:val="15"/>
          <w:highlight w:val="none"/>
        </w:rPr>
        <w:t>Guan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GNA11 Q209L Mouse Model Reveals RasGRP3 as an Essential Signaling Node in Uveal Melanoma. </w:t>
      </w:r>
      <w:r>
        <w:rPr>
          <w:highlight w:val="none"/>
        </w:rPr>
        <w:fldChar w:fldCharType="begin"/>
      </w:r>
      <w:r>
        <w:rPr>
          <w:highlight w:val="none"/>
        </w:rPr>
        <w:instrText xml:space="preserve"> HYPERLINK "https://www.ncbi.nlm.nih.gov/pubmed/29490280" \o "Cell reports." </w:instrText>
      </w:r>
      <w:r>
        <w:rPr>
          <w:highlight w:val="none"/>
        </w:rPr>
        <w:fldChar w:fldCharType="separate"/>
      </w:r>
      <w:r>
        <w:rPr>
          <w:rFonts w:ascii="Times New Roman" w:hAnsi="Times New Roman"/>
          <w:sz w:val="15"/>
          <w:szCs w:val="15"/>
          <w:highlight w:val="none"/>
        </w:rPr>
        <w:t>Cell Rep[J].</w:t>
      </w:r>
      <w:r>
        <w:rPr>
          <w:rFonts w:ascii="Times New Roman" w:hAnsi="Times New Roman"/>
          <w:sz w:val="15"/>
          <w:szCs w:val="15"/>
          <w:highlight w:val="none"/>
        </w:rPr>
        <w:fldChar w:fldCharType="end"/>
      </w:r>
      <w:r>
        <w:rPr>
          <w:rFonts w:ascii="Times New Roman" w:hAnsi="Times New Roman"/>
          <w:sz w:val="15"/>
          <w:szCs w:val="15"/>
          <w:highlight w:val="none"/>
        </w:rPr>
        <w:t> 2018, 22(9):2455-2468.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Khalili J S, Yu X, Wang J, et al. Combination small molecule MEK and PI3K inhibition enhances uveal melanoma cell death in a mutant GNAQ- and GNA11-dependent manner[J]. Clinical Cancer Research, 2012, 18(16):4345-4355.</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Kim D W, Patel S P. Profile of selumetinib and its potential in the treatment of melanoma[J]. OncoTargets and Therapy, 2014, 7:1631-1639.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Kalinec G, et al. GTPase inhibiting mutations activate the alpha chain of Gs and stimulate adenylyl cyclase in human pituitary tumours[J]. Nature, 1989, 340(6236): 692-696.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Landis CA, et al. Mutated alpha subunit of the Gq protein induces malignant transformation in NIH 3T3 cells[J]. Mol Cell Biol, 1992, 12(10): 4687-4693.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Van Raamsdonk C D, et al. Frequent somatic mutations of GNAQ in uveal melanoma and blue naevi[J]. Nature, 2009, 457(7229): 599-602.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Richard D Carvajal, Jeffrey A Sosman, Jorge Fernando Quevedo, et al. Effect of Selumetinib vs Chemotherapy on Progression-Free Survival in Uveal Melanoma: A Randomized Clinical Trial[J]. JAMA, 2014, 311(23):2397-405.</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"https://www.ncbi.nlm.nih.gov/pubmed/?term=Fabi%20A%5BAuthor%5D&amp;cauthor=true&amp;cauthor_uid=29182361" </w:instrText>
      </w:r>
      <w:r>
        <w:rPr>
          <w:highlight w:val="none"/>
        </w:rPr>
        <w:fldChar w:fldCharType="separate"/>
      </w:r>
      <w:r>
        <w:rPr>
          <w:rFonts w:ascii="Times New Roman" w:hAnsi="Times New Roman"/>
          <w:sz w:val="15"/>
          <w:szCs w:val="15"/>
          <w:highlight w:val="none"/>
        </w:rPr>
        <w:t>Fabi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"https://www.ncbi.nlm.nih.gov/pubmed/?term=Giannarelli%20D%5BAuthor%5D&amp;cauthor=true&amp;cauthor_uid=29182361" </w:instrText>
      </w:r>
      <w:r>
        <w:rPr>
          <w:highlight w:val="none"/>
        </w:rPr>
        <w:fldChar w:fldCharType="separate"/>
      </w:r>
      <w:r>
        <w:rPr>
          <w:rFonts w:ascii="Times New Roman" w:hAnsi="Times New Roman"/>
          <w:sz w:val="15"/>
          <w:szCs w:val="15"/>
          <w:highlight w:val="none"/>
        </w:rPr>
        <w:t>Giannarelli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"https://www.ncbi.nlm.nih.gov/pubmed/?term=Moscetti%20L%5BAuthor%5D&amp;cauthor=true&amp;cauthor_uid=29182361" </w:instrText>
      </w:r>
      <w:r>
        <w:rPr>
          <w:highlight w:val="none"/>
        </w:rPr>
        <w:fldChar w:fldCharType="separate"/>
      </w:r>
      <w:r>
        <w:rPr>
          <w:rFonts w:ascii="Times New Roman" w:hAnsi="Times New Roman"/>
          <w:sz w:val="15"/>
          <w:szCs w:val="15"/>
          <w:highlight w:val="none"/>
        </w:rPr>
        <w:t>Moscetti L</w:t>
      </w:r>
      <w:r>
        <w:rPr>
          <w:rFonts w:ascii="Times New Roman" w:hAnsi="Times New Roman"/>
          <w:sz w:val="15"/>
          <w:szCs w:val="15"/>
          <w:highlight w:val="none"/>
        </w:rPr>
        <w:fldChar w:fldCharType="end"/>
      </w:r>
      <w:r>
        <w:rPr>
          <w:rFonts w:ascii="Times New Roman" w:hAnsi="Times New Roman"/>
          <w:sz w:val="15"/>
          <w:szCs w:val="15"/>
          <w:highlight w:val="none"/>
        </w:rPr>
        <w:t xml:space="preserve">, et al. Ado-trastuzumab emtansine (T-DM1) in HER2+ advanced breast cancer patients: does pretreatment with pertuzumab matter[J]. </w:t>
      </w:r>
      <w:r>
        <w:rPr>
          <w:highlight w:val="none"/>
        </w:rPr>
        <w:fldChar w:fldCharType="begin"/>
      </w:r>
      <w:r>
        <w:rPr>
          <w:highlight w:val="none"/>
        </w:rPr>
        <w:instrText xml:space="preserve"> HYPERLINK "https://www.ncbi.nlm.nih.gov/pubmed/29182361"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2017, 13(30):2791-2797.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"https://www.ncbi.nlm.nih.gov/pubmed/?term=J%C3%B8rgensen%20JT%5BAuthor%5D&amp;cauthor=true&amp;cauthor_uid=24782605" </w:instrText>
      </w:r>
      <w:r>
        <w:rPr>
          <w:highlight w:val="none"/>
        </w:rPr>
        <w:fldChar w:fldCharType="separate"/>
      </w:r>
      <w:r>
        <w:rPr>
          <w:rFonts w:ascii="Times New Roman" w:hAnsi="Times New Roman" w:cs="Times New Roman"/>
          <w:sz w:val="15"/>
          <w:szCs w:val="15"/>
          <w:highlight w:val="none"/>
        </w:rPr>
        <w:t>Jørgensen JT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1. Role of human epidermal growth factor receptor 2 in gastric cancer: biological and pharmacological aspects[J]. </w:t>
      </w:r>
      <w:r>
        <w:rPr>
          <w:highlight w:val="none"/>
        </w:rPr>
        <w:fldChar w:fldCharType="begin"/>
      </w:r>
      <w:r>
        <w:rPr>
          <w:highlight w:val="none"/>
        </w:rPr>
        <w:instrText xml:space="preserve"> HYPERLINK "https://www.ncbi.nlm.nih.gov/pubmed/24782605"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2014, 20(16):4526-35.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Ado-Trastuzumab Emtansine for Patients With HER2-Mutant Lung Cancers: Results From a Phase II Basket Trial[J].</w:t>
      </w:r>
      <w:r>
        <w:rPr>
          <w:rFonts w:ascii="Times New Roman" w:hAnsi="Times New Roman" w:eastAsia="Times New Roman" w:cs="Times New Roman"/>
          <w:color w:val="000000"/>
          <w:sz w:val="17"/>
          <w:szCs w:val="17"/>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36(24):2532-2537.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Finn R S, Crown J P, Lang I, et al. The cyclin-dependent kinase 4/6 inhibitorPalbociclib in combination withLetrozole versus Letrozole alone as first-line treatment of oestrogen receptor-positive, HER2-negative, advanced breast cancer (PALOMA-1/TRIO-18): a randomised phase 2 study[J]. The Lancet Oncology, 2015, 16(1):25-35.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Cristina Grávalos, Carlos Gómez-Martín, Rivera F , et al. Phase II study of Brastuzumab and cisplatin as first-line therapy in patients with HER2-positive advanced gastric or gastroesophageal junction cancer[J]. Clinical &amp; Translational Oncology, 2011, 13(3):179-184.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SATOH, Taroh, XU, et al. Lapatinib plus paclitaxel versus Paclitaxelalone in the second-line treatment of HER2-amplified advanced gastric cancer in Asian populations: tytan—arandomized, phase III study[J]. Journal of Clinical Oncology, 2016, 32(19):2039-2049.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Martinelli E , Troiani T , Sforza V , et al. Sequential HER2 blockade as effective therapy in chemorefractory, HER2 gene-amplified, RAS wild-type, metastatic colorectal cancer: learning from a clinical case[J]. ESMO Open, 2018, 3(1):e000299.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 Trusolino L , Martino C , et al. Dual-targeted therapy with Trastuzumab and Lapatinib in treatment-refractory, KRAS codon 12/13 wild-type, HER2-positive metastatic colorectal cancer (HERACLES): a proof-of-concept, multicentre, open-label, phase 2 trial[J]. Lancet Oncology, 2016, 17(6):738-746.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Nam A R, Kim J W, Cha Y, et al. Therapeutic implication of HER2 in advanced biliary tract cancer[J]. Oncotarget, 2014, 7(36):58007-58021.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Wolff A C, et al. Recommendations for human epidermal growth factor receptor 2 testing in breast cancer: American Society of Clinical Oncology/College of American Pathologists clinical practice guideline update[J]. Archives of Pathology &amp; Laboratory Medicine, 2013, 31(31):3997.</w:t>
      </w:r>
    </w:p>
    <w:p>
      <w:pPr>
        <w:widowControl/>
        <w:numPr>
          <w:ilvl w:val="0"/>
          <w:numId w:val="35"/>
        </w:numPr>
        <w:spacing w:after="32"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Greve J, et al. Clinical activity of Afatinib (BIBW 2992) in patients with lung adenocarcinoma with mutations in the kinase domain of HER2/neu[J].Lung Cancer, 2012, 76(1): 123-127.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et al. Prevalence, clinicopathologic associations, and molecular spectrum of ERBB2 (HER2) tyrosine kinase mutations in lung adenocarcinomas[J]. Clinical Cancer Research, 2012, 18(18): 4910-4918.</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Andersson M, López-Vega JM, Petit T, et al. Efficacy and Safety of Pertuzumab and Trastuzumab Administered in a Single Infusion Bag, Followed by Vinorelbine: VELVET Cohort 2 Final Results[J]. Oncologist, 2017, 22(10):1160-1168.</w:t>
      </w:r>
    </w:p>
    <w:p>
      <w:pPr>
        <w:widowControl/>
        <w:numPr>
          <w:ilvl w:val="0"/>
          <w:numId w:val="35"/>
        </w:numPr>
        <w:spacing w:after="84" w:line="256" w:lineRule="auto"/>
        <w:rPr>
          <w:rFonts w:ascii="Times New Roman" w:hAnsi="Times New Roman"/>
          <w:sz w:val="15"/>
          <w:szCs w:val="15"/>
          <w:highlight w:val="none"/>
        </w:rPr>
      </w:pPr>
      <w:r>
        <w:rPr>
          <w:rFonts w:ascii="Times New Roman" w:hAnsi="Times New Roman"/>
          <w:sz w:val="15"/>
          <w:szCs w:val="15"/>
          <w:highlight w:val="none"/>
        </w:rPr>
        <w:t>Y Wang, T Jiang, et al. HER2 exon 20 insertions in non-small-cell lung cancer are sensitive to the irreversible pan-HER receptor tyrosine kinase inhibitor pyrotinib[J]. Oncol, 2019, 30(3):447-455.</w:t>
      </w:r>
    </w:p>
    <w:p>
      <w:pPr>
        <w:numPr>
          <w:ilvl w:val="0"/>
          <w:numId w:val="35"/>
        </w:numPr>
        <w:spacing w:after="84" w:line="260"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José B, Javier C, Sung-Bae K, et al.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Pertuzumab plus trastuzumab plus docetaxel for metastatic breast cancer</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 Engl J Med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2012</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366(2):109-19.</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Xavier Pivot, Alexey Manikhas, Bogdan Żurawski, et al. CEREBEL (EGF111438): A Phase III, Randomized, Open-Label Study of Lapatinib Plus Capecitabine Versus Trastuzumab Plus Capecitabine in Patients With Human Epidermal Growth Factor Receptor 2-Positive Metastatic Breast Cancer[J]. J Clin Oncol, 2015, 33(14):1564-73.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Julien M, et al. Lung cancer that harbors a HER2 mutation: Epidemiologic characteristics and therapeutic perspectives[J]. Journal of Clinical Oncology, 2013, 31(16):1997-U307.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Edward H Romond, Edith A Perez, John Bryant, et al. Trastuzumab Plus Adjuvant Chemotherapy for Operable HER2-positive Breast Cancer[J]. N Engl J Med, 2005, 353(16): 1673-84.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Michael F Press, Catherine E Ellis, Robert C Gagnon, et al. HER2 Status in Advanced or Metastatic Gastric, Esophageal, or Gastroesophageal Adenocarcinoma for Entry to the TRIO-013/LOGiC Trial of Lapatinib[J]. Mol Cancer Ther, 2017, 16(1): 228-238.</w:t>
      </w:r>
    </w:p>
    <w:p>
      <w:pPr>
        <w:pStyle w:val="29"/>
        <w:numPr>
          <w:ilvl w:val="0"/>
          <w:numId w:val="35"/>
        </w:numPr>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Stephen E Jones, Rufus Collea, et al. Adjuvant docetaxel and cyclophosphamide plus trastuzumab in patients with HER2-amplified early stage breast cancer: a single-group, open-label, phase 2 study[J]. Lancet Oncol, 2013, 14(11):1121-1128.</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"https://www.ncbi.nlm.nih.gov/pubmed/?term=Sherman%20SI%5BAuthor%5D&amp;cauthor=true&amp;cauthor_uid=27525386" </w:instrText>
      </w:r>
      <w:r>
        <w:rPr>
          <w:highlight w:val="none"/>
        </w:rPr>
        <w:fldChar w:fldCharType="separate"/>
      </w:r>
      <w:r>
        <w:rPr>
          <w:rFonts w:ascii="Times New Roman" w:hAnsi="Times New Roman" w:cs="Times New Roman"/>
          <w:sz w:val="15"/>
          <w:szCs w:val="15"/>
          <w:highlight w:val="none"/>
        </w:rPr>
        <w:t>Sherman SI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"https://www.ncbi.nlm.nih.gov/pubmed/?term=Clary%20DO%5BAuthor%5D&amp;cauthor=true&amp;cauthor_uid=27525386" </w:instrText>
      </w:r>
      <w:r>
        <w:rPr>
          <w:highlight w:val="none"/>
        </w:rPr>
        <w:fldChar w:fldCharType="separate"/>
      </w:r>
      <w:r>
        <w:rPr>
          <w:rFonts w:ascii="Times New Roman" w:hAnsi="Times New Roman" w:cs="Times New Roman"/>
          <w:sz w:val="15"/>
          <w:szCs w:val="15"/>
          <w:highlight w:val="none"/>
        </w:rPr>
        <w:t>Clary DO</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"https://www.ncbi.nlm.nih.gov/pubmed/?term=Elisei%20R%5BAuthor%5D&amp;cauthor=true&amp;cauthor_uid=27525386" </w:instrText>
      </w:r>
      <w:r>
        <w:rPr>
          <w:highlight w:val="none"/>
        </w:rPr>
        <w:fldChar w:fldCharType="separate"/>
      </w:r>
      <w:r>
        <w:rPr>
          <w:rFonts w:ascii="Times New Roman" w:hAnsi="Times New Roman" w:cs="Times New Roman"/>
          <w:sz w:val="15"/>
          <w:szCs w:val="15"/>
          <w:highlight w:val="none"/>
        </w:rPr>
        <w:t>Elisei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Correlative analyses of RET and RAS mutations in a phase 3 trial of cabozantinib in patients with progressive, metastatic medullary thyroid cancer[J]. </w:t>
      </w:r>
      <w:r>
        <w:rPr>
          <w:highlight w:val="none"/>
        </w:rPr>
        <w:fldChar w:fldCharType="begin"/>
      </w:r>
      <w:r>
        <w:rPr>
          <w:highlight w:val="none"/>
        </w:rPr>
        <w:instrText xml:space="preserve"> HYPERLINK "https://www.ncbi.nlm.nih.gov/pubmed/?term=27525386%5D" \o "Cancer." </w:instrText>
      </w:r>
      <w:r>
        <w:rPr>
          <w:highlight w:val="none"/>
        </w:rPr>
        <w:fldChar w:fldCharType="separate"/>
      </w:r>
      <w:r>
        <w:rPr>
          <w:rFonts w:ascii="Times New Roman" w:hAnsi="Times New Roman" w:cs="Times New Roman"/>
          <w:sz w:val="15"/>
          <w:szCs w:val="15"/>
          <w:highlight w:val="none"/>
        </w:rPr>
        <w:t>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122(24):3856-3864.</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"https://www.ncbi.nlm.nih.gov/pubmed/?term=Chen%20W%5BAuthor%5D&amp;cauthor=true&amp;cauthor_uid=28760855" </w:instrText>
      </w:r>
      <w:r>
        <w:rPr>
          <w:highlight w:val="none"/>
        </w:rPr>
        <w:fldChar w:fldCharType="separate"/>
      </w:r>
      <w:r>
        <w:rPr>
          <w:rFonts w:ascii="Times New Roman" w:hAnsi="Times New Roman" w:cs="Times New Roman"/>
          <w:sz w:val="15"/>
          <w:szCs w:val="15"/>
          <w:highlight w:val="none"/>
        </w:rPr>
        <w:t>Chen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"https://www.ncbi.nlm.nih.gov/pubmed/?term=Kuang%20Y%5BAuthor%5D&amp;cauthor=true&amp;cauthor_uid=28760855" </w:instrText>
      </w:r>
      <w:r>
        <w:rPr>
          <w:highlight w:val="none"/>
        </w:rPr>
        <w:fldChar w:fldCharType="separate"/>
      </w:r>
      <w:r>
        <w:rPr>
          <w:rFonts w:ascii="Times New Roman" w:hAnsi="Times New Roman" w:cs="Times New Roman"/>
          <w:sz w:val="15"/>
          <w:szCs w:val="15"/>
          <w:highlight w:val="none"/>
        </w:rPr>
        <w:t>Kuang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"https://www.ncbi.nlm.nih.gov/pubmed/?term=Qiu%20HB%5BAuthor%5D&amp;cauthor=true&amp;cauthor_uid=28760855" </w:instrText>
      </w:r>
      <w:r>
        <w:rPr>
          <w:highlight w:val="none"/>
        </w:rPr>
        <w:fldChar w:fldCharType="separate"/>
      </w:r>
      <w:r>
        <w:rPr>
          <w:rFonts w:ascii="Times New Roman" w:hAnsi="Times New Roman" w:cs="Times New Roman"/>
          <w:sz w:val="15"/>
          <w:szCs w:val="15"/>
          <w:highlight w:val="none"/>
        </w:rPr>
        <w:t>Qiu HB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Dual Targeting of Insulin Receptor and KIT in Imatinib-Resistant Gastrointestinal Stromal Tumors[J]. </w:t>
      </w:r>
      <w:r>
        <w:rPr>
          <w:highlight w:val="none"/>
        </w:rPr>
        <w:fldChar w:fldCharType="begin"/>
      </w:r>
      <w:r>
        <w:rPr>
          <w:highlight w:val="none"/>
        </w:rPr>
        <w:instrText xml:space="preserve"> HYPERLINK "https://www.ncbi.nlm.nih.gov/pubmed/28760855" \o "Cancer research." </w:instrText>
      </w:r>
      <w:r>
        <w:rPr>
          <w:highlight w:val="none"/>
        </w:rPr>
        <w:fldChar w:fldCharType="separate"/>
      </w:r>
      <w:r>
        <w:rPr>
          <w:rFonts w:ascii="Times New Roman" w:hAnsi="Times New Roman" w:cs="Times New Roman"/>
          <w:sz w:val="15"/>
          <w:szCs w:val="15"/>
          <w:highlight w:val="none"/>
        </w:rPr>
        <w:t>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77(18):5107-5117.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"https://www.ncbi.nlm.nih.gov/pubmed/?term=Poveda%20A%5BAuthor%5D&amp;cauthor=true&amp;cauthor_uid=28351781" </w:instrText>
      </w:r>
      <w:r>
        <w:rPr>
          <w:highlight w:val="none"/>
        </w:rPr>
        <w:fldChar w:fldCharType="separate"/>
      </w:r>
      <w:r>
        <w:rPr>
          <w:rFonts w:ascii="Times New Roman" w:hAnsi="Times New Roman"/>
          <w:sz w:val="15"/>
          <w:szCs w:val="15"/>
          <w:highlight w:val="none"/>
        </w:rPr>
        <w:t>Poveda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"https://www.ncbi.nlm.nih.gov/pubmed/?term=Garc%C3%ADa%20Del%20Muro%20X%5BAuthor%5D&amp;cauthor=true&amp;cauthor_uid=28351781" </w:instrText>
      </w:r>
      <w:r>
        <w:rPr>
          <w:highlight w:val="none"/>
        </w:rPr>
        <w:fldChar w:fldCharType="separate"/>
      </w:r>
      <w:r>
        <w:rPr>
          <w:rFonts w:ascii="Times New Roman" w:hAnsi="Times New Roman"/>
          <w:sz w:val="15"/>
          <w:szCs w:val="15"/>
          <w:highlight w:val="none"/>
        </w:rPr>
        <w:t>García Del Muro X</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"https://www.ncbi.nlm.nih.gov/pubmed/?term=L%C3%B3pez-Guerrero%20JA%5BAuthor%5D&amp;cauthor=true&amp;cauthor_uid=28351781" </w:instrText>
      </w:r>
      <w:r>
        <w:rPr>
          <w:highlight w:val="none"/>
        </w:rPr>
        <w:fldChar w:fldCharType="separate"/>
      </w:r>
      <w:r>
        <w:rPr>
          <w:rFonts w:ascii="Times New Roman" w:hAnsi="Times New Roman"/>
          <w:sz w:val="15"/>
          <w:szCs w:val="15"/>
          <w:highlight w:val="none"/>
        </w:rPr>
        <w:t>López-Guerrero JA</w:t>
      </w:r>
      <w:r>
        <w:rPr>
          <w:rFonts w:ascii="Times New Roman" w:hAnsi="Times New Roman"/>
          <w:sz w:val="15"/>
          <w:szCs w:val="15"/>
          <w:highlight w:val="none"/>
        </w:rPr>
        <w:fldChar w:fldCharType="end"/>
      </w:r>
      <w:r>
        <w:rPr>
          <w:rFonts w:ascii="Times New Roman" w:hAnsi="Times New Roman"/>
          <w:sz w:val="15"/>
          <w:szCs w:val="15"/>
          <w:highlight w:val="none"/>
        </w:rPr>
        <w:t xml:space="preserve">, et al. GEIS guidelines for gastrointestinal sarcomas (GIST). </w:t>
      </w:r>
      <w:r>
        <w:rPr>
          <w:highlight w:val="none"/>
        </w:rPr>
        <w:fldChar w:fldCharType="begin"/>
      </w:r>
      <w:r>
        <w:rPr>
          <w:highlight w:val="none"/>
        </w:rPr>
        <w:instrText xml:space="preserve"> HYPERLINK "https://www.ncbi.nlm.nih.gov/pubmed/28351781" \o "Cancer treatment reviews." </w:instrText>
      </w:r>
      <w:r>
        <w:rPr>
          <w:highlight w:val="none"/>
        </w:rPr>
        <w:fldChar w:fldCharType="separate"/>
      </w:r>
      <w:r>
        <w:rPr>
          <w:rFonts w:ascii="Times New Roman" w:hAnsi="Times New Roman"/>
          <w:sz w:val="15"/>
          <w:szCs w:val="15"/>
          <w:highlight w:val="none"/>
        </w:rPr>
        <w:t>Cancer Treat Rev[J].</w:t>
      </w:r>
      <w:r>
        <w:rPr>
          <w:rFonts w:ascii="Times New Roman" w:hAnsi="Times New Roman"/>
          <w:sz w:val="15"/>
          <w:szCs w:val="15"/>
          <w:highlight w:val="none"/>
        </w:rPr>
        <w:fldChar w:fldCharType="end"/>
      </w:r>
      <w:r>
        <w:rPr>
          <w:rFonts w:ascii="Times New Roman" w:hAnsi="Times New Roman"/>
          <w:sz w:val="15"/>
          <w:szCs w:val="15"/>
          <w:highlight w:val="none"/>
        </w:rPr>
        <w:t> 2017, 55:107-119.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Buti S, et al. Impressive response with imatinib in a heavily pretreated patient with metastatic c-KIT mutated thymic carcinoma[J]. Journal of Clinical Oncology, 2011, 29(33): e803-e805.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Carvajal R D, et al. KIT as a therapeutic target in metastatic melanoma[J]. Journal of Investigative Dermatology, 2010, 130(9):2169-2172.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Corless C L, et al. Relation of tumor pathologic and molecular features to outcome after surgical resection of localized primary gastrointestinal stromaltumor (GIST): results of the intergroup phase III trial ACOSOG Z9001[J]. J Clin Oncol, 2010, 28:15.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Disel, et al. Promising efficacy of sorafenib in a relapsed thymic carcinoma with C-KIT exon 11 deletion mutation[J]. Lung Cancer, 2011, 71(1): 109-112.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Joensuu H F, et al. Vatalanib for metastatic gastrointestinal stromal tumour (GIST) resistant to imatinib: final results of a phase II study[J]. British Journal of Cancer, 2011, 104(11): 1686-1690.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Kong Yan, et al. Large-scale analysis of KIT aberrations in Chinese patients with melanoma[J]. Clinical Cancer Research, 2011, 17(7): 1684-1691.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Park, et al. Prognostic impact of c-KIT mutations in core binding factor acute myeloid leukemia[J]. Leukemia Research, 2011, 10: 1376-1383.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Terheyden, et al. Response to Imatinib mesylate depends on the presence of the V559A-mutated KIT oncogene[J]. Journal of Investigative Dermatology,2010, 130(1): 314-316.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Minor D R, et al. Sunitinib therapy for melanoma patients with KIT mutations[J]. Clin Cancer Res, 2012, 18(5): 1457-1463.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T, et al. Sorafenib inhibits the Imatinib-resistant KIT T670I gatekeeper mutation in gastrointestinal stromal tumor[J]. Clin Cancer Res, 2007, 13(16):4874-4881.</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"https://www.ncbi.nlm.nih.gov/pubmed/?term=Abbaspour%20Babaei%20M%5BAuthor%5D&amp;cauthor=true&amp;cauthor_uid=27536065" </w:instrText>
      </w:r>
      <w:r>
        <w:rPr>
          <w:highlight w:val="none"/>
        </w:rPr>
        <w:fldChar w:fldCharType="separate"/>
      </w:r>
      <w:r>
        <w:rPr>
          <w:rFonts w:ascii="Times New Roman" w:hAnsi="Times New Roman"/>
          <w:sz w:val="15"/>
          <w:szCs w:val="15"/>
          <w:highlight w:val="none"/>
        </w:rPr>
        <w:t>Abbaspour Babaei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"https://www.ncbi.nlm.nih.gov/pubmed/?term=Kamalidehghan%20B%5BAuthor%5D&amp;cauthor=true&amp;cauthor_uid=27536065" </w:instrText>
      </w:r>
      <w:r>
        <w:rPr>
          <w:highlight w:val="none"/>
        </w:rPr>
        <w:fldChar w:fldCharType="separate"/>
      </w:r>
      <w:r>
        <w:rPr>
          <w:rFonts w:ascii="Times New Roman" w:hAnsi="Times New Roman"/>
          <w:sz w:val="15"/>
          <w:szCs w:val="15"/>
          <w:highlight w:val="none"/>
        </w:rPr>
        <w:t>Kamalidehghan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"https://www.ncbi.nlm.nih.gov/pubmed/?term=Saleem%20M%5BAuthor%5D&amp;cauthor=true&amp;cauthor_uid=27536065" </w:instrText>
      </w:r>
      <w:r>
        <w:rPr>
          <w:highlight w:val="none"/>
        </w:rPr>
        <w:fldChar w:fldCharType="separate"/>
      </w:r>
      <w:r>
        <w:rPr>
          <w:rFonts w:ascii="Times New Roman" w:hAnsi="Times New Roman"/>
          <w:sz w:val="15"/>
          <w:szCs w:val="15"/>
          <w:highlight w:val="none"/>
        </w:rPr>
        <w:t>Saleem M</w:t>
      </w:r>
      <w:r>
        <w:rPr>
          <w:rFonts w:ascii="Times New Roman" w:hAnsi="Times New Roman"/>
          <w:sz w:val="15"/>
          <w:szCs w:val="15"/>
          <w:highlight w:val="none"/>
        </w:rPr>
        <w:fldChar w:fldCharType="end"/>
      </w:r>
      <w:r>
        <w:rPr>
          <w:rFonts w:ascii="Times New Roman" w:hAnsi="Times New Roman"/>
          <w:sz w:val="15"/>
          <w:szCs w:val="15"/>
          <w:highlight w:val="none"/>
        </w:rPr>
        <w:t xml:space="preserve">, Receptor tyrosine kinase (c-Kit) inhibitors: a potential therapeutic target in cancer cells. </w:t>
      </w:r>
      <w:r>
        <w:rPr>
          <w:highlight w:val="none"/>
        </w:rPr>
        <w:fldChar w:fldCharType="begin"/>
      </w:r>
      <w:r>
        <w:rPr>
          <w:highlight w:val="none"/>
        </w:rPr>
        <w:instrText xml:space="preserve"> HYPERLINK "https://www.ncbi.nlm.nih.gov/pubmed/27536065" \o "Drug design, development and therapy." </w:instrText>
      </w:r>
      <w:r>
        <w:rPr>
          <w:highlight w:val="none"/>
        </w:rPr>
        <w:fldChar w:fldCharType="separate"/>
      </w:r>
      <w:r>
        <w:rPr>
          <w:rFonts w:ascii="Times New Roman" w:hAnsi="Times New Roman"/>
          <w:sz w:val="15"/>
          <w:szCs w:val="15"/>
          <w:highlight w:val="none"/>
        </w:rPr>
        <w:t>Drug Des Devel Ther[J].</w:t>
      </w:r>
      <w:r>
        <w:rPr>
          <w:rFonts w:ascii="Times New Roman" w:hAnsi="Times New Roman"/>
          <w:sz w:val="15"/>
          <w:szCs w:val="15"/>
          <w:highlight w:val="none"/>
        </w:rPr>
        <w:fldChar w:fldCharType="end"/>
      </w:r>
      <w:r>
        <w:rPr>
          <w:rFonts w:ascii="Times New Roman" w:hAnsi="Times New Roman"/>
          <w:sz w:val="15"/>
          <w:szCs w:val="15"/>
          <w:highlight w:val="none"/>
        </w:rPr>
        <w:t> 2016, 10:2443-59.</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"https://www.ncbi.nlm.nih.gov/pubmed/?term=Lim%20KT%5BAuthor%5D&amp;cauthor=true&amp;cauthor_uid=28785140" </w:instrText>
      </w:r>
      <w:r>
        <w:rPr>
          <w:highlight w:val="none"/>
        </w:rPr>
        <w:fldChar w:fldCharType="separate"/>
      </w:r>
      <w:r>
        <w:rPr>
          <w:rFonts w:ascii="Times New Roman" w:hAnsi="Times New Roman" w:cs="Times New Roman"/>
          <w:sz w:val="15"/>
          <w:szCs w:val="15"/>
          <w:highlight w:val="none"/>
        </w:rPr>
        <w:t>Lim KT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"https://www.ncbi.nlm.nih.gov/pubmed/?term=Tan%20KY%5BAuthor%5D&amp;cauthor=true&amp;cauthor_uid=28785140" </w:instrText>
      </w:r>
      <w:r>
        <w:rPr>
          <w:highlight w:val="none"/>
        </w:rPr>
        <w:fldChar w:fldCharType="separate"/>
      </w:r>
      <w:r>
        <w:rPr>
          <w:rFonts w:ascii="Times New Roman" w:hAnsi="Times New Roman" w:cs="Times New Roman"/>
          <w:sz w:val="15"/>
          <w:szCs w:val="15"/>
          <w:highlight w:val="none"/>
        </w:rPr>
        <w:t>Tan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Current research and treatment for gastrointestinal stromal tumors[J]. </w:t>
      </w:r>
      <w:r>
        <w:rPr>
          <w:highlight w:val="none"/>
        </w:rPr>
        <w:fldChar w:fldCharType="begin"/>
      </w:r>
      <w:r>
        <w:rPr>
          <w:highlight w:val="none"/>
        </w:rPr>
        <w:instrText xml:space="preserve"> HYPERLINK "https://www.ncbi.nlm.nih.gov/pubmed/28785140"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23(27):4856-4866.</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Fulvio Massaro, Matteo Molica, Massimo Breccia. Ponatinib: A Review of Efficacy and Safety Curr Cancer Drug Targets[J]. Curr Cancer Drug Targets, 2018, 18(9):847-856.</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Michael M</w:t>
      </w:r>
      <w:r>
        <w:rPr>
          <w:rFonts w:ascii="Times New Roman" w:hAnsi="Times New Roman" w:cs="Times New Roman"/>
          <w:sz w:val="15"/>
          <w:szCs w:val="15"/>
          <w:highlight w:val="none"/>
        </w:rPr>
        <w:t>, et al</w:t>
      </w:r>
      <w:r>
        <w:rPr>
          <w:rFonts w:ascii="Times New Roman" w:hAnsi="Times New Roman"/>
          <w:sz w:val="15"/>
          <w:szCs w:val="15"/>
          <w:highlight w:val="none"/>
        </w:rPr>
        <w:t>. Long-term outcome of dasatinib first-line treatment in gastrointestinal stromal tumor: A multicenter, 2-stage phase 2 trial (Swiss Group for Clinical Cancer Research 56/07)[J]. Clinical Trial Cancer, 2018, 124(7): 1449-1454.</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"https://www.ncbi.nlm.nih.gov/pubmed/?term=Petrelli%20F%5BAuthor%5D&amp;cauthor=true&amp;cauthor_uid=29393280" </w:instrText>
      </w:r>
      <w:r>
        <w:rPr>
          <w:highlight w:val="none"/>
        </w:rPr>
        <w:fldChar w:fldCharType="separate"/>
      </w:r>
      <w:r>
        <w:rPr>
          <w:rFonts w:ascii="Times New Roman" w:hAnsi="Times New Roman" w:cs="Times New Roman"/>
          <w:sz w:val="15"/>
          <w:szCs w:val="15"/>
          <w:highlight w:val="none"/>
        </w:rPr>
        <w:t>Petrelli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"https://www.ncbi.nlm.nih.gov/pubmed/?term=Ardito%20R%5BAuthor%5D&amp;cauthor=true&amp;cauthor_uid=29393280" </w:instrText>
      </w:r>
      <w:r>
        <w:rPr>
          <w:highlight w:val="none"/>
        </w:rPr>
        <w:fldChar w:fldCharType="separate"/>
      </w:r>
      <w:r>
        <w:rPr>
          <w:rFonts w:ascii="Times New Roman" w:hAnsi="Times New Roman" w:cs="Times New Roman"/>
          <w:sz w:val="15"/>
          <w:szCs w:val="15"/>
          <w:highlight w:val="none"/>
        </w:rPr>
        <w:t>Ardito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"https://www.ncbi.nlm.nih.gov/pubmed/?term=Ghidini%20A%5BAuthor%5D&amp;cauthor=true&amp;cauthor_uid=29393280" </w:instrText>
      </w:r>
      <w:r>
        <w:rPr>
          <w:highlight w:val="none"/>
        </w:rPr>
        <w:fldChar w:fldCharType="separate"/>
      </w:r>
      <w:r>
        <w:rPr>
          <w:rFonts w:ascii="Times New Roman" w:hAnsi="Times New Roman" w:cs="Times New Roman"/>
          <w:sz w:val="15"/>
          <w:szCs w:val="15"/>
          <w:highlight w:val="none"/>
        </w:rPr>
        <w:t>Ghidini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Different Toxicity of Cetuximab and Panitumumab in Metastatic Colorectal Cancer Treatment: A Systematic Review and Meta-Analysis[J]. </w:t>
      </w:r>
      <w:r>
        <w:rPr>
          <w:highlight w:val="none"/>
        </w:rPr>
        <w:fldChar w:fldCharType="begin"/>
      </w:r>
      <w:r>
        <w:rPr>
          <w:highlight w:val="none"/>
        </w:rPr>
        <w:instrText xml:space="preserve"> HYPERLINK "https://www.ncbi.nlm.nih.gov/pubmed/29393280" \o "Oncology." </w:instrText>
      </w:r>
      <w:r>
        <w:rPr>
          <w:highlight w:val="none"/>
        </w:rPr>
        <w:fldChar w:fldCharType="separate"/>
      </w:r>
      <w:r>
        <w:rPr>
          <w:rFonts w:ascii="Times New Roman" w:hAnsi="Times New Roman" w:cs="Times New Roman"/>
          <w:sz w:val="15"/>
          <w:szCs w:val="15"/>
          <w:highlight w:val="none"/>
        </w:rPr>
        <w:t>Oncology,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94(4):191-199.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"https://www.ncbi.nlm.nih.gov/pubmed/?term=Huxley%20N%5BAuthor%5D&amp;cauthor=true&amp;cauthor_uid=28682222" </w:instrText>
      </w:r>
      <w:r>
        <w:rPr>
          <w:highlight w:val="none"/>
        </w:rPr>
        <w:fldChar w:fldCharType="separate"/>
      </w:r>
      <w:r>
        <w:rPr>
          <w:rFonts w:ascii="Times New Roman" w:hAnsi="Times New Roman" w:cs="Times New Roman"/>
          <w:sz w:val="15"/>
          <w:szCs w:val="15"/>
          <w:highlight w:val="none"/>
        </w:rPr>
        <w:t>Huxley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"https://www.ncbi.nlm.nih.gov/pubmed/?term=Crathorne%20L%5BAuthor%5D&amp;cauthor=true&amp;cauthor_uid=28682222" </w:instrText>
      </w:r>
      <w:r>
        <w:rPr>
          <w:highlight w:val="none"/>
        </w:rPr>
        <w:fldChar w:fldCharType="separate"/>
      </w:r>
      <w:r>
        <w:rPr>
          <w:rFonts w:ascii="Times New Roman" w:hAnsi="Times New Roman" w:cs="Times New Roman"/>
          <w:sz w:val="15"/>
          <w:szCs w:val="15"/>
          <w:highlight w:val="none"/>
        </w:rPr>
        <w:t>Crathorne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"https://www.ncbi.nlm.nih.gov/pubmed/?term=Varley-Campbell%20J%5BAuthor%5D&amp;cauthor=true&amp;cauthor_uid=28682222" </w:instrText>
      </w:r>
      <w:r>
        <w:rPr>
          <w:highlight w:val="none"/>
        </w:rPr>
        <w:fldChar w:fldCharType="separate"/>
      </w:r>
      <w:r>
        <w:rPr>
          <w:rFonts w:ascii="Times New Roman" w:hAnsi="Times New Roman" w:cs="Times New Roman"/>
          <w:sz w:val="15"/>
          <w:szCs w:val="15"/>
          <w:highlight w:val="none"/>
        </w:rPr>
        <w:t>Varley-Campbell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The clinical effectiveness and cost-effectiveness of cetuximab (review of technology appraisal no. 176) and panitumumab (partial review of technology appraisal no. 240) for previously untreated metastatic colorectal cancer: a systematic review and economic evaluation[J]. </w:t>
      </w:r>
      <w:r>
        <w:rPr>
          <w:highlight w:val="none"/>
        </w:rPr>
        <w:fldChar w:fldCharType="begin"/>
      </w:r>
      <w:r>
        <w:rPr>
          <w:highlight w:val="none"/>
        </w:rPr>
        <w:instrText xml:space="preserve"> HYPERLINK "https://www.ncbi.nlm.nih.gov/pubmed/28682222" \o "Health technology assessment (Winchester, England)." </w:instrText>
      </w:r>
      <w:r>
        <w:rPr>
          <w:highlight w:val="none"/>
        </w:rPr>
        <w:fldChar w:fldCharType="separate"/>
      </w:r>
      <w:r>
        <w:rPr>
          <w:rFonts w:ascii="Times New Roman" w:hAnsi="Times New Roman" w:cs="Times New Roman"/>
          <w:sz w:val="15"/>
          <w:szCs w:val="15"/>
          <w:highlight w:val="none"/>
        </w:rPr>
        <w:t>Health Technol Assess,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21(38):1-294.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Chaft J E , Litvak A , Arcila M E , et al. Phase II study of the GI-4000 KRAS vaccine after curative therapy in patients with stage I-III lung adenocarcinoma harboring a KRAS G12C, G12D, or G12V mutation[J]. Clinical Lung Cancer, 2014, 15(6):405-410.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Price K A , Azzoli C G , Krug L M , et al. Phase II trial of Gefitinib and Everolimus in advanced non-small cell lung cancer[J]. Journal of Thoracic Oncology, 2010, 5(10):1623-1629.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Marks J L, et al. Novel MEK1 mutation identified by mutational analysis of epidermal growth factor receptor signaling pathway genes in lung adenocar-cinoma[J]. Cancer Research, 2008, 68(14): 5524-5528.</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"https://www.ncbi.nlm.nih.gov/pubmed/?term=Heist%20RS%5BAuthor%5D&amp;cauthor=true&amp;cauthor_uid=27343442" </w:instrText>
      </w:r>
      <w:r>
        <w:rPr>
          <w:highlight w:val="none"/>
        </w:rPr>
        <w:fldChar w:fldCharType="separate"/>
      </w:r>
      <w:r>
        <w:rPr>
          <w:rFonts w:ascii="Times New Roman" w:hAnsi="Times New Roman" w:cs="Times New Roman"/>
          <w:sz w:val="15"/>
          <w:szCs w:val="15"/>
          <w:highlight w:val="none"/>
        </w:rPr>
        <w:t>Heist RS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"https://www.ncbi.nlm.nih.gov/pubmed/?term=Sequist%20LV%5BAuthor%5D&amp;cauthor=true&amp;cauthor_uid=27343442" </w:instrText>
      </w:r>
      <w:r>
        <w:rPr>
          <w:highlight w:val="none"/>
        </w:rPr>
        <w:fldChar w:fldCharType="separate"/>
      </w:r>
      <w:r>
        <w:rPr>
          <w:rFonts w:ascii="Times New Roman" w:hAnsi="Times New Roman" w:cs="Times New Roman"/>
          <w:sz w:val="15"/>
          <w:szCs w:val="15"/>
          <w:highlight w:val="none"/>
        </w:rPr>
        <w:t>Sequist LV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"https://www.ncbi.nlm.nih.gov/pubmed/?term=Borger%20D%5BAuthor%5D&amp;cauthor=true&amp;cauthor_uid=27343442" </w:instrText>
      </w:r>
      <w:r>
        <w:rPr>
          <w:highlight w:val="none"/>
        </w:rPr>
        <w:fldChar w:fldCharType="separate"/>
      </w:r>
      <w:r>
        <w:rPr>
          <w:rFonts w:ascii="Times New Roman" w:hAnsi="Times New Roman" w:cs="Times New Roman"/>
          <w:sz w:val="15"/>
          <w:szCs w:val="15"/>
          <w:highlight w:val="none"/>
        </w:rPr>
        <w:t>Borger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Acquired Resistance to Crizotinib in NSCLC with MET Exon 14 Skipping[J]. </w:t>
      </w:r>
      <w:r>
        <w:rPr>
          <w:highlight w:val="none"/>
        </w:rPr>
        <w:fldChar w:fldCharType="begin"/>
      </w:r>
      <w:r>
        <w:rPr>
          <w:highlight w:val="none"/>
        </w:rPr>
        <w:instrText xml:space="preserve"> HYPERLINK "https://www.ncbi.nlm.nih.gov/pubmed/27343442" \o "Journal of thoracic oncology : official publication of the International Association for the Study of Lung Cancer." </w:instrText>
      </w:r>
      <w:r>
        <w:rPr>
          <w:highlight w:val="none"/>
        </w:rPr>
        <w:fldChar w:fldCharType="separate"/>
      </w:r>
      <w:r>
        <w:rPr>
          <w:rFonts w:ascii="Times New Roman" w:hAnsi="Times New Roman" w:cs="Times New Roman"/>
          <w:sz w:val="15"/>
          <w:szCs w:val="15"/>
          <w:highlight w:val="none"/>
        </w:rPr>
        <w:t>J Thorac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11(8):1242-1245.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"https://www.ncbi.nlm.nih.gov/pubmed/?term=Nanjo%20S%5BAuthor%5D&amp;cauthor=true&amp;cauthor_uid=28138027" </w:instrText>
      </w:r>
      <w:r>
        <w:rPr>
          <w:highlight w:val="none"/>
        </w:rPr>
        <w:fldChar w:fldCharType="separate"/>
      </w:r>
      <w:r>
        <w:rPr>
          <w:rFonts w:ascii="Times New Roman" w:hAnsi="Times New Roman" w:cs="Times New Roman"/>
          <w:sz w:val="15"/>
          <w:szCs w:val="15"/>
          <w:highlight w:val="none"/>
        </w:rPr>
        <w:t>Nanjo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"https://www.ncbi.nlm.nih.gov/pubmed/?term=Arai%20S%5BAuthor%5D&amp;cauthor=true&amp;cauthor_uid=28138027" </w:instrText>
      </w:r>
      <w:r>
        <w:rPr>
          <w:highlight w:val="none"/>
        </w:rPr>
        <w:fldChar w:fldCharType="separate"/>
      </w:r>
      <w:r>
        <w:rPr>
          <w:rFonts w:ascii="Times New Roman" w:hAnsi="Times New Roman" w:cs="Times New Roman"/>
          <w:sz w:val="15"/>
          <w:szCs w:val="15"/>
          <w:highlight w:val="none"/>
        </w:rPr>
        <w:t>Arai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"https://www.ncbi.nlm.nih.gov/pubmed/?term=Wang%20W%5BAuthor%5D&amp;cauthor=true&amp;cauthor_uid=28138027" </w:instrText>
      </w:r>
      <w:r>
        <w:rPr>
          <w:highlight w:val="none"/>
        </w:rPr>
        <w:fldChar w:fldCharType="separate"/>
      </w:r>
      <w:r>
        <w:rPr>
          <w:rFonts w:ascii="Times New Roman" w:hAnsi="Times New Roman" w:cs="Times New Roman"/>
          <w:sz w:val="15"/>
          <w:szCs w:val="15"/>
          <w:highlight w:val="none"/>
        </w:rPr>
        <w:t>Wang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MET Copy Number Gain Is Associated with Gefitinib Resistance in Leptomeningeal Carcinomatosis of EGFR-mutant Lung Cancer[J]. </w:t>
      </w:r>
      <w:r>
        <w:rPr>
          <w:highlight w:val="none"/>
        </w:rPr>
        <w:fldChar w:fldCharType="begin"/>
      </w:r>
      <w:r>
        <w:rPr>
          <w:highlight w:val="none"/>
        </w:rPr>
        <w:instrText xml:space="preserve"> HYPERLINK "https://www.ncbi.nlm.nih.gov/pubmed/28138027" \o "Molecular cancer therapeutics." </w:instrText>
      </w:r>
      <w:r>
        <w:rPr>
          <w:highlight w:val="none"/>
        </w:rPr>
        <w:fldChar w:fldCharType="separate"/>
      </w:r>
      <w:r>
        <w:rPr>
          <w:rFonts w:ascii="Times New Roman" w:hAnsi="Times New Roman" w:cs="Times New Roman"/>
          <w:sz w:val="15"/>
          <w:szCs w:val="15"/>
          <w:highlight w:val="none"/>
        </w:rPr>
        <w:t>Mol Cancer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16(3):506-515.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cancer[J].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109(6):1775-1786.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"https://www.ncbi.nlm.nih.gov/pubmed/?term=Cao%20X%5BAuthor%5D&amp;cauthor=true&amp;cauthor_uid=28592790" </w:instrText>
      </w:r>
      <w:r>
        <w:rPr>
          <w:highlight w:val="none"/>
        </w:rPr>
        <w:fldChar w:fldCharType="separate"/>
      </w:r>
      <w:r>
        <w:rPr>
          <w:rFonts w:ascii="Times New Roman" w:hAnsi="Times New Roman" w:cs="Times New Roman"/>
          <w:sz w:val="15"/>
          <w:szCs w:val="15"/>
          <w:highlight w:val="none"/>
        </w:rPr>
        <w:t>Cao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"https://www.ncbi.nlm.nih.gov/pubmed/?term=Lai%20S%5BAuthor%5D&amp;cauthor=true&amp;cauthor_uid=28592790" </w:instrText>
      </w:r>
      <w:r>
        <w:rPr>
          <w:highlight w:val="none"/>
        </w:rPr>
        <w:fldChar w:fldCharType="separate"/>
      </w:r>
      <w:r>
        <w:rPr>
          <w:rFonts w:ascii="Times New Roman" w:hAnsi="Times New Roman" w:cs="Times New Roman"/>
          <w:sz w:val="15"/>
          <w:szCs w:val="15"/>
          <w:highlight w:val="none"/>
        </w:rPr>
        <w:t>Lai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"https://www.ncbi.nlm.nih.gov/pubmed/?term=Hu%20F%5BAuthor%5D&amp;cauthor=true&amp;cauthor_uid=28592790" </w:instrText>
      </w:r>
      <w:r>
        <w:rPr>
          <w:highlight w:val="none"/>
        </w:rPr>
        <w:fldChar w:fldCharType="separate"/>
      </w:r>
      <w:r>
        <w:rPr>
          <w:rFonts w:ascii="Times New Roman" w:hAnsi="Times New Roman" w:cs="Times New Roman"/>
          <w:sz w:val="15"/>
          <w:szCs w:val="15"/>
          <w:highlight w:val="none"/>
        </w:rPr>
        <w:t>Hu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miR-19a contributes to gefitinib resistance and epithelial mesenchymal transition in non-small cell lung cancer cells by targeting c-Met[J]. </w:t>
      </w:r>
      <w:r>
        <w:rPr>
          <w:highlight w:val="none"/>
        </w:rPr>
        <w:fldChar w:fldCharType="begin"/>
      </w:r>
      <w:r>
        <w:rPr>
          <w:highlight w:val="none"/>
        </w:rPr>
        <w:instrText xml:space="preserve"> HYPERLINK "https://www.ncbi.nlm.nih.gov/pubmed/28592790" \o "Scientific reports." </w:instrText>
      </w:r>
      <w:r>
        <w:rPr>
          <w:highlight w:val="none"/>
        </w:rPr>
        <w:fldChar w:fldCharType="separate"/>
      </w:r>
      <w:r>
        <w:rPr>
          <w:rFonts w:ascii="Times New Roman" w:hAnsi="Times New Roman" w:cs="Times New Roman"/>
          <w:sz w:val="15"/>
          <w:szCs w:val="15"/>
          <w:highlight w:val="none"/>
        </w:rPr>
        <w:t>Sci Rep,</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7(1):2939.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"https://www.ncbi.nlm.nih.gov/pubmed/?term=Huang%20K%5BAuthor%5D&amp;cauthor=true&amp;cauthor_uid=30233210" </w:instrText>
      </w:r>
      <w:r>
        <w:rPr>
          <w:highlight w:val="none"/>
        </w:rPr>
        <w:fldChar w:fldCharType="separate"/>
      </w:r>
      <w:r>
        <w:rPr>
          <w:rFonts w:ascii="Times New Roman" w:hAnsi="Times New Roman" w:cs="Times New Roman"/>
          <w:sz w:val="15"/>
          <w:szCs w:val="15"/>
          <w:highlight w:val="none"/>
        </w:rPr>
        <w:t>Huang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"https://www.ncbi.nlm.nih.gov/pubmed/?term=Liu%20D%5BAuthor%5D&amp;cauthor=true&amp;cauthor_uid=30233210" </w:instrText>
      </w:r>
      <w:r>
        <w:rPr>
          <w:highlight w:val="none"/>
        </w:rPr>
        <w:fldChar w:fldCharType="separate"/>
      </w:r>
      <w:r>
        <w:rPr>
          <w:rFonts w:ascii="Times New Roman" w:hAnsi="Times New Roman" w:cs="Times New Roman"/>
          <w:sz w:val="15"/>
          <w:szCs w:val="15"/>
          <w:highlight w:val="none"/>
        </w:rPr>
        <w:t>Liu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Suppression of c-MET overcomes erlotinib resistance in tongue cancer cells[J]. </w:t>
      </w:r>
      <w:r>
        <w:rPr>
          <w:highlight w:val="none"/>
        </w:rPr>
        <w:fldChar w:fldCharType="begin"/>
      </w:r>
      <w:r>
        <w:rPr>
          <w:highlight w:val="none"/>
        </w:rPr>
        <w:instrText xml:space="preserve"> HYPERLINK "https://www.ncbi.nlm.nih.gov/pubmed/30233210"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11:5499-5508.</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"https://www.ncbi.nlm.nih.gov/pubmed/?term=Demuth%20C%5BAuthor%5D&amp;cauthor=true&amp;cauthor_uid=28978110" </w:instrText>
      </w:r>
      <w:r>
        <w:rPr>
          <w:highlight w:val="none"/>
        </w:rPr>
        <w:fldChar w:fldCharType="separate"/>
      </w:r>
      <w:r>
        <w:rPr>
          <w:rFonts w:ascii="Times New Roman" w:hAnsi="Times New Roman" w:cs="Times New Roman"/>
          <w:sz w:val="15"/>
          <w:szCs w:val="15"/>
          <w:highlight w:val="none"/>
        </w:rPr>
        <w:t>Demuth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"https://www.ncbi.nlm.nih.gov/pubmed/?term=Andersen%20MN%5BAuthor%5D&amp;cauthor=true&amp;cauthor_uid=28978110" </w:instrText>
      </w:r>
      <w:r>
        <w:rPr>
          <w:highlight w:val="none"/>
        </w:rPr>
        <w:fldChar w:fldCharType="separate"/>
      </w:r>
      <w:r>
        <w:rPr>
          <w:rFonts w:ascii="Times New Roman" w:hAnsi="Times New Roman" w:cs="Times New Roman"/>
          <w:sz w:val="15"/>
          <w:szCs w:val="15"/>
          <w:highlight w:val="none"/>
        </w:rPr>
        <w:t>Andersen MN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"https://www.ncbi.nlm.nih.gov/pubmed/?term=Jakobsen%20KR%5BAuthor%5D&amp;cauthor=true&amp;cauthor_uid=28978110" </w:instrText>
      </w:r>
      <w:r>
        <w:rPr>
          <w:highlight w:val="none"/>
        </w:rPr>
        <w:fldChar w:fldCharType="separate"/>
      </w:r>
      <w:r>
        <w:rPr>
          <w:rFonts w:ascii="Times New Roman" w:hAnsi="Times New Roman" w:cs="Times New Roman"/>
          <w:sz w:val="15"/>
          <w:szCs w:val="15"/>
          <w:highlight w:val="none"/>
        </w:rPr>
        <w:t>Jakobsen KR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Increased PD-L1 expression in erlotinib-resistant NSCLC cells with MET gene amplification is reversed upon MET-TKI treatment[J]. </w:t>
      </w:r>
      <w:r>
        <w:rPr>
          <w:highlight w:val="none"/>
        </w:rPr>
        <w:fldChar w:fldCharType="begin"/>
      </w:r>
      <w:r>
        <w:rPr>
          <w:highlight w:val="none"/>
        </w:rPr>
        <w:instrText xml:space="preserve"> HYPERLINK "https://www.ncbi.nlm.nih.gov/pubmed/28978110"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8(40):68221-68229.</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"https://www.ncbi.nlm.nih.gov/pubmed/?term=Hussmann%20D%5BAuthor%5D&amp;cauthor=true&amp;cauthor_uid=28418902" </w:instrText>
      </w:r>
      <w:r>
        <w:rPr>
          <w:highlight w:val="none"/>
        </w:rPr>
        <w:fldChar w:fldCharType="separate"/>
      </w:r>
      <w:r>
        <w:rPr>
          <w:rFonts w:ascii="Times New Roman" w:hAnsi="Times New Roman"/>
          <w:sz w:val="15"/>
          <w:szCs w:val="15"/>
          <w:highlight w:val="none"/>
        </w:rPr>
        <w:t>Hussmann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"https://www.ncbi.nlm.nih.gov/pubmed/?term=Madsen%20AT%5BAuthor%5D&amp;cauthor=true&amp;cauthor_uid=28418902" </w:instrText>
      </w:r>
      <w:r>
        <w:rPr>
          <w:highlight w:val="none"/>
        </w:rPr>
        <w:fldChar w:fldCharType="separate"/>
      </w:r>
      <w:r>
        <w:rPr>
          <w:rFonts w:ascii="Times New Roman" w:hAnsi="Times New Roman"/>
          <w:sz w:val="15"/>
          <w:szCs w:val="15"/>
          <w:highlight w:val="none"/>
        </w:rPr>
        <w:t>Madsen AT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"https://www.ncbi.nlm.nih.gov/pubmed/?term=Jakobsen%20KR%5BAuthor%5D&amp;cauthor=true&amp;cauthor_uid=28418902" </w:instrText>
      </w:r>
      <w:r>
        <w:rPr>
          <w:highlight w:val="none"/>
        </w:rPr>
        <w:fldChar w:fldCharType="separate"/>
      </w:r>
      <w:r>
        <w:rPr>
          <w:rFonts w:ascii="Times New Roman" w:hAnsi="Times New Roman"/>
          <w:sz w:val="15"/>
          <w:szCs w:val="15"/>
          <w:highlight w:val="none"/>
        </w:rPr>
        <w:t>Jakobsen KR</w:t>
      </w:r>
      <w:r>
        <w:rPr>
          <w:rFonts w:ascii="Times New Roman" w:hAnsi="Times New Roman"/>
          <w:sz w:val="15"/>
          <w:szCs w:val="15"/>
          <w:highlight w:val="none"/>
        </w:rPr>
        <w:fldChar w:fldCharType="end"/>
      </w:r>
      <w:r>
        <w:rPr>
          <w:rFonts w:ascii="Times New Roman" w:hAnsi="Times New Roman"/>
          <w:sz w:val="15"/>
          <w:szCs w:val="15"/>
          <w:highlight w:val="none"/>
        </w:rPr>
        <w:t xml:space="preserve">, et al. IGF1R depletion facilitates MET-amplification as mechanism of acquired resistance to erlotinib in HCC827 NSCLC cells[J]. </w:t>
      </w:r>
      <w:r>
        <w:rPr>
          <w:highlight w:val="none"/>
        </w:rPr>
        <w:fldChar w:fldCharType="begin"/>
      </w:r>
      <w:r>
        <w:rPr>
          <w:highlight w:val="none"/>
        </w:rPr>
        <w:instrText xml:space="preserve"> HYPERLINK "https://www.ncbi.nlm.nih.gov/pubmed/28418902"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2017, 8(20):33300-33315.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"https://www.ncbi.nlm.nih.gov/pubmed/?term=Yang%20T%5BAuthor%5D&amp;cauthor=true&amp;cauthor_uid=27563407" </w:instrText>
      </w:r>
      <w:r>
        <w:rPr>
          <w:highlight w:val="none"/>
        </w:rPr>
        <w:fldChar w:fldCharType="separate"/>
      </w:r>
      <w:r>
        <w:rPr>
          <w:rFonts w:ascii="Times New Roman" w:hAnsi="Times New Roman" w:cs="Times New Roman"/>
          <w:sz w:val="15"/>
          <w:szCs w:val="15"/>
          <w:highlight w:val="none"/>
        </w:rPr>
        <w:t>Yang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"https://www.ncbi.nlm.nih.gov/pubmed/?term=Ng%20WH%5BAuthor%5D&amp;cauthor=true&amp;cauthor_uid=27563407" </w:instrText>
      </w:r>
      <w:r>
        <w:rPr>
          <w:highlight w:val="none"/>
        </w:rPr>
        <w:fldChar w:fldCharType="separate"/>
      </w:r>
      <w:r>
        <w:rPr>
          <w:rFonts w:ascii="Times New Roman" w:hAnsi="Times New Roman" w:cs="Times New Roman"/>
          <w:sz w:val="15"/>
          <w:szCs w:val="15"/>
          <w:highlight w:val="none"/>
        </w:rPr>
        <w:t>Ng WH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"https://www.ncbi.nlm.nih.gov/pubmed/?term=Chen%20H%5BAuthor%5D&amp;cauthor=true&amp;cauthor_uid=27563407"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Mitochondrial-Targeting MET Kinase Inhibitor Kills Erlotinib-Resistant Lung Cancer Cells[J]. </w:t>
      </w:r>
      <w:r>
        <w:rPr>
          <w:highlight w:val="none"/>
        </w:rPr>
        <w:fldChar w:fldCharType="begin"/>
      </w:r>
      <w:r>
        <w:rPr>
          <w:highlight w:val="none"/>
        </w:rPr>
        <w:instrText xml:space="preserve"> HYPERLINK "https://www.ncbi.nlm.nih.gov/pubmed/27563407" \o "ACS medicinal chemistry letters." </w:instrText>
      </w:r>
      <w:r>
        <w:rPr>
          <w:highlight w:val="none"/>
        </w:rPr>
        <w:fldChar w:fldCharType="separate"/>
      </w:r>
      <w:r>
        <w:rPr>
          <w:rFonts w:ascii="Times New Roman" w:hAnsi="Times New Roman" w:cs="Times New Roman"/>
          <w:sz w:val="15"/>
          <w:szCs w:val="15"/>
          <w:highlight w:val="none"/>
        </w:rPr>
        <w:t>ACS Med Chem Lett,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7(8):807-12.</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"https://www.ncbi.nlm.nih.gov/pubmed/?term=Yu%20W%5BAuthor%5D&amp;cauthor=true&amp;cauthor_uid=28749535" </w:instrText>
      </w:r>
      <w:r>
        <w:rPr>
          <w:highlight w:val="none"/>
        </w:rPr>
        <w:fldChar w:fldCharType="separate"/>
      </w:r>
      <w:r>
        <w:rPr>
          <w:rFonts w:ascii="Times New Roman" w:hAnsi="Times New Roman" w:cs="Times New Roman"/>
          <w:sz w:val="15"/>
          <w:szCs w:val="15"/>
          <w:highlight w:val="none"/>
        </w:rPr>
        <w:t>Yu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"https://www.ncbi.nlm.nih.gov/pubmed/?term=Lu%20W%5BAuthor%5D&amp;cauthor=true&amp;cauthor_uid=28749535" </w:instrText>
      </w:r>
      <w:r>
        <w:rPr>
          <w:highlight w:val="none"/>
        </w:rPr>
        <w:fldChar w:fldCharType="separate"/>
      </w:r>
      <w:r>
        <w:rPr>
          <w:rFonts w:ascii="Times New Roman" w:hAnsi="Times New Roman" w:cs="Times New Roman"/>
          <w:sz w:val="15"/>
          <w:szCs w:val="15"/>
          <w:highlight w:val="none"/>
        </w:rPr>
        <w:t>Lu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"https://www.ncbi.nlm.nih.gov/pubmed/?term=Chen%20G%5BAuthor%5D&amp;cauthor=true&amp;cauthor_uid=28749535" </w:instrText>
      </w:r>
      <w:r>
        <w:rPr>
          <w:highlight w:val="none"/>
        </w:rPr>
        <w:fldChar w:fldCharType="separate"/>
      </w:r>
      <w:r>
        <w:rPr>
          <w:rFonts w:ascii="Times New Roman" w:hAnsi="Times New Roman" w:cs="Times New Roman"/>
          <w:sz w:val="15"/>
          <w:szCs w:val="15"/>
          <w:highlight w:val="none"/>
        </w:rPr>
        <w:t>Chen G</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Inhibition of histone deacetylases sensitizes EGF receptor-TK inhibitor-resistant non-small-cell lung cancer cells to erlotinib in vitro and in vivo[J]. </w:t>
      </w:r>
      <w:r>
        <w:rPr>
          <w:highlight w:val="none"/>
        </w:rPr>
        <w:fldChar w:fldCharType="begin"/>
      </w:r>
      <w:r>
        <w:rPr>
          <w:highlight w:val="none"/>
        </w:rPr>
        <w:instrText xml:space="preserve"> HYPERLINK "https://www.ncbi.nlm.nih.gov/pubmed/28749535" \o "British journal of pharmacology." </w:instrText>
      </w:r>
      <w:r>
        <w:rPr>
          <w:highlight w:val="none"/>
        </w:rPr>
        <w:fldChar w:fldCharType="separate"/>
      </w:r>
      <w:r>
        <w:rPr>
          <w:rFonts w:ascii="Times New Roman" w:hAnsi="Times New Roman" w:cs="Times New Roman"/>
          <w:sz w:val="15"/>
          <w:szCs w:val="15"/>
          <w:highlight w:val="none"/>
        </w:rPr>
        <w:t>Br J Pharmacol,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174(20):3608-3622.</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"https://www.ncbi.nlm.nih.gov/pubmed/?term=Ebert%20K%5BAuthor%5D&amp;cauthor=true&amp;cauthor_uid=31557260" </w:instrText>
      </w:r>
      <w:r>
        <w:rPr>
          <w:highlight w:val="none"/>
        </w:rPr>
        <w:fldChar w:fldCharType="separate"/>
      </w:r>
      <w:r>
        <w:rPr>
          <w:rFonts w:ascii="Times New Roman" w:hAnsi="Times New Roman"/>
          <w:sz w:val="15"/>
          <w:szCs w:val="15"/>
          <w:highlight w:val="none"/>
        </w:rPr>
        <w:t>Ebert 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"https://www.ncbi.nlm.nih.gov/pubmed/?term=Mattes%20J%5BAuthor%5D&amp;cauthor=true&amp;cauthor_uid=31557260" </w:instrText>
      </w:r>
      <w:r>
        <w:rPr>
          <w:highlight w:val="none"/>
        </w:rPr>
        <w:fldChar w:fldCharType="separate"/>
      </w:r>
      <w:r>
        <w:rPr>
          <w:rFonts w:ascii="Times New Roman" w:hAnsi="Times New Roman"/>
          <w:sz w:val="15"/>
          <w:szCs w:val="15"/>
          <w:highlight w:val="none"/>
        </w:rPr>
        <w:t>Mattes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"https://www.ncbi.nlm.nih.gov/pubmed/?term=Kunzke%20T%5BAuthor%5D&amp;cauthor=true&amp;cauthor_uid=31557260" </w:instrText>
      </w:r>
      <w:r>
        <w:rPr>
          <w:highlight w:val="none"/>
        </w:rPr>
        <w:fldChar w:fldCharType="separate"/>
      </w:r>
      <w:r>
        <w:rPr>
          <w:rFonts w:ascii="Times New Roman" w:hAnsi="Times New Roman"/>
          <w:sz w:val="15"/>
          <w:szCs w:val="15"/>
          <w:highlight w:val="none"/>
        </w:rPr>
        <w:t>Kunzke T</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as resistance factor for afatinib therapy and motility driver in gastric cancer cells. </w:t>
      </w:r>
      <w:r>
        <w:rPr>
          <w:highlight w:val="none"/>
        </w:rPr>
        <w:fldChar w:fldCharType="begin"/>
      </w:r>
      <w:r>
        <w:rPr>
          <w:highlight w:val="none"/>
        </w:rPr>
        <w:instrText xml:space="preserve"> HYPERLINK "https://www.ncbi.nlm.nih.gov/pubmed/31557260" \o "PloS one." </w:instrText>
      </w:r>
      <w:r>
        <w:rPr>
          <w:highlight w:val="none"/>
        </w:rPr>
        <w:fldChar w:fldCharType="separate"/>
      </w:r>
      <w:r>
        <w:rPr>
          <w:rFonts w:ascii="Times New Roman" w:hAnsi="Times New Roman"/>
          <w:sz w:val="15"/>
          <w:szCs w:val="15"/>
          <w:highlight w:val="none"/>
        </w:rPr>
        <w:t>PLoS One.</w:t>
      </w:r>
      <w:r>
        <w:rPr>
          <w:rFonts w:ascii="Times New Roman" w:hAnsi="Times New Roman"/>
          <w:sz w:val="15"/>
          <w:szCs w:val="15"/>
          <w:highlight w:val="none"/>
        </w:rPr>
        <w:fldChar w:fldCharType="end"/>
      </w:r>
      <w:r>
        <w:rPr>
          <w:rFonts w:ascii="Times New Roman" w:hAnsi="Times New Roman"/>
          <w:sz w:val="15"/>
          <w:szCs w:val="15"/>
          <w:highlight w:val="none"/>
        </w:rPr>
        <w:t> 2019 Sep 26;14(9):e0223225.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inhibitors[J].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20(9):1183-1186.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sz w:val="15"/>
          <w:szCs w:val="15"/>
          <w:highlight w:val="none"/>
        </w:rPr>
        <w:t>Jin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sz w:val="15"/>
          <w:szCs w:val="15"/>
          <w:highlight w:val="none"/>
        </w:rPr>
        <w:t>Shao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sz w:val="15"/>
          <w:szCs w:val="15"/>
          <w:highlight w:val="none"/>
        </w:rPr>
        <w:t>Shi X</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Mutational profiling of non-small-cell lung cancer patients resistant to first-generation EGFR tyrosine kinase inhibitors using next generation sequencing[J].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7(38):61755-61763.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"https://www.ncbi.nlm.nih.gov/pubmed/?term=Martinez-Marti%20A%5BAuthor%5D&amp;cauthor=true&amp;cauthor_uid=28961841" </w:instrText>
      </w:r>
      <w:r>
        <w:rPr>
          <w:highlight w:val="none"/>
        </w:rPr>
        <w:fldChar w:fldCharType="separate"/>
      </w:r>
      <w:r>
        <w:rPr>
          <w:rFonts w:ascii="Times New Roman" w:hAnsi="Times New Roman"/>
          <w:sz w:val="15"/>
          <w:szCs w:val="15"/>
          <w:highlight w:val="none"/>
        </w:rPr>
        <w:t>Martinez-Marti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"https://www.ncbi.nlm.nih.gov/pubmed/?term=Felip%20E%5BAuthor%5D&amp;cauthor=true&amp;cauthor_uid=28961841" </w:instrText>
      </w:r>
      <w:r>
        <w:rPr>
          <w:highlight w:val="none"/>
        </w:rPr>
        <w:fldChar w:fldCharType="separate"/>
      </w:r>
      <w:r>
        <w:rPr>
          <w:rFonts w:ascii="Times New Roman" w:hAnsi="Times New Roman"/>
          <w:sz w:val="15"/>
          <w:szCs w:val="15"/>
          <w:highlight w:val="none"/>
        </w:rPr>
        <w:t>Felip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"https://www.ncbi.nlm.nih.gov/pubmed/?term=Matito%20J%5BAuthor%5D&amp;cauthor=true&amp;cauthor_uid=28961841" </w:instrText>
      </w:r>
      <w:r>
        <w:rPr>
          <w:highlight w:val="none"/>
        </w:rPr>
        <w:fldChar w:fldCharType="separate"/>
      </w:r>
      <w:r>
        <w:rPr>
          <w:rFonts w:ascii="Times New Roman" w:hAnsi="Times New Roman"/>
          <w:sz w:val="15"/>
          <w:szCs w:val="15"/>
          <w:highlight w:val="none"/>
        </w:rPr>
        <w:t>Matito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MET and ERBB inhibition overcomes intratumor plasticity in osimertinib-resistant-advanced non-small-cell lung cancer (NSCLC)[J]. </w:t>
      </w:r>
      <w:r>
        <w:rPr>
          <w:highlight w:val="none"/>
        </w:rPr>
        <w:fldChar w:fldCharType="begin"/>
      </w:r>
      <w:r>
        <w:rPr>
          <w:highlight w:val="none"/>
        </w:rPr>
        <w:instrText xml:space="preserve"> HYPERLINK "https://www.ncbi.nlm.nih.gov/pubmed/28961841" \o "Annals of oncology : official journal of the European Society for Medical Oncology." </w:instrText>
      </w:r>
      <w:r>
        <w:rPr>
          <w:highlight w:val="none"/>
        </w:rPr>
        <w:fldChar w:fldCharType="separate"/>
      </w:r>
      <w:r>
        <w:rPr>
          <w:rFonts w:ascii="Times New Roman" w:hAnsi="Times New Roman"/>
          <w:sz w:val="15"/>
          <w:szCs w:val="15"/>
          <w:highlight w:val="none"/>
        </w:rPr>
        <w:t>Ann Oncol,</w:t>
      </w:r>
      <w:r>
        <w:rPr>
          <w:rFonts w:ascii="Times New Roman" w:hAnsi="Times New Roman"/>
          <w:sz w:val="15"/>
          <w:szCs w:val="15"/>
          <w:highlight w:val="none"/>
        </w:rPr>
        <w:fldChar w:fldCharType="end"/>
      </w:r>
      <w:r>
        <w:rPr>
          <w:rFonts w:ascii="Times New Roman" w:hAnsi="Times New Roman"/>
          <w:sz w:val="15"/>
          <w:szCs w:val="15"/>
          <w:highlight w:val="none"/>
        </w:rPr>
        <w:t> 2017, 28(10):2451-2457.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sz w:val="15"/>
          <w:szCs w:val="15"/>
          <w:highlight w:val="none"/>
        </w:rPr>
        <w:t>Wang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sz w:val="15"/>
          <w:szCs w:val="15"/>
          <w:highlight w:val="none"/>
        </w:rPr>
        <w:t>Li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sz w:val="15"/>
          <w:szCs w:val="15"/>
          <w:highlight w:val="none"/>
        </w:rPr>
        <w:t>Han 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Clinical analysis by next-generation sequencing for NSCLC patients with MET amplification resistant to osimertinib[J].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2018, 118:105-110.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"https://www.ncbi.nlm.nih.gov/pubmed/?term=Ou%20SI%5BAuthor%5D&amp;cauthor=true&amp;cauthor_uid=27393507" </w:instrText>
      </w:r>
      <w:r>
        <w:rPr>
          <w:highlight w:val="none"/>
        </w:rPr>
        <w:fldChar w:fldCharType="separate"/>
      </w:r>
      <w:r>
        <w:rPr>
          <w:rFonts w:ascii="Times New Roman" w:hAnsi="Times New Roman"/>
          <w:sz w:val="15"/>
          <w:szCs w:val="15"/>
          <w:highlight w:val="none"/>
        </w:rPr>
        <w:t>Ou SI</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"https://www.ncbi.nlm.nih.gov/pubmed/?term=Agarwal%20N%5BAuthor%5D&amp;cauthor=true&amp;cauthor_uid=27393507" </w:instrText>
      </w:r>
      <w:r>
        <w:rPr>
          <w:highlight w:val="none"/>
        </w:rPr>
        <w:fldChar w:fldCharType="separate"/>
      </w:r>
      <w:r>
        <w:rPr>
          <w:rFonts w:ascii="Times New Roman" w:hAnsi="Times New Roman"/>
          <w:sz w:val="15"/>
          <w:szCs w:val="15"/>
          <w:highlight w:val="none"/>
        </w:rPr>
        <w:t>Agarwal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"https://www.ncbi.nlm.nih.gov/pubmed/?term=Ali%20SM%5BAuthor%5D&amp;cauthor=true&amp;cauthor_uid=27393507" </w:instrText>
      </w:r>
      <w:r>
        <w:rPr>
          <w:highlight w:val="none"/>
        </w:rPr>
        <w:fldChar w:fldCharType="separate"/>
      </w:r>
      <w:r>
        <w:rPr>
          <w:rFonts w:ascii="Times New Roman" w:hAnsi="Times New Roman"/>
          <w:sz w:val="15"/>
          <w:szCs w:val="15"/>
          <w:highlight w:val="none"/>
        </w:rPr>
        <w:t>Ali SM</w:t>
      </w:r>
      <w:r>
        <w:rPr>
          <w:rFonts w:ascii="Times New Roman" w:hAnsi="Times New Roman"/>
          <w:sz w:val="15"/>
          <w:szCs w:val="15"/>
          <w:highlight w:val="none"/>
        </w:rPr>
        <w:fldChar w:fldCharType="end"/>
      </w:r>
      <w:r>
        <w:rPr>
          <w:rFonts w:ascii="Times New Roman" w:hAnsi="Times New Roman"/>
          <w:sz w:val="15"/>
          <w:szCs w:val="15"/>
          <w:highlight w:val="none"/>
        </w:rPr>
        <w:t xml:space="preserve">, et al. High MET amplification level as a resistance mechanism to osimertinib (AZD9291) in a patient that symptomatically responded to crizotinib treatment post-osimertinib progression[J]. </w:t>
      </w:r>
      <w:r>
        <w:rPr>
          <w:highlight w:val="none"/>
        </w:rPr>
        <w:fldChar w:fldCharType="begin"/>
      </w:r>
      <w:r>
        <w:rPr>
          <w:highlight w:val="none"/>
        </w:rPr>
        <w:instrText xml:space="preserve"> HYPERLINK "https://www.ncbi.nlm.nih.gov/pubmed/27393507"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2016,98:59-61.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"https://www.ncbi.nlm.nih.gov/pubmed/?term=Yang%20Z%5BAuthor%5D&amp;cauthor=true&amp;cauthor_uid=29506987" </w:instrText>
      </w:r>
      <w:r>
        <w:rPr>
          <w:highlight w:val="none"/>
        </w:rPr>
        <w:fldChar w:fldCharType="separate"/>
      </w:r>
      <w:r>
        <w:rPr>
          <w:rFonts w:ascii="Times New Roman" w:hAnsi="Times New Roman"/>
          <w:sz w:val="15"/>
          <w:szCs w:val="15"/>
          <w:highlight w:val="none"/>
        </w:rPr>
        <w:t>Yang Z</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"https://www.ncbi.nlm.nih.gov/pubmed/?term=Yang%20N%5BAuthor%5D&amp;cauthor=true&amp;cauthor_uid=29506987" </w:instrText>
      </w:r>
      <w:r>
        <w:rPr>
          <w:highlight w:val="none"/>
        </w:rPr>
        <w:fldChar w:fldCharType="separate"/>
      </w:r>
      <w:r>
        <w:rPr>
          <w:rFonts w:ascii="Times New Roman" w:hAnsi="Times New Roman"/>
          <w:sz w:val="15"/>
          <w:szCs w:val="15"/>
          <w:highlight w:val="none"/>
        </w:rPr>
        <w:t>Yang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"https://www.ncbi.nlm.nih.gov/pubmed/?term=Ou%20Q%5BAuthor%5D&amp;cauthor=true&amp;cauthor_uid=29506987" </w:instrText>
      </w:r>
      <w:r>
        <w:rPr>
          <w:highlight w:val="none"/>
        </w:rPr>
        <w:fldChar w:fldCharType="separate"/>
      </w:r>
      <w:r>
        <w:rPr>
          <w:rFonts w:ascii="Times New Roman" w:hAnsi="Times New Roman"/>
          <w:sz w:val="15"/>
          <w:szCs w:val="15"/>
          <w:highlight w:val="none"/>
        </w:rPr>
        <w:t>Ou Q</w:t>
      </w:r>
      <w:r>
        <w:rPr>
          <w:rFonts w:ascii="Times New Roman" w:hAnsi="Times New Roman"/>
          <w:sz w:val="15"/>
          <w:szCs w:val="15"/>
          <w:highlight w:val="none"/>
        </w:rPr>
        <w:fldChar w:fldCharType="end"/>
      </w:r>
      <w:r>
        <w:rPr>
          <w:rFonts w:ascii="Times New Roman" w:hAnsi="Times New Roman"/>
          <w:sz w:val="15"/>
          <w:szCs w:val="15"/>
          <w:highlight w:val="none"/>
        </w:rPr>
        <w:t xml:space="preserve">, et al. Investigating Novel Resistance Mechanisms to Third-Generation EGFR Tyrosine Kinase Inhibitor Osimertinib in Non-Small Cell Lung Cancer Patients[J]. </w:t>
      </w:r>
      <w:r>
        <w:rPr>
          <w:highlight w:val="none"/>
        </w:rPr>
        <w:fldChar w:fldCharType="begin"/>
      </w:r>
      <w:r>
        <w:rPr>
          <w:highlight w:val="none"/>
        </w:rPr>
        <w:instrText xml:space="preserve"> HYPERLINK "https://www.ncbi.nlm.nih.gov/pubmed/29506987"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2018, 24(13):3097-3107.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"https://www.ncbi.nlm.nih.gov/pubmed/?term=Wang%20Q%5BAuthor%5D&amp;cauthor=true&amp;cauthor_uid=31227004" </w:instrText>
      </w:r>
      <w:r>
        <w:rPr>
          <w:highlight w:val="none"/>
        </w:rPr>
        <w:fldChar w:fldCharType="separate"/>
      </w:r>
      <w:r>
        <w:rPr>
          <w:rFonts w:ascii="Times New Roman" w:hAnsi="Times New Roman"/>
          <w:sz w:val="15"/>
          <w:szCs w:val="15"/>
          <w:highlight w:val="none"/>
        </w:rPr>
        <w:t>Wang Q</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"https://www.ncbi.nlm.nih.gov/pubmed/?term=Yang%20S%5BAuthor%5D&amp;cauthor=true&amp;cauthor_uid=31227004" </w:instrText>
      </w:r>
      <w:r>
        <w:rPr>
          <w:highlight w:val="none"/>
        </w:rPr>
        <w:fldChar w:fldCharType="separate"/>
      </w:r>
      <w:r>
        <w:rPr>
          <w:rFonts w:ascii="Times New Roman" w:hAnsi="Times New Roman"/>
          <w:sz w:val="15"/>
          <w:szCs w:val="15"/>
          <w:highlight w:val="none"/>
        </w:rPr>
        <w:t>Yang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"https://www.ncbi.nlm.nih.gov/pubmed/?term=Wang%20K%5BAuthor%5D&amp;cauthor=true&amp;cauthor_uid=31227004" </w:instrText>
      </w:r>
      <w:r>
        <w:rPr>
          <w:highlight w:val="none"/>
        </w:rPr>
        <w:fldChar w:fldCharType="separate"/>
      </w:r>
      <w:r>
        <w:rPr>
          <w:rFonts w:ascii="Times New Roman" w:hAnsi="Times New Roman"/>
          <w:sz w:val="15"/>
          <w:szCs w:val="15"/>
          <w:highlight w:val="none"/>
        </w:rPr>
        <w:t>Wang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inhibitors for targeted therapy of EGFR TKI-resistant lung cancer[J]. </w:t>
      </w:r>
      <w:r>
        <w:rPr>
          <w:highlight w:val="none"/>
        </w:rPr>
        <w:fldChar w:fldCharType="begin"/>
      </w:r>
      <w:r>
        <w:rPr>
          <w:highlight w:val="none"/>
        </w:rPr>
        <w:instrText xml:space="preserve"> HYPERLINK "https://www.ncbi.nlm.nih.gov/pubmed/31227004" \o "Journal of hematology &amp; oncology." </w:instrText>
      </w:r>
      <w:r>
        <w:rPr>
          <w:highlight w:val="none"/>
        </w:rPr>
        <w:fldChar w:fldCharType="separate"/>
      </w:r>
      <w:r>
        <w:rPr>
          <w:rFonts w:ascii="Times New Roman" w:hAnsi="Times New Roman"/>
          <w:sz w:val="15"/>
          <w:szCs w:val="15"/>
          <w:highlight w:val="none"/>
        </w:rPr>
        <w:t>J Hematol Oncol,</w:t>
      </w:r>
      <w:r>
        <w:rPr>
          <w:rFonts w:ascii="Times New Roman" w:hAnsi="Times New Roman"/>
          <w:sz w:val="15"/>
          <w:szCs w:val="15"/>
          <w:highlight w:val="none"/>
        </w:rPr>
        <w:fldChar w:fldCharType="end"/>
      </w:r>
      <w:r>
        <w:rPr>
          <w:rFonts w:ascii="Times New Roman" w:hAnsi="Times New Roman"/>
          <w:sz w:val="15"/>
          <w:szCs w:val="15"/>
          <w:highlight w:val="none"/>
        </w:rPr>
        <w:t> 2019, 12(1):63.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"https://www.ncbi.nlm.nih.gov/pubmed/?term=Hsu%20HC%5BAuthor%5D&amp;cauthor=true&amp;cauthor_uid=26989027" </w:instrText>
      </w:r>
      <w:r>
        <w:rPr>
          <w:highlight w:val="none"/>
        </w:rPr>
        <w:fldChar w:fldCharType="separate"/>
      </w:r>
      <w:r>
        <w:rPr>
          <w:rFonts w:ascii="Times New Roman" w:hAnsi="Times New Roman"/>
          <w:sz w:val="15"/>
          <w:szCs w:val="15"/>
          <w:highlight w:val="none"/>
        </w:rPr>
        <w:t>Hsu HC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"https://www.ncbi.nlm.nih.gov/pubmed/?term=Thiam%20TK%5BAuthor%5D&amp;cauthor=true&amp;cauthor_uid=26989027" </w:instrText>
      </w:r>
      <w:r>
        <w:rPr>
          <w:highlight w:val="none"/>
        </w:rPr>
        <w:fldChar w:fldCharType="separate"/>
      </w:r>
      <w:r>
        <w:rPr>
          <w:rFonts w:ascii="Times New Roman" w:hAnsi="Times New Roman"/>
          <w:sz w:val="15"/>
          <w:szCs w:val="15"/>
          <w:highlight w:val="none"/>
        </w:rPr>
        <w:t>Thiam TK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"https://www.ncbi.nlm.nih.gov/pubmed/?term=Lu%20YJ%5BAuthor%5D&amp;cauthor=true&amp;cauthor_uid=26989027" </w:instrText>
      </w:r>
      <w:r>
        <w:rPr>
          <w:highlight w:val="none"/>
        </w:rPr>
        <w:fldChar w:fldCharType="separate"/>
      </w:r>
      <w:r>
        <w:rPr>
          <w:rFonts w:ascii="Times New Roman" w:hAnsi="Times New Roman"/>
          <w:sz w:val="15"/>
          <w:szCs w:val="15"/>
          <w:highlight w:val="none"/>
        </w:rPr>
        <w:t>Lu YJ</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Mutations of KRAS/NRAS/BRAF predict cetuximab resistance in metastatic colorectal cancer patients[J]. </w:t>
      </w:r>
      <w:r>
        <w:rPr>
          <w:highlight w:val="none"/>
        </w:rPr>
        <w:fldChar w:fldCharType="begin"/>
      </w:r>
      <w:r>
        <w:rPr>
          <w:highlight w:val="none"/>
        </w:rPr>
        <w:instrText xml:space="preserve"> HYPERLINK "https://www.ncbi.nlm.nih.gov/pubmed/26989027"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7(16):22257-70. </w:t>
      </w:r>
    </w:p>
    <w:p>
      <w:pPr>
        <w:numPr>
          <w:ilvl w:val="0"/>
          <w:numId w:val="35"/>
        </w:numPr>
        <w:rPr>
          <w:rFonts w:ascii="Times New Roman" w:hAnsi="Times New Roman"/>
          <w:sz w:val="15"/>
          <w:szCs w:val="15"/>
          <w:highlight w:val="none"/>
        </w:rPr>
      </w:pPr>
      <w:r>
        <w:rPr>
          <w:rFonts w:ascii="Times New Roman" w:hAnsi="Times New Roman"/>
          <w:sz w:val="15"/>
          <w:szCs w:val="15"/>
          <w:highlight w:val="none"/>
        </w:rPr>
        <w:t>Johan FV, Charlotte VDK, Els Wauters, et al. Capmatinib for the Treatment of Non-Small Cell Lung Cancer[J].Expert Rev Anticancer Ther, 2019,19(8):659-671.</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sz w:val="15"/>
          <w:szCs w:val="15"/>
          <w:highlight w:val="none"/>
        </w:rPr>
        <w:t>Shapiro JD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"https://www.ncbi.nlm.nih.gov/pubmed/?term=Thavaneswaran%20S%5BAuthor%5D&amp;cauthor=true&amp;cauthor_uid=30463680" </w:instrText>
      </w:r>
      <w:r>
        <w:rPr>
          <w:highlight w:val="none"/>
        </w:rPr>
        <w:fldChar w:fldCharType="separate"/>
      </w:r>
      <w:r>
        <w:rPr>
          <w:rFonts w:ascii="Times New Roman" w:hAnsi="Times New Roman"/>
          <w:sz w:val="15"/>
          <w:szCs w:val="15"/>
          <w:highlight w:val="none"/>
        </w:rPr>
        <w:t>Thavaneswaran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sz w:val="15"/>
          <w:szCs w:val="15"/>
          <w:highlight w:val="none"/>
        </w:rPr>
        <w:t>Underhill CR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Alone or With Irinotecan for Resistant KRAS-, NRAS-, BRAF- and PIK3CA-wild-typeMetastatic Colorectal Cancer: The AGITG Randomized Phase II ICECREAM Study[J].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2018, 17(4):313-319. </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sz w:val="15"/>
          <w:szCs w:val="15"/>
          <w:highlight w:val="none"/>
        </w:rPr>
        <w:t>Geredeli 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sz w:val="15"/>
          <w:szCs w:val="15"/>
          <w:highlight w:val="none"/>
        </w:rPr>
        <w:t>Yasar N</w:t>
      </w:r>
      <w:r>
        <w:rPr>
          <w:rFonts w:ascii="Times New Roman" w:hAnsi="Times New Roman"/>
          <w:sz w:val="15"/>
          <w:szCs w:val="15"/>
          <w:highlight w:val="none"/>
        </w:rPr>
        <w:fldChar w:fldCharType="end"/>
      </w:r>
      <w:r>
        <w:rPr>
          <w:rFonts w:ascii="Times New Roman" w:hAnsi="Times New Roman"/>
          <w:sz w:val="15"/>
          <w:szCs w:val="15"/>
          <w:highlight w:val="none"/>
        </w:rPr>
        <w:t xml:space="preserve">. FOLFIRI plus panitumumab in the treatment of wild-type KRAS and wild-type NRAS metastatic colorectal cancer[J].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sz w:val="15"/>
          <w:szCs w:val="15"/>
          <w:highlight w:val="none"/>
        </w:rPr>
        <w:t>World J Surg Oncol,</w:t>
      </w:r>
      <w:r>
        <w:rPr>
          <w:rFonts w:ascii="Times New Roman" w:hAnsi="Times New Roman"/>
          <w:sz w:val="15"/>
          <w:szCs w:val="15"/>
          <w:highlight w:val="none"/>
        </w:rPr>
        <w:fldChar w:fldCharType="end"/>
      </w:r>
      <w:r>
        <w:rPr>
          <w:rFonts w:ascii="Times New Roman" w:hAnsi="Times New Roman"/>
          <w:sz w:val="15"/>
          <w:szCs w:val="15"/>
          <w:highlight w:val="none"/>
        </w:rPr>
        <w:t> 2018, 16(1):67.</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sz w:val="15"/>
          <w:szCs w:val="15"/>
          <w:highlight w:val="none"/>
        </w:rPr>
        <w:t>McGregor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sz w:val="15"/>
          <w:szCs w:val="15"/>
          <w:highlight w:val="none"/>
        </w:rPr>
        <w:t>Price TJ</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in the treatment of metastatic colorectal cancer, including wild-type RAS,KRAS and NRAS mCRC[J].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2018, 14(24):2437-2459.</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"https://www.ncbi.nlm.nih.gov/pubmed/?term=Yoshino%20T%5BAuthor%5D&amp;cauthor=true&amp;cauthor_uid=28237539" </w:instrText>
      </w:r>
      <w:r>
        <w:rPr>
          <w:highlight w:val="none"/>
        </w:rPr>
        <w:fldChar w:fldCharType="separate"/>
      </w:r>
      <w:r>
        <w:rPr>
          <w:rFonts w:ascii="Times New Roman" w:hAnsi="Times New Roman"/>
          <w:sz w:val="15"/>
          <w:szCs w:val="15"/>
          <w:highlight w:val="none"/>
        </w:rPr>
        <w:t>Yoshino 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"https://www.ncbi.nlm.nih.gov/pubmed/?term=Uetake%20H%5BAuthor%5D&amp;cauthor=true&amp;cauthor_uid=28237539" </w:instrText>
      </w:r>
      <w:r>
        <w:rPr>
          <w:highlight w:val="none"/>
        </w:rPr>
        <w:fldChar w:fldCharType="separate"/>
      </w:r>
      <w:r>
        <w:rPr>
          <w:rFonts w:ascii="Times New Roman" w:hAnsi="Times New Roman"/>
          <w:sz w:val="15"/>
          <w:szCs w:val="15"/>
          <w:highlight w:val="none"/>
        </w:rPr>
        <w:t>Uetake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"https://www.ncbi.nlm.nih.gov/pubmed/?term=Tsuchihara%20K%5BAuthor%5D&amp;cauthor=true&amp;cauthor_uid=28237539" </w:instrText>
      </w:r>
      <w:r>
        <w:rPr>
          <w:highlight w:val="none"/>
        </w:rPr>
        <w:fldChar w:fldCharType="separate"/>
      </w:r>
      <w:r>
        <w:rPr>
          <w:rFonts w:ascii="Times New Roman" w:hAnsi="Times New Roman"/>
          <w:sz w:val="15"/>
          <w:szCs w:val="15"/>
          <w:highlight w:val="none"/>
        </w:rPr>
        <w:t>Tsuchihara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Rationale for and Design of the PARADIGM Study: Randomized Phase III Study of mFOLFOX6 Plus Bevacizumab or Panitumumab in Chemotherapy-naïve Patients With RAS (KRAS/NRAS) Wild-type, Metastatic Colorectal Cancer[J]. </w:t>
      </w:r>
      <w:r>
        <w:rPr>
          <w:highlight w:val="none"/>
        </w:rPr>
        <w:fldChar w:fldCharType="begin"/>
      </w:r>
      <w:r>
        <w:rPr>
          <w:highlight w:val="none"/>
        </w:rPr>
        <w:instrText xml:space="preserve"> HYPERLINK "https://www.ncbi.nlm.nih.gov/pubmed/28237539"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2017, 16(2):158-163.</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"https://www.ncbi.nlm.nih.gov/pubmed/?term=Seymour%20MT%5BAuthor%5D&amp;cauthor=true&amp;cauthor_uid=23725851" </w:instrText>
      </w:r>
      <w:r>
        <w:rPr>
          <w:highlight w:val="none"/>
        </w:rPr>
        <w:fldChar w:fldCharType="separate"/>
      </w:r>
      <w:r>
        <w:rPr>
          <w:rFonts w:ascii="Times New Roman" w:hAnsi="Times New Roman"/>
          <w:sz w:val="15"/>
          <w:szCs w:val="15"/>
          <w:highlight w:val="none"/>
        </w:rPr>
        <w:t>Seymour MT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"https://www.ncbi.nlm.nih.gov/pubmed/?term=Brown%20SR%5BAuthor%5D&amp;cauthor=true&amp;cauthor_uid=23725851" </w:instrText>
      </w:r>
      <w:r>
        <w:rPr>
          <w:highlight w:val="none"/>
        </w:rPr>
        <w:fldChar w:fldCharType="separate"/>
      </w:r>
      <w:r>
        <w:rPr>
          <w:rFonts w:ascii="Times New Roman" w:hAnsi="Times New Roman"/>
          <w:sz w:val="15"/>
          <w:szCs w:val="15"/>
          <w:highlight w:val="none"/>
        </w:rPr>
        <w:t>Brown SR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"https://www.ncbi.nlm.nih.gov/pubmed/?term=Middleton%20G%5BAuthor%5D&amp;cauthor=true&amp;cauthor_uid=23725851" </w:instrText>
      </w:r>
      <w:r>
        <w:rPr>
          <w:highlight w:val="none"/>
        </w:rPr>
        <w:fldChar w:fldCharType="separate"/>
      </w:r>
      <w:r>
        <w:rPr>
          <w:rFonts w:ascii="Times New Roman" w:hAnsi="Times New Roman"/>
          <w:sz w:val="15"/>
          <w:szCs w:val="15"/>
          <w:highlight w:val="none"/>
        </w:rPr>
        <w:t>Middleton G</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and irinotecan versus irinotecan alone for patients with KRAS wild-type, fluorouracil-resistant advanced colorectal cancer (PICCOLO): a prospectively stratified randomised trial[J]. </w:t>
      </w:r>
      <w:r>
        <w:rPr>
          <w:highlight w:val="none"/>
        </w:rPr>
        <w:fldChar w:fldCharType="begin"/>
      </w:r>
      <w:r>
        <w:rPr>
          <w:highlight w:val="none"/>
        </w:rPr>
        <w:instrText xml:space="preserve"> HYPERLINK "https://www.ncbi.nlm.nih.gov/pubmed/23725851" \o "The Lancet. Oncology." </w:instrText>
      </w:r>
      <w:r>
        <w:rPr>
          <w:highlight w:val="none"/>
        </w:rPr>
        <w:fldChar w:fldCharType="separate"/>
      </w:r>
      <w:r>
        <w:rPr>
          <w:rFonts w:ascii="Times New Roman" w:hAnsi="Times New Roman"/>
          <w:sz w:val="15"/>
          <w:szCs w:val="15"/>
          <w:highlight w:val="none"/>
        </w:rPr>
        <w:t>Lancet Oncol,</w:t>
      </w:r>
      <w:r>
        <w:rPr>
          <w:rFonts w:ascii="Times New Roman" w:hAnsi="Times New Roman"/>
          <w:sz w:val="15"/>
          <w:szCs w:val="15"/>
          <w:highlight w:val="none"/>
        </w:rPr>
        <w:fldChar w:fldCharType="end"/>
      </w:r>
      <w:r>
        <w:rPr>
          <w:rFonts w:ascii="Times New Roman" w:hAnsi="Times New Roman"/>
          <w:sz w:val="15"/>
          <w:szCs w:val="15"/>
          <w:highlight w:val="none"/>
        </w:rPr>
        <w:t> 2013, 14(8):749-59.</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"https://www.ncbi.nlm.nih.gov/pubmed/?term=Kim%20TW%5BAuthor%5D&amp;cauthor=true&amp;cauthor_uid=27736842" </w:instrText>
      </w:r>
      <w:r>
        <w:rPr>
          <w:highlight w:val="none"/>
        </w:rPr>
        <w:fldChar w:fldCharType="separate"/>
      </w:r>
      <w:r>
        <w:rPr>
          <w:rFonts w:ascii="Times New Roman" w:hAnsi="Times New Roman"/>
          <w:sz w:val="15"/>
          <w:szCs w:val="15"/>
          <w:highlight w:val="none"/>
        </w:rPr>
        <w:t>Kim TW</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"https://www.ncbi.nlm.nih.gov/pubmed/?term=Elme%20A%5BAuthor%5D&amp;cauthor=true&amp;cauthor_uid=27736842" </w:instrText>
      </w:r>
      <w:r>
        <w:rPr>
          <w:highlight w:val="none"/>
        </w:rPr>
        <w:fldChar w:fldCharType="separate"/>
      </w:r>
      <w:r>
        <w:rPr>
          <w:rFonts w:ascii="Times New Roman" w:hAnsi="Times New Roman"/>
          <w:sz w:val="15"/>
          <w:szCs w:val="15"/>
          <w:highlight w:val="none"/>
        </w:rPr>
        <w:t>Elme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"https://www.ncbi.nlm.nih.gov/pubmed/?term=Kusic%20Z%5BAuthor%5D&amp;cauthor=true&amp;cauthor_uid=27736842" </w:instrText>
      </w:r>
      <w:r>
        <w:rPr>
          <w:highlight w:val="none"/>
        </w:rPr>
        <w:fldChar w:fldCharType="separate"/>
      </w:r>
      <w:r>
        <w:rPr>
          <w:rFonts w:ascii="Times New Roman" w:hAnsi="Times New Roman"/>
          <w:sz w:val="15"/>
          <w:szCs w:val="15"/>
          <w:highlight w:val="none"/>
        </w:rPr>
        <w:t>Kusic Z</w:t>
      </w:r>
      <w:r>
        <w:rPr>
          <w:rFonts w:ascii="Times New Roman" w:hAnsi="Times New Roman"/>
          <w:sz w:val="15"/>
          <w:szCs w:val="15"/>
          <w:highlight w:val="none"/>
        </w:rPr>
        <w:fldChar w:fldCharType="end"/>
      </w:r>
      <w:r>
        <w:rPr>
          <w:rFonts w:ascii="Times New Roman" w:hAnsi="Times New Roman"/>
          <w:sz w:val="15"/>
          <w:szCs w:val="15"/>
          <w:highlight w:val="none"/>
        </w:rPr>
        <w:t xml:space="preserve">, et al. A phase 3 trial evaluating panitumumab plus best supportive care vs best supportive care in chemorefractory wild-type KRAS or RAS metastatic colorectal cancer[J]. </w:t>
      </w:r>
      <w:r>
        <w:rPr>
          <w:highlight w:val="none"/>
        </w:rPr>
        <w:fldChar w:fldCharType="begin"/>
      </w:r>
      <w:r>
        <w:rPr>
          <w:highlight w:val="none"/>
        </w:rPr>
        <w:instrText xml:space="preserve"> HYPERLINK "https://www.ncbi.nlm.nih.gov/pubmed/27736842" \o "British journal of cancer." </w:instrText>
      </w:r>
      <w:r>
        <w:rPr>
          <w:highlight w:val="none"/>
        </w:rPr>
        <w:fldChar w:fldCharType="separate"/>
      </w:r>
      <w:r>
        <w:rPr>
          <w:rFonts w:ascii="Times New Roman" w:hAnsi="Times New Roman"/>
          <w:sz w:val="15"/>
          <w:szCs w:val="15"/>
          <w:highlight w:val="none"/>
        </w:rPr>
        <w:t>Br J Cancer,</w:t>
      </w:r>
      <w:r>
        <w:rPr>
          <w:rFonts w:ascii="Times New Roman" w:hAnsi="Times New Roman"/>
          <w:sz w:val="15"/>
          <w:szCs w:val="15"/>
          <w:highlight w:val="none"/>
        </w:rPr>
        <w:fldChar w:fldCharType="end"/>
      </w:r>
      <w:r>
        <w:rPr>
          <w:rFonts w:ascii="Times New Roman" w:hAnsi="Times New Roman"/>
          <w:sz w:val="15"/>
          <w:szCs w:val="15"/>
          <w:highlight w:val="none"/>
        </w:rPr>
        <w:t> 2016, 115(10):1206-1214.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Dazhi L, Michael O, Stephen H, et al. Entrectinib: an orally available, selective tyrosine kinase inhibitor for the treatment of NTRK, ROS1, and ALK fusion-positive solid tumors[J]. Therapeutics and Clinical Risk Management, 2018, Volume 14:1247-1252.</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"https://www.ncbi.nlm.nih.gov/pubmed/?term=Joensuu%20H%5BAuthor%5D&amp;cauthor=true&amp;cauthor_uid=28334365" </w:instrText>
      </w:r>
      <w:r>
        <w:rPr>
          <w:highlight w:val="none"/>
        </w:rPr>
        <w:fldChar w:fldCharType="separate"/>
      </w:r>
      <w:r>
        <w:rPr>
          <w:rFonts w:ascii="Times New Roman" w:hAnsi="Times New Roman"/>
          <w:sz w:val="15"/>
          <w:szCs w:val="15"/>
          <w:highlight w:val="none"/>
        </w:rPr>
        <w:t>Joensuu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"https://www.ncbi.nlm.nih.gov/pubmed/?term=Wardelmann%20E%5BAuthor%5D&amp;cauthor=true&amp;cauthor_uid=28334365" </w:instrText>
      </w:r>
      <w:r>
        <w:rPr>
          <w:highlight w:val="none"/>
        </w:rPr>
        <w:fldChar w:fldCharType="separate"/>
      </w:r>
      <w:r>
        <w:rPr>
          <w:rFonts w:ascii="Times New Roman" w:hAnsi="Times New Roman"/>
          <w:sz w:val="15"/>
          <w:szCs w:val="15"/>
          <w:highlight w:val="none"/>
        </w:rPr>
        <w:t>Wardelmann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"https://www.ncbi.nlm.nih.gov/pubmed/?term=Sihto%20H%5BAuthor%5D&amp;cauthor=true&amp;cauthor_uid=28334365" </w:instrText>
      </w:r>
      <w:r>
        <w:rPr>
          <w:highlight w:val="none"/>
        </w:rPr>
        <w:fldChar w:fldCharType="separate"/>
      </w:r>
      <w:r>
        <w:rPr>
          <w:rFonts w:ascii="Times New Roman" w:hAnsi="Times New Roman"/>
          <w:sz w:val="15"/>
          <w:szCs w:val="15"/>
          <w:highlight w:val="none"/>
        </w:rPr>
        <w:t>Sihto H</w:t>
      </w:r>
      <w:r>
        <w:rPr>
          <w:rFonts w:ascii="Times New Roman" w:hAnsi="Times New Roman"/>
          <w:sz w:val="15"/>
          <w:szCs w:val="15"/>
          <w:highlight w:val="none"/>
        </w:rPr>
        <w:fldChar w:fldCharType="end"/>
      </w:r>
      <w:r>
        <w:rPr>
          <w:rFonts w:ascii="Times New Roman" w:hAnsi="Times New Roman"/>
          <w:sz w:val="15"/>
          <w:szCs w:val="15"/>
          <w:highlight w:val="none"/>
        </w:rPr>
        <w:t xml:space="preserve">, et al. Effect of KIT and PDGFRA Mutations on Survival in Patients With Gastrointestinal Stromal Tumors Treated With Adjuvant Imatinib: An Exploratory Analysis of a Randomized Clinical Trial[J]. </w:t>
      </w:r>
      <w:r>
        <w:rPr>
          <w:highlight w:val="none"/>
        </w:rPr>
        <w:fldChar w:fldCharType="begin"/>
      </w:r>
      <w:r>
        <w:rPr>
          <w:highlight w:val="none"/>
        </w:rPr>
        <w:instrText xml:space="preserve"> HYPERLINK "https://www.ncbi.nlm.nih.gov/pubmed/28334365" \o "JAMA oncology." </w:instrText>
      </w:r>
      <w:r>
        <w:rPr>
          <w:highlight w:val="none"/>
        </w:rPr>
        <w:fldChar w:fldCharType="separate"/>
      </w:r>
      <w:r>
        <w:rPr>
          <w:rFonts w:ascii="Times New Roman" w:hAnsi="Times New Roman"/>
          <w:sz w:val="15"/>
          <w:szCs w:val="15"/>
          <w:highlight w:val="none"/>
        </w:rPr>
        <w:t>JAMA Oncol,</w:t>
      </w:r>
      <w:r>
        <w:rPr>
          <w:rFonts w:ascii="Times New Roman" w:hAnsi="Times New Roman"/>
          <w:sz w:val="15"/>
          <w:szCs w:val="15"/>
          <w:highlight w:val="none"/>
        </w:rPr>
        <w:fldChar w:fldCharType="end"/>
      </w:r>
      <w:r>
        <w:rPr>
          <w:rFonts w:ascii="Times New Roman" w:hAnsi="Times New Roman"/>
          <w:sz w:val="15"/>
          <w:szCs w:val="15"/>
          <w:highlight w:val="none"/>
        </w:rPr>
        <w:t xml:space="preserve"> 2017 , 3(5):602-609. </w:t>
      </w:r>
    </w:p>
    <w:p>
      <w:pPr>
        <w:numPr>
          <w:ilvl w:val="0"/>
          <w:numId w:val="35"/>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"https://www.ncbi.nlm.nih.gov/pubmed/?term=Dewaele%20B%5BAuthor%5D&amp;cauthor=true&amp;cauthor_uid=18794084" </w:instrText>
      </w:r>
      <w:r>
        <w:rPr>
          <w:highlight w:val="none"/>
        </w:rPr>
        <w:fldChar w:fldCharType="separate"/>
      </w:r>
      <w:r>
        <w:rPr>
          <w:rFonts w:ascii="Times New Roman" w:hAnsi="Times New Roman"/>
          <w:sz w:val="15"/>
          <w:szCs w:val="15"/>
          <w:highlight w:val="none"/>
        </w:rPr>
        <w:t>Dewaele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"https://www.ncbi.nlm.nih.gov/pubmed/?term=Wasag%20B%5BAuthor%5D&amp;cauthor=true&amp;cauthor_uid=18794084" </w:instrText>
      </w:r>
      <w:r>
        <w:rPr>
          <w:highlight w:val="none"/>
        </w:rPr>
        <w:fldChar w:fldCharType="separate"/>
      </w:r>
      <w:r>
        <w:rPr>
          <w:rFonts w:ascii="Times New Roman" w:hAnsi="Times New Roman"/>
          <w:sz w:val="15"/>
          <w:szCs w:val="15"/>
          <w:highlight w:val="none"/>
        </w:rPr>
        <w:t>Wasag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"https://www.ncbi.nlm.nih.gov/pubmed/?term=Cools%20J%5BAuthor%5D&amp;cauthor=true&amp;cauthor_uid=18794084" </w:instrText>
      </w:r>
      <w:r>
        <w:rPr>
          <w:highlight w:val="none"/>
        </w:rPr>
        <w:fldChar w:fldCharType="separate"/>
      </w:r>
      <w:r>
        <w:rPr>
          <w:rFonts w:ascii="Times New Roman" w:hAnsi="Times New Roman"/>
          <w:sz w:val="15"/>
          <w:szCs w:val="15"/>
          <w:highlight w:val="none"/>
        </w:rPr>
        <w:t>Cools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Activity of dasatinib, a dual SRC/ABL kinase inhibitor, and IPI-504, a heat shock protein 90 inhibitor, against gastrointestinal stromal tumor-associated PDGFRAD842V mutation[J]. </w:t>
      </w:r>
      <w:r>
        <w:rPr>
          <w:highlight w:val="none"/>
        </w:rPr>
        <w:fldChar w:fldCharType="begin"/>
      </w:r>
      <w:r>
        <w:rPr>
          <w:highlight w:val="none"/>
        </w:rPr>
        <w:instrText xml:space="preserve"> HYPERLINK "https://www.ncbi.nlm.nih.gov/pubmed/18794084"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2008, 14(18):5749-58. </w:t>
      </w:r>
    </w:p>
    <w:p>
      <w:pPr>
        <w:numPr>
          <w:ilvl w:val="0"/>
          <w:numId w:val="35"/>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"https://www.ncbi.nlm.nih.gov/pubmed/?term=Heinrich%20MC%5BAuthor%5D&amp;cauthor=true&amp;cauthor_uid=22745105" </w:instrText>
      </w:r>
      <w:r>
        <w:rPr>
          <w:highlight w:val="none"/>
        </w:rPr>
        <w:fldChar w:fldCharType="separate"/>
      </w:r>
      <w:r>
        <w:rPr>
          <w:rFonts w:ascii="Times New Roman" w:hAnsi="Times New Roman"/>
          <w:sz w:val="15"/>
          <w:szCs w:val="15"/>
          <w:highlight w:val="none"/>
        </w:rPr>
        <w:t>Heinrich MC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"https://www.ncbi.nlm.nih.gov/pubmed/?term=Griffith%20D%5BAuthor%5D&amp;cauthor=true&amp;cauthor_uid=22745105"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"https://www.ncbi.nlm.nih.gov/pubmed/?term=McKinley%20A%5BAuthor%5D&amp;cauthor=true&amp;cauthor_uid=22745105" </w:instrText>
      </w:r>
      <w:r>
        <w:rPr>
          <w:highlight w:val="none"/>
        </w:rPr>
        <w:fldChar w:fldCharType="separate"/>
      </w:r>
      <w:r>
        <w:rPr>
          <w:rFonts w:ascii="Times New Roman" w:hAnsi="Times New Roman"/>
          <w:sz w:val="15"/>
          <w:szCs w:val="15"/>
          <w:highlight w:val="none"/>
        </w:rPr>
        <w:t>McKinley A</w:t>
      </w:r>
      <w:r>
        <w:rPr>
          <w:rFonts w:ascii="Times New Roman" w:hAnsi="Times New Roman"/>
          <w:sz w:val="15"/>
          <w:szCs w:val="15"/>
          <w:highlight w:val="none"/>
        </w:rPr>
        <w:fldChar w:fldCharType="end"/>
      </w:r>
      <w:r>
        <w:rPr>
          <w:rFonts w:ascii="Times New Roman" w:hAnsi="Times New Roman"/>
          <w:sz w:val="15"/>
          <w:szCs w:val="15"/>
          <w:highlight w:val="none"/>
        </w:rPr>
        <w:t xml:space="preserve">, et al. Crenolanib inhibits the drug-resistant PDGFRA D842V mutation associated with imatinib-resistant gastrointestinal stromal tumors[J]. </w:t>
      </w:r>
      <w:r>
        <w:rPr>
          <w:highlight w:val="none"/>
        </w:rPr>
        <w:fldChar w:fldCharType="begin"/>
      </w:r>
      <w:r>
        <w:rPr>
          <w:highlight w:val="none"/>
        </w:rPr>
        <w:instrText xml:space="preserve"> HYPERLINK "https://www.ncbi.nlm.nih.gov/pubmed/22745105"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2012, 18(16):4375-84.</w:t>
      </w:r>
    </w:p>
    <w:p>
      <w:pPr>
        <w:numPr>
          <w:ilvl w:val="0"/>
          <w:numId w:val="35"/>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"https://www.ncbi.nlm.nih.gov/pubmed/?term=Corless%20CL%5BAuthor%5D&amp;cauthor=true&amp;cauthor_uid=15928335" </w:instrText>
      </w:r>
      <w:r>
        <w:rPr>
          <w:highlight w:val="none"/>
        </w:rPr>
        <w:fldChar w:fldCharType="separate"/>
      </w:r>
      <w:r>
        <w:rPr>
          <w:rFonts w:ascii="Times New Roman" w:hAnsi="Times New Roman"/>
          <w:sz w:val="15"/>
          <w:szCs w:val="15"/>
          <w:highlight w:val="none"/>
        </w:rPr>
        <w:t>Corless CL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"https://www.ncbi.nlm.nih.gov/pubmed/?term=Schroeder%20A%5BAuthor%5D&amp;cauthor=true&amp;cauthor_uid=15928335" </w:instrText>
      </w:r>
      <w:r>
        <w:rPr>
          <w:highlight w:val="none"/>
        </w:rPr>
        <w:fldChar w:fldCharType="separate"/>
      </w:r>
      <w:r>
        <w:rPr>
          <w:rFonts w:ascii="Times New Roman" w:hAnsi="Times New Roman"/>
          <w:sz w:val="15"/>
          <w:szCs w:val="15"/>
          <w:highlight w:val="none"/>
        </w:rPr>
        <w:t>Schroeder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"https://www.ncbi.nlm.nih.gov/pubmed/?term=Griffith%20D%5BAuthor%5D&amp;cauthor=true&amp;cauthor_uid=15928335"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xml:space="preserve">, et al. PDGFRA mutations in gastrointestinal stromal tumors: frequency, spectrum and in vitro sensitivity to imatinib[J]. </w:t>
      </w:r>
      <w:r>
        <w:rPr>
          <w:highlight w:val="none"/>
        </w:rPr>
        <w:fldChar w:fldCharType="begin"/>
      </w:r>
      <w:r>
        <w:rPr>
          <w:highlight w:val="none"/>
        </w:rPr>
        <w:instrText xml:space="preserve"> HYPERLINK "https://www.ncbi.nlm.nih.gov/pubmed/15928335"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2005, 23(23):5357-64. </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Indio V, Astolfi A, Tarantino G, et al. Integrated Molecular Characterization of Gastrointestinal Stromal Tumors (GIST) Harboring the Rare D842V Mutation in PDGFRA Gene[J]. Int J Mol Sci, 2018, 19(3).</w:t>
      </w:r>
    </w:p>
    <w:p>
      <w:pPr>
        <w:widowControl/>
        <w:numPr>
          <w:ilvl w:val="0"/>
          <w:numId w:val="35"/>
        </w:numPr>
        <w:spacing w:after="84" w:line="259" w:lineRule="auto"/>
        <w:rPr>
          <w:rFonts w:ascii="Times New Roman" w:hAnsi="Times New Roman"/>
          <w:sz w:val="15"/>
          <w:szCs w:val="15"/>
          <w:highlight w:val="none"/>
        </w:rPr>
      </w:pPr>
      <w:r>
        <w:rPr>
          <w:rFonts w:ascii="Times New Roman" w:hAnsi="Times New Roman"/>
          <w:sz w:val="15"/>
          <w:szCs w:val="15"/>
          <w:highlight w:val="none"/>
        </w:rPr>
        <w:t>Rapid Responses to Avapritinib (BLU-285) in MastocytosisCancer Discov[J]. Cancer Discov, 2018, 8(2):133.</w:t>
      </w:r>
    </w:p>
    <w:p>
      <w:pPr>
        <w:numPr>
          <w:ilvl w:val="0"/>
          <w:numId w:val="35"/>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"https://www.ncbi.nlm.nih.gov/pubmed/?term=Foley%20TM%5BAuthor%5D&amp;cauthor=true&amp;cauthor_uid=28184015" </w:instrText>
      </w:r>
      <w:r>
        <w:rPr>
          <w:highlight w:val="none"/>
        </w:rPr>
        <w:fldChar w:fldCharType="separate"/>
      </w:r>
      <w:r>
        <w:rPr>
          <w:rFonts w:ascii="Times New Roman" w:hAnsi="Times New Roman"/>
          <w:sz w:val="15"/>
          <w:szCs w:val="15"/>
          <w:highlight w:val="none"/>
        </w:rPr>
        <w:t>Foley TM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"https://www.ncbi.nlm.nih.gov/pubmed/?term=Payne%20SN%5BAuthor%5D&amp;cauthor=true&amp;cauthor_uid=28184015" </w:instrText>
      </w:r>
      <w:r>
        <w:rPr>
          <w:highlight w:val="none"/>
        </w:rPr>
        <w:fldChar w:fldCharType="separate"/>
      </w:r>
      <w:r>
        <w:rPr>
          <w:rFonts w:ascii="Times New Roman" w:hAnsi="Times New Roman"/>
          <w:sz w:val="15"/>
          <w:szCs w:val="15"/>
          <w:highlight w:val="none"/>
        </w:rPr>
        <w:t>Payne SN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"https://www.ncbi.nlm.nih.gov/pubmed/?term=Pasch%20CA%5BAuthor%5D&amp;cauthor=true&amp;cauthor_uid=28184015" </w:instrText>
      </w:r>
      <w:r>
        <w:rPr>
          <w:highlight w:val="none"/>
        </w:rPr>
        <w:fldChar w:fldCharType="separate"/>
      </w:r>
      <w:r>
        <w:rPr>
          <w:rFonts w:ascii="Times New Roman" w:hAnsi="Times New Roman"/>
          <w:sz w:val="15"/>
          <w:szCs w:val="15"/>
          <w:highlight w:val="none"/>
        </w:rPr>
        <w:t>Pasch CA</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PI3K/mTOR Inhibition in Colorectal Cancers with APC and PIK3CA Mutations[J]. </w:t>
      </w:r>
      <w:r>
        <w:rPr>
          <w:highlight w:val="none"/>
        </w:rPr>
        <w:fldChar w:fldCharType="begin"/>
      </w:r>
      <w:r>
        <w:rPr>
          <w:highlight w:val="none"/>
        </w:rPr>
        <w:instrText xml:space="preserve"> HYPERLINK "https://www.ncbi.nlm.nih.gov/pubmed/28184015" \o "Molecular cancer research : MCR." </w:instrText>
      </w:r>
      <w:r>
        <w:rPr>
          <w:highlight w:val="none"/>
        </w:rPr>
        <w:fldChar w:fldCharType="separate"/>
      </w:r>
      <w:r>
        <w:rPr>
          <w:rFonts w:ascii="Times New Roman" w:hAnsi="Times New Roman"/>
          <w:sz w:val="15"/>
          <w:szCs w:val="15"/>
          <w:highlight w:val="none"/>
        </w:rPr>
        <w:t>Mol Cancer Res,</w:t>
      </w:r>
      <w:r>
        <w:rPr>
          <w:rFonts w:ascii="Times New Roman" w:hAnsi="Times New Roman"/>
          <w:sz w:val="15"/>
          <w:szCs w:val="15"/>
          <w:highlight w:val="none"/>
        </w:rPr>
        <w:fldChar w:fldCharType="end"/>
      </w:r>
      <w:r>
        <w:rPr>
          <w:rFonts w:ascii="Times New Roman" w:hAnsi="Times New Roman"/>
          <w:sz w:val="15"/>
          <w:szCs w:val="15"/>
          <w:highlight w:val="none"/>
        </w:rPr>
        <w:t> 2017, 15(3):317-327.</w:t>
      </w:r>
    </w:p>
    <w:p>
      <w:pPr>
        <w:numPr>
          <w:ilvl w:val="0"/>
          <w:numId w:val="35"/>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"https://www.ncbi.nlm.nih.gov/pubmed/?term=Asati%20V%5BAuthor%5D&amp;cauthor=true&amp;cauthor_uid=27296758" </w:instrText>
      </w:r>
      <w:r>
        <w:rPr>
          <w:highlight w:val="none"/>
        </w:rPr>
        <w:fldChar w:fldCharType="separate"/>
      </w:r>
      <w:r>
        <w:rPr>
          <w:rFonts w:ascii="Times New Roman" w:hAnsi="Times New Roman"/>
          <w:sz w:val="15"/>
          <w:szCs w:val="15"/>
          <w:highlight w:val="none"/>
        </w:rPr>
        <w:t>Asati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"https://www.ncbi.nlm.nih.gov/pubmed/?term=Bharti%20SK%5BAuthor%5D&amp;cauthor=true&amp;cauthor_uid=27296758" </w:instrText>
      </w:r>
      <w:r>
        <w:rPr>
          <w:highlight w:val="none"/>
        </w:rPr>
        <w:fldChar w:fldCharType="separate"/>
      </w:r>
      <w:r>
        <w:rPr>
          <w:rFonts w:ascii="Times New Roman" w:hAnsi="Times New Roman"/>
          <w:sz w:val="15"/>
          <w:szCs w:val="15"/>
          <w:highlight w:val="none"/>
        </w:rPr>
        <w:t>Bharti SK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"https://www.ncbi.nlm.nih.gov/pubmed/?term=Mahapatra%20DK%5BAuthor%5D&amp;cauthor=true&amp;cauthor_uid=27296758" </w:instrText>
      </w:r>
      <w:r>
        <w:rPr>
          <w:highlight w:val="none"/>
        </w:rPr>
        <w:fldChar w:fldCharType="separate"/>
      </w:r>
      <w:r>
        <w:rPr>
          <w:rFonts w:ascii="Times New Roman" w:hAnsi="Times New Roman"/>
          <w:sz w:val="15"/>
          <w:szCs w:val="15"/>
          <w:highlight w:val="none"/>
        </w:rPr>
        <w:t>Mahapatra DK</w:t>
      </w:r>
      <w:r>
        <w:rPr>
          <w:rFonts w:ascii="Times New Roman" w:hAnsi="Times New Roman"/>
          <w:sz w:val="15"/>
          <w:szCs w:val="15"/>
          <w:highlight w:val="none"/>
        </w:rPr>
        <w:fldChar w:fldCharType="end"/>
      </w:r>
      <w:r>
        <w:rPr>
          <w:rFonts w:ascii="Times New Roman" w:hAnsi="Times New Roman"/>
          <w:sz w:val="15"/>
          <w:szCs w:val="15"/>
          <w:highlight w:val="none"/>
        </w:rPr>
        <w:t xml:space="preserve">, et al. Triggering PIK3CA Mutations in PI3K/Akt/mTOR Axis: Exploration of Newer Inhibitors and Rational Preventive Strategies[J]. </w:t>
      </w:r>
      <w:r>
        <w:rPr>
          <w:highlight w:val="none"/>
        </w:rPr>
        <w:fldChar w:fldCharType="begin"/>
      </w:r>
      <w:r>
        <w:rPr>
          <w:highlight w:val="none"/>
        </w:rPr>
        <w:instrText xml:space="preserve"> HYPERLINK "https://www.ncbi.nlm.nih.gov/pubmed/27296758" \o "Current pharmaceutical design." </w:instrText>
      </w:r>
      <w:r>
        <w:rPr>
          <w:highlight w:val="none"/>
        </w:rPr>
        <w:fldChar w:fldCharType="separate"/>
      </w:r>
      <w:r>
        <w:rPr>
          <w:rFonts w:ascii="Times New Roman" w:hAnsi="Times New Roman"/>
          <w:sz w:val="15"/>
          <w:szCs w:val="15"/>
          <w:highlight w:val="none"/>
        </w:rPr>
        <w:t>Curr Pharm Des,</w:t>
      </w:r>
      <w:r>
        <w:rPr>
          <w:rFonts w:ascii="Times New Roman" w:hAnsi="Times New Roman"/>
          <w:sz w:val="15"/>
          <w:szCs w:val="15"/>
          <w:highlight w:val="none"/>
        </w:rPr>
        <w:fldChar w:fldCharType="end"/>
      </w:r>
      <w:r>
        <w:rPr>
          <w:rFonts w:ascii="Times New Roman" w:hAnsi="Times New Roman"/>
          <w:sz w:val="15"/>
          <w:szCs w:val="15"/>
          <w:highlight w:val="none"/>
        </w:rPr>
        <w:t> 2016, 22(39):6039-6054.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K, Tabernero J, Hwang J, et al. Phase II study of everolimus in patients with metastatic colorectal adenocarcinoma previously treated with Bevacizumab-, Fluoropyrimidine-, Oxaliplatin-, and irinotecan-based regimens[J]. Clinical Cancer Research, 2013, 19(14):3987-3995.</w:t>
      </w:r>
    </w:p>
    <w:p>
      <w:pPr>
        <w:pStyle w:val="29"/>
        <w:widowControl/>
        <w:numPr>
          <w:ilvl w:val="0"/>
          <w:numId w:val="35"/>
        </w:numPr>
        <w:spacing w:after="84" w:line="259" w:lineRule="auto"/>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Fabrice A, Eva C, Gabor 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et al. Alpelisib for PIK3CA-Mutated, Hormone Receptor-Positive Advanced Breast Cancer [J]</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The new england journal of medicine, 2019, 380(20):1929-1940.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 B Y Ma, B C Goh, W T Lim, et al. Multicenter Phase II Study of the AKT Inhibitor MK-2206 in Recurrent or Metastatic Nasopharyngeal Carcinoma From Patients in the Mayo Phase II Consortium and the Cancer Therapeutics Research Group (MC1079)[J]. New Drugs, 2015, 33(4):985-91.</w:t>
      </w:r>
    </w:p>
    <w:p>
      <w:pPr>
        <w:numPr>
          <w:ilvl w:val="0"/>
          <w:numId w:val="35"/>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"https://www.ncbi.nlm.nih.gov/pubmed/?term=Kim%20ST%5BAuthor%5D&amp;cauthor=true&amp;cauthor_uid=28330462" </w:instrText>
      </w:r>
      <w:r>
        <w:rPr>
          <w:highlight w:val="none"/>
        </w:rPr>
        <w:fldChar w:fldCharType="separate"/>
      </w:r>
      <w:r>
        <w:rPr>
          <w:rFonts w:ascii="Times New Roman" w:hAnsi="Times New Roman"/>
          <w:sz w:val="15"/>
          <w:szCs w:val="15"/>
          <w:highlight w:val="none"/>
        </w:rPr>
        <w:t>Kim ST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"https://www.ncbi.nlm.nih.gov/pubmed/?term=Lee%20J%5BAuthor%5D&amp;cauthor=true&amp;cauthor_uid=28330462" </w:instrText>
      </w:r>
      <w:r>
        <w:rPr>
          <w:highlight w:val="none"/>
        </w:rPr>
        <w:fldChar w:fldCharType="separate"/>
      </w:r>
      <w:r>
        <w:rPr>
          <w:rFonts w:ascii="Times New Roman" w:hAnsi="Times New Roman"/>
          <w:sz w:val="15"/>
          <w:szCs w:val="15"/>
          <w:highlight w:val="none"/>
        </w:rPr>
        <w:t>Lee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"https://www.ncbi.nlm.nih.gov/pubmed/?term=Park%20SH%5BAuthor%5D&amp;cauthor=true&amp;cauthor_uid=28330462" </w:instrText>
      </w:r>
      <w:r>
        <w:rPr>
          <w:highlight w:val="none"/>
        </w:rPr>
        <w:fldChar w:fldCharType="separate"/>
      </w:r>
      <w:r>
        <w:rPr>
          <w:rFonts w:ascii="Times New Roman" w:hAnsi="Times New Roman"/>
          <w:sz w:val="15"/>
          <w:szCs w:val="15"/>
          <w:highlight w:val="none"/>
        </w:rPr>
        <w:t>Park SH</w:t>
      </w:r>
      <w:r>
        <w:rPr>
          <w:rFonts w:ascii="Times New Roman" w:hAnsi="Times New Roman"/>
          <w:sz w:val="15"/>
          <w:szCs w:val="15"/>
          <w:highlight w:val="none"/>
        </w:rPr>
        <w:fldChar w:fldCharType="end"/>
      </w:r>
      <w:r>
        <w:rPr>
          <w:rFonts w:ascii="Times New Roman" w:hAnsi="Times New Roman"/>
          <w:sz w:val="15"/>
          <w:szCs w:val="15"/>
          <w:highlight w:val="none"/>
        </w:rPr>
        <w:t xml:space="preserve">, et al. Prospective phase II trial of everolimus in PIK3CA amplification/mutation and/or PTEN loss patients with advanced solid tumors refractory to standard therapy[J]. </w:t>
      </w:r>
      <w:r>
        <w:rPr>
          <w:highlight w:val="none"/>
        </w:rPr>
        <w:fldChar w:fldCharType="begin"/>
      </w:r>
      <w:r>
        <w:rPr>
          <w:highlight w:val="none"/>
        </w:rPr>
        <w:instrText xml:space="preserve"> HYPERLINK "https://www.ncbi.nlm.nih.gov/pubmed/28330462" \o "BMC cancer." </w:instrText>
      </w:r>
      <w:r>
        <w:rPr>
          <w:highlight w:val="none"/>
        </w:rPr>
        <w:fldChar w:fldCharType="separate"/>
      </w:r>
      <w:r>
        <w:rPr>
          <w:rFonts w:ascii="Times New Roman" w:hAnsi="Times New Roman"/>
          <w:sz w:val="15"/>
          <w:szCs w:val="15"/>
          <w:highlight w:val="none"/>
        </w:rPr>
        <w:t>BMC Cancer,</w:t>
      </w:r>
      <w:r>
        <w:rPr>
          <w:rFonts w:ascii="Times New Roman" w:hAnsi="Times New Roman"/>
          <w:sz w:val="15"/>
          <w:szCs w:val="15"/>
          <w:highlight w:val="none"/>
        </w:rPr>
        <w:fldChar w:fldCharType="end"/>
      </w:r>
      <w:r>
        <w:rPr>
          <w:rFonts w:ascii="Times New Roman" w:hAnsi="Times New Roman"/>
          <w:sz w:val="15"/>
          <w:szCs w:val="15"/>
          <w:highlight w:val="none"/>
        </w:rPr>
        <w:t> 2017, 17(1):211.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Neshat M S, et al. Enhanced sensitivity of PTEN-deficient tumors to inhibition of FRAP/mTOR[J]. Proceedings of the National Academy of Sciences,2001, 98(18): 10314-10319.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Laurent-Puig P, et al. Analysis of PTEN, BRAF, and EGFR status in determining benefit from cetuximab therapy in wild-type KRAS metastatic coloncancer[J]. Journal of Clinical Oncology, 2009, 27(35): 5924-5930.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Loupakis F, et al. PTEN expression and KRAS mutations on primary tumors and metastases in the prediction of benefit from cetuximab plus irinotecanfor patients with metastatic colorectal cancer[J]. Journal of Clinical Oncology, 2009, 27(16):2622-2629.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et al. Multi-determinants analysis of molecular alterations for predicting clinical benefit to EGFR-targeted monoclonal antibodiesin colorectal cancer[J]. PloS One, 2009, 4(10): e7287.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Roock W, et al. KRAS, BRAF, PIK3CA, and PTEN mutations: implications for targeted therapies in metastatic colorectal cancer[J]. Lancet Oncol,2011, 12(6): 594-603.</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"https://www.ncbi.nlm.nih.gov/pubmed/?term=Yang%20L%5BAuthor%5D&amp;cauthor=true&amp;cauthor_uid=18559622" </w:instrText>
      </w:r>
      <w:r>
        <w:rPr>
          <w:highlight w:val="none"/>
        </w:rPr>
        <w:fldChar w:fldCharType="separate"/>
      </w:r>
      <w:r>
        <w:rPr>
          <w:rFonts w:ascii="Times New Roman" w:hAnsi="Times New Roman" w:cs="Times New Roman"/>
          <w:sz w:val="15"/>
          <w:szCs w:val="15"/>
          <w:highlight w:val="none"/>
        </w:rPr>
        <w:t>Yang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"https://www.ncbi.nlm.nih.gov/pubmed/?term=Clarke%20MJ%5BAuthor%5D&amp;cauthor=true&amp;cauthor_uid=18559622" </w:instrText>
      </w:r>
      <w:r>
        <w:rPr>
          <w:highlight w:val="none"/>
        </w:rPr>
        <w:fldChar w:fldCharType="separate"/>
      </w:r>
      <w:r>
        <w:rPr>
          <w:rFonts w:ascii="Times New Roman" w:hAnsi="Times New Roman" w:cs="Times New Roman"/>
          <w:sz w:val="15"/>
          <w:szCs w:val="15"/>
          <w:highlight w:val="none"/>
        </w:rPr>
        <w:t>Clarke MJ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"https://www.ncbi.nlm.nih.gov/pubmed/?term=Carlson%20BL%5BAuthor%5D&amp;cauthor=true&amp;cauthor_uid=18559622" </w:instrText>
      </w:r>
      <w:r>
        <w:rPr>
          <w:highlight w:val="none"/>
        </w:rPr>
        <w:fldChar w:fldCharType="separate"/>
      </w:r>
      <w:r>
        <w:rPr>
          <w:rFonts w:ascii="Times New Roman" w:hAnsi="Times New Roman" w:cs="Times New Roman"/>
          <w:sz w:val="15"/>
          <w:szCs w:val="15"/>
          <w:highlight w:val="none"/>
        </w:rPr>
        <w:t>Carlson BL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loss does not predict for response to RAD001 (Everolimus) in a glioblastoma orthotopic xenograft test panel[J]. </w:t>
      </w:r>
      <w:r>
        <w:rPr>
          <w:highlight w:val="none"/>
        </w:rPr>
        <w:fldChar w:fldCharType="begin"/>
      </w:r>
      <w:r>
        <w:rPr>
          <w:highlight w:val="none"/>
        </w:rPr>
        <w:instrText xml:space="preserve"> HYPERLINK "https://www.ncbi.nlm.nih.gov/pubmed/18559622"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2008, 14(12):3993-4001.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Schneider T C, De W D, Links T P, et al. Beneficial effects of the mTOR inhibitor everolimus in patients with advanced medullary thyroid carcinoma: subgroup results of a phase II trial[J]. International Journal of Endocrinology, 2015, 2015:1-8.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Sherman S I, Clary D O, Elisei R, et al. Correlative analyses of RET and RAS mutations in a phase 3 trial of cabozantinib in patients with progressive, metastatic medullary thyroid cancer[J]. Cancer, 2016, 122(24):3856-3864.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Drilon A, et al. Response to Cabozantinib in patients with RET fusion- positive lung adenocarcinomas[J]. Cancer Discov, 2013, 3(6): 630-635.</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"https://www.ncbi.nlm.nih.gov/pubmed/?term=Yoh%20K%5BAuthor%5D&amp;cauthor=true&amp;cauthor_uid=27825616" </w:instrText>
      </w:r>
      <w:r>
        <w:rPr>
          <w:highlight w:val="none"/>
        </w:rPr>
        <w:fldChar w:fldCharType="separate"/>
      </w:r>
      <w:r>
        <w:rPr>
          <w:rFonts w:ascii="Times New Roman" w:hAnsi="Times New Roman" w:cs="Times New Roman"/>
          <w:sz w:val="15"/>
          <w:szCs w:val="15"/>
          <w:highlight w:val="none"/>
        </w:rPr>
        <w:t>Yoh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"https://www.ncbi.nlm.nih.gov/pubmed/?term=Seto%20T%5BAuthor%5D&amp;cauthor=true&amp;cauthor_uid=27825616" </w:instrText>
      </w:r>
      <w:r>
        <w:rPr>
          <w:highlight w:val="none"/>
        </w:rPr>
        <w:fldChar w:fldCharType="separate"/>
      </w:r>
      <w:r>
        <w:rPr>
          <w:rFonts w:ascii="Times New Roman" w:hAnsi="Times New Roman" w:cs="Times New Roman"/>
          <w:sz w:val="15"/>
          <w:szCs w:val="15"/>
          <w:highlight w:val="none"/>
        </w:rPr>
        <w:t>Seto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"https://www.ncbi.nlm.nih.gov/pubmed/?term=Satouchi%20M%5BAuthor%5D&amp;cauthor=true&amp;cauthor_uid=27825616" </w:instrText>
      </w:r>
      <w:r>
        <w:rPr>
          <w:highlight w:val="none"/>
        </w:rPr>
        <w:fldChar w:fldCharType="separate"/>
      </w:r>
      <w:r>
        <w:rPr>
          <w:rFonts w:ascii="Times New Roman" w:hAnsi="Times New Roman" w:cs="Times New Roman"/>
          <w:sz w:val="15"/>
          <w:szCs w:val="15"/>
          <w:highlight w:val="none"/>
        </w:rPr>
        <w:t>Satouchi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Vandetanib in patients with previously treated RET-rearranged advanced non-small-cell lung cancer (LURET): an open-label, multicentre phase 2 trial[J]. </w:t>
      </w:r>
      <w:r>
        <w:rPr>
          <w:highlight w:val="none"/>
        </w:rPr>
        <w:fldChar w:fldCharType="begin"/>
      </w:r>
      <w:r>
        <w:rPr>
          <w:highlight w:val="none"/>
        </w:rPr>
        <w:instrText xml:space="preserve"> HYPERLINK "https://www.ncbi.nlm.nih.gov/pubmed/27825616" \o "The Lancet. Respiratory medicine." </w:instrText>
      </w:r>
      <w:r>
        <w:rPr>
          <w:highlight w:val="none"/>
        </w:rPr>
        <w:fldChar w:fldCharType="separate"/>
      </w:r>
      <w:r>
        <w:rPr>
          <w:rFonts w:ascii="Times New Roman" w:hAnsi="Times New Roman" w:cs="Times New Roman"/>
          <w:sz w:val="15"/>
          <w:szCs w:val="15"/>
          <w:highlight w:val="none"/>
        </w:rPr>
        <w:t>Lancet Respir Med,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5(1):42-50.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Takeuchi, et al. RET, ROS1 and ALK fusions in lung cancer[J]. Nature Medicine, 2012, 18(3): 378-381.</w:t>
      </w:r>
    </w:p>
    <w:p>
      <w:pPr>
        <w:numPr>
          <w:ilvl w:val="0"/>
          <w:numId w:val="35"/>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"https://www.ncbi.nlm.nih.gov/pubmed/?term=Wu%20YL%5BAuthor%5D&amp;cauthor=true&amp;cauthor_uid=29596029" </w:instrText>
      </w:r>
      <w:r>
        <w:rPr>
          <w:highlight w:val="none"/>
        </w:rPr>
        <w:fldChar w:fldCharType="separate"/>
      </w:r>
      <w:r>
        <w:rPr>
          <w:rFonts w:ascii="Times New Roman" w:hAnsi="Times New Roman"/>
          <w:sz w:val="15"/>
          <w:szCs w:val="15"/>
          <w:highlight w:val="none"/>
        </w:rPr>
        <w:t>Wu YL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"https://www.ncbi.nlm.nih.gov/pubmed/?term=Yang%20JC%5BAuthor%5D&amp;cauthor=true&amp;cauthor_uid=29596029" </w:instrText>
      </w:r>
      <w:r>
        <w:rPr>
          <w:highlight w:val="none"/>
        </w:rPr>
        <w:fldChar w:fldCharType="separate"/>
      </w:r>
      <w:r>
        <w:rPr>
          <w:rFonts w:ascii="Times New Roman" w:hAnsi="Times New Roman"/>
          <w:sz w:val="15"/>
          <w:szCs w:val="15"/>
          <w:highlight w:val="none"/>
        </w:rPr>
        <w:t>Yang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"https://www.ncbi.nlm.nih.gov/pubmed/?term=Kim%20DW%5BAuthor%5D&amp;cauthor=true&amp;cauthor_uid=29596029" </w:instrText>
      </w:r>
      <w:r>
        <w:rPr>
          <w:highlight w:val="none"/>
        </w:rPr>
        <w:fldChar w:fldCharType="separate"/>
      </w:r>
      <w:r>
        <w:rPr>
          <w:rFonts w:ascii="Times New Roman" w:hAnsi="Times New Roman"/>
          <w:sz w:val="15"/>
          <w:szCs w:val="15"/>
          <w:highlight w:val="none"/>
        </w:rPr>
        <w:t>Kim DW</w:t>
      </w:r>
      <w:r>
        <w:rPr>
          <w:rFonts w:ascii="Times New Roman" w:hAnsi="Times New Roman"/>
          <w:sz w:val="15"/>
          <w:szCs w:val="15"/>
          <w:highlight w:val="none"/>
        </w:rPr>
        <w:fldChar w:fldCharType="end"/>
      </w:r>
      <w:r>
        <w:rPr>
          <w:rFonts w:ascii="Times New Roman" w:hAnsi="Times New Roman"/>
          <w:sz w:val="15"/>
          <w:szCs w:val="15"/>
          <w:highlight w:val="none"/>
        </w:rPr>
        <w:t xml:space="preserve">, et al. Phase II Study of Crizotinib in East Asian Patients With ROS1-Positive Advanced Non-Small-Cell Lung Cancer[J].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2018, 36(14):1405-1411. </w:t>
      </w:r>
    </w:p>
    <w:p>
      <w:pPr>
        <w:numPr>
          <w:ilvl w:val="0"/>
          <w:numId w:val="35"/>
        </w:numPr>
        <w:rPr>
          <w:rFonts w:ascii="Times New Roman" w:hAnsi="Times New Roman"/>
          <w:sz w:val="15"/>
          <w:szCs w:val="15"/>
          <w:highlight w:val="none"/>
        </w:rPr>
      </w:pPr>
      <w:r>
        <w:rPr>
          <w:rFonts w:ascii="Times New Roman" w:hAnsi="Times New Roman"/>
          <w:sz w:val="15"/>
          <w:szCs w:val="15"/>
          <w:highlight w:val="none"/>
        </w:rPr>
        <w:t>Andrew YL , Michael GM, et al. RET Fusions in Solid Tumors[J]. Cancer Treat Rev, 2019, 81:101911.</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"https://www.ncbi.nlm.nih.gov/pubmed/?term=Chen%20H%5BAuthor%5D&amp;cauthor=true&amp;cauthor_uid=30568455"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1, </w:t>
      </w:r>
      <w:r>
        <w:rPr>
          <w:highlight w:val="none"/>
        </w:rPr>
        <w:fldChar w:fldCharType="begin"/>
      </w:r>
      <w:r>
        <w:rPr>
          <w:highlight w:val="none"/>
        </w:rPr>
        <w:instrText xml:space="preserve"> HYPERLINK "https://www.ncbi.nlm.nih.gov/pubmed/?term=Zhang%20Q%5BAuthor%5D&amp;cauthor=true&amp;cauthor_uid=30568455" </w:instrText>
      </w:r>
      <w:r>
        <w:rPr>
          <w:highlight w:val="none"/>
        </w:rPr>
        <w:fldChar w:fldCharType="separate"/>
      </w:r>
      <w:r>
        <w:rPr>
          <w:rFonts w:ascii="Times New Roman" w:hAnsi="Times New Roman" w:cs="Times New Roman"/>
          <w:sz w:val="15"/>
          <w:szCs w:val="15"/>
          <w:highlight w:val="none"/>
        </w:rPr>
        <w:t>Zhang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"https://www.ncbi.nlm.nih.gov/pubmed/?term=Zhang%20Y%5BAuthor%5D&amp;cauthor=true&amp;cauthor_uid=30568455" </w:instrText>
      </w:r>
      <w:r>
        <w:rPr>
          <w:highlight w:val="none"/>
        </w:rPr>
        <w:fldChar w:fldCharType="separate"/>
      </w:r>
      <w:r>
        <w:rPr>
          <w:rFonts w:ascii="Times New Roman" w:hAnsi="Times New Roman" w:cs="Times New Roman"/>
          <w:sz w:val="15"/>
          <w:szCs w:val="15"/>
          <w:highlight w:val="none"/>
        </w:rPr>
        <w:t>Zhang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Afatinib reverses ceritinib resistance (CR) in ALK/ROS1-positive non-small-cell lung cancer cell (NSCLC) via suppression of NRG1 pathway[J]. </w:t>
      </w:r>
      <w:r>
        <w:rPr>
          <w:highlight w:val="none"/>
        </w:rPr>
        <w:fldChar w:fldCharType="begin"/>
      </w:r>
      <w:r>
        <w:rPr>
          <w:highlight w:val="none"/>
        </w:rPr>
        <w:instrText xml:space="preserve"> HYPERLINK "https://www.ncbi.nlm.nih.gov/pubmed/30568455"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11:8201-8209.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"https://www.ncbi.nlm.nih.gov/pubmed/?term=Ku%20BM%5BAuthor%5D&amp;cauthor=true&amp;cauthor_uid=31124056" </w:instrText>
      </w:r>
      <w:r>
        <w:rPr>
          <w:highlight w:val="none"/>
        </w:rPr>
        <w:fldChar w:fldCharType="separate"/>
      </w:r>
      <w:r>
        <w:rPr>
          <w:rFonts w:ascii="Times New Roman" w:hAnsi="Times New Roman" w:cs="Times New Roman"/>
          <w:sz w:val="15"/>
          <w:szCs w:val="15"/>
          <w:highlight w:val="none"/>
        </w:rPr>
        <w:t>Ku BM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"https://www.ncbi.nlm.nih.gov/pubmed/?term=Bae%20YH%5BAuthor%5D&amp;cauthor=true&amp;cauthor_uid=31124056" </w:instrText>
      </w:r>
      <w:r>
        <w:rPr>
          <w:highlight w:val="none"/>
        </w:rPr>
        <w:fldChar w:fldCharType="separate"/>
      </w:r>
      <w:r>
        <w:rPr>
          <w:rFonts w:ascii="Times New Roman" w:hAnsi="Times New Roman" w:cs="Times New Roman"/>
          <w:sz w:val="15"/>
          <w:szCs w:val="15"/>
          <w:highlight w:val="none"/>
        </w:rPr>
        <w:t>Bae YH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"https://www.ncbi.nlm.nih.gov/pubmed/?term=Lee%20KY%5BAuthor%5D&amp;cauthor=true&amp;cauthor_uid=31124056" </w:instrText>
      </w:r>
      <w:r>
        <w:rPr>
          <w:highlight w:val="none"/>
        </w:rPr>
        <w:fldChar w:fldCharType="separate"/>
      </w:r>
      <w:r>
        <w:rPr>
          <w:rFonts w:ascii="Times New Roman" w:hAnsi="Times New Roman" w:cs="Times New Roman"/>
          <w:sz w:val="15"/>
          <w:szCs w:val="15"/>
          <w:highlight w:val="none"/>
        </w:rPr>
        <w:t>Lee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Entrectinib resistance mechanisms in ROS1-rearranged non-small cell lung cancer[J]. </w:t>
      </w:r>
      <w:r>
        <w:rPr>
          <w:highlight w:val="none"/>
        </w:rPr>
        <w:fldChar w:fldCharType="begin"/>
      </w:r>
      <w:r>
        <w:rPr>
          <w:highlight w:val="none"/>
        </w:rPr>
        <w:instrText xml:space="preserve"> HYPERLINK "https://www.ncbi.nlm.nih.gov/pubmed/31124056" \o "Investigational new drugs." </w:instrText>
      </w:r>
      <w:r>
        <w:rPr>
          <w:highlight w:val="none"/>
        </w:rPr>
        <w:fldChar w:fldCharType="separate"/>
      </w:r>
      <w:r>
        <w:rPr>
          <w:rFonts w:ascii="Times New Roman" w:hAnsi="Times New Roman" w:cs="Times New Roman"/>
          <w:sz w:val="15"/>
          <w:szCs w:val="15"/>
          <w:highlight w:val="none"/>
        </w:rPr>
        <w:t>Invest New Drugs,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Alice T Shaw, Benjamin J Solomon, Rita Chiari. Lorlatinib in Advanced ROS1-positive Non-Small-Cell Lung Cancer: A Multicentre, Open-Label, Single-Arm, Phase 1-2 Trial[J]. Lancet Oncol, 2019, 20(12):1691-1701.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Metcalfe, et al. Hedgehog fights back: mechanisms of acquired resistance against smoothened antagonists[J]. Cancer Research 2011, 71(15): 5057-5061.</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"https://www.ncbi.nlm.nih.gov/pubmed/?term=Pricl%20S%5BAuthor%5D&amp;cauthor=true&amp;cauthor_uid=25306392" </w:instrText>
      </w:r>
      <w:r>
        <w:rPr>
          <w:highlight w:val="none"/>
        </w:rPr>
        <w:fldChar w:fldCharType="separate"/>
      </w:r>
      <w:r>
        <w:rPr>
          <w:rFonts w:ascii="Times New Roman" w:hAnsi="Times New Roman" w:cs="Times New Roman"/>
          <w:sz w:val="15"/>
          <w:szCs w:val="15"/>
          <w:highlight w:val="none"/>
        </w:rPr>
        <w:t>Pricl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"https://www.ncbi.nlm.nih.gov/pubmed/?term=Cortelazzi%20B%5BAuthor%5D&amp;cauthor=true&amp;cauthor_uid=25306392" </w:instrText>
      </w:r>
      <w:r>
        <w:rPr>
          <w:highlight w:val="none"/>
        </w:rPr>
        <w:fldChar w:fldCharType="separate"/>
      </w:r>
      <w:r>
        <w:rPr>
          <w:rFonts w:ascii="Times New Roman" w:hAnsi="Times New Roman" w:cs="Times New Roman"/>
          <w:sz w:val="15"/>
          <w:szCs w:val="15"/>
          <w:highlight w:val="none"/>
        </w:rPr>
        <w:t>Cortelazzi 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"https://www.ncbi.nlm.nih.gov/pubmed/?term=Dal%20Col%20V%5BAuthor%5D&amp;cauthor=true&amp;cauthor_uid=25306392" </w:instrText>
      </w:r>
      <w:r>
        <w:rPr>
          <w:highlight w:val="none"/>
        </w:rPr>
        <w:fldChar w:fldCharType="separate"/>
      </w:r>
      <w:r>
        <w:rPr>
          <w:rFonts w:ascii="Times New Roman" w:hAnsi="Times New Roman" w:cs="Times New Roman"/>
          <w:sz w:val="15"/>
          <w:szCs w:val="15"/>
          <w:highlight w:val="none"/>
        </w:rPr>
        <w:t>Dal Col 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Smoothened (SMO) receptor mutations dictate resistance to vismodegib in basal cell carcinoma[J]. </w:t>
      </w:r>
      <w:r>
        <w:rPr>
          <w:highlight w:val="none"/>
        </w:rPr>
        <w:fldChar w:fldCharType="begin"/>
      </w:r>
      <w:r>
        <w:rPr>
          <w:highlight w:val="none"/>
        </w:rPr>
        <w:instrText xml:space="preserve"> HYPERLINK "https://www.ncbi.nlm.nih.gov/pubmed/25306392" \o "Molecular oncology." </w:instrText>
      </w:r>
      <w:r>
        <w:rPr>
          <w:highlight w:val="none"/>
        </w:rPr>
        <w:fldChar w:fldCharType="separate"/>
      </w:r>
      <w:r>
        <w:rPr>
          <w:rFonts w:ascii="Times New Roman" w:hAnsi="Times New Roman" w:cs="Times New Roman"/>
          <w:sz w:val="15"/>
          <w:szCs w:val="15"/>
          <w:highlight w:val="none"/>
        </w:rPr>
        <w:t>Mol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2015, 9(2):389-97. </w:t>
      </w:r>
    </w:p>
    <w:p>
      <w:pPr>
        <w:widowControl/>
        <w:numPr>
          <w:ilvl w:val="0"/>
          <w:numId w:val="35"/>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"https://www.ncbi.nlm.nih.gov/pubmed/?term=Voss%20MH%5BAuthor%5D&amp;cauthor=true&amp;cauthor_uid=30327302" </w:instrText>
      </w:r>
      <w:r>
        <w:rPr>
          <w:highlight w:val="none"/>
        </w:rPr>
        <w:fldChar w:fldCharType="separate"/>
      </w:r>
      <w:r>
        <w:rPr>
          <w:rFonts w:ascii="Times New Roman" w:hAnsi="Times New Roman" w:cs="Times New Roman"/>
          <w:sz w:val="15"/>
          <w:szCs w:val="15"/>
          <w:highlight w:val="none"/>
        </w:rPr>
        <w:t>Voss MH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"https://www.ncbi.nlm.nih.gov/pubmed/?term=Chen%20D%5BAuthor%5D&amp;cauthor=true&amp;cauthor_uid=30327302" </w:instrText>
      </w:r>
      <w:r>
        <w:rPr>
          <w:highlight w:val="none"/>
        </w:rPr>
        <w:fldChar w:fldCharType="separate"/>
      </w:r>
      <w:r>
        <w:rPr>
          <w:rFonts w:ascii="Times New Roman" w:hAnsi="Times New Roman" w:cs="Times New Roman"/>
          <w:sz w:val="15"/>
          <w:szCs w:val="15"/>
          <w:highlight w:val="none"/>
        </w:rPr>
        <w:t>Chen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"https://www.ncbi.nlm.nih.gov/pubmed/?term=Reising%20A%5BAuthor%5D&amp;cauthor=true&amp;cauthor_uid=30327302" </w:instrText>
      </w:r>
      <w:r>
        <w:rPr>
          <w:highlight w:val="none"/>
        </w:rPr>
        <w:fldChar w:fldCharType="separate"/>
      </w:r>
      <w:r>
        <w:rPr>
          <w:rFonts w:ascii="Times New Roman" w:hAnsi="Times New Roman" w:cs="Times New Roman"/>
          <w:sz w:val="15"/>
          <w:szCs w:val="15"/>
          <w:highlight w:val="none"/>
        </w:rPr>
        <w:t>Reising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Expression, Not Mutation Status in TSC1, TSC2, or mTOR, Correlates with the Outcome on Everolimus in Patients with Renal Cell Carcinoma Treated on the Randomized RECORD-3 Trial[J]. </w:t>
      </w:r>
      <w:r>
        <w:rPr>
          <w:highlight w:val="none"/>
        </w:rPr>
        <w:fldChar w:fldCharType="begin"/>
      </w:r>
      <w:r>
        <w:rPr>
          <w:highlight w:val="none"/>
        </w:rPr>
        <w:instrText xml:space="preserve"> HYPERLINK "https://www.ncbi.nlm.nih.gov/pubmed/30327302"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25(2):506-514.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Iyer, et al. Genome sequencing identifies a basis for everolimus sensitivity[J]. Science, 2012, 338(6104): 221-221. </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C</w:t>
      </w:r>
      <w:r>
        <w:rPr>
          <w:rFonts w:ascii="Times New Roman" w:hAnsi="Times New Roman" w:cs="Times New Roman"/>
          <w:sz w:val="15"/>
          <w:szCs w:val="15"/>
          <w:highlight w:val="none"/>
        </w:rPr>
        <w:t>uadrado A, Nebreda AR. Mechanisms and functions of p38 MAPK signaling</w:t>
      </w:r>
      <w:r>
        <w:rPr>
          <w:rFonts w:ascii="Times New Roman" w:hAnsi="Times New Roman" w:cs="Times New Roman"/>
          <w:sz w:val="15"/>
          <w:szCs w:val="15"/>
          <w:highlight w:val="none"/>
          <w:lang w:eastAsia="zh-CN"/>
        </w:rPr>
        <w:t>[J]</w:t>
      </w:r>
      <w:r>
        <w:rPr>
          <w:rFonts w:ascii="Times New Roman" w:hAnsi="Times New Roman" w:cs="Times New Roman"/>
          <w:sz w:val="15"/>
          <w:szCs w:val="15"/>
          <w:highlight w:val="none"/>
        </w:rPr>
        <w:t>. Biochem. J</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2010, 429(3), 403-417.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Del Barco Barrantes I, Nebreda AR, et al. Roles of p38 MAPKs in invasion and metastasis[J]. Biochem. Soc. Trans, 2012, 40(1), 79-84.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Romeo Y, Zhang X, Roux PP, et al. Regulation and function of the RSK family of protein kinases[J]. Biochem. J, 2012, 441(2), 553-569.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Roskoski R, et al. MEK1/2 dual-specificity protein kinases: structure and regulation[J]. Biochem. Biophys. Res. Commun, 2012, 417(1), 5-10.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Hers I, Vincent EE, Tavaré JM, et al. Akt signalling in health and disease[J]. Cell. Signal. 2012, 23(10), 1515-1527.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Dowling RJ, Topisirovic I, Fonseca BD, Sonenberg N, et al. Dissecting the role of mTOR: lessons from mTOR inhibitors[J]. Biochim Biophys Acta. 2010, 1804(3), 433-439.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Hoeffer CA, Klann E, et al. mTOR signaling: at the crossroads of plasticity, memory and disease[J]. Trends Neurosci, 2010, 33(2), 67-75.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Laplante M, Sabatini DM, et al. Regulation of mTORC1 and its impact on gene expression at a glance[J]. J. Cell. Sci, 2013, 126(Pt 8), 1713-1719.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Laplante M, Sabatini DM, et al. mTOR signaling in growth control and disease[J]. Cell, 2012, 149(2), 274-293.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Fenton TR, Gout IT, et al. Functions and regulation of the 70kDa ribosomal S6 kinases[J]. Int. J. Biochem. Cell Biol, 2011, 43(1), 47-59.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Graff JR, Konicek BW, Carter JH, Marcusson EG, 2008. Targeting the eukaryotic translation initiation factor 4E for cancer therapy[J]. Cancer Res, 2008, 68(3),</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631-634.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Magnuson B, Ekim B, Fingar DC, et al. Regulation and function of ribosomal protein S6 kinase (S6K) within mTOR signalling networks[J]. Biochem.J, 2012, 441(1), 1-21.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Ruvinsky I, Meyuhas O, et al. Ribosomal protein S6 phosphorylation: from protein synthesis to cell size[J]. Trends Biochem. Sci, 2006,</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31(6), 342-348.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Goldsmith ZG, Dhanasekaran DN, et al. G protein regulation of MAPK networks</w:t>
      </w:r>
      <w:r>
        <w:rPr>
          <w:rFonts w:ascii="Times New Roman" w:hAnsi="Times New Roman" w:cs="Times New Roman"/>
          <w:sz w:val="15"/>
          <w:szCs w:val="15"/>
          <w:highlight w:val="none"/>
          <w:lang w:eastAsia="zh-CN"/>
        </w:rPr>
        <w:t>[J]</w:t>
      </w:r>
      <w:r>
        <w:rPr>
          <w:rFonts w:ascii="Times New Roman" w:hAnsi="Times New Roman" w:cs="Times New Roman"/>
          <w:sz w:val="15"/>
          <w:szCs w:val="15"/>
          <w:highlight w:val="none"/>
        </w:rPr>
        <w:t>. Oncogene, 2007, 26(22), 3122-3142.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Kim EK, Choi EJ, et al. Pathological roles of MAPK signaling pathways in human diseases[J]. Biochim. Biophys. Acta, 2010, 1802(4), 396-405.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McKay MM, Morrison DK, et al. Integrating signals from RTKs to ERK/MAPK[J]. Oncogene, 2007, 26(22), 3113-3121.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Chen F, et al. JNK-induced apoptosis, compensatory growth, and cancer stem cells[J]. Cancer Res, 2012, 72(2), 379-386.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Davies C, TournierC, et al. Exploring the function of the JNK (c-Jun N-terminal kinase) signalling pathway in physiological and pathological processes</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to design novel therapeutic strategies[J]. Biochem. Soc. Trans, 2012, 40(1), 85-89.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Haeusgen W, Herdegen T, Waetzig V, et al. The bottleneck of JNK signaling: molecular and functional characteristics of MKK4 and MKK7[J]. Eur. J.Cell Biol, 2011, 90(6-7), 536-544.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Verma G, Datta M</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critical role of JNK in the ER-mitochondrial crosstalk during apoptotic cell death[J]. J. Cell. Physiol, 2012, 227(5), 1791-1795.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Arteaga CL, Engelman JA, et al. ERBB receptors: from oncogene discovery to basic science to mechanism-based cancer therapeutics[J]. Cancer Cell, 2014, 25(3), 282-303.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Tebbutt N, Pedersen MW, Johns TG, et al. Targeting the ERBB family in cancer: couples therapy[J]. Nat. Rev. Cancer, 2013, 13(9), 663-673.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Yarden Y, Pines G, et al. The ERBB network: at last, cancer therapy meets systems biology[J]. Nat. Rev. Cancer, 2012, 12(8), 553-563.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S, et al. Insulin signaling, resistance, and the metabolic syndrome: insights from mouse models into disease mechanisms[J]. J. Endocrinol, 2014, 220(2), T1-T23.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Rowland AF, Fazakerley DJ, James DE, et al. Mapping insulin/GLUT4 circuitry[J]. Traffic, 2011, 12(6), 672-681.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Corina E. Antal, et al. Cancer-</w:t>
      </w:r>
      <w:r>
        <w:rPr>
          <w:rFonts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ssociated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rotein </w:t>
      </w:r>
      <w:r>
        <w:rPr>
          <w:rFonts w:hint="eastAsia" w:ascii="Times New Roman" w:hAnsi="Times New Roman" w:cs="Times New Roman"/>
          <w:sz w:val="15"/>
          <w:szCs w:val="15"/>
          <w:highlight w:val="none"/>
          <w:lang w:eastAsia="zh-CN"/>
        </w:rPr>
        <w:t>k</w:t>
      </w:r>
      <w:r>
        <w:rPr>
          <w:rFonts w:ascii="Times New Roman" w:hAnsi="Times New Roman" w:cs="Times New Roman"/>
          <w:sz w:val="15"/>
          <w:szCs w:val="15"/>
          <w:highlight w:val="none"/>
        </w:rPr>
        <w:t xml:space="preserve">inase C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utations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eveal </w:t>
      </w:r>
      <w:r>
        <w:rPr>
          <w:rFonts w:hint="eastAsia" w:ascii="Times New Roman" w:hAnsi="Times New Roman" w:cs="Times New Roman"/>
          <w:sz w:val="15"/>
          <w:szCs w:val="15"/>
          <w:highlight w:val="none"/>
          <w:lang w:eastAsia="zh-CN"/>
        </w:rPr>
        <w:t>k</w:t>
      </w:r>
      <w:r>
        <w:rPr>
          <w:rFonts w:ascii="Times New Roman" w:hAnsi="Times New Roman" w:cs="Times New Roman"/>
          <w:sz w:val="15"/>
          <w:szCs w:val="15"/>
          <w:highlight w:val="none"/>
        </w:rPr>
        <w:t xml:space="preserve">inase’s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ole as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umor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uppressor[J]. Cell, 2015, 160 (3), 489-502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Besson A, Dowdy SF, Roberts JM, et al. CDK inhibitors: cell cycle regulators and beyond[J]. Dev. Cell, 2008, 14(2), 159-169.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Malumbres M, Barbacid M, et al. Cell cycle, CDKs and cancer: a changing paradigm[J]. Nat. Rev. Cancer, 2009, 9(3), 153-166.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Al-Ejeh F, Kumar R, Wiegmans A, Lakhani SR, Brown MP, Khanna KK, et al. Harnessing the complexity of DNA-damage response pathways to</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improve cancer treatment outcomes[J]. Oncogene, 2010, 29(46), 6085-6098.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Freed-Pastor WA, Prives C, et al. Mutant p53: one name, many proteins[J]. Genes Dev, 2012, 26(12), 1268-1286.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Kee Y, D’Andrea AD, et al. Expanded roles of the Fanconi anemia pathway in preserving genomic stability[J]. Genes Dev, 2010, 24(16), 1680-1694.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Reinhardt HC, Yaffe MB, et al. Kinases that control the cell cycle in response to DNA damage: Chk1, Chk2, and MK2[J]. Curr. Opin. Cell Biol, 2009, 21(2),</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245-255.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Lester SN, Li K, et al. Toll-like receptors in antiviral innate immunity[J]. J. Mol. Biol, 2014, 426(6), 1246-1264.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Li X, Jiang S, Tapping RI, et al. Toll-like receptor signaling in cell proliferation and survival[J]. Cytokine, 2010, 49(1), 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Reuven EM, Fink A, Shai Y, et al. Regulation of innate immune responses by transmembrane interactions: lessons from the TLR family[J]. Biochim.</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Biophys. Acta, 2014, 1838(6), 1586-1593.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Kurosaki T, Shinohara H, Baba Y, et al. B cell signaling and fate decision[J]. Annu. Rev.Immunol, 2010, 28, 21-55.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Burbach BJ, Medeiros RB, Mueller KL, Shimizu Y, et al. T-cell receptor signaling to integrins[J]. Immunol. Rev, 2007, 218, 65-81.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Chen L, Flies DB, et al. Molecular mechanisms of T cell co-stimulation and co-inhibition[J]. Nat. Rev. Immunol, 2013, 13(4), 227-242.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Sansone P, Bromberg J, et al. Targeting the interleukin-6/Jak/stat pathway in human malignancies[J]. J. Clin. Oncol, 2012, 30(9), 1005-1014.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Vainchenker W, Constantinescu SN, et al. JAK/STAT signaling in hematological malignancies[J]. Oncogene, 2013, 32(21), 2601-2613.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Yu H, Pardoll D, Jove R, et al. STATs in cancer inflammation and immunity: a leading role for STAT3[J]. Nat. Rev. Cancer, 2009, 9(11), 798-809.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Horbelt D, Denkis A, Knaus P, et al. A portrait of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ransforming </w:t>
      </w:r>
      <w:r>
        <w:rPr>
          <w:rFonts w:hint="eastAsia" w:ascii="Times New Roman" w:hAnsi="Times New Roman" w:cs="Times New Roman"/>
          <w:sz w:val="15"/>
          <w:szCs w:val="15"/>
          <w:highlight w:val="none"/>
          <w:lang w:eastAsia="zh-CN"/>
        </w:rPr>
        <w:t>g</w:t>
      </w:r>
      <w:r>
        <w:rPr>
          <w:rFonts w:ascii="Times New Roman" w:hAnsi="Times New Roman" w:cs="Times New Roman"/>
          <w:sz w:val="15"/>
          <w:szCs w:val="15"/>
          <w:highlight w:val="none"/>
        </w:rPr>
        <w:t xml:space="preserve">rowth </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 xml:space="preserve">actor β superfamily signalling: Background matters[J]. </w:t>
      </w:r>
      <w:r>
        <w:rPr>
          <w:rFonts w:ascii="Times New Roman" w:hAnsi="Times New Roman" w:cs="Times New Roman"/>
          <w:sz w:val="15"/>
          <w:szCs w:val="15"/>
          <w:highlight w:val="none"/>
          <w:lang w:eastAsia="zh-CN"/>
        </w:rPr>
        <w:t>In</w:t>
      </w:r>
      <w:r>
        <w:rPr>
          <w:rFonts w:hint="eastAsia" w:ascii="Times New Roman" w:hAnsi="Times New Roman" w:cs="Times New Roman"/>
          <w:sz w:val="15"/>
          <w:szCs w:val="15"/>
          <w:highlight w:val="none"/>
          <w:lang w:eastAsia="zh-CN"/>
        </w:rPr>
        <w:t>ternational Journal of Biochemistry&amp; Cell Biology,</w:t>
      </w:r>
      <w:r>
        <w:rPr>
          <w:rFonts w:ascii="Times New Roman" w:hAnsi="Times New Roman" w:cs="Times New Roman"/>
          <w:sz w:val="15"/>
          <w:szCs w:val="15"/>
          <w:highlight w:val="none"/>
        </w:rPr>
        <w:t xml:space="preserve"> 2012, 44(3), 469-474.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Ikushima H, Miyazono K, et al. TGFbeta signalling: a complex web in cancer progression[J]. Nat. Rev. Cancer, 2010, 10(6), 415-424.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Schmierer B, Hill CS, et al. TGFbeta-SMAD signal transduction: molecular specificity and functional flexibility[J]. Nat. Rev. Mol. Cell</w:t>
      </w:r>
      <w:r>
        <w:rPr>
          <w:rFonts w:hint="eastAsia"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Biol, 2017, 8(12),</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970-982.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Zhang L, Zhou F, et al. TRAF4 promotes TGF-β receptor signaling and drives breast cancer metastasis[J]. Mol. Cell, 2013, 51(5), 559-572.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Hayden MS, Ghosh S, et al. Shared principles in NF-kappaB signaling[J]. Cell, 2008, 132(3), 344-362.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Sun SC, et al. The noncanonical NF-κB pathway[J]. Immunol. Rev, 2012, 246(1), 125-140.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Chen J, Chen ZJ, et al. Regulation of NF-κB by ubiquitination[J]. Curr. Opin. Immunol, 2013, 25(1), 4-12.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Anitei M, Hoflack B, et al. Bridging membrane and cytoskeleton dynamics in the secretory and endocytic pathways[J]. Nat. Cell Biol, 2012, 14(1), 11-19.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Forges H, Bouissou A, Perez F, et al. Interplay between microtubule dynamics and intracellular organization[J]. Int. J. Biochem. Cell Biol, 2012, 44(2),</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266-274.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Etienne-Manneville S, et al. From signaling pathways to microtubule dynamics: the key players[J]. Curr. Opin. Cell Biol, 2010, 22(1), 104-111.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Poukkula M, Kremneva E, Serlachius M, Lappalainen P, et al. Actin-depolymerizing factor homology domain: a conserved fold performing diverse</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roles in cytoskeletal dynamics[J]. Cytoskeleton (Hoboken), 2011, 68(9), 471-490.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Rottner K, Stradal TE, et al. Actin dynamics and turn</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over in cell motility[J]. Curr. Opin. Cell Biol, 2011, 23(5), 569-578.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C, Buranych A, Sarkar D, Fisher PB, Wang XY, et al. The role of tumor-associated macrophages in tumor vascularization[J]. Vasc Cell, 2013, 5(1), 20.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Sakurai T, Kudo M, et al. Signaling pathways governing tumor angiogenesis[J]. Oncology, 2011, 81 Suppl 1, 24-29.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Senger DR, Davis GE, et al. Angiogenesis[J]. Cold Spring Harb Perspect</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Biol, 2011, 3(8), a005090.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Van Hinsbergh VW, Koolwijk P, et al. Endothelial sprouting and angiogenesis: matrix metalloproteinases in the lead[J]. Cardiovasc. Res, 2008, 78(2), 203-212.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Sullivan K. D., Gallant-Behm C. L., Henry R. E., Fraikin J. L.</w:t>
      </w:r>
      <w:r>
        <w:rPr>
          <w:rFonts w:hint="eastAsia"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Espinosa J. M, et al. The p53 circuit board[J]. Biochim. Biophys. Acta, 2012, 1825,</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229-244.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Hong, H. et al. Suppression of induced pluripotent stem cell generation by the p53-p21 pathway</w:t>
      </w:r>
      <w:r>
        <w:rPr>
          <w:rFonts w:ascii="Times New Roman" w:hAnsi="Times New Roman" w:cs="Times New Roman"/>
          <w:sz w:val="15"/>
          <w:szCs w:val="15"/>
          <w:highlight w:val="none"/>
          <w:lang w:eastAsia="zh-CN"/>
        </w:rPr>
        <w:t>[J]</w:t>
      </w:r>
      <w:r>
        <w:rPr>
          <w:rFonts w:ascii="Times New Roman" w:hAnsi="Times New Roman" w:cs="Times New Roman"/>
          <w:sz w:val="15"/>
          <w:szCs w:val="15"/>
          <w:highlight w:val="none"/>
        </w:rPr>
        <w:t>. Nature, 2009, 460, 1132</w:t>
      </w:r>
      <w:r>
        <w:rPr>
          <w:rFonts w:hint="eastAsia" w:cs="Times New Roman"/>
          <w:sz w:val="15"/>
          <w:szCs w:val="15"/>
          <w:highlight w:val="none"/>
          <w:lang w:eastAsia="zh-CN"/>
        </w:rPr>
        <w:t>-</w:t>
      </w:r>
      <w:r>
        <w:rPr>
          <w:rFonts w:ascii="Times New Roman" w:hAnsi="Times New Roman" w:cs="Times New Roman"/>
          <w:sz w:val="15"/>
          <w:szCs w:val="15"/>
          <w:highlight w:val="none"/>
        </w:rPr>
        <w:t>1135.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Lee, I. H. et al. Atg7 modulates p53 activity to regulate cell cycle and survival during metabolic stress[J]. Science, 2012, 336, 225-228.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Schlereth, K. et al. DNA binding cooperativity of p53 modulates the decision between cell-cycle arrest and apoptosis[J]. Mol. Cell, 2010, 38, 356-368.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Ahmadian M, Suh JM, Hah N, Liddle C, Atkins AR, Downes M, Evans RM, et al. PPARγ signaling and metabolism: the good, the bad and the future[J].Nat. Med, 2013, 19(5), 557-566.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Evans RM, Mangelsdorf DJ, et al. Nuclear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eceptors, RXR, and the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ig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ang[J]. Cell, 2014, 157(1), 255-266.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Kojetin DJ, Burris TP, et al. REV-ERB and ROR nuclear receptors as drug targets[J]. Nat Rev Drug Discov, 2014, 13(3), 197-216.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Kurakula K, Koenis DS, van Tiel CM, de Vries CJ, et al. NR4A nuclear receptors are orphans but not lonesome[J]. Biochim. Biophys. Acta, 2014, 1843(11),</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2543-2555.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Zhou W, Slingerland JM, et al. Links between oestrogen receptor activation and proteolysis: relevance to hormone-regulated cancer therapy[J]. Nat. Rev. Cancer, 2014, 14(1), 26-38.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Fulda S, Vucic D, et al. Targeting IAP proteins for therapeutic intervention in cancer[J]. Nat Rev Drug Discov, 2012, 11(2), 109-124.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Kaufmann T, Strasser A, Jost PJ, et al. Fas death receptor signalling: roles of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id and XIAP[J]. Cell Death Differ, 2012, 19(1), 42-50.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Lindsay J, Esposti MD, Gilmore AP</w:t>
      </w:r>
      <w:r>
        <w:rPr>
          <w:rFonts w:ascii="Times New Roman" w:hAnsi="Times New Roman" w:cs="Times New Roman"/>
          <w:sz w:val="15"/>
          <w:szCs w:val="15"/>
          <w:highlight w:val="none"/>
          <w:lang w:eastAsia="zh-CN"/>
        </w:rPr>
        <w:t>, et al.</w:t>
      </w:r>
      <w:r>
        <w:rPr>
          <w:rFonts w:ascii="Times New Roman" w:hAnsi="Times New Roman" w:cs="Times New Roman"/>
          <w:sz w:val="15"/>
          <w:szCs w:val="15"/>
          <w:highlight w:val="none"/>
        </w:rPr>
        <w:t xml:space="preserve"> Bcl-2 proteins and mitochondria-specificity in membrane targeting for death[J]. Biochim. Biophys. Acta, 2011, 1813(4), 532-539.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Pradelli LA, Bénéteau M, Ricci JE, et al. Mitochondrial control of caspase-dependent and -independent cell death[J]. Cell Mol. Life Sci, 2010, 67(10),</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1589-1597.</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Fuchs Y, Steller H, et al. Programmed cell death in animal development and disease[J]. Cell, 2011, 147(4), 742-758.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Kantari C, Walczak H, et al. Caspase-8 and bid: caught in the act between death receptors and mitochondria[J]. Biochim. Biophys. Acta, 2011, 1813(4),</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558-563.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Kaufmann T, Strasser A, Jost PJ, et al. Fas death receptor signalling: roles of Bid and XIAP[J]. Cell Death Differ, 2012, 19(1), 42-50.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Lavrik IN, Krammer PH, et al</w:t>
      </w:r>
      <w:r>
        <w:rPr>
          <w:rFonts w:hint="eastAsia"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w:t>
      </w:r>
      <w:bookmarkStart w:id="537" w:name="OLE_LINK19"/>
      <w:r>
        <w:rPr>
          <w:rFonts w:ascii="Times New Roman" w:hAnsi="Times New Roman" w:cs="Times New Roman"/>
          <w:sz w:val="15"/>
          <w:szCs w:val="15"/>
          <w:highlight w:val="none"/>
        </w:rPr>
        <w:t>Regulation of CD95/Fas signaling at the DISC</w:t>
      </w:r>
      <w:bookmarkEnd w:id="537"/>
      <w:r>
        <w:rPr>
          <w:rFonts w:ascii="Times New Roman" w:hAnsi="Times New Roman" w:cs="Times New Roman"/>
          <w:sz w:val="15"/>
          <w:szCs w:val="15"/>
          <w:highlight w:val="none"/>
        </w:rPr>
        <w:t>[J]. Cell Death Differ, 2012, 19(1), 36-41.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Wajant H, Scheurich P, et al. TNFR1-induced activation of the classical NF-κB pathway[J]. FEBS J, 2011, 278(6), 862-876.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Alers S, Löffler AS, Wesselborg S, Stork B, et al. Role of AMPK-mTOR-Ulk1/2 in the regulation of autophagy: cross talk, shortcuts, and feedbacks[J].Mol. Cell Biol, 2012, 32(1), 2-11.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Schneider JL, Cuervo AM, et al. Autophagy and human disease: </w:t>
      </w:r>
      <w:r>
        <w:rPr>
          <w:rFonts w:hint="eastAsia" w:ascii="Times New Roman" w:hAnsi="Times New Roman" w:cs="Times New Roman"/>
          <w:sz w:val="15"/>
          <w:szCs w:val="15"/>
          <w:highlight w:val="none"/>
          <w:lang w:eastAsia="zh-CN"/>
        </w:rPr>
        <w:t>E</w:t>
      </w:r>
      <w:r>
        <w:rPr>
          <w:rFonts w:ascii="Times New Roman" w:hAnsi="Times New Roman" w:cs="Times New Roman"/>
          <w:sz w:val="15"/>
          <w:szCs w:val="15"/>
          <w:highlight w:val="none"/>
        </w:rPr>
        <w:t>merging themes[J]. Curr. Opin. Genet. Dev, 2014, 26, 16-23.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Carling D, Mayer FV, Sanders MJ, Gamblin SJ, et al. AMP-activated protein kinase: nature’s energy sensor[J]. Nat. Chem. Biol, 2011, 7(8), 512-518.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Hardie DG, et al. AMP-activated protein kinase: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n energy sensor that regulates all aspects of cell function[J]. Genes Dev, 2011, 25(18), 1895-1908.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Hardie DG, Ross FA, Hawley SA</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MP-</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ctivated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rotein </w:t>
      </w:r>
      <w:r>
        <w:rPr>
          <w:rFonts w:hint="eastAsia" w:ascii="Times New Roman" w:hAnsi="Times New Roman" w:cs="Times New Roman"/>
          <w:sz w:val="15"/>
          <w:szCs w:val="15"/>
          <w:highlight w:val="none"/>
          <w:lang w:eastAsia="zh-CN"/>
        </w:rPr>
        <w:t>k</w:t>
      </w:r>
      <w:r>
        <w:rPr>
          <w:rFonts w:ascii="Times New Roman" w:hAnsi="Times New Roman" w:cs="Times New Roman"/>
          <w:sz w:val="15"/>
          <w:szCs w:val="15"/>
          <w:highlight w:val="none"/>
        </w:rPr>
        <w:t xml:space="preserve">inase: A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arget for </w:t>
      </w:r>
      <w:r>
        <w:rPr>
          <w:rFonts w:hint="eastAsia" w:ascii="Times New Roman" w:hAnsi="Times New Roman" w:cs="Times New Roman"/>
          <w:sz w:val="15"/>
          <w:szCs w:val="15"/>
          <w:highlight w:val="none"/>
          <w:lang w:eastAsia="zh-CN"/>
        </w:rPr>
        <w:t>d</w:t>
      </w:r>
      <w:r>
        <w:rPr>
          <w:rFonts w:ascii="Times New Roman" w:hAnsi="Times New Roman" w:cs="Times New Roman"/>
          <w:sz w:val="15"/>
          <w:szCs w:val="15"/>
          <w:highlight w:val="none"/>
        </w:rPr>
        <w:t xml:space="preserve">rugs both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ncient and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odern[J]. Chem. Biol, 2012, 19(10), 1222-1236. </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Mihaylova MM, Shaw RJ, et al. The AMPK signalling pathway coordinates cell growth, autophagy and metabolism[J]. Nat. Cell Biol, 2011, 13(9), 1016-1023.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Kaelin WG, McKnight SL</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I</w:t>
      </w:r>
      <w:r>
        <w:rPr>
          <w:rFonts w:ascii="Times New Roman" w:hAnsi="Times New Roman" w:cs="Times New Roman"/>
          <w:sz w:val="15"/>
          <w:szCs w:val="15"/>
          <w:highlight w:val="none"/>
        </w:rPr>
        <w:t>nfluence of metabolism on epigenetics and disease[J]. Cell, 2013, 153(1), 56-69.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Gogvadze V, Zhivotovsky B, Orrenius S, et al. The Warburg effect and mitochondrial stability in cancer cells[J]. Mol. Aspects Med, 2010, 31(1), 60-74.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Genevet A, Tapon N</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Hippo pathway and apico-basal cell polarity[J]. Biochem. J, 2011, 436(2), 213-224.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Sudol M, Harvey KF, et al. Modularity in the </w:t>
      </w:r>
      <w:r>
        <w:rPr>
          <w:rFonts w:hint="eastAsia" w:ascii="Times New Roman" w:hAnsi="Times New Roman" w:cs="Times New Roman"/>
          <w:sz w:val="15"/>
          <w:szCs w:val="15"/>
          <w:highlight w:val="none"/>
          <w:lang w:eastAsia="zh-CN"/>
        </w:rPr>
        <w:t>H</w:t>
      </w:r>
      <w:r>
        <w:rPr>
          <w:rFonts w:ascii="Times New Roman" w:hAnsi="Times New Roman" w:cs="Times New Roman"/>
          <w:sz w:val="15"/>
          <w:szCs w:val="15"/>
          <w:highlight w:val="none"/>
        </w:rPr>
        <w:t>ippo signaling pathway[J]. Trends Biochem. Sci, 2010, 35(11), 627-633.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Yu FX, Guan KL, et al. </w:t>
      </w:r>
      <w:bookmarkStart w:id="538" w:name="OLE_LINK16"/>
      <w:bookmarkStart w:id="539" w:name="OLE_LINK17"/>
      <w:r>
        <w:rPr>
          <w:rFonts w:ascii="Times New Roman" w:hAnsi="Times New Roman" w:cs="Times New Roman"/>
          <w:sz w:val="15"/>
          <w:szCs w:val="15"/>
          <w:highlight w:val="none"/>
        </w:rPr>
        <w:t>The Hippo pathway: regulators and regulations</w:t>
      </w:r>
      <w:bookmarkEnd w:id="538"/>
      <w:bookmarkEnd w:id="539"/>
      <w:r>
        <w:rPr>
          <w:rFonts w:ascii="Times New Roman" w:hAnsi="Times New Roman" w:cs="Times New Roman"/>
          <w:sz w:val="15"/>
          <w:szCs w:val="15"/>
          <w:highlight w:val="none"/>
        </w:rPr>
        <w:t>[J]. Genes Dev, 2013, 27(4), 355-371.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Zhao B, Tumaneng K, Guan KL, et al. The Hippo pathway in organ size control, tissue regeneration and stem cell self-renewal[J]. Nat. Cell Biol, 2011, 13(8),</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877-883.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Dalton S, et al. Signaling networks in human pluripotent stem cells[J]. Curr. Opin. Cell Biol, 2013, 25(2), 241-246.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Jaenisch R, Young R, et al. Stem cells, the molecular circuitry of pluripotency and nuclear reprogramming[J]. Cell, 2008, 132(4), 567-582.</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HH, Surani MA, et al. The transcriptional and signalling networks of pluripotency[J]. Nat. Cell Biol, 2011, 13(5), 490-496.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Young RA, et al. Control of the embryonic stem cell state[J]. Cell, 2011, 144(6), 940-954.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Cadigan KM, Waterman ML, et al. TCF/LEFs and Wnt signaling in the nucleus[J]. Cold Spring Harb Perspect Biol, 2012, 4(11):a007906-a007906.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Clevers H, Nusse R, et al. Wnt/β-catenin signaling and disease[J]. Cell, 2012, 149(6), 1192-1205.</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Lau W de, Peng WC, Gros P, Clevers H</w:t>
      </w:r>
      <w:r>
        <w:rPr>
          <w:rFonts w:ascii="Times New Roman" w:hAnsi="Times New Roman" w:cs="Times New Roman"/>
          <w:sz w:val="15"/>
          <w:szCs w:val="15"/>
          <w:highlight w:val="none"/>
          <w:lang w:eastAsia="zh-CN"/>
        </w:rPr>
        <w:t xml:space="preserve">, et al. </w:t>
      </w:r>
      <w:bookmarkStart w:id="540" w:name="OLE_LINK15"/>
      <w:bookmarkStart w:id="541" w:name="OLE_LINK14"/>
      <w:bookmarkStart w:id="542" w:name="OLE_LINK24"/>
      <w:bookmarkStart w:id="543" w:name="OLE_LINK25"/>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R-spondin/Lgr5/Rnf43 module: regulator of Wnt signal strength</w:t>
      </w:r>
      <w:bookmarkEnd w:id="540"/>
      <w:bookmarkEnd w:id="541"/>
      <w:bookmarkEnd w:id="542"/>
      <w:bookmarkEnd w:id="543"/>
      <w:r>
        <w:rPr>
          <w:rFonts w:ascii="Times New Roman" w:hAnsi="Times New Roman" w:cs="Times New Roman"/>
          <w:sz w:val="15"/>
          <w:szCs w:val="15"/>
          <w:highlight w:val="none"/>
        </w:rPr>
        <w:t>[J]. Genes Dev, 2014, 28(4), 305-316.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Niehrs C</w:t>
      </w:r>
      <w:r>
        <w:rPr>
          <w:rFonts w:ascii="Times New Roman" w:hAnsi="Times New Roman" w:cs="Times New Roman"/>
          <w:sz w:val="15"/>
          <w:szCs w:val="15"/>
          <w:highlight w:val="none"/>
          <w:lang w:eastAsia="zh-CN"/>
        </w:rPr>
        <w:t xml:space="preserve">, et al. </w:t>
      </w:r>
      <w:r>
        <w:rPr>
          <w:rFonts w:ascii="Times New Roman" w:hAnsi="Times New Roman" w:cs="Times New Roman"/>
          <w:sz w:val="15"/>
          <w:szCs w:val="15"/>
          <w:highlight w:val="none"/>
        </w:rPr>
        <w:t>The complex world of WNT receptor signaling[J]. Nat. Rev. Mol. Cell Biol, 2012, 13(12), 767-779.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Sokol SY, et al. Maintaining embryonic stem cell pluripotency with Wnt signaling[J]. Development, 2011, 138(20), 4341-4350.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Andersson ER, Lendahl U, et al. Therapeutic modulation of Notch signalling-are we there yet[J]. Nat Rev Drug Discov, 2014, 13(5), 357-378.</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Aster JC, Blacklow SC, Pear WS, et al. Notch signalling in T-cell lymphoblastic leukaemia/lymphoma and other haematological malignancies[J]. J.Pathol, 2011, 223(2), 262-273.</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Ntziachristos P, Lim JS, Sage J, Aifantis I, et al. From fly wings to targeted cancer therapies: a centennial for notch signaling[J]. Cancer Cell, 2014, 25(3),</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318-334.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Ranganathan P, Weaver KL, Capobianco AJ, et al. Notch signalling in solid tumours: a little bit of everything but not all the time[J]. Nat. Rev. Cancer, 2011, 11(5), 338-351.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Ingham PW, Nakano Y, Seger C, et al. Mechanisms and functions of Hedgehog signalling across the metazoan[J]. Nat. Rev. Genet, 2011, 12(6), 393-406.</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JM, Curran T, et al. The Hedgehog’s tale: developing strategies for targeting cancer[J]. Nat. Rev. Cancer, 2011, 11(7), 493-501.</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Briscoe J, Thérond PP</w:t>
      </w:r>
      <w:r>
        <w:rPr>
          <w:rFonts w:ascii="Times New Roman" w:hAnsi="Times New Roman" w:cs="Times New Roman"/>
          <w:sz w:val="15"/>
          <w:szCs w:val="15"/>
          <w:highlight w:val="none"/>
          <w:lang w:eastAsia="zh-CN"/>
        </w:rPr>
        <w:t xml:space="preserve">, et 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he mechanisms of Hedgehog signalling and its roles in development and disease[J]. Nat. Rev. Mol. Cell Biol, 2013, 14(7),</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416-429.</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Falkenstein KN, Vokes SA, et al. Transcriptional regulation of graded Hedgehog signaling[J]. Semin. Cell Dev. Biol, 2014, 33, 73-80.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Winston Timp, Andrew P. Feinberg</w:t>
      </w:r>
      <w:r>
        <w:rPr>
          <w:rFonts w:ascii="Times New Roman" w:hAnsi="Times New Roman" w:cs="Times New Roman"/>
          <w:sz w:val="15"/>
          <w:szCs w:val="15"/>
          <w:highlight w:val="none"/>
          <w:lang w:eastAsia="zh-CN"/>
        </w:rPr>
        <w:t>, et al.</w:t>
      </w:r>
      <w:r>
        <w:rPr>
          <w:rFonts w:hint="eastAsia" w:ascii="Times New Roman" w:hAnsi="Times New Roman" w:cs="Times New Roman"/>
          <w:sz w:val="15"/>
          <w:szCs w:val="15"/>
          <w:highlight w:val="none"/>
          <w:lang w:eastAsia="zh-CN"/>
        </w:rPr>
        <w:t xml:space="preserve"> </w:t>
      </w:r>
      <w:bookmarkStart w:id="544" w:name="OLE_LINK21"/>
      <w:bookmarkStart w:id="545" w:name="OLE_LINK20"/>
      <w:r>
        <w:rPr>
          <w:rFonts w:ascii="Times New Roman" w:hAnsi="Times New Roman" w:cs="Times New Roman"/>
          <w:sz w:val="15"/>
          <w:szCs w:val="15"/>
          <w:highlight w:val="none"/>
        </w:rPr>
        <w:t>Cancer as a dysregulated epigenome allowing cellular growth advantage at the expense of the host</w:t>
      </w:r>
      <w:bookmarkEnd w:id="544"/>
      <w:bookmarkEnd w:id="545"/>
      <w:r>
        <w:rPr>
          <w:rFonts w:ascii="Times New Roman" w:hAnsi="Times New Roman" w:cs="Times New Roman"/>
          <w:sz w:val="15"/>
          <w:szCs w:val="15"/>
          <w:highlight w:val="none"/>
        </w:rPr>
        <w:t>[J]. Nature</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Reviews Cancer, 2013, 13, 497-510.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Megan P. Hitchins, et al. Constitutional epimutation as a mechanism for cancer causality and heritability[J]. Nature Reviews Cancer, 2015, 15, 625-634.</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Christoph Plass, Stefan M. Pfister, et al. Mutations in regulators of the epigenome</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and their connections to global chromatin patterns in cancer[J]. Nature Reviews Genetics, 2013, 14, 765-780.</w:t>
      </w:r>
    </w:p>
    <w:p>
      <w:pPr>
        <w:widowControl/>
        <w:numPr>
          <w:ilvl w:val="0"/>
          <w:numId w:val="35"/>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Koumenis, C. Hammond, E. Giaccia, A, et al. </w:t>
      </w:r>
      <w:bookmarkStart w:id="546" w:name="OLE_LINK23"/>
      <w:bookmarkStart w:id="547" w:name="OLE_LINK22"/>
      <w:r>
        <w:rPr>
          <w:rFonts w:ascii="Times New Roman" w:hAnsi="Times New Roman" w:cs="Times New Roman"/>
          <w:sz w:val="15"/>
          <w:szCs w:val="15"/>
          <w:highlight w:val="none"/>
        </w:rPr>
        <w:t>Tumor microenvironment and cellular stress: signaling, metabolism, imaging, and therapeutic targets</w:t>
      </w:r>
      <w:bookmarkEnd w:id="546"/>
      <w:bookmarkEnd w:id="547"/>
      <w:r>
        <w:rPr>
          <w:rFonts w:ascii="Times New Roman" w:hAnsi="Times New Roman" w:cs="Times New Roman"/>
          <w:sz w:val="15"/>
          <w:szCs w:val="15"/>
          <w:highlight w:val="none"/>
        </w:rPr>
        <w:t>[J].</w:t>
      </w:r>
    </w:p>
    <w:p>
      <w:pPr>
        <w:widowControl/>
        <w:spacing w:after="84" w:line="259" w:lineRule="auto"/>
        <w:ind w:firstLine="420"/>
        <w:rPr>
          <w:rFonts w:ascii="Times New Roman" w:hAnsi="Times New Roman" w:cs="Times New Roman"/>
          <w:sz w:val="15"/>
          <w:szCs w:val="15"/>
          <w:highlight w:val="none"/>
        </w:rPr>
      </w:pPr>
      <w:r>
        <w:rPr>
          <w:rFonts w:ascii="Times New Roman" w:hAnsi="Times New Roman" w:cs="Times New Roman"/>
          <w:sz w:val="15"/>
          <w:szCs w:val="15"/>
          <w:highlight w:val="none"/>
        </w:rPr>
        <w:t>Adv Exp Med Biol, 2014, 772, v-viii.</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[article and supplementary appendix]. Lancet Oncol 2019;20:1011-1022</w:t>
      </w:r>
      <w:r>
        <w:rPr>
          <w:rFonts w:hint="eastAsia" w:ascii="Times New Roman" w:hAnsi="Times New Roman" w:cs="Times New Roman"/>
          <w:sz w:val="15"/>
          <w:szCs w:val="15"/>
          <w:highlight w:val="none"/>
          <w:lang w:val="en-US" w:eastAsia="zh-CN"/>
        </w:rPr>
        <w:t>.</w:t>
      </w:r>
    </w:p>
    <w:p>
      <w:pPr>
        <w:widowControl/>
        <w:numPr>
          <w:ilvl w:val="0"/>
          <w:numId w:val="35"/>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p>
    <w:p>
      <w:pPr>
        <w:widowControl/>
        <w:numPr>
          <w:ilvl w:val="0"/>
          <w:numId w:val="0"/>
        </w:numPr>
        <w:spacing w:after="84" w:line="259" w:lineRule="auto"/>
        <w:ind w:leftChars="0"/>
        <w:rPr>
          <w:rFonts w:ascii="Times New Roman" w:hAnsi="Times New Roman" w:cs="Times New Roman"/>
          <w:sz w:val="15"/>
          <w:szCs w:val="15"/>
          <w:highlight w:val="none"/>
        </w:rPr>
      </w:pPr>
    </w:p>
    <w:sectPr>
      <w:footerReference r:id="rId7" w:type="default"/>
      <w:pgSz w:w="11910" w:h="16840"/>
      <w:pgMar w:top="1037" w:right="1020" w:bottom="981" w:left="1020" w:header="624"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eastAsia="zh-CN"/>
      </w:rPr>
      <w:t>483</w:t>
    </w:r>
    <w:r>
      <w:rPr>
        <w:rFonts w:ascii="Times New Roman" w:hAnsi="Times New Roman" w:eastAsia="微软雅黑" w:cs="Times New Roman"/>
        <w:color w:val="7F7F7F"/>
        <w:sz w:val="20"/>
        <w:szCs w:val="20"/>
        <w:lang w:eastAsia="zh-CN"/>
      </w:rPr>
      <w:t>基因个体化治疗全景版——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eastAsia="zh-CN"/>
      </w:rPr>
      <w:t>483</w:t>
    </w:r>
    <w:r>
      <w:rPr>
        <w:rFonts w:ascii="Times New Roman" w:hAnsi="Times New Roman" w:eastAsia="微软雅黑" w:cs="Times New Roman"/>
        <w:color w:val="7F7F7F"/>
        <w:sz w:val="20"/>
        <w:szCs w:val="20"/>
        <w:lang w:eastAsia="zh-CN"/>
      </w:rPr>
      <w:t>基因个体化治疗全景版——</w:t>
    </w:r>
  </w:p>
  <w:p>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51F0B7C"/>
    <w:multiLevelType w:val="singleLevel"/>
    <w:tmpl w:val="851F0B7C"/>
    <w:lvl w:ilvl="0" w:tentative="0">
      <w:start w:val="1"/>
      <w:numFmt w:val="decimal"/>
      <w:lvlText w:val="%1."/>
      <w:lvlJc w:val="left"/>
      <w:pPr>
        <w:ind w:left="425" w:hanging="425"/>
      </w:pPr>
      <w:rPr>
        <w:rFonts w:hint="default"/>
      </w:rPr>
    </w:lvl>
  </w:abstractNum>
  <w:abstractNum w:abstractNumId="1">
    <w:nsid w:val="87FE6F61"/>
    <w:multiLevelType w:val="singleLevel"/>
    <w:tmpl w:val="87FE6F61"/>
    <w:lvl w:ilvl="0" w:tentative="0">
      <w:start w:val="1"/>
      <w:numFmt w:val="decimal"/>
      <w:suff w:val="space"/>
      <w:lvlText w:val="%1."/>
      <w:lvlJc w:val="left"/>
    </w:lvl>
  </w:abstractNum>
  <w:abstractNum w:abstractNumId="2">
    <w:nsid w:val="A894AF16"/>
    <w:multiLevelType w:val="singleLevel"/>
    <w:tmpl w:val="A894AF16"/>
    <w:lvl w:ilvl="0" w:tentative="0">
      <w:start w:val="1"/>
      <w:numFmt w:val="decimal"/>
      <w:suff w:val="space"/>
      <w:lvlText w:val="%1."/>
      <w:lvlJc w:val="left"/>
    </w:lvl>
  </w:abstractNum>
  <w:abstractNum w:abstractNumId="3">
    <w:nsid w:val="FE6C8412"/>
    <w:multiLevelType w:val="singleLevel"/>
    <w:tmpl w:val="FE6C8412"/>
    <w:lvl w:ilvl="0" w:tentative="0">
      <w:start w:val="1"/>
      <w:numFmt w:val="decimal"/>
      <w:lvlText w:val="%1."/>
      <w:lvlJc w:val="left"/>
      <w:pPr>
        <w:ind w:left="425" w:hanging="425"/>
      </w:pPr>
      <w:rPr>
        <w:rFonts w:hint="default"/>
      </w:rPr>
    </w:lvl>
  </w:abstractNum>
  <w:abstractNum w:abstractNumId="4">
    <w:nsid w:val="01E44585"/>
    <w:multiLevelType w:val="multilevel"/>
    <w:tmpl w:val="01E44585"/>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23A2BF5"/>
    <w:multiLevelType w:val="multilevel"/>
    <w:tmpl w:val="023A2BF5"/>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7BE24B4"/>
    <w:multiLevelType w:val="multilevel"/>
    <w:tmpl w:val="07BE24B4"/>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2370302"/>
    <w:multiLevelType w:val="multilevel"/>
    <w:tmpl w:val="12370302"/>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44C6EF7"/>
    <w:multiLevelType w:val="multilevel"/>
    <w:tmpl w:val="144C6EF7"/>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rPr>
    </w:lvl>
  </w:abstractNum>
  <w:abstractNum w:abstractNumId="11">
    <w:nsid w:val="1BC22A68"/>
    <w:multiLevelType w:val="multilevel"/>
    <w:tmpl w:val="1BC22A68"/>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2EA1EA7"/>
    <w:multiLevelType w:val="multilevel"/>
    <w:tmpl w:val="22EA1EA7"/>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A8DB7C8"/>
    <w:multiLevelType w:val="singleLevel"/>
    <w:tmpl w:val="2A8DB7C8"/>
    <w:lvl w:ilvl="0" w:tentative="0">
      <w:start w:val="1"/>
      <w:numFmt w:val="decimal"/>
      <w:lvlText w:val="%1."/>
      <w:lvlJc w:val="left"/>
      <w:pPr>
        <w:ind w:left="425" w:hanging="425"/>
      </w:pPr>
      <w:rPr>
        <w:rFonts w:hint="default"/>
      </w:rPr>
    </w:lvl>
  </w:abstractNum>
  <w:abstractNum w:abstractNumId="14">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30950848"/>
    <w:multiLevelType w:val="multilevel"/>
    <w:tmpl w:val="30950848"/>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FD2A38E"/>
    <w:multiLevelType w:val="singleLevel"/>
    <w:tmpl w:val="3FD2A38E"/>
    <w:lvl w:ilvl="0" w:tentative="0">
      <w:start w:val="1"/>
      <w:numFmt w:val="decimal"/>
      <w:lvlText w:val="%1."/>
      <w:lvlJc w:val="left"/>
      <w:pPr>
        <w:ind w:left="425" w:hanging="42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8F65794"/>
    <w:multiLevelType w:val="multilevel"/>
    <w:tmpl w:val="48F65794"/>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EA30FE9"/>
    <w:multiLevelType w:val="multilevel"/>
    <w:tmpl w:val="4EA30FE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3C31D82"/>
    <w:multiLevelType w:val="multilevel"/>
    <w:tmpl w:val="53C31D82"/>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91D06A8"/>
    <w:multiLevelType w:val="multilevel"/>
    <w:tmpl w:val="591D06A8"/>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26">
    <w:nsid w:val="5D42C715"/>
    <w:multiLevelType w:val="multilevel"/>
    <w:tmpl w:val="5D42C715"/>
    <w:lvl w:ilvl="0" w:tentative="0">
      <w:start w:val="1"/>
      <w:numFmt w:val="decimal"/>
      <w:lvlText w:val="%1."/>
      <w:lvlJc w:val="left"/>
      <w:pPr>
        <w:ind w:left="425" w:hanging="425"/>
      </w:pPr>
      <w:rPr>
        <w:rFonts w:hint="default" w:ascii="宋体" w:hAnsi="宋体" w:eastAsia="宋体" w:cs="宋体"/>
      </w:rPr>
    </w:lvl>
    <w:lvl w:ilvl="1" w:tentative="0">
      <w:start w:val="1"/>
      <w:numFmt w:val="upperRoman"/>
      <w:lvlText w:val="%1.%2."/>
      <w:lvlJc w:val="left"/>
      <w:pPr>
        <w:ind w:left="567" w:hanging="567"/>
      </w:pPr>
      <w:rPr>
        <w:rFonts w:hint="default"/>
      </w:rPr>
    </w:lvl>
    <w:lvl w:ilvl="2" w:tentative="0">
      <w:start w:val="1"/>
      <w:numFmt w:val="upperRoman"/>
      <w:lvlText w:val="%1.%2.%3."/>
      <w:lvlJc w:val="left"/>
      <w:pPr>
        <w:ind w:left="709" w:hanging="709"/>
      </w:pPr>
      <w:rPr>
        <w:rFonts w:hint="default"/>
      </w:rPr>
    </w:lvl>
    <w:lvl w:ilvl="3" w:tentative="0">
      <w:start w:val="1"/>
      <w:numFmt w:val="upperRoman"/>
      <w:lvlText w:val="%1.%2.%3.%4."/>
      <w:lvlJc w:val="left"/>
      <w:pPr>
        <w:ind w:left="850" w:hanging="850"/>
      </w:pPr>
      <w:rPr>
        <w:rFonts w:hint="default"/>
      </w:rPr>
    </w:lvl>
    <w:lvl w:ilvl="4" w:tentative="0">
      <w:start w:val="1"/>
      <w:numFmt w:val="upperRoman"/>
      <w:lvlText w:val="%1.%2.%3.%4.%5."/>
      <w:lvlJc w:val="left"/>
      <w:pPr>
        <w:ind w:left="991" w:hanging="991"/>
      </w:pPr>
      <w:rPr>
        <w:rFonts w:hint="default"/>
      </w:rPr>
    </w:lvl>
    <w:lvl w:ilvl="5" w:tentative="0">
      <w:start w:val="1"/>
      <w:numFmt w:val="upperRoman"/>
      <w:lvlText w:val="%1.%2.%3.%4.%5.%6."/>
      <w:lvlJc w:val="left"/>
      <w:pPr>
        <w:ind w:left="1134" w:hanging="1134"/>
      </w:pPr>
      <w:rPr>
        <w:rFonts w:hint="default"/>
      </w:rPr>
    </w:lvl>
    <w:lvl w:ilvl="6" w:tentative="0">
      <w:start w:val="1"/>
      <w:numFmt w:val="upperRoman"/>
      <w:lvlText w:val="%1.%2.%3.%4.%5.%6.%7."/>
      <w:lvlJc w:val="left"/>
      <w:pPr>
        <w:ind w:left="1275" w:hanging="1275"/>
      </w:pPr>
      <w:rPr>
        <w:rFonts w:hint="default"/>
      </w:rPr>
    </w:lvl>
    <w:lvl w:ilvl="7" w:tentative="0">
      <w:start w:val="1"/>
      <w:numFmt w:val="upperRoman"/>
      <w:lvlText w:val="%1.%2.%3.%4.%5.%6.%7.%8."/>
      <w:lvlJc w:val="left"/>
      <w:pPr>
        <w:ind w:left="1418" w:hanging="1418"/>
      </w:pPr>
      <w:rPr>
        <w:rFonts w:hint="default"/>
      </w:rPr>
    </w:lvl>
    <w:lvl w:ilvl="8" w:tentative="0">
      <w:start w:val="1"/>
      <w:numFmt w:val="upperRoman"/>
      <w:lvlText w:val="%1.%2.%3.%4.%5.%6.%7.%8.%9."/>
      <w:lvlJc w:val="left"/>
      <w:pPr>
        <w:ind w:left="1558" w:hanging="1558"/>
      </w:pPr>
      <w:rPr>
        <w:rFonts w:hint="default"/>
      </w:rPr>
    </w:lvl>
  </w:abstractNum>
  <w:abstractNum w:abstractNumId="27">
    <w:nsid w:val="5D4407B1"/>
    <w:multiLevelType w:val="multilevel"/>
    <w:tmpl w:val="5D4407B1"/>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EC7B28F"/>
    <w:multiLevelType w:val="multilevel"/>
    <w:tmpl w:val="5EC7B28F"/>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9">
    <w:nsid w:val="60FA3459"/>
    <w:multiLevelType w:val="multilevel"/>
    <w:tmpl w:val="60FA345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1">
    <w:nsid w:val="678F23EB"/>
    <w:multiLevelType w:val="multilevel"/>
    <w:tmpl w:val="678F23EB"/>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7DF14831"/>
    <w:multiLevelType w:val="multilevel"/>
    <w:tmpl w:val="7DF14831"/>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7EDB7304"/>
    <w:multiLevelType w:val="multilevel"/>
    <w:tmpl w:val="7EDB7304"/>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1"/>
  </w:num>
  <w:num w:numId="2">
    <w:abstractNumId w:val="30"/>
  </w:num>
  <w:num w:numId="3">
    <w:abstractNumId w:val="24"/>
  </w:num>
  <w:num w:numId="4">
    <w:abstractNumId w:val="14"/>
  </w:num>
  <w:num w:numId="5">
    <w:abstractNumId w:val="16"/>
  </w:num>
  <w:num w:numId="6">
    <w:abstractNumId w:val="3"/>
  </w:num>
  <w:num w:numId="7">
    <w:abstractNumId w:val="7"/>
  </w:num>
  <w:num w:numId="8">
    <w:abstractNumId w:val="13"/>
  </w:num>
  <w:num w:numId="9">
    <w:abstractNumId w:val="10"/>
  </w:num>
  <w:num w:numId="10">
    <w:abstractNumId w:val="17"/>
  </w:num>
  <w:num w:numId="11">
    <w:abstractNumId w:val="26"/>
  </w:num>
  <w:num w:numId="12">
    <w:abstractNumId w:val="1"/>
  </w:num>
  <w:num w:numId="13">
    <w:abstractNumId w:val="2"/>
  </w:num>
  <w:num w:numId="14">
    <w:abstractNumId w:val="18"/>
  </w:num>
  <w:num w:numId="15">
    <w:abstractNumId w:val="25"/>
  </w:num>
  <w:num w:numId="16">
    <w:abstractNumId w:val="28"/>
  </w:num>
  <w:num w:numId="17">
    <w:abstractNumId w:val="0"/>
  </w:num>
  <w:num w:numId="18">
    <w:abstractNumId w:val="29"/>
  </w:num>
  <w:num w:numId="19">
    <w:abstractNumId w:val="27"/>
  </w:num>
  <w:num w:numId="20">
    <w:abstractNumId w:val="19"/>
  </w:num>
  <w:num w:numId="21">
    <w:abstractNumId w:val="34"/>
  </w:num>
  <w:num w:numId="22">
    <w:abstractNumId w:val="12"/>
  </w:num>
  <w:num w:numId="23">
    <w:abstractNumId w:val="22"/>
  </w:num>
  <w:num w:numId="24">
    <w:abstractNumId w:val="9"/>
  </w:num>
  <w:num w:numId="25">
    <w:abstractNumId w:val="11"/>
  </w:num>
  <w:num w:numId="26">
    <w:abstractNumId w:val="6"/>
  </w:num>
  <w:num w:numId="27">
    <w:abstractNumId w:val="15"/>
  </w:num>
  <w:num w:numId="28">
    <w:abstractNumId w:val="23"/>
  </w:num>
  <w:num w:numId="29">
    <w:abstractNumId w:val="8"/>
  </w:num>
  <w:num w:numId="30">
    <w:abstractNumId w:val="32"/>
  </w:num>
  <w:num w:numId="31">
    <w:abstractNumId w:val="5"/>
  </w:num>
  <w:num w:numId="32">
    <w:abstractNumId w:val="31"/>
  </w:num>
  <w:num w:numId="33">
    <w:abstractNumId w:val="4"/>
  </w:num>
  <w:num w:numId="34">
    <w:abstractNumId w:val="33"/>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920"/>
    <w:rsid w:val="000F354E"/>
    <w:rsid w:val="00154460"/>
    <w:rsid w:val="00172A27"/>
    <w:rsid w:val="00276CD5"/>
    <w:rsid w:val="002E7BF1"/>
    <w:rsid w:val="003D2994"/>
    <w:rsid w:val="0052321F"/>
    <w:rsid w:val="006A31A2"/>
    <w:rsid w:val="007756C6"/>
    <w:rsid w:val="007E782E"/>
    <w:rsid w:val="008B2982"/>
    <w:rsid w:val="00907638"/>
    <w:rsid w:val="00A0169B"/>
    <w:rsid w:val="00AE5DB4"/>
    <w:rsid w:val="00B01B75"/>
    <w:rsid w:val="00D2107B"/>
    <w:rsid w:val="00D22BB0"/>
    <w:rsid w:val="00D40855"/>
    <w:rsid w:val="00D730DF"/>
    <w:rsid w:val="00DA2F2F"/>
    <w:rsid w:val="00E31BA8"/>
    <w:rsid w:val="00E62C09"/>
    <w:rsid w:val="00F25C1E"/>
    <w:rsid w:val="00FF7BB1"/>
    <w:rsid w:val="010D74FD"/>
    <w:rsid w:val="011A030A"/>
    <w:rsid w:val="011A0D8B"/>
    <w:rsid w:val="02CA5230"/>
    <w:rsid w:val="038726D8"/>
    <w:rsid w:val="03E921F1"/>
    <w:rsid w:val="03F3740E"/>
    <w:rsid w:val="04871837"/>
    <w:rsid w:val="04C17114"/>
    <w:rsid w:val="05815BFE"/>
    <w:rsid w:val="05887898"/>
    <w:rsid w:val="06A61E8D"/>
    <w:rsid w:val="06E36A2C"/>
    <w:rsid w:val="06EB7F4D"/>
    <w:rsid w:val="074043CC"/>
    <w:rsid w:val="076C0274"/>
    <w:rsid w:val="07AB34E7"/>
    <w:rsid w:val="07D36A00"/>
    <w:rsid w:val="07DB59EB"/>
    <w:rsid w:val="09983402"/>
    <w:rsid w:val="0A043ABA"/>
    <w:rsid w:val="0AEC09F3"/>
    <w:rsid w:val="0C3A0C95"/>
    <w:rsid w:val="0C3E5385"/>
    <w:rsid w:val="0C96240B"/>
    <w:rsid w:val="0DCA5EB9"/>
    <w:rsid w:val="0E11445D"/>
    <w:rsid w:val="0E542351"/>
    <w:rsid w:val="0EBF2A43"/>
    <w:rsid w:val="0ED843CC"/>
    <w:rsid w:val="0F586326"/>
    <w:rsid w:val="0FB9297A"/>
    <w:rsid w:val="1120059C"/>
    <w:rsid w:val="11BD7546"/>
    <w:rsid w:val="12963DA1"/>
    <w:rsid w:val="12F372F0"/>
    <w:rsid w:val="13897526"/>
    <w:rsid w:val="13AB527B"/>
    <w:rsid w:val="13C2092A"/>
    <w:rsid w:val="14144139"/>
    <w:rsid w:val="148972D9"/>
    <w:rsid w:val="149B7751"/>
    <w:rsid w:val="150E31A1"/>
    <w:rsid w:val="15196B67"/>
    <w:rsid w:val="152E3223"/>
    <w:rsid w:val="153F7D0D"/>
    <w:rsid w:val="165063E4"/>
    <w:rsid w:val="16BD5BE8"/>
    <w:rsid w:val="16E67B0D"/>
    <w:rsid w:val="17EF172D"/>
    <w:rsid w:val="184F5A03"/>
    <w:rsid w:val="188B1EE6"/>
    <w:rsid w:val="188E10A8"/>
    <w:rsid w:val="1A1C1D7C"/>
    <w:rsid w:val="1B28649B"/>
    <w:rsid w:val="1BA36B7F"/>
    <w:rsid w:val="1BAD3E87"/>
    <w:rsid w:val="1C442C49"/>
    <w:rsid w:val="1C7A05D0"/>
    <w:rsid w:val="1C8937FB"/>
    <w:rsid w:val="1C984261"/>
    <w:rsid w:val="1C98707F"/>
    <w:rsid w:val="1C9A7F5C"/>
    <w:rsid w:val="1CCD19AC"/>
    <w:rsid w:val="1CFB3D7D"/>
    <w:rsid w:val="1D0B7646"/>
    <w:rsid w:val="1D8C3C92"/>
    <w:rsid w:val="1EAB0C6A"/>
    <w:rsid w:val="1EAF2912"/>
    <w:rsid w:val="1EEB2832"/>
    <w:rsid w:val="1F2B7CAE"/>
    <w:rsid w:val="20205A20"/>
    <w:rsid w:val="20855B55"/>
    <w:rsid w:val="209432E5"/>
    <w:rsid w:val="20C205EB"/>
    <w:rsid w:val="216F18A9"/>
    <w:rsid w:val="21D55A39"/>
    <w:rsid w:val="22180203"/>
    <w:rsid w:val="23132CC6"/>
    <w:rsid w:val="2322058C"/>
    <w:rsid w:val="235C2C2A"/>
    <w:rsid w:val="23777576"/>
    <w:rsid w:val="23946341"/>
    <w:rsid w:val="23DC4798"/>
    <w:rsid w:val="23F0067B"/>
    <w:rsid w:val="23FF1819"/>
    <w:rsid w:val="253036C5"/>
    <w:rsid w:val="256C4478"/>
    <w:rsid w:val="26976104"/>
    <w:rsid w:val="271C165B"/>
    <w:rsid w:val="27434D4C"/>
    <w:rsid w:val="27870460"/>
    <w:rsid w:val="28B74238"/>
    <w:rsid w:val="28B82533"/>
    <w:rsid w:val="28B83CA7"/>
    <w:rsid w:val="28E502F9"/>
    <w:rsid w:val="29363F06"/>
    <w:rsid w:val="29365CA3"/>
    <w:rsid w:val="295430DA"/>
    <w:rsid w:val="296F5B95"/>
    <w:rsid w:val="29903CA5"/>
    <w:rsid w:val="29DE0525"/>
    <w:rsid w:val="29EF70C8"/>
    <w:rsid w:val="29FF3146"/>
    <w:rsid w:val="2A221D03"/>
    <w:rsid w:val="2A3716AB"/>
    <w:rsid w:val="2ADE2A02"/>
    <w:rsid w:val="2AFA3C11"/>
    <w:rsid w:val="2B485DBB"/>
    <w:rsid w:val="2B8C0A94"/>
    <w:rsid w:val="2C165FD1"/>
    <w:rsid w:val="2C427C83"/>
    <w:rsid w:val="2D461CAA"/>
    <w:rsid w:val="2E0C0EE9"/>
    <w:rsid w:val="2E3D6CA4"/>
    <w:rsid w:val="2E7C3545"/>
    <w:rsid w:val="2EB35A8A"/>
    <w:rsid w:val="2F28730D"/>
    <w:rsid w:val="304862D7"/>
    <w:rsid w:val="310959FE"/>
    <w:rsid w:val="3109732A"/>
    <w:rsid w:val="315E5833"/>
    <w:rsid w:val="32080EDC"/>
    <w:rsid w:val="327109C2"/>
    <w:rsid w:val="32B71D27"/>
    <w:rsid w:val="33323300"/>
    <w:rsid w:val="34777EA9"/>
    <w:rsid w:val="348573AD"/>
    <w:rsid w:val="357E5409"/>
    <w:rsid w:val="35945D5F"/>
    <w:rsid w:val="35B3556B"/>
    <w:rsid w:val="35F5325E"/>
    <w:rsid w:val="360A76FC"/>
    <w:rsid w:val="36E2159A"/>
    <w:rsid w:val="371E73E3"/>
    <w:rsid w:val="37735188"/>
    <w:rsid w:val="378E51E8"/>
    <w:rsid w:val="37E81DE8"/>
    <w:rsid w:val="3848012E"/>
    <w:rsid w:val="39525C52"/>
    <w:rsid w:val="39A64D30"/>
    <w:rsid w:val="3A202424"/>
    <w:rsid w:val="3AA1195E"/>
    <w:rsid w:val="3AB04538"/>
    <w:rsid w:val="3AF460F5"/>
    <w:rsid w:val="3BEA5380"/>
    <w:rsid w:val="3C3F24CA"/>
    <w:rsid w:val="3D1C54C3"/>
    <w:rsid w:val="3D6C60E9"/>
    <w:rsid w:val="3D855C98"/>
    <w:rsid w:val="3EB25E79"/>
    <w:rsid w:val="3EC949BD"/>
    <w:rsid w:val="3FCB42E0"/>
    <w:rsid w:val="3FF2193A"/>
    <w:rsid w:val="405979F4"/>
    <w:rsid w:val="40BA2B58"/>
    <w:rsid w:val="41C73588"/>
    <w:rsid w:val="41EC43CC"/>
    <w:rsid w:val="41FF695D"/>
    <w:rsid w:val="42380575"/>
    <w:rsid w:val="42BD77D7"/>
    <w:rsid w:val="444B158A"/>
    <w:rsid w:val="44F75AAF"/>
    <w:rsid w:val="454A2BAB"/>
    <w:rsid w:val="45D4644E"/>
    <w:rsid w:val="46B72EB2"/>
    <w:rsid w:val="476A217A"/>
    <w:rsid w:val="47D3578E"/>
    <w:rsid w:val="48F33103"/>
    <w:rsid w:val="499E6F1D"/>
    <w:rsid w:val="4A1C7F69"/>
    <w:rsid w:val="4A4A7BE5"/>
    <w:rsid w:val="4A693618"/>
    <w:rsid w:val="4B315A79"/>
    <w:rsid w:val="4BC14EAA"/>
    <w:rsid w:val="4C050246"/>
    <w:rsid w:val="4C0F23A4"/>
    <w:rsid w:val="4C2D161D"/>
    <w:rsid w:val="4C6263AC"/>
    <w:rsid w:val="4C781AA7"/>
    <w:rsid w:val="4DC108F4"/>
    <w:rsid w:val="4ED24E8A"/>
    <w:rsid w:val="4F2C4F1E"/>
    <w:rsid w:val="4F406EC5"/>
    <w:rsid w:val="4F5624CB"/>
    <w:rsid w:val="4FD02F65"/>
    <w:rsid w:val="503A4EDE"/>
    <w:rsid w:val="50F81893"/>
    <w:rsid w:val="52832C8D"/>
    <w:rsid w:val="52A12FD1"/>
    <w:rsid w:val="52C56B4F"/>
    <w:rsid w:val="52E57CC3"/>
    <w:rsid w:val="5312550A"/>
    <w:rsid w:val="53DE69BF"/>
    <w:rsid w:val="54D723E8"/>
    <w:rsid w:val="550721D5"/>
    <w:rsid w:val="55A47060"/>
    <w:rsid w:val="55AC636A"/>
    <w:rsid w:val="55C15CC7"/>
    <w:rsid w:val="56123607"/>
    <w:rsid w:val="563648E8"/>
    <w:rsid w:val="56874EA6"/>
    <w:rsid w:val="56BE67A9"/>
    <w:rsid w:val="56EE7782"/>
    <w:rsid w:val="57830686"/>
    <w:rsid w:val="57C96345"/>
    <w:rsid w:val="58020827"/>
    <w:rsid w:val="581808D2"/>
    <w:rsid w:val="58941028"/>
    <w:rsid w:val="58A44110"/>
    <w:rsid w:val="5927169E"/>
    <w:rsid w:val="5B3A4C3E"/>
    <w:rsid w:val="5B884B96"/>
    <w:rsid w:val="5D090FC9"/>
    <w:rsid w:val="5EBE42B6"/>
    <w:rsid w:val="5FA2526B"/>
    <w:rsid w:val="5FF61953"/>
    <w:rsid w:val="600E54F4"/>
    <w:rsid w:val="607B75C7"/>
    <w:rsid w:val="60A827A3"/>
    <w:rsid w:val="60D51A59"/>
    <w:rsid w:val="60E82224"/>
    <w:rsid w:val="61B17DFE"/>
    <w:rsid w:val="61EC2017"/>
    <w:rsid w:val="62847EA7"/>
    <w:rsid w:val="62DB637F"/>
    <w:rsid w:val="62FD5017"/>
    <w:rsid w:val="63296CF6"/>
    <w:rsid w:val="63532130"/>
    <w:rsid w:val="63D615FE"/>
    <w:rsid w:val="640B7333"/>
    <w:rsid w:val="6469117D"/>
    <w:rsid w:val="64871562"/>
    <w:rsid w:val="64EC6C5A"/>
    <w:rsid w:val="65362BE1"/>
    <w:rsid w:val="653D7AF3"/>
    <w:rsid w:val="65A83D79"/>
    <w:rsid w:val="65B119A5"/>
    <w:rsid w:val="66650406"/>
    <w:rsid w:val="670E76D1"/>
    <w:rsid w:val="67D77C44"/>
    <w:rsid w:val="6A6D318E"/>
    <w:rsid w:val="6A90444F"/>
    <w:rsid w:val="6A930078"/>
    <w:rsid w:val="6AFC4C50"/>
    <w:rsid w:val="6AFF6DD9"/>
    <w:rsid w:val="6B2031BA"/>
    <w:rsid w:val="6B6721F6"/>
    <w:rsid w:val="6B7A60D6"/>
    <w:rsid w:val="6B9F6D44"/>
    <w:rsid w:val="6BFB449F"/>
    <w:rsid w:val="6C203A9A"/>
    <w:rsid w:val="6C385BB0"/>
    <w:rsid w:val="6CB75CCD"/>
    <w:rsid w:val="6D2D26D4"/>
    <w:rsid w:val="6D401BEB"/>
    <w:rsid w:val="6E4B4C61"/>
    <w:rsid w:val="6EEB1850"/>
    <w:rsid w:val="70184EA3"/>
    <w:rsid w:val="70CB53E1"/>
    <w:rsid w:val="714E12CF"/>
    <w:rsid w:val="72242BD8"/>
    <w:rsid w:val="7259341C"/>
    <w:rsid w:val="734521A8"/>
    <w:rsid w:val="73707E67"/>
    <w:rsid w:val="737F0633"/>
    <w:rsid w:val="73BB7095"/>
    <w:rsid w:val="741F0C23"/>
    <w:rsid w:val="746F4F50"/>
    <w:rsid w:val="748F3308"/>
    <w:rsid w:val="74B17C7D"/>
    <w:rsid w:val="74BC7F66"/>
    <w:rsid w:val="74DD127A"/>
    <w:rsid w:val="75686B98"/>
    <w:rsid w:val="75A05D13"/>
    <w:rsid w:val="76A00464"/>
    <w:rsid w:val="76A021B3"/>
    <w:rsid w:val="76B664D7"/>
    <w:rsid w:val="76E33575"/>
    <w:rsid w:val="76EB2B73"/>
    <w:rsid w:val="774A691F"/>
    <w:rsid w:val="77A33591"/>
    <w:rsid w:val="77D16924"/>
    <w:rsid w:val="782C2784"/>
    <w:rsid w:val="78326601"/>
    <w:rsid w:val="7B3A50B0"/>
    <w:rsid w:val="7BCA3B47"/>
    <w:rsid w:val="7C01614C"/>
    <w:rsid w:val="7C022B03"/>
    <w:rsid w:val="7D793C28"/>
    <w:rsid w:val="7D8C0F6F"/>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qFormat/>
    <w:uiPriority w:val="0"/>
    <w:rPr>
      <w:sz w:val="21"/>
      <w:szCs w:val="21"/>
    </w:rPr>
  </w:style>
  <w:style w:type="paragraph" w:customStyle="1" w:styleId="18">
    <w:name w:val="Table Paragraph"/>
    <w:basedOn w:val="1"/>
    <w:qFormat/>
    <w:uiPriority w:val="1"/>
  </w:style>
  <w:style w:type="table" w:customStyle="1" w:styleId="19">
    <w:name w:val="Table Normal1"/>
    <w:unhideWhenUsed/>
    <w:qFormat/>
    <w:uiPriority w:val="2"/>
    <w:tblPr>
      <w:tblCellMar>
        <w:top w:w="0" w:type="dxa"/>
        <w:left w:w="0" w:type="dxa"/>
        <w:bottom w:w="0" w:type="dxa"/>
        <w:right w:w="0" w:type="dxa"/>
      </w:tblCellMar>
    </w:tblPr>
  </w:style>
  <w:style w:type="paragraph" w:customStyle="1" w:styleId="20">
    <w:name w:val="List Paragraph1"/>
    <w:basedOn w:val="1"/>
    <w:qFormat/>
    <w:uiPriority w:val="34"/>
    <w:rPr>
      <w:rFonts w:asciiTheme="minorHAnsi" w:hAnsiTheme="minorHAnsi" w:eastAsiaTheme="minorEastAsia" w:cstheme="minorBidi"/>
    </w:rPr>
  </w:style>
  <w:style w:type="paragraph" w:customStyle="1" w:styleId="21">
    <w:name w:val="标题1-1"/>
    <w:basedOn w:val="2"/>
    <w:next w:val="1"/>
    <w:qFormat/>
    <w:uiPriority w:val="1"/>
    <w:pPr>
      <w:numPr>
        <w:numId w:val="3"/>
      </w:numPr>
    </w:pPr>
    <w:rPr>
      <w:rFonts w:cs="Times New Roman"/>
      <w:bCs w:val="0"/>
      <w:color w:val="45A3A7"/>
    </w:rPr>
  </w:style>
  <w:style w:type="paragraph" w:customStyle="1" w:styleId="22">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3">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qFormat/>
    <w:uiPriority w:val="1"/>
    <w:pPr>
      <w:numPr>
        <w:numId w:val="5"/>
      </w:numPr>
    </w:pPr>
    <w:rPr>
      <w:rFonts w:cs="Times New Roman"/>
      <w:color w:val="416AAB"/>
      <w:szCs w:val="32"/>
    </w:rPr>
  </w:style>
  <w:style w:type="paragraph" w:customStyle="1" w:styleId="25">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qFormat/>
    <w:uiPriority w:val="0"/>
    <w:rPr>
      <w:rFonts w:asciiTheme="minorHAnsi" w:hAnsiTheme="minorHAnsi" w:eastAsiaTheme="minorHAnsi" w:cstheme="minorBidi"/>
      <w:lang w:val="en-US" w:eastAsia="zh-CN" w:bidi="ar-SA"/>
    </w:rPr>
  </w:style>
  <w:style w:type="paragraph" w:customStyle="1" w:styleId="27">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unhideWhenUsed/>
    <w:qFormat/>
    <w:uiPriority w:val="34"/>
    <w:pPr>
      <w:spacing w:before="42"/>
      <w:ind w:left="1699" w:hanging="380"/>
    </w:pPr>
    <w:rPr>
      <w:sz w:val="24"/>
    </w:rPr>
  </w:style>
  <w:style w:type="paragraph" w:styleId="2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3.emf"/><Relationship Id="rId30" Type="http://schemas.openxmlformats.org/officeDocument/2006/relationships/image" Target="media/image22.emf"/><Relationship Id="rId3" Type="http://schemas.openxmlformats.org/officeDocument/2006/relationships/header" Target="header1.xml"/><Relationship Id="rId29" Type="http://schemas.openxmlformats.org/officeDocument/2006/relationships/image" Target="media/image21.emf"/><Relationship Id="rId28" Type="http://schemas.openxmlformats.org/officeDocument/2006/relationships/image" Target="media/image20.emf"/><Relationship Id="rId27" Type="http://schemas.openxmlformats.org/officeDocument/2006/relationships/image" Target="media/image19.emf"/><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26.jpeg"/><Relationship Id="rId2" Type="http://schemas.openxmlformats.org/officeDocument/2006/relationships/image" Target="media/image25.jpeg"/><Relationship Id="rId1" Type="http://schemas.openxmlformats.org/officeDocument/2006/relationships/image" Target="media/image2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24081</Words>
  <Characters>137266</Characters>
  <Lines>1143</Lines>
  <Paragraphs>322</Paragraphs>
  <TotalTime>8</TotalTime>
  <ScaleCrop>false</ScaleCrop>
  <LinksUpToDate>false</LinksUpToDate>
  <CharactersWithSpaces>161025</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孤身一人</cp:lastModifiedBy>
  <dcterms:modified xsi:type="dcterms:W3CDTF">2021-07-15T09:17:01Z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E6F4CE932BFD42D3BC93CBBA280F6C5A</vt:lpwstr>
  </property>
</Properties>
</file>