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left"/>
              <w:rPr>
                <w:rFonts w:ascii="Times New Roman" w:hAnsi="Times New Roman" w:eastAsia="微软雅黑" w:cs="Times New Roman"/>
                <w:b/>
                <w:bCs/>
                <w:color w:val="1F497D"/>
                <w:sz w:val="36"/>
                <w:szCs w:val="36"/>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rPr>
              <w:t>三峡</w:t>
            </w:r>
            <w:r>
              <w:rPr>
                <w:rFonts w:ascii="黑体" w:hAnsi="黑体" w:eastAsia="黑体" w:cs="黑体"/>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jc w:val="both"/>
              <w:rPr>
                <w:rFonts w:ascii="Times New Roman" w:hAnsi="Times New Roman" w:eastAsia="微软雅黑" w:cs="Times New Roman"/>
                <w:b/>
                <w:bCs/>
                <w:color w:val="1F497D"/>
                <w:sz w:val="36"/>
                <w:szCs w:val="36"/>
              </w:rPr>
            </w:pPr>
            <w:r>
              <w:rPr>
                <w:rFonts w:hint="eastAsia" w:ascii="黑体" w:hAnsi="黑体" w:eastAsia="黑体" w:cs="黑体"/>
                <w:b/>
                <w:bCs/>
                <w:color w:val="254061" w:themeColor="accent1" w:themeShade="80"/>
                <w:sz w:val="32"/>
                <w:szCs w:val="32"/>
              </w:rPr>
              <w:t>脑胶质瘤200基因检测报告{% if PDInfo != undefined %}（含PD-L1）{% endif %}</w:t>
            </w:r>
          </w:p>
        </w:tc>
      </w:tr>
    </w:tbl>
    <w:p w14:paraId="083364A5">
      <w:pPr>
        <w:jc w:val="both"/>
        <w:rPr>
          <w:rFonts w:hint="eastAsia" w:ascii="微软雅黑" w:hAnsi="微软雅黑" w:eastAsia="微软雅黑" w:cs="微软雅黑"/>
          <w:b/>
          <w:bCs/>
          <w:color w:val="1F497D"/>
          <w:sz w:val="24"/>
          <w:szCs w:val="24"/>
        </w:rPr>
      </w:pPr>
    </w:p>
    <w:p w14:paraId="36A8CB9C">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42799BB">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497E5F5">
            <w:pPr>
              <w:widowControl/>
              <w:jc w:val="center"/>
              <w:textAlignment w:val="center"/>
              <w:rPr>
                <w:rFonts w:hint="eastAsia"/>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25DAA04">
            <w:pPr>
              <w:widowControl/>
              <w:jc w:val="center"/>
              <w:textAlignment w:val="center"/>
              <w:rPr>
                <w:rFonts w:hint="eastAsia"/>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E503644">
            <w:pPr>
              <w:widowControl/>
              <w:jc w:val="center"/>
              <w:textAlignment w:val="center"/>
              <w:rPr>
                <w:rFonts w:hint="eastAsia"/>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63EAE3D">
            <w:pPr>
              <w:widowControl/>
              <w:jc w:val="center"/>
              <w:textAlignment w:val="center"/>
              <w:rPr>
                <w:rFonts w:hint="eastAsia"/>
                <w:b/>
                <w:color w:val="000000"/>
                <w:sz w:val="21"/>
                <w:szCs w:val="21"/>
                <w:lang w:bidi="ar"/>
              </w:rPr>
            </w:pPr>
            <w:r>
              <w:rPr>
                <w:rFonts w:hint="eastAsia"/>
                <w:b/>
                <w:color w:val="000000"/>
                <w:sz w:val="21"/>
                <w:szCs w:val="21"/>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AF2469">
            <w:pPr>
              <w:widowControl/>
              <w:jc w:val="center"/>
              <w:textAlignment w:val="center"/>
              <w:rPr>
                <w:rFonts w:hint="eastAsia"/>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14D092">
            <w:pPr>
              <w:widowControl/>
              <w:jc w:val="center"/>
              <w:textAlignment w:val="center"/>
              <w:rPr>
                <w:rFonts w:hint="eastAsia"/>
                <w:b/>
                <w:color w:val="000000"/>
                <w:sz w:val="21"/>
                <w:szCs w:val="21"/>
                <w:lang w:bidi="ar"/>
              </w:rPr>
            </w:pPr>
            <w:r>
              <w:rPr>
                <w:rFonts w:ascii="Times New Roman" w:hAnsi="Times New Roman" w:cs="Times New Roman"/>
                <w:b/>
                <w:color w:val="000000"/>
                <w:sz w:val="21"/>
                <w:szCs w:val="21"/>
              </w:rPr>
              <w:t>{{ age }}</w:t>
            </w:r>
            <w:r>
              <w:rPr>
                <w:rFonts w:ascii="Times New Roman" w:hAnsi="Times New Roman" w:cs="Times New Roman"/>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9257C5">
            <w:pPr>
              <w:widowControl/>
              <w:jc w:val="center"/>
              <w:textAlignment w:val="center"/>
              <w:rPr>
                <w:rFonts w:hint="eastAsia"/>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93DD52A">
            <w:pPr>
              <w:widowControl/>
              <w:jc w:val="center"/>
              <w:textAlignment w:val="center"/>
              <w:rPr>
                <w:rFonts w:ascii="Times New Roman" w:hAnsi="Times New Roman" w:cs="Times New Roman"/>
                <w:b/>
                <w:bCs/>
                <w:kern w:val="2"/>
              </w:rPr>
            </w:pPr>
            <w:r>
              <w:rPr>
                <w:rFonts w:hint="eastAsia"/>
                <w:b/>
                <w:bCs/>
                <w:kern w:val="2"/>
              </w:rPr>
              <w:t>{{ hospital }}</w:t>
            </w:r>
          </w:p>
        </w:tc>
      </w:tr>
      <w:tr w14:paraId="31E78B77">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E415CDE">
            <w:pPr>
              <w:widowControl/>
              <w:jc w:val="center"/>
              <w:textAlignment w:val="center"/>
              <w:rPr>
                <w:rFonts w:hint="eastAsia"/>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C94AADB">
            <w:pPr>
              <w:widowControl/>
              <w:jc w:val="center"/>
              <w:textAlignment w:val="center"/>
              <w:rPr>
                <w:rFonts w:hint="eastAsia"/>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E6B774A">
            <w:pPr>
              <w:widowControl/>
              <w:jc w:val="center"/>
              <w:textAlignment w:val="center"/>
              <w:rPr>
                <w:rFonts w:hint="eastAsia"/>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BCC22A9">
            <w:pPr>
              <w:jc w:val="center"/>
              <w:rPr>
                <w:rFonts w:hint="eastAsia"/>
                <w:b/>
                <w:color w:val="000000"/>
                <w:sz w:val="21"/>
                <w:szCs w:val="21"/>
                <w:lang w:bidi="ar"/>
              </w:rPr>
            </w:pPr>
            <w:r>
              <w:rPr>
                <w:rFonts w:hint="eastAsia"/>
                <w:b/>
                <w:color w:val="000000"/>
                <w:sz w:val="21"/>
                <w:szCs w:val="21"/>
                <w:lang w:bidi="ar"/>
              </w:rPr>
              <w:t>{{ bed }}</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15A5987">
            <w:pPr>
              <w:widowControl/>
              <w:jc w:val="center"/>
              <w:textAlignment w:val="center"/>
              <w:rPr>
                <w:rFonts w:hint="eastAsia"/>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7229695B">
            <w:pPr>
              <w:widowControl/>
              <w:jc w:val="center"/>
              <w:textAlignment w:val="center"/>
              <w:rPr>
                <w:rFonts w:hint="eastAsia"/>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39BBB5AE">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135A428">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6770359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1ADE34AA">
            <w:pPr>
              <w:widowControl/>
              <w:jc w:val="center"/>
              <w:textAlignment w:val="center"/>
              <w:rPr>
                <w:rFonts w:hint="eastAsia"/>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972ED4">
            <w:pPr>
              <w:widowControl/>
              <w:jc w:val="center"/>
              <w:textAlignment w:val="center"/>
              <w:rPr>
                <w:rFonts w:hint="eastAsia"/>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7EC6963">
            <w:pPr>
              <w:widowControl/>
              <w:jc w:val="center"/>
              <w:textAlignment w:val="center"/>
              <w:rPr>
                <w:rFonts w:hint="eastAsia"/>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393C3CB">
            <w:pPr>
              <w:widowControl/>
              <w:jc w:val="center"/>
              <w:textAlignment w:val="center"/>
              <w:rPr>
                <w:rFonts w:hint="eastAsia"/>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6CB31DE">
            <w:pPr>
              <w:widowControl/>
              <w:jc w:val="center"/>
              <w:textAlignment w:val="center"/>
              <w:rPr>
                <w:rFonts w:hint="eastAsia"/>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C44D370">
            <w:pPr>
              <w:widowControl/>
              <w:jc w:val="center"/>
              <w:textAlignment w:val="center"/>
              <w:rPr>
                <w:rFonts w:hint="eastAsia"/>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0E83EB50">
      <w:pPr>
        <w:rPr>
          <w:rFonts w:hint="eastAsia" w:ascii="微软雅黑" w:hAnsi="微软雅黑" w:eastAsia="微软雅黑" w:cs="微软雅黑"/>
        </w:rPr>
      </w:pPr>
    </w:p>
    <w:p w14:paraId="6A71A04F">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6701BD3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0BC5EC75">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638431BE">
            <w:pPr>
              <w:pStyle w:val="17"/>
              <w:rPr>
                <w:rFonts w:hint="eastAsia" w:asciiTheme="minorEastAsia" w:hAnsiTheme="minorEastAsia" w:eastAsiaTheme="minorEastAsia"/>
                <w:sz w:val="21"/>
                <w:szCs w:val="21"/>
              </w:rPr>
            </w:pPr>
            <w:r>
              <w:rPr>
                <w:rFonts w:hint="eastAsia" w:asciiTheme="minorEastAsia" w:hAnsiTheme="minorEastAsia" w:eastAsiaTheme="minorEastAsia"/>
                <w:sz w:val="21"/>
                <w:szCs w:val="21"/>
              </w:rPr>
              <w:t>脑胶质瘤200基因检测{% if PDInfo != undefined %}（含PD-L1）{% endif %}</w:t>
            </w:r>
          </w:p>
        </w:tc>
      </w:tr>
      <w:tr w14:paraId="058B267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3E5F31A0">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428BABA5">
            <w:pPr>
              <w:pStyle w:val="17"/>
              <w:rPr>
                <w:rFonts w:hint="eastAsia"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sz w:val="21"/>
                <w:szCs w:val="21"/>
              </w:rPr>
              <w:t>肿瘤细胞含量</w:t>
            </w:r>
            <w:r>
              <w:rPr>
                <w:rFonts w:hint="eastAsia"/>
                <w:sz w:val="21"/>
                <w:szCs w:val="21"/>
              </w:rPr>
              <w:t xml:space="preserve">：{% if summaryOfRresults.type == </w:t>
            </w:r>
            <w:r>
              <w:rPr>
                <w:sz w:val="21"/>
                <w:szCs w:val="21"/>
              </w:rPr>
              <w:t>“tissue”</w:t>
            </w:r>
            <w:r>
              <w:rPr>
                <w:rFonts w:hint="eastAsia"/>
                <w:sz w:val="21"/>
                <w:szCs w:val="21"/>
              </w:rPr>
              <w:t xml:space="preserve"> %}≥1</w:t>
            </w:r>
            <w:r>
              <w:rPr>
                <w:sz w:val="21"/>
                <w:szCs w:val="21"/>
              </w:rPr>
              <w:t>0</w:t>
            </w:r>
            <w:r>
              <w:rPr>
                <w:rFonts w:hint="eastAsia"/>
                <w:sz w:val="21"/>
                <w:szCs w:val="21"/>
              </w:rPr>
              <w:t>%{% else %}-{% endif %}</w:t>
            </w:r>
          </w:p>
        </w:tc>
      </w:tr>
      <w:tr w14:paraId="41E6A07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7D9A75A4">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检测方法</w:t>
            </w:r>
          </w:p>
        </w:tc>
        <w:tc>
          <w:tcPr>
            <w:tcW w:w="8488" w:type="dxa"/>
            <w:vAlign w:val="center"/>
          </w:tcPr>
          <w:p w14:paraId="288F0DFC">
            <w:pPr>
              <w:pStyle w:val="17"/>
              <w:rPr>
                <w:rFonts w:hint="eastAsia"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高通量测序（NGS）</w:t>
            </w:r>
          </w:p>
        </w:tc>
      </w:tr>
      <w:tr w14:paraId="1556787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tcPr>
          <w:p w14:paraId="5AD0336E">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299380D1">
            <w:pPr>
              <w:pStyle w:val="17"/>
              <w:spacing w:line="260" w:lineRule="exact"/>
              <w:rPr>
                <w:rFonts w:hint="eastAsia"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本</w:t>
            </w:r>
            <w:r>
              <w:rPr>
                <w:rFonts w:hint="eastAsia" w:asciiTheme="minorEastAsia" w:hAnsiTheme="minorEastAsia" w:eastAsiaTheme="minorEastAsia"/>
                <w:color w:val="000000" w:themeColor="text1"/>
                <w:sz w:val="21"/>
                <w:szCs w:val="21"/>
                <w14:textFill>
                  <w14:solidFill>
                    <w14:schemeClr w14:val="tx1"/>
                  </w14:solidFill>
                </w14:textFill>
              </w:rPr>
              <w:t>检测项目为脑胶质瘤200基因检测，针</w:t>
            </w:r>
            <w:r>
              <w:rPr>
                <w:rFonts w:asciiTheme="minorEastAsia" w:hAnsiTheme="minorEastAsia" w:eastAsiaTheme="minorEastAsia"/>
                <w:color w:val="000000" w:themeColor="text1"/>
                <w:sz w:val="21"/>
                <w:szCs w:val="21"/>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14:textFill>
                  <w14:solidFill>
                    <w14:schemeClr w14:val="tx1"/>
                  </w14:solidFill>
                </w14:textFill>
              </w:rPr>
              <w:t>200</w:t>
            </w:r>
            <w:r>
              <w:rPr>
                <w:rFonts w:asciiTheme="minorEastAsia" w:hAnsiTheme="minorEastAsia" w:eastAsiaTheme="minorEastAsia"/>
                <w:color w:val="000000" w:themeColor="text1"/>
                <w:sz w:val="21"/>
                <w:szCs w:val="21"/>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14:textFill>
                  <w14:solidFill>
                    <w14:schemeClr w14:val="tx1"/>
                  </w14:solidFill>
                </w14:textFill>
              </w:rPr>
              <w:t>{% if PDInfo != undefined %}，同时，本项目也通过免疫组化检测PD-L1表达情况{% endif %}。</w:t>
            </w:r>
            <w:r>
              <w:rPr>
                <w:rFonts w:asciiTheme="minorEastAsia" w:hAnsiTheme="minorEastAsia" w:eastAsiaTheme="minorEastAsia"/>
                <w:color w:val="000000" w:themeColor="text1"/>
                <w:sz w:val="21"/>
                <w:szCs w:val="21"/>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14:textFill>
                  <w14:solidFill>
                    <w14:schemeClr w14:val="tx1"/>
                  </w14:solidFill>
                </w14:textFill>
              </w:rPr>
              <w:t>（SNV）</w:t>
            </w:r>
            <w:r>
              <w:rPr>
                <w:rFonts w:asciiTheme="minorEastAsia" w:hAnsiTheme="minorEastAsia" w:eastAsiaTheme="minorEastAsia"/>
                <w:color w:val="000000" w:themeColor="text1"/>
                <w:sz w:val="21"/>
                <w:szCs w:val="21"/>
                <w14:textFill>
                  <w14:solidFill>
                    <w14:schemeClr w14:val="tx1"/>
                  </w14:solidFill>
                </w14:textFill>
              </w:rPr>
              <w:t>、小片段插入缺失</w:t>
            </w:r>
            <w:r>
              <w:rPr>
                <w:rFonts w:hint="eastAsia" w:asciiTheme="minorEastAsia" w:hAnsiTheme="minorEastAsia" w:eastAsiaTheme="minorEastAsia"/>
                <w:color w:val="000000" w:themeColor="text1"/>
                <w:sz w:val="21"/>
                <w:szCs w:val="21"/>
                <w14:textFill>
                  <w14:solidFill>
                    <w14:schemeClr w14:val="tx1"/>
                  </w14:solidFill>
                </w14:textFill>
              </w:rPr>
              <w:t>（INDEL）</w:t>
            </w:r>
            <w:r>
              <w:rPr>
                <w:rFonts w:asciiTheme="minorEastAsia" w:hAnsiTheme="minorEastAsia" w:eastAsiaTheme="minorEastAsia"/>
                <w:color w:val="000000" w:themeColor="text1"/>
                <w:sz w:val="21"/>
                <w:szCs w:val="21"/>
                <w14:textFill>
                  <w14:solidFill>
                    <w14:schemeClr w14:val="tx1"/>
                  </w14:solidFill>
                </w14:textFill>
              </w:rPr>
              <w:t>、拷贝数变异</w:t>
            </w:r>
            <w:r>
              <w:rPr>
                <w:rFonts w:hint="eastAsia" w:asciiTheme="minorEastAsia" w:hAnsiTheme="minorEastAsia" w:eastAsiaTheme="minorEastAsia"/>
                <w:color w:val="000000" w:themeColor="text1"/>
                <w:sz w:val="21"/>
                <w:szCs w:val="21"/>
                <w14:textFill>
                  <w14:solidFill>
                    <w14:schemeClr w14:val="tx1"/>
                  </w14:solidFill>
                </w14:textFill>
              </w:rPr>
              <w:t>（CNV）</w:t>
            </w:r>
            <w:r>
              <w:rPr>
                <w:rFonts w:asciiTheme="minorEastAsia" w:hAnsiTheme="minorEastAsia" w:eastAsiaTheme="minorEastAsia"/>
                <w:color w:val="000000" w:themeColor="text1"/>
                <w:sz w:val="21"/>
                <w:szCs w:val="21"/>
                <w14:textFill>
                  <w14:solidFill>
                    <w14:schemeClr w14:val="tx1"/>
                  </w14:solidFill>
                </w14:textFill>
              </w:rPr>
              <w:t>以及融合</w:t>
            </w:r>
            <w:r>
              <w:rPr>
                <w:rFonts w:hint="eastAsia" w:asciiTheme="minorEastAsia" w:hAnsiTheme="minorEastAsia" w:eastAsiaTheme="minorEastAsia"/>
                <w:color w:val="000000" w:themeColor="text1"/>
                <w:sz w:val="21"/>
                <w:szCs w:val="21"/>
                <w14:textFill>
                  <w14:solidFill>
                    <w14:schemeClr w14:val="tx1"/>
                  </w14:solidFill>
                </w14:textFill>
              </w:rPr>
              <w:t>（FUSION）</w:t>
            </w:r>
            <w:r>
              <w:rPr>
                <w:rFonts w:asciiTheme="minorEastAsia" w:hAnsiTheme="minorEastAsia" w:eastAsiaTheme="minorEastAsia"/>
                <w:color w:val="000000" w:themeColor="text1"/>
                <w:sz w:val="21"/>
                <w:szCs w:val="21"/>
                <w14:textFill>
                  <w14:solidFill>
                    <w14:schemeClr w14:val="tx1"/>
                  </w14:solidFill>
                </w14:textFill>
              </w:rPr>
              <w:t>。</w:t>
            </w:r>
          </w:p>
          <w:p w14:paraId="3D222448">
            <w:pPr>
              <w:pStyle w:val="17"/>
              <w:spacing w:line="260" w:lineRule="exact"/>
              <w:rPr>
                <w:rFonts w:hint="eastAsia"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本报告分析基因变异与脑胶质瘤分子分型诊断预后、靶向药物、免疫药物、化疗药物和遗传风险的相关性，给出靶向药物（FDA/NMPA批准药物、临床试验药物等）、化疗药物的用药提示信息，从而为临床制定治疗方案提供参考信息。</w:t>
            </w:r>
          </w:p>
        </w:tc>
      </w:tr>
    </w:tbl>
    <w:p w14:paraId="04880570">
      <w:pPr>
        <w:rPr>
          <w:rFonts w:ascii="Times New Roman" w:hAnsi="Times New Roman" w:eastAsia="微软雅黑" w:cs="Times New Roman"/>
        </w:rPr>
      </w:pPr>
    </w:p>
    <w:p w14:paraId="05F4E0A1">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脑胶质瘤相关分子标记物检测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共检出{{ summaryOfRresults.brainGliomaSize }}个与脑胶质瘤诊断预后相关的分子标志物</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tcBorders>
              <w:tl2br w:val="nil"/>
              <w:tr2bl w:val="nil"/>
            </w:tcBorders>
            <w:shd w:val="clear" w:color="auto" w:fill="auto"/>
            <w:vAlign w:val="center"/>
          </w:tcPr>
          <w:p w14:paraId="6624D33D">
            <w:pPr>
              <w:ind w:left="119"/>
              <w:rPr>
                <w:rFonts w:ascii="Times New Roman" w:hAnsi="Times New Roman" w:eastAsia="微软雅黑" w:cs="黑体"/>
                <w:sz w:val="21"/>
              </w:rPr>
            </w:pPr>
            <w:r>
              <w:rPr>
                <w:rFonts w:ascii="Times New Roman" w:hAnsi="Times New Roman" w:eastAsia="微软雅黑" w:cs="黑体"/>
                <w:sz w:val="21"/>
              </w:rPr>
              <w:t>微卫星不稳定性（MSI）</w:t>
            </w:r>
          </w:p>
        </w:tc>
        <w:tc>
          <w:tcPr>
            <w:tcW w:w="5273" w:type="dxa"/>
            <w:tcBorders>
              <w:tl2br w:val="nil"/>
              <w:tr2bl w:val="nil"/>
            </w:tcBorders>
            <w:shd w:val="clear" w:color="auto" w:fill="auto"/>
            <w:vAlign w:val="center"/>
          </w:tcPr>
          <w:p w14:paraId="2DC8B03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B77303">
            <w:pPr>
              <w:ind w:left="119"/>
              <w:rPr>
                <w:rFonts w:ascii="Times New Roman" w:hAnsi="Times New Roman" w:eastAsia="微软雅黑" w:cs="黑体"/>
                <w:sz w:val="21"/>
              </w:rPr>
            </w:pPr>
            <w:r>
              <w:rPr>
                <w:rFonts w:hint="eastAsia" w:ascii="Times New Roman" w:hAnsi="Times New Roman" w:eastAsia="微软雅黑" w:cs="黑体"/>
                <w:sz w:val="21"/>
              </w:rPr>
              <w:t>错配修复（MMR）基因</w:t>
            </w:r>
          </w:p>
        </w:tc>
        <w:tc>
          <w:tcPr>
            <w:tcW w:w="5273" w:type="dxa"/>
            <w:tcBorders>
              <w:tl2br w:val="nil"/>
              <w:tr2bl w:val="nil"/>
            </w:tcBorders>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1A3BC6B">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rPr>
            </w:pPr>
            <w:r>
              <w:rPr>
                <w:rFonts w:ascii="Times New Roman" w:hAnsi="Times New Roman" w:eastAsia="微软雅黑" w:cs="黑体"/>
                <w:sz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rPr>
            </w:pPr>
            <w:r>
              <w:rPr>
                <w:rFonts w:ascii="Times New Roman" w:hAnsi="Times New Roman" w:eastAsia="微软雅黑" w:cs="Times New Roman"/>
                <w:sz w:val="21"/>
                <w:szCs w:val="21"/>
              </w:rPr>
              <w:t>详见“化疗药物检测解析”部分</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319AC434">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本报告为基因检测结果，基因、药物等信息列举未按照重要性排序。</w:t>
      </w:r>
    </w:p>
    <w:p w14:paraId="1965D19D">
      <w:pPr>
        <w:numPr>
          <w:ilvl w:val="0"/>
          <w:numId w:val="2"/>
        </w:numPr>
        <w:ind w:left="330" w:leftChars="150"/>
        <w:rPr>
          <w:rFonts w:hint="eastAsia" w:ascii="微软雅黑" w:hAnsi="微软雅黑" w:eastAsia="微软雅黑" w:cs="微软雅黑"/>
          <w:sz w:val="18"/>
          <w:szCs w:val="18"/>
          <w:lang w:bidi="ar"/>
        </w:rPr>
      </w:pPr>
      <w:r>
        <w:rPr>
          <w:rFonts w:ascii="Times New Roman" w:hAnsi="Times New Roman" w:eastAsia="微软雅黑" w:cs="Times New Roman"/>
          <w:sz w:val="18"/>
          <w:szCs w:val="18"/>
        </w:rPr>
        <w:t>检测结果仅供科学研究和临床用药参考，具体治疗方案请咨询主治医生。</w:t>
      </w:r>
    </w:p>
    <w:p w14:paraId="72273BE3">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本报告只对本次采集样本负责。</w:t>
      </w:r>
    </w:p>
    <w:p w14:paraId="6C093537">
      <w:pPr>
        <w:rPr>
          <w:rFonts w:hint="eastAsia" w:ascii="微软雅黑" w:hAnsi="微软雅黑" w:eastAsia="微软雅黑" w:cs="微软雅黑"/>
          <w:b/>
          <w:bCs/>
          <w:color w:val="00B050"/>
          <w:sz w:val="28"/>
          <w:szCs w:val="36"/>
          <w:lang w:eastAsia="zh-CN"/>
        </w:rPr>
      </w:pPr>
    </w:p>
    <w:p w14:paraId="7678B497">
      <w:pPr>
        <w:rPr>
          <w:rFonts w:hint="eastAsia" w:ascii="微软雅黑" w:hAnsi="微软雅黑" w:eastAsia="微软雅黑" w:cs="微软雅黑"/>
          <w:b/>
          <w:bCs/>
          <w:color w:val="00B050"/>
          <w:sz w:val="28"/>
          <w:szCs w:val="36"/>
          <w:lang w:eastAsia="zh-CN"/>
        </w:rPr>
      </w:pPr>
    </w:p>
    <w:p w14:paraId="134BCC25">
      <w:pPr>
        <w:outlineLvl w:val="1"/>
        <w:rPr>
          <w:rFonts w:ascii="Times New Roman" w:hAnsi="Times New Roman" w:eastAsia="微软雅黑" w:cs="黑体"/>
          <w:b/>
          <w:bCs/>
          <w:color w:val="244061"/>
          <w:sz w:val="32"/>
          <w:szCs w:val="32"/>
        </w:rPr>
      </w:pPr>
      <w:bookmarkStart w:id="4" w:name="_Toc2819"/>
      <w:bookmarkStart w:id="5" w:name="_Toc19898_WPSOffice_Level1"/>
      <w:bookmarkStart w:id="6" w:name="_Toc2781"/>
      <w:bookmarkStart w:id="7" w:name="_Toc20136_WPSOffice_Level1"/>
      <w:bookmarkStart w:id="8" w:name="_Toc22132"/>
      <w:bookmarkStart w:id="9" w:name="_Toc499"/>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bookmarkEnd w:id="3"/>
    <w:bookmarkEnd w:id="4"/>
    <w:bookmarkEnd w:id="5"/>
    <w:bookmarkEnd w:id="6"/>
    <w:bookmarkEnd w:id="7"/>
    <w:bookmarkEnd w:id="8"/>
    <w:bookmarkEnd w:id="9"/>
    <w:p w14:paraId="5DE3500D">
      <w:pPr>
        <w:pStyle w:val="3"/>
        <w:jc w:val="both"/>
        <w:rPr>
          <w:rFonts w:hint="eastAsia" w:ascii="微软雅黑" w:hAnsi="微软雅黑" w:eastAsia="微软雅黑" w:cs="微软雅黑"/>
          <w:color w:val="254061" w:themeColor="accent1" w:themeShade="80"/>
        </w:rPr>
      </w:pPr>
      <w:bookmarkStart w:id="10" w:name="_Toc23317"/>
      <w:bookmarkStart w:id="11" w:name="_Toc29369"/>
      <w:bookmarkStart w:id="12" w:name="_Toc18062_WPSOffice_Level2"/>
      <w:bookmarkStart w:id="13" w:name="_Toc3049"/>
      <w:bookmarkStart w:id="14" w:name="_Toc10877"/>
      <w:bookmarkStart w:id="15" w:name="_Toc11015_WPSOffice_Level2"/>
      <w:bookmarkStart w:id="16" w:name="_Toc9088"/>
      <w:bookmarkStart w:id="17" w:name="_Toc23375"/>
      <w:r>
        <w:rPr>
          <w:rFonts w:hint="eastAsia" w:ascii="微软雅黑" w:hAnsi="微软雅黑" w:eastAsia="微软雅黑" w:cs="微软雅黑"/>
          <w:color w:val="254061" w:themeColor="accent1" w:themeShade="80"/>
        </w:rPr>
        <w:t>1 脑胶质瘤相关分子标记物检测结果</w:t>
      </w:r>
      <w:bookmarkEnd w:id="10"/>
      <w:bookmarkEnd w:id="11"/>
    </w:p>
    <w:tbl>
      <w:tblPr>
        <w:tblStyle w:val="19"/>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6"/>
        <w:gridCol w:w="1546"/>
        <w:gridCol w:w="6269"/>
      </w:tblGrid>
      <w:tr w14:paraId="5A4C19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482EDCB">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分子标记物</w:t>
            </w:r>
          </w:p>
        </w:tc>
        <w:tc>
          <w:tcPr>
            <w:tcW w:w="1546" w:type="dxa"/>
            <w:tcBorders>
              <w:tl2br w:val="nil"/>
              <w:tr2bl w:val="nil"/>
            </w:tcBorders>
            <w:shd w:val="clear" w:color="auto" w:fill="auto"/>
            <w:vAlign w:val="center"/>
          </w:tcPr>
          <w:p w14:paraId="5DE9743D">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检测结果</w:t>
            </w:r>
          </w:p>
        </w:tc>
        <w:tc>
          <w:tcPr>
            <w:tcW w:w="6269" w:type="dxa"/>
            <w:tcBorders>
              <w:tl2br w:val="nil"/>
              <w:tr2bl w:val="nil"/>
            </w:tcBorders>
            <w:shd w:val="clear" w:color="auto" w:fill="auto"/>
            <w:vAlign w:val="center"/>
          </w:tcPr>
          <w:p w14:paraId="601D2CCA">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临床检测意义</w:t>
            </w:r>
          </w:p>
        </w:tc>
      </w:tr>
      <w:tr w14:paraId="1FF770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69CF2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MGMT </w:t>
            </w:r>
          </w:p>
          <w:p w14:paraId="5A3C02C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启动子甲基化</w:t>
            </w:r>
          </w:p>
        </w:tc>
        <w:tc>
          <w:tcPr>
            <w:tcW w:w="1546" w:type="dxa"/>
            <w:tcBorders>
              <w:tl2br w:val="nil"/>
              <w:tr2bl w:val="nil"/>
            </w:tcBorders>
            <w:shd w:val="clear" w:color="auto" w:fill="auto"/>
            <w:vAlign w:val="center"/>
          </w:tcPr>
          <w:p w14:paraId="4B4435D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bg.MGMT | mr() }}</w:t>
            </w:r>
          </w:p>
        </w:tc>
        <w:tc>
          <w:tcPr>
            <w:tcW w:w="6269" w:type="dxa"/>
            <w:tcBorders>
              <w:tl2br w:val="nil"/>
              <w:tr2bl w:val="nil"/>
            </w:tcBorders>
            <w:shd w:val="clear" w:color="auto" w:fill="auto"/>
            <w:vAlign w:val="center"/>
          </w:tcPr>
          <w:p w14:paraId="12D21189">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2CC12D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A33C5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染色体7+/10-</w:t>
            </w:r>
          </w:p>
        </w:tc>
        <w:tc>
          <w:tcPr>
            <w:tcW w:w="1546" w:type="dxa"/>
            <w:tcBorders>
              <w:tl2br w:val="nil"/>
              <w:tr2bl w:val="nil"/>
            </w:tcBorders>
            <w:shd w:val="clear" w:color="auto" w:fill="auto"/>
            <w:vAlign w:val="center"/>
          </w:tcPr>
          <w:p w14:paraId="7B4E694F">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bg.chr | mr() }}</w:t>
            </w:r>
          </w:p>
        </w:tc>
        <w:tc>
          <w:tcPr>
            <w:tcW w:w="6269" w:type="dxa"/>
            <w:tcBorders>
              <w:tl2br w:val="nil"/>
              <w:tr2bl w:val="nil"/>
            </w:tcBorders>
            <w:shd w:val="clear" w:color="auto" w:fill="auto"/>
            <w:vAlign w:val="center"/>
          </w:tcPr>
          <w:p w14:paraId="0A2AF337">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超过50%的IDH野生型低级别胶质瘤同时发生7号染色体的扩增和10号染色体的缺失（染色体7+/10-），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CB38E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A01C4C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1p/19q </w:t>
            </w:r>
          </w:p>
          <w:p w14:paraId="00E7B17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联合性缺失</w:t>
            </w:r>
          </w:p>
        </w:tc>
        <w:tc>
          <w:tcPr>
            <w:tcW w:w="1546" w:type="dxa"/>
            <w:tcBorders>
              <w:tl2br w:val="nil"/>
              <w:tr2bl w:val="nil"/>
            </w:tcBorders>
            <w:shd w:val="clear" w:color="auto" w:fill="auto"/>
            <w:vAlign w:val="center"/>
          </w:tcPr>
          <w:p w14:paraId="5390A0B0">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bg.pq | mr() }}</w:t>
            </w:r>
          </w:p>
        </w:tc>
        <w:tc>
          <w:tcPr>
            <w:tcW w:w="6269" w:type="dxa"/>
            <w:tcBorders>
              <w:tl2br w:val="nil"/>
              <w:tr2bl w:val="nil"/>
            </w:tcBorders>
            <w:shd w:val="clear" w:color="auto" w:fill="auto"/>
            <w:vAlign w:val="center"/>
          </w:tcPr>
          <w:p w14:paraId="6E715415">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07CF45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F6551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TERT </w:t>
            </w:r>
          </w:p>
          <w:p w14:paraId="4CFCCE38">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启动子突变</w:t>
            </w:r>
          </w:p>
        </w:tc>
        <w:tc>
          <w:tcPr>
            <w:tcW w:w="1546" w:type="dxa"/>
            <w:tcBorders>
              <w:tl2br w:val="nil"/>
              <w:tr2bl w:val="nil"/>
            </w:tcBorders>
            <w:shd w:val="clear" w:color="auto" w:fill="auto"/>
            <w:vAlign w:val="center"/>
          </w:tcPr>
          <w:p w14:paraId="19801409">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bg.TERT | mr() }}</w:t>
            </w:r>
          </w:p>
        </w:tc>
        <w:tc>
          <w:tcPr>
            <w:tcW w:w="6269" w:type="dxa"/>
            <w:tcBorders>
              <w:tl2br w:val="nil"/>
              <w:tr2bl w:val="nil"/>
            </w:tcBorders>
            <w:shd w:val="clear" w:color="auto" w:fill="auto"/>
            <w:vAlign w:val="center"/>
          </w:tcPr>
          <w:p w14:paraId="618D6101">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3FCB0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596B81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IDH1 突变</w:t>
            </w:r>
          </w:p>
        </w:tc>
        <w:tc>
          <w:tcPr>
            <w:tcW w:w="1546" w:type="dxa"/>
            <w:tcBorders>
              <w:tl2br w:val="nil"/>
              <w:tr2bl w:val="nil"/>
            </w:tcBorders>
            <w:shd w:val="clear" w:color="auto" w:fill="auto"/>
            <w:vAlign w:val="center"/>
          </w:tcPr>
          <w:p w14:paraId="7222035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bg.IDH1 | mr() }}</w:t>
            </w:r>
          </w:p>
        </w:tc>
        <w:tc>
          <w:tcPr>
            <w:tcW w:w="6269" w:type="dxa"/>
            <w:vMerge w:val="restart"/>
            <w:tcBorders>
              <w:tl2br w:val="nil"/>
              <w:tr2bl w:val="nil"/>
            </w:tcBorders>
            <w:shd w:val="clear" w:color="auto" w:fill="auto"/>
            <w:vAlign w:val="center"/>
          </w:tcPr>
          <w:p w14:paraId="1DE6A2B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BD58A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00CFC6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IDH2 突变</w:t>
            </w:r>
          </w:p>
        </w:tc>
        <w:tc>
          <w:tcPr>
            <w:tcW w:w="1546" w:type="dxa"/>
            <w:tcBorders>
              <w:tl2br w:val="nil"/>
              <w:tr2bl w:val="nil"/>
            </w:tcBorders>
            <w:shd w:val="clear" w:color="auto" w:fill="auto"/>
            <w:vAlign w:val="center"/>
          </w:tcPr>
          <w:p w14:paraId="0D3C526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bg.IDH2 | mr() }}</w:t>
            </w:r>
          </w:p>
        </w:tc>
        <w:tc>
          <w:tcPr>
            <w:tcW w:w="6269" w:type="dxa"/>
            <w:vMerge w:val="continue"/>
            <w:tcBorders>
              <w:tl2br w:val="nil"/>
              <w:tr2bl w:val="nil"/>
            </w:tcBorders>
            <w:shd w:val="clear" w:color="auto" w:fill="auto"/>
            <w:vAlign w:val="center"/>
          </w:tcPr>
          <w:p w14:paraId="5E317EAD">
            <w:pPr>
              <w:rPr>
                <w:rFonts w:hint="eastAsia" w:ascii="微软雅黑" w:hAnsi="微软雅黑" w:eastAsia="微软雅黑" w:cs="微软雅黑"/>
                <w:color w:val="000000"/>
                <w:sz w:val="21"/>
                <w:szCs w:val="21"/>
              </w:rPr>
            </w:pPr>
          </w:p>
        </w:tc>
      </w:tr>
      <w:tr w14:paraId="37C63C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A390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w:t>
            </w:r>
          </w:p>
        </w:tc>
        <w:tc>
          <w:tcPr>
            <w:tcW w:w="1546" w:type="dxa"/>
            <w:tcBorders>
              <w:tl2br w:val="nil"/>
              <w:tr2bl w:val="nil"/>
            </w:tcBorders>
            <w:shd w:val="clear" w:color="auto" w:fill="auto"/>
            <w:vAlign w:val="center"/>
          </w:tcPr>
          <w:p w14:paraId="39181469">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bg.ATRX | mr() }}</w:t>
            </w:r>
          </w:p>
        </w:tc>
        <w:tc>
          <w:tcPr>
            <w:tcW w:w="6269" w:type="dxa"/>
            <w:tcBorders>
              <w:tl2br w:val="nil"/>
              <w:tr2bl w:val="nil"/>
            </w:tcBorders>
            <w:shd w:val="clear" w:color="auto" w:fill="auto"/>
            <w:vAlign w:val="center"/>
          </w:tcPr>
          <w:p w14:paraId="6BD3CF5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4120B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B0F034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w:t>
            </w:r>
          </w:p>
        </w:tc>
        <w:tc>
          <w:tcPr>
            <w:tcW w:w="1546" w:type="dxa"/>
            <w:tcBorders>
              <w:tl2br w:val="nil"/>
              <w:tr2bl w:val="nil"/>
            </w:tcBorders>
            <w:shd w:val="clear" w:color="auto" w:fill="auto"/>
            <w:vAlign w:val="center"/>
          </w:tcPr>
          <w:p w14:paraId="19FCE0B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bg.EGFR | mr() }}</w:t>
            </w:r>
          </w:p>
        </w:tc>
        <w:tc>
          <w:tcPr>
            <w:tcW w:w="6269" w:type="dxa"/>
            <w:tcBorders>
              <w:tl2br w:val="nil"/>
              <w:tr2bl w:val="nil"/>
            </w:tcBorders>
            <w:shd w:val="clear" w:color="auto" w:fill="auto"/>
            <w:vAlign w:val="center"/>
          </w:tcPr>
          <w:p w14:paraId="1546330A">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扩增是 IDH 野生型胶质母细胞瘤的常见分子指标。EGFR 扩增的胶质母细胞瘤患者预后较差。</w:t>
            </w:r>
          </w:p>
        </w:tc>
      </w:tr>
      <w:tr w14:paraId="019688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F097BE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CDKN2A/B </w:t>
            </w:r>
          </w:p>
          <w:p w14:paraId="49E3E7F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缺失</w:t>
            </w:r>
          </w:p>
        </w:tc>
        <w:tc>
          <w:tcPr>
            <w:tcW w:w="1546" w:type="dxa"/>
            <w:tcBorders>
              <w:tl2br w:val="nil"/>
              <w:tr2bl w:val="nil"/>
            </w:tcBorders>
            <w:shd w:val="clear" w:color="auto" w:fill="auto"/>
            <w:vAlign w:val="center"/>
          </w:tcPr>
          <w:p w14:paraId="4748049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bg.CDKN2 | mr() }}</w:t>
            </w:r>
          </w:p>
        </w:tc>
        <w:tc>
          <w:tcPr>
            <w:tcW w:w="6269" w:type="dxa"/>
            <w:tcBorders>
              <w:tl2br w:val="nil"/>
              <w:tr2bl w:val="nil"/>
            </w:tcBorders>
            <w:shd w:val="clear" w:color="auto" w:fill="auto"/>
            <w:vAlign w:val="center"/>
          </w:tcPr>
          <w:p w14:paraId="30E5F93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CDKN2A/B 纯合缺失是组织学缺少坏死和微血管增生的星形细胞瘤，IDH 突变型、WHO 4级胶质瘤的诊断指标之一。CDKN2A/B 缺失的星形细胞瘤患者预后较差。</w:t>
            </w:r>
          </w:p>
        </w:tc>
      </w:tr>
      <w:tr w14:paraId="15235B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6F8ADB9">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BRAF </w:t>
            </w:r>
          </w:p>
          <w:p w14:paraId="0D2D565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突变/融合</w:t>
            </w:r>
          </w:p>
        </w:tc>
        <w:tc>
          <w:tcPr>
            <w:tcW w:w="1546" w:type="dxa"/>
            <w:tcBorders>
              <w:tl2br w:val="nil"/>
              <w:tr2bl w:val="nil"/>
            </w:tcBorders>
            <w:shd w:val="clear" w:color="auto" w:fill="auto"/>
            <w:vAlign w:val="center"/>
          </w:tcPr>
          <w:p w14:paraId="1F554B0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bg.BRAF | mr() }}</w:t>
            </w:r>
          </w:p>
        </w:tc>
        <w:tc>
          <w:tcPr>
            <w:tcW w:w="6269" w:type="dxa"/>
            <w:tcBorders>
              <w:tl2br w:val="nil"/>
              <w:tr2bl w:val="nil"/>
            </w:tcBorders>
            <w:shd w:val="clear" w:color="auto" w:fill="auto"/>
            <w:vAlign w:val="center"/>
          </w:tcPr>
          <w:p w14:paraId="262C862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379D26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870769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H3-3A</w:t>
            </w:r>
          </w:p>
          <w:p w14:paraId="5D832463">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 突变</w:t>
            </w:r>
          </w:p>
        </w:tc>
        <w:tc>
          <w:tcPr>
            <w:tcW w:w="1546" w:type="dxa"/>
            <w:tcBorders>
              <w:tl2br w:val="nil"/>
              <w:tr2bl w:val="nil"/>
            </w:tcBorders>
            <w:shd w:val="clear" w:color="auto" w:fill="auto"/>
            <w:vAlign w:val="center"/>
          </w:tcPr>
          <w:p w14:paraId="0B17C6C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bg.H33A | mr() }}</w:t>
            </w:r>
          </w:p>
        </w:tc>
        <w:tc>
          <w:tcPr>
            <w:tcW w:w="6269" w:type="dxa"/>
            <w:vMerge w:val="restart"/>
            <w:tcBorders>
              <w:tl2br w:val="nil"/>
              <w:tr2bl w:val="nil"/>
            </w:tcBorders>
            <w:shd w:val="clear" w:color="auto" w:fill="auto"/>
            <w:vAlign w:val="center"/>
          </w:tcPr>
          <w:p w14:paraId="2A311270">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0FC55D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2D0939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H3C2</w:t>
            </w:r>
          </w:p>
          <w:p w14:paraId="36BA6F0E">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（HIST1H3B）突变</w:t>
            </w:r>
          </w:p>
        </w:tc>
        <w:tc>
          <w:tcPr>
            <w:tcW w:w="1546" w:type="dxa"/>
            <w:tcBorders>
              <w:tl2br w:val="nil"/>
              <w:tr2bl w:val="nil"/>
            </w:tcBorders>
            <w:shd w:val="clear" w:color="auto" w:fill="auto"/>
            <w:vAlign w:val="center"/>
          </w:tcPr>
          <w:p w14:paraId="2943413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bg.H3C2 | mr() }}</w:t>
            </w:r>
          </w:p>
        </w:tc>
        <w:tc>
          <w:tcPr>
            <w:tcW w:w="6269" w:type="dxa"/>
            <w:vMerge w:val="continue"/>
            <w:tcBorders>
              <w:tl2br w:val="nil"/>
              <w:tr2bl w:val="nil"/>
            </w:tcBorders>
            <w:shd w:val="clear" w:color="auto" w:fill="auto"/>
            <w:vAlign w:val="center"/>
          </w:tcPr>
          <w:p w14:paraId="14294EEC">
            <w:pPr>
              <w:widowControl/>
              <w:textAlignment w:val="center"/>
              <w:rPr>
                <w:rFonts w:hint="eastAsia" w:ascii="微软雅黑" w:hAnsi="微软雅黑" w:eastAsia="微软雅黑" w:cs="微软雅黑"/>
                <w:color w:val="000000"/>
                <w:sz w:val="21"/>
                <w:szCs w:val="21"/>
                <w:lang w:bidi="ar"/>
              </w:rPr>
            </w:pPr>
          </w:p>
        </w:tc>
      </w:tr>
      <w:tr w14:paraId="423B22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1AE047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H3C3（HIST1H3C）突变</w:t>
            </w:r>
          </w:p>
        </w:tc>
        <w:tc>
          <w:tcPr>
            <w:tcW w:w="1546" w:type="dxa"/>
            <w:tcBorders>
              <w:tl2br w:val="nil"/>
              <w:tr2bl w:val="nil"/>
            </w:tcBorders>
            <w:shd w:val="clear" w:color="auto" w:fill="auto"/>
            <w:vAlign w:val="center"/>
          </w:tcPr>
          <w:p w14:paraId="2BEDBFF1">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bg.H3C3 | mr() }}</w:t>
            </w:r>
          </w:p>
        </w:tc>
        <w:tc>
          <w:tcPr>
            <w:tcW w:w="6269" w:type="dxa"/>
            <w:vMerge w:val="continue"/>
            <w:tcBorders>
              <w:tl2br w:val="nil"/>
              <w:tr2bl w:val="nil"/>
            </w:tcBorders>
            <w:shd w:val="clear" w:color="auto" w:fill="auto"/>
            <w:vAlign w:val="center"/>
          </w:tcPr>
          <w:p w14:paraId="5AE9464F">
            <w:pPr>
              <w:rPr>
                <w:rFonts w:hint="eastAsia" w:ascii="微软雅黑" w:hAnsi="微软雅黑" w:eastAsia="微软雅黑" w:cs="微软雅黑"/>
                <w:color w:val="000000"/>
                <w:sz w:val="21"/>
                <w:szCs w:val="21"/>
              </w:rPr>
            </w:pPr>
          </w:p>
        </w:tc>
      </w:tr>
      <w:tr w14:paraId="6EB008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1AD7EB0">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TP53 突变</w:t>
            </w:r>
          </w:p>
        </w:tc>
        <w:tc>
          <w:tcPr>
            <w:tcW w:w="1546" w:type="dxa"/>
            <w:tcBorders>
              <w:tl2br w:val="nil"/>
              <w:tr2bl w:val="nil"/>
            </w:tcBorders>
            <w:shd w:val="clear" w:color="auto" w:fill="auto"/>
            <w:vAlign w:val="center"/>
          </w:tcPr>
          <w:p w14:paraId="27E22937">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bg.TP53 | mr() }}</w:t>
            </w:r>
          </w:p>
        </w:tc>
        <w:tc>
          <w:tcPr>
            <w:tcW w:w="6269" w:type="dxa"/>
            <w:tcBorders>
              <w:tl2br w:val="nil"/>
              <w:tr2bl w:val="nil"/>
            </w:tcBorders>
            <w:shd w:val="clear" w:color="auto" w:fill="auto"/>
            <w:vAlign w:val="center"/>
          </w:tcPr>
          <w:p w14:paraId="2A53DF7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常见于星形细胞瘤，IDH 突变型；弥漫型中线胶质瘤，H3 K27 突变型和弥漫型半球胶质瘤，H3 G34 突变型；可鉴别 WHO 1级胶质瘤与胶质增生。</w:t>
            </w:r>
          </w:p>
        </w:tc>
      </w:tr>
      <w:tr w14:paraId="753611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48F29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 突变</w:t>
            </w:r>
          </w:p>
        </w:tc>
        <w:tc>
          <w:tcPr>
            <w:tcW w:w="1546" w:type="dxa"/>
            <w:tcBorders>
              <w:tl2br w:val="nil"/>
              <w:tr2bl w:val="nil"/>
            </w:tcBorders>
            <w:shd w:val="clear" w:color="auto" w:fill="auto"/>
            <w:vAlign w:val="center"/>
          </w:tcPr>
          <w:p w14:paraId="73906C4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bg.PTEN | mr() }}</w:t>
            </w:r>
          </w:p>
        </w:tc>
        <w:tc>
          <w:tcPr>
            <w:tcW w:w="6269" w:type="dxa"/>
            <w:tcBorders>
              <w:tl2br w:val="nil"/>
              <w:tr2bl w:val="nil"/>
            </w:tcBorders>
            <w:shd w:val="clear" w:color="auto" w:fill="auto"/>
            <w:vAlign w:val="center"/>
          </w:tcPr>
          <w:p w14:paraId="06974B7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54E37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65AB62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 突变</w:t>
            </w:r>
          </w:p>
        </w:tc>
        <w:tc>
          <w:tcPr>
            <w:tcW w:w="1546" w:type="dxa"/>
            <w:tcBorders>
              <w:tl2br w:val="nil"/>
              <w:tr2bl w:val="nil"/>
            </w:tcBorders>
            <w:shd w:val="clear" w:color="auto" w:fill="auto"/>
            <w:vAlign w:val="center"/>
          </w:tcPr>
          <w:p w14:paraId="510B803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bg.PIK3CA | mr() }}</w:t>
            </w:r>
          </w:p>
        </w:tc>
        <w:tc>
          <w:tcPr>
            <w:tcW w:w="6269" w:type="dxa"/>
            <w:tcBorders>
              <w:tl2br w:val="nil"/>
              <w:tr2bl w:val="nil"/>
            </w:tcBorders>
            <w:shd w:val="clear" w:color="auto" w:fill="auto"/>
            <w:vAlign w:val="center"/>
          </w:tcPr>
          <w:p w14:paraId="41437E39">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PIK3CA基因编码磷酸脂酰肌醇3激酶（PI3K）的p110a 催化亚基，它是由酪氨酸激酶受体（如EGFR以及HER2等）驱动的通路中的一个完整信号分子。PIK3CA激活突变常在胶质母细胞瘤中发生。</w:t>
            </w:r>
          </w:p>
        </w:tc>
      </w:tr>
      <w:tr w14:paraId="569263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ABB88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w:t>
            </w:r>
          </w:p>
        </w:tc>
        <w:tc>
          <w:tcPr>
            <w:tcW w:w="1546" w:type="dxa"/>
            <w:tcBorders>
              <w:tl2br w:val="nil"/>
              <w:tr2bl w:val="nil"/>
            </w:tcBorders>
            <w:shd w:val="clear" w:color="auto" w:fill="auto"/>
            <w:vAlign w:val="center"/>
          </w:tcPr>
          <w:p w14:paraId="3AD3A236">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bg.MYCN | mr() }}</w:t>
            </w:r>
          </w:p>
        </w:tc>
        <w:tc>
          <w:tcPr>
            <w:tcW w:w="6269" w:type="dxa"/>
            <w:tcBorders>
              <w:tl2br w:val="nil"/>
              <w:tr2bl w:val="nil"/>
            </w:tcBorders>
            <w:shd w:val="clear" w:color="auto" w:fill="auto"/>
            <w:vAlign w:val="center"/>
          </w:tcPr>
          <w:p w14:paraId="6402B2CE">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扩增的脊髓室管膜瘤更具侵袭性，预后相对较差。</w:t>
            </w:r>
          </w:p>
        </w:tc>
      </w:tr>
      <w:tr w14:paraId="747640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0896B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PDGFRA 扩增</w:t>
            </w:r>
          </w:p>
        </w:tc>
        <w:tc>
          <w:tcPr>
            <w:tcW w:w="1546" w:type="dxa"/>
            <w:tcBorders>
              <w:tl2br w:val="nil"/>
              <w:tr2bl w:val="nil"/>
            </w:tcBorders>
            <w:shd w:val="clear" w:color="auto" w:fill="auto"/>
            <w:vAlign w:val="center"/>
          </w:tcPr>
          <w:p w14:paraId="698A8A2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bg.PDGFRA | mr() }}</w:t>
            </w:r>
          </w:p>
        </w:tc>
        <w:tc>
          <w:tcPr>
            <w:tcW w:w="6269" w:type="dxa"/>
            <w:tcBorders>
              <w:tl2br w:val="nil"/>
              <w:tr2bl w:val="nil"/>
            </w:tcBorders>
            <w:shd w:val="clear" w:color="auto" w:fill="auto"/>
            <w:vAlign w:val="center"/>
          </w:tcPr>
          <w:p w14:paraId="02E3B3D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 H3 K27 型弥漫性中线胶质瘤和 H3 及 IDH野生型弥漫性儿童高级别胶质瘤。</w:t>
            </w:r>
          </w:p>
        </w:tc>
      </w:tr>
      <w:tr w14:paraId="2650A2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78603D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 融合</w:t>
            </w:r>
          </w:p>
        </w:tc>
        <w:tc>
          <w:tcPr>
            <w:tcW w:w="1546" w:type="dxa"/>
            <w:tcBorders>
              <w:tl2br w:val="nil"/>
              <w:tr2bl w:val="nil"/>
            </w:tcBorders>
            <w:shd w:val="clear" w:color="auto" w:fill="auto"/>
            <w:vAlign w:val="center"/>
          </w:tcPr>
          <w:p w14:paraId="6B4ED4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bg.FGFR1 | mr() }}</w:t>
            </w:r>
          </w:p>
        </w:tc>
        <w:tc>
          <w:tcPr>
            <w:tcW w:w="6269" w:type="dxa"/>
            <w:vMerge w:val="restart"/>
            <w:tcBorders>
              <w:tl2br w:val="nil"/>
              <w:tr2bl w:val="nil"/>
            </w:tcBorders>
            <w:shd w:val="clear" w:color="auto" w:fill="auto"/>
            <w:vAlign w:val="center"/>
          </w:tcPr>
          <w:p w14:paraId="4A3675C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DF303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E7D320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FGFR2 融合</w:t>
            </w:r>
          </w:p>
        </w:tc>
        <w:tc>
          <w:tcPr>
            <w:tcW w:w="1546" w:type="dxa"/>
            <w:tcBorders>
              <w:tl2br w:val="nil"/>
              <w:tr2bl w:val="nil"/>
            </w:tcBorders>
            <w:shd w:val="clear" w:color="auto" w:fill="auto"/>
            <w:vAlign w:val="center"/>
          </w:tcPr>
          <w:p w14:paraId="23F4B0A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bg.FGFR2 | mr() }}</w:t>
            </w:r>
          </w:p>
        </w:tc>
        <w:tc>
          <w:tcPr>
            <w:tcW w:w="6269" w:type="dxa"/>
            <w:vMerge w:val="continue"/>
            <w:tcBorders>
              <w:tl2br w:val="nil"/>
              <w:tr2bl w:val="nil"/>
            </w:tcBorders>
            <w:shd w:val="clear" w:color="auto" w:fill="auto"/>
            <w:vAlign w:val="center"/>
          </w:tcPr>
          <w:p w14:paraId="7D28B6A0">
            <w:pPr>
              <w:rPr>
                <w:rFonts w:hint="eastAsia" w:ascii="微软雅黑" w:hAnsi="微软雅黑" w:eastAsia="微软雅黑" w:cs="微软雅黑"/>
                <w:color w:val="000000"/>
                <w:sz w:val="21"/>
                <w:szCs w:val="21"/>
              </w:rPr>
            </w:pPr>
          </w:p>
        </w:tc>
      </w:tr>
      <w:tr w14:paraId="3DCA3F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ED7244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FGFR3 融合</w:t>
            </w:r>
          </w:p>
        </w:tc>
        <w:tc>
          <w:tcPr>
            <w:tcW w:w="1546" w:type="dxa"/>
            <w:tcBorders>
              <w:tl2br w:val="nil"/>
              <w:tr2bl w:val="nil"/>
            </w:tcBorders>
            <w:shd w:val="clear" w:color="auto" w:fill="auto"/>
            <w:vAlign w:val="center"/>
          </w:tcPr>
          <w:p w14:paraId="6E974354">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bg.FGFR3 | mr() }}</w:t>
            </w:r>
          </w:p>
        </w:tc>
        <w:tc>
          <w:tcPr>
            <w:tcW w:w="6269" w:type="dxa"/>
            <w:vMerge w:val="continue"/>
            <w:tcBorders>
              <w:tl2br w:val="nil"/>
              <w:tr2bl w:val="nil"/>
            </w:tcBorders>
            <w:shd w:val="clear" w:color="auto" w:fill="auto"/>
            <w:vAlign w:val="center"/>
          </w:tcPr>
          <w:p w14:paraId="3BFEECAB">
            <w:pPr>
              <w:rPr>
                <w:rFonts w:hint="eastAsia" w:ascii="微软雅黑" w:hAnsi="微软雅黑" w:eastAsia="微软雅黑" w:cs="微软雅黑"/>
                <w:color w:val="000000"/>
                <w:sz w:val="21"/>
                <w:szCs w:val="21"/>
              </w:rPr>
            </w:pPr>
          </w:p>
        </w:tc>
      </w:tr>
      <w:tr w14:paraId="7B0A57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2EF1FB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NTRK1 融合</w:t>
            </w:r>
          </w:p>
        </w:tc>
        <w:tc>
          <w:tcPr>
            <w:tcW w:w="1546" w:type="dxa"/>
            <w:tcBorders>
              <w:tl2br w:val="nil"/>
              <w:tr2bl w:val="nil"/>
            </w:tcBorders>
            <w:shd w:val="clear" w:color="auto" w:fill="auto"/>
            <w:vAlign w:val="center"/>
          </w:tcPr>
          <w:p w14:paraId="7AA1A73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bg.NTRK1 | mr() }}</w:t>
            </w:r>
          </w:p>
        </w:tc>
        <w:tc>
          <w:tcPr>
            <w:tcW w:w="6269" w:type="dxa"/>
            <w:vMerge w:val="restart"/>
            <w:tcBorders>
              <w:tl2br w:val="nil"/>
              <w:tr2bl w:val="nil"/>
            </w:tcBorders>
            <w:shd w:val="clear" w:color="auto" w:fill="auto"/>
            <w:vAlign w:val="center"/>
          </w:tcPr>
          <w:p w14:paraId="2699F2F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5BCB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6BF3FB3">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NTRK2 融合</w:t>
            </w:r>
          </w:p>
        </w:tc>
        <w:tc>
          <w:tcPr>
            <w:tcW w:w="1546" w:type="dxa"/>
            <w:tcBorders>
              <w:tl2br w:val="nil"/>
              <w:tr2bl w:val="nil"/>
            </w:tcBorders>
            <w:shd w:val="clear" w:color="auto" w:fill="auto"/>
            <w:vAlign w:val="center"/>
          </w:tcPr>
          <w:p w14:paraId="01FB94A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bg.NTRK2 | mr() }}</w:t>
            </w:r>
          </w:p>
        </w:tc>
        <w:tc>
          <w:tcPr>
            <w:tcW w:w="6269" w:type="dxa"/>
            <w:vMerge w:val="continue"/>
            <w:tcBorders>
              <w:tl2br w:val="nil"/>
              <w:tr2bl w:val="nil"/>
            </w:tcBorders>
            <w:shd w:val="clear" w:color="auto" w:fill="auto"/>
            <w:vAlign w:val="center"/>
          </w:tcPr>
          <w:p w14:paraId="2B83010C">
            <w:pPr>
              <w:rPr>
                <w:rFonts w:hint="eastAsia" w:ascii="微软雅黑" w:hAnsi="微软雅黑" w:eastAsia="微软雅黑" w:cs="微软雅黑"/>
                <w:color w:val="000000"/>
                <w:sz w:val="21"/>
                <w:szCs w:val="21"/>
              </w:rPr>
            </w:pPr>
          </w:p>
        </w:tc>
      </w:tr>
      <w:tr w14:paraId="2252A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78A9EE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NTRK3 融合</w:t>
            </w:r>
          </w:p>
        </w:tc>
        <w:tc>
          <w:tcPr>
            <w:tcW w:w="1546" w:type="dxa"/>
            <w:tcBorders>
              <w:tl2br w:val="nil"/>
              <w:tr2bl w:val="nil"/>
            </w:tcBorders>
            <w:shd w:val="clear" w:color="auto" w:fill="auto"/>
            <w:vAlign w:val="center"/>
          </w:tcPr>
          <w:p w14:paraId="5BFF64D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bg.NTRK3 | mr() }}</w:t>
            </w:r>
          </w:p>
        </w:tc>
        <w:tc>
          <w:tcPr>
            <w:tcW w:w="6269" w:type="dxa"/>
            <w:vMerge w:val="continue"/>
            <w:tcBorders>
              <w:tl2br w:val="nil"/>
              <w:tr2bl w:val="nil"/>
            </w:tcBorders>
            <w:shd w:val="clear" w:color="auto" w:fill="auto"/>
            <w:vAlign w:val="center"/>
          </w:tcPr>
          <w:p w14:paraId="6FCCE3F9">
            <w:pPr>
              <w:rPr>
                <w:rFonts w:hint="eastAsia" w:ascii="微软雅黑" w:hAnsi="微软雅黑" w:eastAsia="微软雅黑" w:cs="微软雅黑"/>
                <w:color w:val="000000"/>
                <w:sz w:val="21"/>
                <w:szCs w:val="21"/>
              </w:rPr>
            </w:pPr>
          </w:p>
        </w:tc>
      </w:tr>
      <w:tr w14:paraId="64D3A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8C5FDF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ALK 融合</w:t>
            </w:r>
          </w:p>
        </w:tc>
        <w:tc>
          <w:tcPr>
            <w:tcW w:w="1546" w:type="dxa"/>
            <w:tcBorders>
              <w:tl2br w:val="nil"/>
              <w:tr2bl w:val="nil"/>
            </w:tcBorders>
            <w:shd w:val="clear" w:color="auto" w:fill="auto"/>
            <w:vAlign w:val="center"/>
          </w:tcPr>
          <w:p w14:paraId="3EAD3E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bg.ALK | mr() }}</w:t>
            </w:r>
          </w:p>
        </w:tc>
        <w:tc>
          <w:tcPr>
            <w:tcW w:w="6269" w:type="dxa"/>
            <w:tcBorders>
              <w:tl2br w:val="nil"/>
              <w:tr2bl w:val="nil"/>
            </w:tcBorders>
            <w:shd w:val="clear" w:color="auto" w:fill="auto"/>
            <w:vAlign w:val="center"/>
          </w:tcPr>
          <w:p w14:paraId="173EF1EC">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F43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6AE20A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ROS1 融合</w:t>
            </w:r>
          </w:p>
        </w:tc>
        <w:tc>
          <w:tcPr>
            <w:tcW w:w="1546" w:type="dxa"/>
            <w:tcBorders>
              <w:tl2br w:val="nil"/>
              <w:tr2bl w:val="nil"/>
            </w:tcBorders>
            <w:shd w:val="clear" w:color="auto" w:fill="auto"/>
            <w:vAlign w:val="center"/>
          </w:tcPr>
          <w:p w14:paraId="012860E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bg.ROS1 | mr() }}</w:t>
            </w:r>
          </w:p>
        </w:tc>
        <w:tc>
          <w:tcPr>
            <w:tcW w:w="6269" w:type="dxa"/>
            <w:tcBorders>
              <w:tl2br w:val="nil"/>
              <w:tr2bl w:val="nil"/>
            </w:tcBorders>
            <w:shd w:val="clear" w:color="auto" w:fill="auto"/>
            <w:vAlign w:val="center"/>
          </w:tcPr>
          <w:p w14:paraId="051AE99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133000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14CA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MET 扩增</w:t>
            </w:r>
          </w:p>
        </w:tc>
        <w:tc>
          <w:tcPr>
            <w:tcW w:w="1546" w:type="dxa"/>
            <w:tcBorders>
              <w:tl2br w:val="nil"/>
              <w:tr2bl w:val="nil"/>
            </w:tcBorders>
            <w:shd w:val="clear" w:color="auto" w:fill="auto"/>
            <w:vAlign w:val="center"/>
          </w:tcPr>
          <w:p w14:paraId="04F93B3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bg.MET | mr() }}</w:t>
            </w:r>
          </w:p>
        </w:tc>
        <w:tc>
          <w:tcPr>
            <w:tcW w:w="6269" w:type="dxa"/>
            <w:tcBorders>
              <w:tl2br w:val="nil"/>
              <w:tr2bl w:val="nil"/>
            </w:tcBorders>
            <w:shd w:val="clear" w:color="auto" w:fill="auto"/>
            <w:vAlign w:val="center"/>
          </w:tcPr>
          <w:p w14:paraId="6862039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D24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39525B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SMARCB1 突变</w:t>
            </w:r>
          </w:p>
        </w:tc>
        <w:tc>
          <w:tcPr>
            <w:tcW w:w="1546" w:type="dxa"/>
            <w:tcBorders>
              <w:tl2br w:val="nil"/>
              <w:tr2bl w:val="nil"/>
            </w:tcBorders>
            <w:shd w:val="clear" w:color="auto" w:fill="auto"/>
            <w:vAlign w:val="center"/>
          </w:tcPr>
          <w:p w14:paraId="7BD48F4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bg.SMARCB1 | mr() }}</w:t>
            </w:r>
          </w:p>
        </w:tc>
        <w:tc>
          <w:tcPr>
            <w:tcW w:w="6269" w:type="dxa"/>
            <w:tcBorders>
              <w:tl2br w:val="nil"/>
              <w:tr2bl w:val="nil"/>
            </w:tcBorders>
            <w:shd w:val="clear" w:color="auto" w:fill="auto"/>
            <w:vAlign w:val="center"/>
          </w:tcPr>
          <w:p w14:paraId="248A9B86">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非典型畸胎样/横纹肌样肿瘤的关键诊断指标；松果体区促纤维增生型黏液样肿瘤，SMARCB1 突变型的关键诊断指标。</w:t>
            </w:r>
          </w:p>
        </w:tc>
      </w:tr>
      <w:tr w14:paraId="4D6C70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FF393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TSC1 突变</w:t>
            </w:r>
          </w:p>
        </w:tc>
        <w:tc>
          <w:tcPr>
            <w:tcW w:w="1546" w:type="dxa"/>
            <w:tcBorders>
              <w:tl2br w:val="nil"/>
              <w:tr2bl w:val="nil"/>
            </w:tcBorders>
            <w:shd w:val="clear" w:color="auto" w:fill="auto"/>
            <w:vAlign w:val="center"/>
          </w:tcPr>
          <w:p w14:paraId="3E7EB7C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bg.TSC1 | mr() }}</w:t>
            </w:r>
          </w:p>
        </w:tc>
        <w:tc>
          <w:tcPr>
            <w:tcW w:w="6269" w:type="dxa"/>
            <w:vMerge w:val="restart"/>
            <w:tcBorders>
              <w:tl2br w:val="nil"/>
              <w:tr2bl w:val="nil"/>
            </w:tcBorders>
            <w:shd w:val="clear" w:color="auto" w:fill="auto"/>
            <w:vAlign w:val="center"/>
          </w:tcPr>
          <w:p w14:paraId="1E5C13B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室管膜下巨细胞星形细胞瘤的关键诊断指标。</w:t>
            </w:r>
          </w:p>
        </w:tc>
      </w:tr>
      <w:tr w14:paraId="01096B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421DA7E">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TSC2 突变</w:t>
            </w:r>
          </w:p>
        </w:tc>
        <w:tc>
          <w:tcPr>
            <w:tcW w:w="1546" w:type="dxa"/>
            <w:tcBorders>
              <w:tl2br w:val="nil"/>
              <w:tr2bl w:val="nil"/>
            </w:tcBorders>
            <w:shd w:val="clear" w:color="auto" w:fill="auto"/>
            <w:vAlign w:val="center"/>
          </w:tcPr>
          <w:p w14:paraId="31C7E5E5">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bg.TSC2 | mr() }}</w:t>
            </w:r>
          </w:p>
        </w:tc>
        <w:tc>
          <w:tcPr>
            <w:tcW w:w="6269" w:type="dxa"/>
            <w:vMerge w:val="continue"/>
            <w:tcBorders>
              <w:tl2br w:val="nil"/>
              <w:tr2bl w:val="nil"/>
            </w:tcBorders>
            <w:shd w:val="clear" w:color="auto" w:fill="auto"/>
            <w:vAlign w:val="center"/>
          </w:tcPr>
          <w:p w14:paraId="5CCB5F07">
            <w:pPr>
              <w:rPr>
                <w:rFonts w:hint="eastAsia" w:ascii="微软雅黑" w:hAnsi="微软雅黑" w:eastAsia="微软雅黑" w:cs="微软雅黑"/>
                <w:color w:val="000000"/>
                <w:sz w:val="21"/>
                <w:szCs w:val="21"/>
              </w:rPr>
            </w:pPr>
          </w:p>
        </w:tc>
      </w:tr>
      <w:tr w14:paraId="04584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616A42C8">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NF1 突变</w:t>
            </w:r>
          </w:p>
        </w:tc>
        <w:tc>
          <w:tcPr>
            <w:tcW w:w="1546" w:type="dxa"/>
            <w:tcBorders>
              <w:tl2br w:val="nil"/>
              <w:tr2bl w:val="nil"/>
            </w:tcBorders>
            <w:shd w:val="clear" w:color="auto" w:fill="auto"/>
            <w:vAlign w:val="center"/>
          </w:tcPr>
          <w:p w14:paraId="4490CFD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bg.NF1 | mr() }}</w:t>
            </w:r>
          </w:p>
        </w:tc>
        <w:tc>
          <w:tcPr>
            <w:tcW w:w="6269" w:type="dxa"/>
            <w:tcBorders>
              <w:tl2br w:val="nil"/>
              <w:tr2bl w:val="nil"/>
            </w:tcBorders>
            <w:shd w:val="clear" w:color="auto" w:fill="auto"/>
            <w:vAlign w:val="center"/>
          </w:tcPr>
          <w:p w14:paraId="02835B7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0E840F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F0D47B">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 融合</w:t>
            </w:r>
          </w:p>
        </w:tc>
        <w:tc>
          <w:tcPr>
            <w:tcW w:w="1546" w:type="dxa"/>
            <w:tcBorders>
              <w:tl2br w:val="nil"/>
              <w:tr2bl w:val="nil"/>
            </w:tcBorders>
            <w:shd w:val="clear" w:color="auto" w:fill="auto"/>
            <w:vAlign w:val="center"/>
          </w:tcPr>
          <w:p w14:paraId="37143D0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bg.YAP1 | mr() }}</w:t>
            </w:r>
          </w:p>
        </w:tc>
        <w:tc>
          <w:tcPr>
            <w:tcW w:w="6269" w:type="dxa"/>
            <w:tcBorders>
              <w:tl2br w:val="nil"/>
              <w:tr2bl w:val="nil"/>
            </w:tcBorders>
            <w:shd w:val="clear" w:color="auto" w:fill="auto"/>
            <w:vAlign w:val="center"/>
          </w:tcPr>
          <w:p w14:paraId="1E75211D">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YAP1融合是幕上室管膜瘤的诊断指标。发生YAP1 融合变异的幕上室管膜瘤更具侵袭性，预后相对较差。</w:t>
            </w:r>
          </w:p>
        </w:tc>
      </w:tr>
      <w:tr w14:paraId="444910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B549E82">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ZFTA（C11orf95）-RELA融合</w:t>
            </w:r>
          </w:p>
        </w:tc>
        <w:tc>
          <w:tcPr>
            <w:tcW w:w="1546" w:type="dxa"/>
            <w:tcBorders>
              <w:tl2br w:val="nil"/>
              <w:tr2bl w:val="nil"/>
            </w:tcBorders>
            <w:shd w:val="clear" w:color="auto" w:fill="auto"/>
            <w:vAlign w:val="center"/>
          </w:tcPr>
          <w:p w14:paraId="7851D3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bg.ZFTA | mr() }}</w:t>
            </w:r>
          </w:p>
        </w:tc>
        <w:tc>
          <w:tcPr>
            <w:tcW w:w="6269" w:type="dxa"/>
            <w:tcBorders>
              <w:tl2br w:val="nil"/>
              <w:tr2bl w:val="nil"/>
            </w:tcBorders>
            <w:shd w:val="clear" w:color="auto" w:fill="auto"/>
            <w:vAlign w:val="center"/>
          </w:tcPr>
          <w:p w14:paraId="7634024C">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ZFTA-RELA 基因融合是室管膜瘤亚型的关键诊断指标。发生ZFTA-RELA 融合变异的幕上室管膜瘤更具侵袭性，预后相对较差。</w:t>
            </w:r>
          </w:p>
        </w:tc>
      </w:tr>
    </w:tbl>
    <w:p w14:paraId="42041D97">
      <w:pPr>
        <w:rPr>
          <w:rFonts w:ascii="Times New Roman" w:hAnsi="Times New Roman"/>
          <w:color w:val="62B541"/>
          <w:szCs w:val="18"/>
          <w14:shadow w14:blurRad="50800" w14:dist="38100" w14:dir="10800000" w14:sx="100000" w14:sy="100000" w14:kx="0" w14:ky="0" w14:algn="r">
            <w14:srgbClr w14:val="62B541">
              <w14:alpha w14:val="60000"/>
            </w14:srgbClr>
          </w14:shadow>
        </w:rPr>
      </w:pPr>
    </w:p>
    <w:p w14:paraId="32EFF0BD">
      <w:pPr>
        <w:spacing w:before="47"/>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rPr>
        <w:t>注:</w:t>
      </w:r>
    </w:p>
    <w:p w14:paraId="39F3560E">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MGMT启动子甲基化检测：多重荧光PCR法。MGMT基因编码O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-甲基鸟嘌呤DNA甲基转移酶，可将鸟嘌呤O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739374B">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1p19q联合性缺失检测：覆盖1p 29个区域和19q 16个区域，进行NGS测序和染色体缺失分析。若1p染⾊体与19q染⾊体同时检测出杂合性缺失则为联合缺失，若仅有⼀项或者两项都未检测出缺失则为非联合缺失。</w:t>
      </w:r>
    </w:p>
    <w:p w14:paraId="790B1AC6">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H3变异（H3-3A G35或K28M、H3C2 K28M、H3C3 K28M）依据COSMIC命名标准进⾏呈现，其位点与指南或文献报道的H3G34和K27M⼀致 [PMID:28912153]。</w:t>
      </w:r>
    </w:p>
    <w:p w14:paraId="3A0F18AA">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本列表中基因的检测范围涵盖但不限于上表中列出的变异类型。良性变异、或疑似良性变异不在此“检出”范围内。</w:t>
      </w:r>
    </w:p>
    <w:p w14:paraId="7031F99D">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4841DD4B">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bCs/>
        </w:rPr>
        <w:t>本报告结果仅针对本次送检样品，结果仅供医⽣参考，不包含任何临床建议，具体用药请遵医嘱。</w:t>
      </w:r>
    </w:p>
    <w:p w14:paraId="21D35765">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rPr>
        <w:t>本报告只对本次采集样本负责，如有疑问，请在7个工作日内与我们联系。</w:t>
      </w:r>
    </w:p>
    <w:p w14:paraId="43CC8CAA">
      <w:pPr>
        <w:rPr>
          <w:rFonts w:hint="eastAsia"/>
        </w:rPr>
      </w:pPr>
      <w:r>
        <w:rPr>
          <w:rFonts w:hint="eastAsia"/>
        </w:rPr>
        <w:br w:type="page"/>
      </w:r>
    </w:p>
    <w:p w14:paraId="193D40D5">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 xml:space="preserve">2 </w:t>
      </w:r>
      <w:bookmarkEnd w:id="12"/>
      <w:bookmarkEnd w:id="13"/>
      <w:bookmarkEnd w:id="14"/>
      <w:bookmarkEnd w:id="15"/>
      <w:bookmarkEnd w:id="16"/>
      <w:bookmarkEnd w:id="17"/>
      <w:r>
        <w:rPr>
          <w:rFonts w:hint="eastAsia" w:ascii="微软雅黑" w:hAnsi="微软雅黑" w:eastAsia="微软雅黑" w:cs="微软雅黑"/>
          <w:color w:val="254061" w:themeColor="accent1" w:themeShade="80"/>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6DFAEB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tip.comutation }}</w:t>
            </w:r>
          </w:p>
        </w:tc>
        <w:tc>
          <w:tcPr>
            <w:tcW w:w="759" w:type="pct"/>
            <w:shd w:val="clear" w:color="auto" w:fill="auto"/>
            <w:vAlign w:val="center"/>
          </w:tcPr>
          <w:p w14:paraId="4E2F0403">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4"/>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4"/>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5"/>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jc w:val="both"/>
        <w:rPr>
          <w:rFonts w:hint="eastAsia" w:ascii="微软雅黑" w:hAnsi="微软雅黑" w:eastAsia="微软雅黑" w:cs="微软雅黑"/>
          <w:color w:val="254061" w:themeColor="accent1" w:themeShade="80"/>
        </w:rPr>
      </w:pPr>
      <w:bookmarkStart w:id="18" w:name="_Hlk516758315"/>
      <w:bookmarkStart w:id="19" w:name="_Toc5962"/>
      <w:bookmarkStart w:id="20" w:name="_Toc10743"/>
      <w:bookmarkStart w:id="21" w:name="_Toc3497"/>
      <w:bookmarkStart w:id="22" w:name="_Toc24038"/>
      <w:bookmarkStart w:id="23" w:name="_Toc13489_WPSOffice_Level2"/>
      <w:bookmarkStart w:id="24" w:name="_Toc19898_WPSOffice_Level2"/>
      <w:r>
        <w:rPr>
          <w:rFonts w:hint="eastAsia" w:ascii="微软雅黑" w:hAnsi="微软雅黑" w:eastAsia="微软雅黑" w:cs="微软雅黑"/>
          <w:color w:val="254061" w:themeColor="accent1" w:themeShade="80"/>
        </w:rPr>
        <w:t xml:space="preserve">3 </w:t>
      </w:r>
      <w:bookmarkEnd w:id="18"/>
      <w:bookmarkEnd w:id="19"/>
      <w:bookmarkEnd w:id="20"/>
      <w:bookmarkEnd w:id="21"/>
      <w:bookmarkEnd w:id="22"/>
      <w:bookmarkEnd w:id="23"/>
      <w:bookmarkEnd w:id="24"/>
      <w:r>
        <w:rPr>
          <w:rFonts w:hint="eastAsia" w:ascii="微软雅黑" w:hAnsi="微软雅黑" w:eastAsia="微软雅黑" w:cs="微软雅黑"/>
          <w:color w:val="254061" w:themeColor="accent1" w:themeShade="80"/>
        </w:rPr>
        <w:t>胚系变异结果提示</w:t>
      </w:r>
    </w:p>
    <w:p w14:paraId="2170BC40">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3.1 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F9AD469">
      <w:pPr>
        <w:spacing w:before="4" w:line="240" w:lineRule="exact"/>
        <w:rPr>
          <w:rFonts w:ascii="Times New Roman" w:hAnsi="Times New Roman" w:eastAsia="微软雅黑" w:cs="Times New Roman"/>
          <w:sz w:val="24"/>
          <w:szCs w:val="24"/>
        </w:rPr>
      </w:pPr>
    </w:p>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6"/>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30A4A03A">
      <w:pPr>
        <w:rPr>
          <w:rFonts w:ascii="Times New Roman" w:hAnsi="Times New Roman" w:eastAsia="微软雅黑" w:cs="Times New Roman"/>
          <w:sz w:val="18"/>
          <w:szCs w:val="18"/>
        </w:rPr>
      </w:pPr>
    </w:p>
    <w:p w14:paraId="36A3B09B">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40BAF47D">
      <w:pPr>
        <w:pStyle w:val="3"/>
        <w:jc w:val="both"/>
        <w:rPr>
          <w:rFonts w:hint="eastAsia" w:ascii="微软雅黑" w:hAnsi="微软雅黑" w:eastAsia="微软雅黑" w:cs="微软雅黑"/>
          <w:color w:val="254061" w:themeColor="accent1" w:themeShade="80"/>
        </w:rPr>
      </w:pPr>
      <w:bookmarkStart w:id="25" w:name="_Toc20320"/>
      <w:bookmarkStart w:id="26" w:name="_Toc4339"/>
      <w:bookmarkStart w:id="27" w:name="_Toc22552"/>
      <w:bookmarkStart w:id="28" w:name="_Toc7551_WPSOffice_Level2"/>
      <w:bookmarkStart w:id="29" w:name="_Toc25737"/>
      <w:bookmarkStart w:id="30" w:name="_Toc6221_WPSOffice_Level2"/>
      <w:r>
        <w:rPr>
          <w:rFonts w:hint="eastAsia" w:ascii="微软雅黑" w:hAnsi="微软雅黑" w:eastAsia="微软雅黑" w:cs="微软雅黑"/>
          <w:color w:val="254061" w:themeColor="accent1" w:themeShade="80"/>
        </w:rPr>
        <w:t>4 免疫药物用药提示</w:t>
      </w:r>
      <w:bookmarkEnd w:id="25"/>
      <w:bookmarkEnd w:id="26"/>
      <w:bookmarkEnd w:id="27"/>
      <w:bookmarkEnd w:id="28"/>
      <w:bookmarkEnd w:id="29"/>
      <w:bookmarkEnd w:id="30"/>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7DE214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09986991">
            <w:pPr>
              <w:widowControl/>
              <w:snapToGrid w:val="0"/>
              <w:jc w:val="center"/>
              <w:textAlignment w:val="center"/>
              <w:rPr>
                <w:rFonts w:ascii="Times New Roman" w:hAnsi="Times New Roman" w:eastAsia="微软雅黑" w:cs="Times New Roman"/>
                <w:b/>
                <w:bCs/>
                <w:color w:val="244061"/>
                <w:sz w:val="21"/>
                <w:szCs w:val="21"/>
              </w:rPr>
            </w:pPr>
            <w:r>
              <w:rPr>
                <w:rFonts w:hint="eastAsia" w:ascii="微软雅黑" w:hAnsi="微软雅黑" w:eastAsia="微软雅黑" w:cs="微软雅黑"/>
                <w:b/>
                <w:bCs/>
                <w:color w:val="244061"/>
                <w:sz w:val="21"/>
                <w:szCs w:val="21"/>
              </w:rPr>
              <w:t>检出指标/基因</w:t>
            </w:r>
          </w:p>
        </w:tc>
        <w:tc>
          <w:tcPr>
            <w:tcW w:w="2600" w:type="dxa"/>
            <w:tcBorders>
              <w:tl2br w:val="nil"/>
              <w:tr2bl w:val="nil"/>
            </w:tcBorders>
            <w:shd w:val="clear" w:color="auto" w:fill="auto"/>
            <w:vAlign w:val="center"/>
          </w:tcPr>
          <w:p w14:paraId="371685F7">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检测结果</w:t>
            </w:r>
          </w:p>
        </w:tc>
        <w:tc>
          <w:tcPr>
            <w:tcW w:w="3556" w:type="dxa"/>
            <w:tcBorders>
              <w:tl2br w:val="nil"/>
              <w:tr2bl w:val="nil"/>
            </w:tcBorders>
            <w:shd w:val="clear" w:color="auto" w:fill="auto"/>
            <w:vAlign w:val="center"/>
          </w:tcPr>
          <w:p w14:paraId="761E2799">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检测意义</w:t>
            </w:r>
          </w:p>
        </w:tc>
      </w:tr>
      <w:tr w14:paraId="3F28B5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3782" w:type="dxa"/>
            <w:gridSpan w:val="2"/>
            <w:tcBorders>
              <w:tl2br w:val="nil"/>
              <w:tr2bl w:val="nil"/>
            </w:tcBorders>
            <w:shd w:val="clear" w:color="auto" w:fill="auto"/>
            <w:vAlign w:val="center"/>
          </w:tcPr>
          <w:p w14:paraId="65426FBF">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微卫星不稳定（</w:t>
            </w:r>
            <w:r>
              <w:rPr>
                <w:rStyle w:val="60"/>
                <w:rFonts w:eastAsia="微软雅黑"/>
                <w:color w:val="244061"/>
                <w:lang w:bidi="ar"/>
              </w:rPr>
              <w:t>MSI</w:t>
            </w:r>
            <w:r>
              <w:rPr>
                <w:rStyle w:val="62"/>
                <w:rFonts w:hint="default" w:ascii="Times New Roman" w:hAnsi="Times New Roman" w:cs="Times New Roman"/>
                <w:color w:val="244061"/>
                <w:lang w:bidi="ar"/>
              </w:rPr>
              <w:t>）</w:t>
            </w:r>
          </w:p>
        </w:tc>
        <w:tc>
          <w:tcPr>
            <w:tcW w:w="2600" w:type="dxa"/>
            <w:tcBorders>
              <w:tl2br w:val="nil"/>
              <w:tr2bl w:val="nil"/>
            </w:tcBorders>
            <w:shd w:val="clear" w:color="auto" w:fill="auto"/>
            <w:vAlign w:val="center"/>
          </w:tcPr>
          <w:p w14:paraId="40C5F1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summaryOfRresults.msi_status_state }}</w:t>
            </w:r>
          </w:p>
        </w:tc>
        <w:tc>
          <w:tcPr>
            <w:tcW w:w="3556" w:type="dxa"/>
            <w:tcBorders>
              <w:tl2br w:val="nil"/>
              <w:tr2bl w:val="nil"/>
            </w:tcBorders>
            <w:shd w:val="clear" w:color="auto" w:fill="auto"/>
            <w:vAlign w:val="center"/>
          </w:tcPr>
          <w:p w14:paraId="04D01E5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xml:space="preserve">{% if summaryOfRresults.msi_status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MSI-H</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 %}</w:t>
            </w:r>
            <w:r>
              <w:rPr>
                <w:rStyle w:val="61"/>
                <w:rFonts w:hint="default" w:ascii="Times New Roman" w:hAnsi="Times New Roman" w:cs="Times New Roman"/>
                <w:lang w:bidi="ar"/>
              </w:rPr>
              <w:t>微卫星不稳定型（</w:t>
            </w:r>
            <w:r>
              <w:rPr>
                <w:rStyle w:val="63"/>
                <w:rFonts w:eastAsia="微软雅黑"/>
                <w:lang w:bidi="ar"/>
              </w:rPr>
              <w:t>MSI-H</w:t>
            </w:r>
            <w:r>
              <w:rPr>
                <w:rStyle w:val="61"/>
                <w:rFonts w:hint="default" w:ascii="Times New Roman" w:hAnsi="Times New Roman" w:cs="Times New Roman"/>
                <w:lang w:bidi="ar"/>
              </w:rPr>
              <w:t>）患者免疫治疗预后较好，接受免疫检查点抑制剂药物治疗的获益率较高。</w:t>
            </w:r>
            <w:r>
              <w:rPr>
                <w:rFonts w:hint="eastAsia" w:ascii="Times New Roman" w:hAnsi="Times New Roman" w:eastAsia="微软雅黑" w:cs="Times New Roman"/>
                <w:sz w:val="21"/>
                <w:szCs w:val="21"/>
              </w:rPr>
              <w:t>{% else %}</w:t>
            </w:r>
            <w:r>
              <w:rPr>
                <w:rFonts w:hint="eastAsia" w:ascii="Times New Roman" w:hAnsi="Times New Roman" w:eastAsia="微软雅黑" w:cs="Times New Roman"/>
                <w:color w:val="000000"/>
                <w:sz w:val="21"/>
                <w:szCs w:val="21"/>
                <w:lang w:bidi="ar"/>
              </w:rPr>
              <w:t>微卫星稳定型（</w:t>
            </w:r>
            <w:r>
              <w:rPr>
                <w:rFonts w:ascii="Times New Roman" w:hAnsi="Times New Roman" w:eastAsia="微软雅黑" w:cs="Times New Roman"/>
                <w:color w:val="000000"/>
                <w:sz w:val="21"/>
                <w:szCs w:val="21"/>
                <w:lang w:bidi="ar"/>
              </w:rPr>
              <w:t>MSS</w:t>
            </w:r>
            <w:r>
              <w:rPr>
                <w:rFonts w:hint="eastAsia" w:ascii="Times New Roman" w:hAnsi="Times New Roman" w:eastAsia="微软雅黑" w:cs="Times New Roman"/>
                <w:color w:val="000000"/>
                <w:sz w:val="21"/>
                <w:szCs w:val="21"/>
                <w:lang w:bidi="ar"/>
              </w:rPr>
              <w:t>）患者接受免疫检查点抑制剂药物治疗的获益率较低。</w:t>
            </w:r>
            <w:r>
              <w:rPr>
                <w:rFonts w:hint="eastAsia" w:ascii="Times New Roman" w:hAnsi="Times New Roman" w:eastAsia="微软雅黑" w:cs="Times New Roman"/>
                <w:sz w:val="21"/>
                <w:szCs w:val="21"/>
              </w:rPr>
              <w:t>{% endif %}</w:t>
            </w:r>
          </w:p>
        </w:tc>
      </w:tr>
      <w:tr w14:paraId="4BD08B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17D98DB7">
            <w:pPr>
              <w:widowControl/>
              <w:snapToGrid w:val="0"/>
              <w:jc w:val="center"/>
              <w:textAlignment w:val="center"/>
              <w:rPr>
                <w:rStyle w:val="62"/>
                <w:rFonts w:hint="default" w:ascii="Times New Roman" w:hAnsi="Times New Roman" w:cs="Times New Roman"/>
                <w:color w:val="244061"/>
                <w:lang w:bidi="ar"/>
              </w:rPr>
            </w:pPr>
            <w:r>
              <w:rPr>
                <w:rStyle w:val="62"/>
                <w:rFonts w:hint="default" w:ascii="Times New Roman" w:hAnsi="Times New Roman" w:cs="Times New Roman"/>
                <w:color w:val="244061"/>
                <w:lang w:bidi="ar"/>
              </w:rPr>
              <w:t>错配修复（</w:t>
            </w:r>
            <w:r>
              <w:rPr>
                <w:rStyle w:val="60"/>
                <w:rFonts w:eastAsia="微软雅黑"/>
                <w:color w:val="244061"/>
                <w:lang w:bidi="ar"/>
              </w:rPr>
              <w:t>MMR</w:t>
            </w:r>
            <w:r>
              <w:rPr>
                <w:rStyle w:val="62"/>
                <w:rFonts w:hint="default" w:ascii="Times New Roman" w:hAnsi="Times New Roman" w:cs="Times New Roman"/>
                <w:color w:val="244061"/>
                <w:lang w:bidi="ar"/>
              </w:rPr>
              <w:t>）</w:t>
            </w:r>
          </w:p>
          <w:p w14:paraId="101E55D0">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基因</w:t>
            </w:r>
          </w:p>
        </w:tc>
        <w:tc>
          <w:tcPr>
            <w:tcW w:w="2348" w:type="dxa"/>
            <w:tcBorders>
              <w:tl2br w:val="nil"/>
              <w:tr2bl w:val="nil"/>
            </w:tcBorders>
            <w:shd w:val="clear" w:color="auto" w:fill="auto"/>
            <w:vAlign w:val="center"/>
          </w:tcPr>
          <w:p w14:paraId="76CEC61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MLH1</w:t>
            </w:r>
            <w:r>
              <w:rPr>
                <w:rStyle w:val="63"/>
                <w:rFonts w:hint="eastAsia" w:eastAsia="微软雅黑"/>
                <w:lang w:bidi="ar"/>
              </w:rPr>
              <w:t>失活突变</w:t>
            </w:r>
          </w:p>
        </w:tc>
        <w:tc>
          <w:tcPr>
            <w:tcW w:w="2600" w:type="dxa"/>
            <w:tcBorders>
              <w:tl2br w:val="nil"/>
              <w:tr2bl w:val="nil"/>
            </w:tcBorders>
            <w:shd w:val="clear" w:color="auto" w:fill="auto"/>
            <w:vAlign w:val="center"/>
          </w:tcPr>
          <w:p w14:paraId="7592E6D4">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dmmr.dmmrMLH1 %}{%if loop.last%}{{ i }}{%else%}{{ i }}</w:t>
            </w:r>
          </w:p>
          <w:p w14:paraId="1FAE37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restart"/>
            <w:tcBorders>
              <w:tl2br w:val="nil"/>
              <w:tr2bl w:val="nil"/>
            </w:tcBorders>
            <w:shd w:val="clear" w:color="auto" w:fill="auto"/>
            <w:vAlign w:val="center"/>
          </w:tcPr>
          <w:p w14:paraId="79A50C2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dmmr.detectionSignificance }}</w:t>
            </w:r>
          </w:p>
        </w:tc>
      </w:tr>
      <w:tr w14:paraId="4D6B18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A84FBEE">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7AC19D0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MSH2</w:t>
            </w:r>
            <w:r>
              <w:rPr>
                <w:rStyle w:val="63"/>
                <w:rFonts w:hint="eastAsia" w:eastAsia="微软雅黑"/>
                <w:lang w:bidi="ar"/>
              </w:rPr>
              <w:t>失活突变</w:t>
            </w:r>
          </w:p>
        </w:tc>
        <w:tc>
          <w:tcPr>
            <w:tcW w:w="2600" w:type="dxa"/>
            <w:tcBorders>
              <w:tl2br w:val="nil"/>
              <w:tr2bl w:val="nil"/>
            </w:tcBorders>
            <w:shd w:val="clear" w:color="auto" w:fill="auto"/>
            <w:vAlign w:val="center"/>
          </w:tcPr>
          <w:p w14:paraId="70B2A90D">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w:t>
            </w:r>
            <w:r>
              <w:rPr>
                <w:rFonts w:hint="eastAsia" w:ascii="Times New Roman" w:hAnsi="Times New Roman" w:eastAsia="微软雅黑" w:cs="Times New Roman"/>
                <w:sz w:val="21"/>
                <w:szCs w:val="21"/>
              </w:rPr>
              <w:t>2 %}{%if loop.last%}{{ i }}{%else%}{{ i }}</w:t>
            </w:r>
          </w:p>
          <w:p w14:paraId="110C53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FAB7D5">
            <w:pPr>
              <w:snapToGrid w:val="0"/>
              <w:jc w:val="both"/>
              <w:rPr>
                <w:rFonts w:ascii="Times New Roman" w:hAnsi="Times New Roman" w:eastAsia="微软雅黑" w:cs="Times New Roman"/>
                <w:color w:val="000000"/>
                <w:sz w:val="21"/>
                <w:szCs w:val="21"/>
              </w:rPr>
            </w:pPr>
          </w:p>
        </w:tc>
      </w:tr>
      <w:tr w14:paraId="7CDA3C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20A09A2C">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4C475476">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MSH6</w:t>
            </w:r>
            <w:r>
              <w:rPr>
                <w:rStyle w:val="63"/>
                <w:rFonts w:hint="eastAsia" w:eastAsia="微软雅黑"/>
                <w:lang w:bidi="ar"/>
              </w:rPr>
              <w:t>失活突变</w:t>
            </w:r>
          </w:p>
        </w:tc>
        <w:tc>
          <w:tcPr>
            <w:tcW w:w="2600" w:type="dxa"/>
            <w:tcBorders>
              <w:tl2br w:val="nil"/>
              <w:tr2bl w:val="nil"/>
            </w:tcBorders>
            <w:shd w:val="clear" w:color="auto" w:fill="auto"/>
            <w:vAlign w:val="center"/>
          </w:tcPr>
          <w:p w14:paraId="678021D5">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SH6</w:t>
            </w:r>
            <w:r>
              <w:rPr>
                <w:rFonts w:hint="eastAsia" w:ascii="Times New Roman" w:hAnsi="Times New Roman" w:eastAsia="微软雅黑" w:cs="Times New Roman"/>
                <w:sz w:val="21"/>
                <w:szCs w:val="21"/>
              </w:rPr>
              <w:t xml:space="preserve"> %}{%if loop.last%}{{ i }}{%else%}{{ i }}</w:t>
            </w:r>
          </w:p>
          <w:p w14:paraId="399EE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5BCD28">
            <w:pPr>
              <w:snapToGrid w:val="0"/>
              <w:jc w:val="both"/>
              <w:rPr>
                <w:rFonts w:ascii="Times New Roman" w:hAnsi="Times New Roman" w:eastAsia="微软雅黑" w:cs="Times New Roman"/>
                <w:color w:val="000000"/>
                <w:sz w:val="21"/>
                <w:szCs w:val="21"/>
              </w:rPr>
            </w:pPr>
          </w:p>
        </w:tc>
      </w:tr>
      <w:tr w14:paraId="267716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B48BF86">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0E85844">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PMS2</w:t>
            </w:r>
            <w:r>
              <w:rPr>
                <w:rStyle w:val="63"/>
                <w:rFonts w:hint="eastAsia" w:eastAsia="微软雅黑"/>
                <w:lang w:bidi="ar"/>
              </w:rPr>
              <w:t>失活突变</w:t>
            </w:r>
          </w:p>
        </w:tc>
        <w:tc>
          <w:tcPr>
            <w:tcW w:w="2600" w:type="dxa"/>
            <w:tcBorders>
              <w:tl2br w:val="nil"/>
              <w:tr2bl w:val="nil"/>
            </w:tcBorders>
            <w:shd w:val="clear" w:color="auto" w:fill="auto"/>
            <w:vAlign w:val="center"/>
          </w:tcPr>
          <w:p w14:paraId="3C8EE15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w:t>
            </w:r>
            <w:r>
              <w:rPr>
                <w:rStyle w:val="63"/>
                <w:rFonts w:eastAsia="微软雅黑"/>
                <w:color w:val="auto"/>
                <w:lang w:bidi="ar"/>
              </w:rPr>
              <w:t>PMS2</w:t>
            </w:r>
            <w:r>
              <w:rPr>
                <w:rFonts w:hint="eastAsia" w:ascii="Times New Roman" w:hAnsi="Times New Roman" w:eastAsia="微软雅黑" w:cs="Times New Roman"/>
                <w:sz w:val="21"/>
                <w:szCs w:val="21"/>
              </w:rPr>
              <w:t xml:space="preserve"> %}{%if loop.last%}{{ i }}{%else%}{{ i }}</w:t>
            </w:r>
          </w:p>
          <w:p w14:paraId="5067F9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3FD9ED72">
            <w:pPr>
              <w:snapToGrid w:val="0"/>
              <w:jc w:val="both"/>
              <w:rPr>
                <w:rFonts w:ascii="Times New Roman" w:hAnsi="Times New Roman" w:eastAsia="微软雅黑" w:cs="Times New Roman"/>
                <w:color w:val="000000"/>
                <w:sz w:val="21"/>
                <w:szCs w:val="21"/>
              </w:rPr>
            </w:pP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30239C23">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免疫药物疗效相关基因突变检测及免疫药物用药提示：通过高通量测序法检测与免疫药物疗效相关的基因突变，评估免疫检查点抑制剂获益情况。</w:t>
      </w:r>
    </w:p>
    <w:p w14:paraId="17D40AE0">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B1FD68">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指标详细解析说明见免疫检查点抑制剂治疗相关指标检测结果解析。</w:t>
      </w:r>
    </w:p>
    <w:p w14:paraId="135343F1">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“-”表示本次检测未发现相关变异。</w:t>
      </w:r>
    </w:p>
    <w:p w14:paraId="7C624120">
      <w:pPr>
        <w:rPr>
          <w:rFonts w:ascii="Times New Roman" w:hAnsi="Times New Roman" w:eastAsia="微软雅黑" w:cs="Times New Roman"/>
          <w:sz w:val="18"/>
          <w:szCs w:val="18"/>
          <w:shd w:val="clear" w:color="auto" w:fill="FFFFFF"/>
        </w:rPr>
      </w:pPr>
      <w:r>
        <w:rPr>
          <w:rFonts w:ascii="Times New Roman" w:hAnsi="Times New Roman" w:eastAsia="微软雅黑" w:cs="Times New Roman"/>
          <w:b/>
          <w:color w:val="00B050"/>
          <w:sz w:val="24"/>
          <w:szCs w:val="24"/>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jc w:val="both"/>
        <w:rPr>
          <w:rFonts w:hint="eastAsia" w:ascii="微软雅黑" w:hAnsi="微软雅黑" w:eastAsia="微软雅黑" w:cs="微软雅黑"/>
          <w:color w:val="254061" w:themeColor="accent1" w:themeShade="80"/>
        </w:rPr>
      </w:pPr>
      <w:bookmarkStart w:id="31" w:name="_Toc20034"/>
      <w:bookmarkStart w:id="32" w:name="_Toc106719764"/>
      <w:bookmarkStart w:id="33" w:name="_Toc10223"/>
      <w:bookmarkStart w:id="34" w:name="_Toc9387"/>
      <w:r>
        <w:rPr>
          <w:rFonts w:hint="eastAsia" w:ascii="微软雅黑" w:hAnsi="微软雅黑" w:eastAsia="微软雅黑" w:cs="微软雅黑"/>
          <w:color w:val="254061" w:themeColor="accent1" w:themeShade="80"/>
        </w:rPr>
        <w:t>5 PD-L1检测结果</w:t>
      </w:r>
      <w:bookmarkEnd w:id="31"/>
      <w:bookmarkEnd w:id="32"/>
      <w:bookmarkEnd w:id="33"/>
      <w:bookmarkEnd w:id="34"/>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5.1</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5.2</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bCs/>
          <w:color w:val="244061"/>
          <w:sz w:val="28"/>
          <w:szCs w:val="28"/>
        </w:rPr>
        <w:t>5.3</w:t>
      </w:r>
      <w:r>
        <w:rPr>
          <w:rFonts w:hint="eastAsia" w:ascii="微软雅黑" w:hAnsi="微软雅黑" w:eastAsia="微软雅黑" w:cs="微软雅黑"/>
          <w:bCs/>
          <w:color w:val="244061"/>
          <w:sz w:val="28"/>
          <w:szCs w:val="28"/>
        </w:rPr>
        <w:tab/>
      </w: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5.4</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083674E4">
      <w:pPr>
        <w:widowControl/>
        <w:rPr>
          <w:rFonts w:ascii="Times New Roman" w:hAnsi="Times New Roman" w:eastAsia="微软雅黑" w:cs="Times New Roman"/>
          <w:b/>
          <w:bCs/>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5" w:name="_Toc534637498"/>
      <w:bookmarkStart w:id="36" w:name="_Toc25428"/>
      <w:bookmarkStart w:id="37" w:name="_Toc527112385"/>
      <w:bookmarkStart w:id="38" w:name="_Toc526855037"/>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jc w:val="both"/>
        <w:rPr>
          <w:rFonts w:hint="eastAsia" w:ascii="微软雅黑" w:hAnsi="微软雅黑" w:eastAsia="微软雅黑" w:cs="微软雅黑"/>
          <w:color w:val="254061" w:themeColor="accent1" w:themeShade="80"/>
        </w:rPr>
      </w:pPr>
      <w:bookmarkStart w:id="39" w:name="_Toc22255"/>
      <w:bookmarkStart w:id="40" w:name="_Toc4331_WPSOffice_Level2"/>
      <w:bookmarkStart w:id="41" w:name="_Toc23606"/>
      <w:bookmarkStart w:id="42" w:name="_Toc6468"/>
      <w:bookmarkStart w:id="43" w:name="_Toc32443_WPSOffice_Level2"/>
      <w:r>
        <w:rPr>
          <w:rFonts w:hint="eastAsia" w:ascii="微软雅黑" w:hAnsi="微软雅黑" w:eastAsia="微软雅黑" w:cs="微软雅黑"/>
          <w:color w:val="254061" w:themeColor="accent1" w:themeShade="80"/>
        </w:rPr>
        <w:t xml:space="preserve">1 </w:t>
      </w:r>
      <w:bookmarkEnd w:id="39"/>
      <w:bookmarkEnd w:id="40"/>
      <w:bookmarkEnd w:id="41"/>
      <w:bookmarkEnd w:id="42"/>
      <w:bookmarkEnd w:id="43"/>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8"/>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44" w:name="_Toc6931_WPSOffice_Level3"/>
      <w:bookmarkStart w:id="45" w:name="_Toc18091_WPSOffice_Level3"/>
      <w:bookmarkStart w:id="46" w:name="_Toc15289_WPSOffice_Level3"/>
      <w:r>
        <w:rPr>
          <w:rFonts w:hint="eastAsia" w:ascii="Times New Roman" w:hAnsi="Times New Roman" w:eastAsia="微软雅黑" w:cs="Times New Roman"/>
          <w:b/>
          <w:sz w:val="24"/>
          <w:szCs w:val="24"/>
        </w:rPr>
        <w:t>{{ tdd.gene }}</w:t>
      </w:r>
    </w:p>
    <w:bookmarkEnd w:id="44"/>
    <w:bookmarkEnd w:id="45"/>
    <w:bookmarkEnd w:id="46"/>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jc w:val="both"/>
        <w:rPr>
          <w:rFonts w:hint="eastAsia" w:ascii="微软雅黑" w:hAnsi="微软雅黑" w:eastAsia="微软雅黑" w:cs="微软雅黑"/>
          <w:color w:val="254061" w:themeColor="accent1" w:themeShade="80"/>
          <w:sz w:val="28"/>
          <w:szCs w:val="28"/>
        </w:rPr>
      </w:pPr>
      <w:bookmarkStart w:id="47" w:name="_Toc9494"/>
      <w:bookmarkStart w:id="48" w:name="_Toc11393"/>
      <w:bookmarkStart w:id="49" w:name="_Toc9080"/>
      <w:r>
        <w:rPr>
          <w:rFonts w:hint="eastAsia" w:ascii="微软雅黑" w:hAnsi="微软雅黑" w:eastAsia="微软雅黑" w:cs="微软雅黑"/>
          <w:color w:val="254061" w:themeColor="accent1" w:themeShade="80"/>
          <w:sz w:val="28"/>
          <w:szCs w:val="28"/>
        </w:rPr>
        <w:t>2 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3免疫检测结果解析</w:t>
      </w:r>
      <w:bookmarkEnd w:id="47"/>
      <w:bookmarkEnd w:id="48"/>
      <w:bookmarkEnd w:id="49"/>
    </w:p>
    <w:p w14:paraId="79DF2A89">
      <w:pPr>
        <w:pStyle w:val="3"/>
        <w:numPr>
          <w:ilvl w:val="1"/>
          <w:numId w:val="9"/>
        </w:numPr>
        <w:ind w:left="981"/>
        <w:jc w:val="both"/>
        <w:rPr>
          <w:rFonts w:hint="eastAsia" w:ascii="微软雅黑" w:hAnsi="微软雅黑" w:eastAsia="微软雅黑" w:cs="微软雅黑"/>
          <w:color w:val="254061" w:themeColor="accent1" w:themeShade="80"/>
          <w:sz w:val="28"/>
          <w:szCs w:val="28"/>
          <w:lang w:val="en-US" w:eastAsia="zh-CN"/>
        </w:rPr>
      </w:pPr>
      <w:bookmarkStart w:id="50" w:name="_Toc11562_WPSOffice_Level3"/>
      <w:r>
        <w:rPr>
          <w:rFonts w:hint="eastAsia" w:ascii="微软雅黑" w:hAnsi="微软雅黑" w:eastAsia="微软雅黑" w:cs="微软雅黑"/>
          <w:color w:val="254061" w:themeColor="accent1" w:themeShade="80"/>
          <w:sz w:val="28"/>
          <w:szCs w:val="28"/>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50"/>
    <w:p w14:paraId="54D4290D">
      <w:pPr>
        <w:rPr>
          <w:rFonts w:ascii="Times New Roman" w:hAnsi="Times New Roman" w:eastAsia="微软雅黑" w:cs="Times New Roman"/>
          <w:b/>
          <w:sz w:val="18"/>
          <w:szCs w:val="18"/>
          <w:lang w:bidi="ar"/>
        </w:rPr>
      </w:pPr>
      <w:bookmarkStart w:id="62" w:name="_GoBack"/>
      <w:bookmarkEnd w:id="62"/>
      <w:r>
        <w:rPr>
          <w:rFonts w:hint="eastAsia" w:ascii="Times New Roman" w:hAnsi="Times New Roman" w:eastAsia="微软雅黑" w:cs="Times New Roman"/>
          <w:b/>
          <w:sz w:val="18"/>
          <w:szCs w:val="18"/>
          <w:lang w:bidi="ar"/>
        </w:rPr>
        <w:br w:type="page"/>
      </w:r>
    </w:p>
    <w:p w14:paraId="6A37CB8F">
      <w:pPr>
        <w:pStyle w:val="3"/>
        <w:numPr>
          <w:ilvl w:val="1"/>
          <w:numId w:val="9"/>
        </w:numPr>
        <w:ind w:left="981"/>
        <w:jc w:val="both"/>
        <w:rPr>
          <w:rFonts w:hint="eastAsia" w:ascii="微软雅黑" w:hAnsi="微软雅黑" w:eastAsia="微软雅黑" w:cs="微软雅黑"/>
          <w:color w:val="254061" w:themeColor="accent1" w:themeShade="80"/>
          <w:sz w:val="28"/>
          <w:szCs w:val="28"/>
        </w:rPr>
      </w:pPr>
      <w:bookmarkStart w:id="51" w:name="_Toc7307_WPSOffice_Level3"/>
      <w:r>
        <w:rPr>
          <w:rFonts w:hint="eastAsia" w:ascii="微软雅黑" w:hAnsi="微软雅黑" w:eastAsia="微软雅黑" w:cs="微软雅黑"/>
          <w:color w:val="254061" w:themeColor="accent1" w:themeShade="80"/>
          <w:sz w:val="28"/>
          <w:szCs w:val="28"/>
        </w:rPr>
        <w:t>错配修复（MMR）相关基因检测结果</w:t>
      </w:r>
    </w:p>
    <w:bookmarkEnd w:id="51"/>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0"/>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0EB7D87">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4 化疗药物检测解析</w:t>
      </w:r>
    </w:p>
    <w:p w14:paraId="253B7737">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1"/>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1"/>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5"/>
      <w:bookmarkEnd w:id="36"/>
      <w:bookmarkEnd w:id="37"/>
      <w:bookmarkEnd w:id="38"/>
    </w:p>
    <w:p w14:paraId="5DD2CC05">
      <w:pPr>
        <w:pStyle w:val="3"/>
        <w:numPr>
          <w:ilvl w:val="0"/>
          <w:numId w:val="13"/>
        </w:numPr>
        <w:jc w:val="both"/>
        <w:rPr>
          <w:rFonts w:hint="eastAsia" w:ascii="微软雅黑" w:hAnsi="微软雅黑" w:eastAsia="微软雅黑" w:cs="微软雅黑"/>
          <w:color w:val="254061" w:themeColor="accent1" w:themeShade="80"/>
        </w:rPr>
      </w:pPr>
      <w:bookmarkStart w:id="52" w:name="_Toc526855038"/>
      <w:bookmarkStart w:id="53" w:name="_Toc534637499"/>
      <w:bookmarkStart w:id="54" w:name="_Toc527112386"/>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cs="Times New Roman"/>
                <w:color w:val="000000"/>
                <w:sz w:val="21"/>
                <w:szCs w:val="21"/>
              </w:rPr>
              <w:t>15</w:t>
            </w:r>
            <w:r>
              <w:rPr>
                <w:rFonts w:ascii="Times New Roman" w:hAnsi="Times New Roman" w:cs="Times New Roman"/>
                <w:color w:val="000000"/>
                <w:sz w:val="21"/>
                <w:szCs w:val="21"/>
              </w:rPr>
              <w:t>00</w:t>
            </w:r>
            <w:r>
              <w:rPr>
                <w:rFonts w:hint="eastAsia" w:ascii="Times New Roman" w:hAnsi="Times New Roman" w:eastAsia="微软雅黑" w:cs="黑体"/>
                <w:sz w:val="21"/>
              </w:rPr>
              <w:t>{% endif %}</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p w14:paraId="7C0CC14D">
      <w:pPr>
        <w:pStyle w:val="3"/>
        <w:numPr>
          <w:ilvl w:val="0"/>
          <w:numId w:val="13"/>
        </w:numPr>
        <w:jc w:val="both"/>
        <w:rPr>
          <w:rFonts w:hint="eastAsia" w:ascii="微软雅黑" w:hAnsi="微软雅黑" w:eastAsia="微软雅黑" w:cs="微软雅黑"/>
          <w:color w:val="254061" w:themeColor="accent1" w:themeShade="80"/>
        </w:rPr>
      </w:pPr>
      <w:bookmarkStart w:id="55" w:name="_Toc30533"/>
      <w:bookmarkStart w:id="56" w:name="_Toc7549"/>
      <w:bookmarkStart w:id="57" w:name="_Toc28910_WPSOffice_Level1"/>
      <w:bookmarkStart w:id="58" w:name="_Toc22458"/>
      <w:bookmarkStart w:id="59" w:name="_Toc22484_WPSOffice_Level1"/>
      <w:bookmarkStart w:id="60" w:name="_Toc16368_WPSOffice_Level1"/>
      <w:bookmarkStart w:id="61" w:name="_Toc19099"/>
      <w:r>
        <w:rPr>
          <w:rFonts w:hint="eastAsia" w:ascii="微软雅黑" w:hAnsi="微软雅黑" w:eastAsia="微软雅黑" w:cs="微软雅黑"/>
          <w:color w:val="254061" w:themeColor="accent1" w:themeShade="80"/>
        </w:rPr>
        <w:t>检测基因列表</w:t>
      </w:r>
      <w:bookmarkEnd w:id="52"/>
      <w:bookmarkEnd w:id="53"/>
      <w:bookmarkEnd w:id="54"/>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BFC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0A47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 xml:space="preserve">{%tr for Gene in </w:t>
            </w:r>
            <w:r>
              <w:rPr>
                <w:rFonts w:hint="eastAsia" w:ascii="Times New Roman" w:hAnsi="Times New Roman" w:eastAsia="微软雅黑" w:cs="Times New Roman"/>
                <w:sz w:val="18"/>
                <w:szCs w:val="18"/>
                <w:lang w:bidi="ar"/>
              </w:rPr>
              <w:t>gene.genes</w:t>
            </w:r>
            <w:r>
              <w:rPr>
                <w:rFonts w:hint="eastAsia" w:ascii="Times New Roman" w:hAnsi="Times New Roman" w:eastAsia="微软雅黑" w:cs="Times New Roman"/>
                <w:sz w:val="18"/>
                <w:szCs w:val="18"/>
              </w:rPr>
              <w:t xml:space="preserve"> | red(7,18,</w:t>
            </w:r>
            <w:r>
              <w:rPr>
                <w:rFonts w:ascii="Times New Roman" w:hAnsi="Times New Roman" w:eastAsia="微软雅黑" w:cs="Times New Roman"/>
                <w:sz w:val="18"/>
                <w:szCs w:val="18"/>
              </w:rPr>
              <w:t>T</w:t>
            </w:r>
            <w:r>
              <w:rPr>
                <w:rFonts w:hint="eastAsia" w:ascii="Times New Roman" w:hAnsi="Times New Roman" w:eastAsia="微软雅黑" w:cs="Times New Roman"/>
                <w:sz w:val="18"/>
                <w:szCs w:val="18"/>
              </w:rPr>
              <w:t>ure)%}</w:t>
            </w:r>
          </w:p>
        </w:tc>
      </w:tr>
      <w:tr w14:paraId="33B8B234">
        <w:tblPrEx>
          <w:tblCellMar>
            <w:top w:w="0" w:type="dxa"/>
            <w:left w:w="0" w:type="dxa"/>
            <w:bottom w:w="0" w:type="dxa"/>
            <w:right w:w="0" w:type="dxa"/>
          </w:tblCellMar>
        </w:tblPrEx>
        <w:trPr>
          <w:trHeight w:val="340"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D30404">
            <w:pPr>
              <w:widowControl/>
              <w:jc w:val="center"/>
              <w:rPr>
                <w:rFonts w:ascii="Times New Roman" w:hAnsi="Times New Roman" w:eastAsia="微软雅黑" w:cs="Times New Roman"/>
                <w:i/>
                <w:iCs/>
                <w:color w:val="000000"/>
                <w:sz w:val="18"/>
                <w:szCs w:val="18"/>
                <w:lang w:bidi="ar"/>
              </w:rPr>
            </w:pPr>
            <w:r>
              <w:rPr>
                <w:rFonts w:hint="eastAsia" w:ascii="Times New Roman" w:hAnsi="Times New Roman" w:eastAsia="微软雅黑" w:cs="Times New Roman"/>
                <w:i/>
                <w:iCs/>
                <w:sz w:val="18"/>
                <w:szCs w:val="18"/>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DC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DE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134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3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63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Gene[6] }}</w:t>
            </w:r>
          </w:p>
        </w:tc>
      </w:tr>
      <w:tr w14:paraId="4609BD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994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{%tr endfor%}</w:t>
            </w:r>
          </w:p>
        </w:tc>
      </w:tr>
    </w:tbl>
    <w:p w14:paraId="7EBD2241">
      <w:pPr>
        <w:rPr>
          <w:rFonts w:hint="eastAsia"/>
        </w:rPr>
      </w:pP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13"/>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DEA8520"/>
    <w:multiLevelType w:val="singleLevel"/>
    <w:tmpl w:val="9DEA8520"/>
    <w:lvl w:ilvl="0" w:tentative="0">
      <w:start w:val="1"/>
      <w:numFmt w:val="decimal"/>
      <w:lvlText w:val="%1."/>
      <w:lvlJc w:val="left"/>
      <w:pPr>
        <w:tabs>
          <w:tab w:val="left" w:pos="295"/>
        </w:tabs>
        <w:ind w:left="295" w:hanging="295"/>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D2A38E"/>
    <w:multiLevelType w:val="singleLevel"/>
    <w:tmpl w:val="3FD2A38E"/>
    <w:lvl w:ilvl="0" w:tentative="0">
      <w:start w:val="1"/>
      <w:numFmt w:val="decimal"/>
      <w:lvlText w:val="%1."/>
      <w:lvlJc w:val="left"/>
      <w:pPr>
        <w:ind w:left="425" w:hanging="42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1"/>
  </w:num>
  <w:num w:numId="4">
    <w:abstractNumId w:val="10"/>
  </w:num>
  <w:num w:numId="5">
    <w:abstractNumId w:val="15"/>
  </w:num>
  <w:num w:numId="6">
    <w:abstractNumId w:val="12"/>
  </w:num>
  <w:num w:numId="7">
    <w:abstractNumId w:val="11"/>
  </w:num>
  <w:num w:numId="8">
    <w:abstractNumId w:val="9"/>
  </w:num>
  <w:num w:numId="9">
    <w:abstractNumId w:val="3"/>
  </w:num>
  <w:num w:numId="10">
    <w:abstractNumId w:val="6"/>
  </w:num>
  <w:num w:numId="11">
    <w:abstractNumId w:val="4"/>
  </w:num>
  <w:num w:numId="12">
    <w:abstractNumId w:val="13"/>
  </w:num>
  <w:num w:numId="13">
    <w:abstractNumId w:val="0"/>
  </w:num>
  <w:num w:numId="14">
    <w:abstractNumId w:val="7"/>
  </w:num>
  <w:num w:numId="15">
    <w:abstractNumId w:val="1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attachedTemplate r:id="rId1"/>
  <w:documentProtection w:enforcement="0"/>
  <w:defaultTabStop w:val="720"/>
  <w:drawingGridHorizontalSpacing w:val="110"/>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DA0B1E"/>
    <w:rsid w:val="030A1074"/>
    <w:rsid w:val="032B1BE2"/>
    <w:rsid w:val="035A176A"/>
    <w:rsid w:val="035C523B"/>
    <w:rsid w:val="03643579"/>
    <w:rsid w:val="039F085D"/>
    <w:rsid w:val="03BD5429"/>
    <w:rsid w:val="045F1F7F"/>
    <w:rsid w:val="04C72E3B"/>
    <w:rsid w:val="0645558F"/>
    <w:rsid w:val="06DD5923"/>
    <w:rsid w:val="07DF4045"/>
    <w:rsid w:val="080C0FCE"/>
    <w:rsid w:val="085444F7"/>
    <w:rsid w:val="090E6DE2"/>
    <w:rsid w:val="0A0502D0"/>
    <w:rsid w:val="0A4800D1"/>
    <w:rsid w:val="0ACD30F7"/>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C35254A"/>
    <w:rsid w:val="1C46724D"/>
    <w:rsid w:val="1C6B037B"/>
    <w:rsid w:val="1CCA0FFC"/>
    <w:rsid w:val="1D741D7F"/>
    <w:rsid w:val="1ED9132E"/>
    <w:rsid w:val="1EDA2B4A"/>
    <w:rsid w:val="1F1E171F"/>
    <w:rsid w:val="1FA77E9F"/>
    <w:rsid w:val="1FEB71C0"/>
    <w:rsid w:val="203945B9"/>
    <w:rsid w:val="207D13AB"/>
    <w:rsid w:val="20A0049E"/>
    <w:rsid w:val="20B147CB"/>
    <w:rsid w:val="2112792C"/>
    <w:rsid w:val="21390525"/>
    <w:rsid w:val="21742B65"/>
    <w:rsid w:val="21E4370A"/>
    <w:rsid w:val="222B0335"/>
    <w:rsid w:val="22D00B25"/>
    <w:rsid w:val="22E73BCC"/>
    <w:rsid w:val="233740CD"/>
    <w:rsid w:val="23396F85"/>
    <w:rsid w:val="23A75A11"/>
    <w:rsid w:val="24735323"/>
    <w:rsid w:val="24737443"/>
    <w:rsid w:val="24E370FD"/>
    <w:rsid w:val="250971A1"/>
    <w:rsid w:val="261C6242"/>
    <w:rsid w:val="268D2393"/>
    <w:rsid w:val="271D2C97"/>
    <w:rsid w:val="288406F2"/>
    <w:rsid w:val="28CE392E"/>
    <w:rsid w:val="293140D5"/>
    <w:rsid w:val="295C627B"/>
    <w:rsid w:val="29CF0D5E"/>
    <w:rsid w:val="2A27612F"/>
    <w:rsid w:val="2A283292"/>
    <w:rsid w:val="2B4E6910"/>
    <w:rsid w:val="2C1F4808"/>
    <w:rsid w:val="2C200BD1"/>
    <w:rsid w:val="2CAB7CC5"/>
    <w:rsid w:val="2CCD1101"/>
    <w:rsid w:val="2CD47D9D"/>
    <w:rsid w:val="2D4762FC"/>
    <w:rsid w:val="2D536CB5"/>
    <w:rsid w:val="2D542FB4"/>
    <w:rsid w:val="2DFE24A0"/>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9A10BCE"/>
    <w:rsid w:val="3A0504C9"/>
    <w:rsid w:val="3A5F2230"/>
    <w:rsid w:val="3A670D93"/>
    <w:rsid w:val="3A8C29FB"/>
    <w:rsid w:val="3B361E49"/>
    <w:rsid w:val="3BEE2461"/>
    <w:rsid w:val="3C0F571D"/>
    <w:rsid w:val="3C4E0A85"/>
    <w:rsid w:val="3C573483"/>
    <w:rsid w:val="3C8D3911"/>
    <w:rsid w:val="3E79229B"/>
    <w:rsid w:val="3E8F39DA"/>
    <w:rsid w:val="3ED529B9"/>
    <w:rsid w:val="3F2D78C6"/>
    <w:rsid w:val="3F632CDC"/>
    <w:rsid w:val="3FAE2946"/>
    <w:rsid w:val="3FAF13AE"/>
    <w:rsid w:val="40130E29"/>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0E2F39"/>
    <w:rsid w:val="4B8247F5"/>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81012C"/>
    <w:rsid w:val="50E342C3"/>
    <w:rsid w:val="510117B1"/>
    <w:rsid w:val="5136083B"/>
    <w:rsid w:val="51646B6C"/>
    <w:rsid w:val="51B07017"/>
    <w:rsid w:val="5226439F"/>
    <w:rsid w:val="525D71C4"/>
    <w:rsid w:val="528147CF"/>
    <w:rsid w:val="52D6395C"/>
    <w:rsid w:val="538057B3"/>
    <w:rsid w:val="53BF6310"/>
    <w:rsid w:val="542D76E9"/>
    <w:rsid w:val="5459613F"/>
    <w:rsid w:val="552863E9"/>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BF94292"/>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654544"/>
    <w:rsid w:val="60AC26EF"/>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FA5082"/>
    <w:rsid w:val="6C7D7C32"/>
    <w:rsid w:val="6D1F799B"/>
    <w:rsid w:val="6D361187"/>
    <w:rsid w:val="6E481A15"/>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60426CC"/>
    <w:rsid w:val="76051E1C"/>
    <w:rsid w:val="76441BDB"/>
    <w:rsid w:val="765B0A6B"/>
    <w:rsid w:val="76CD26D9"/>
    <w:rsid w:val="77CB2E7D"/>
    <w:rsid w:val="77F424C6"/>
    <w:rsid w:val="782878D8"/>
    <w:rsid w:val="78697EA9"/>
    <w:rsid w:val="789A3C5D"/>
    <w:rsid w:val="78BA0E7B"/>
    <w:rsid w:val="792A3948"/>
    <w:rsid w:val="79355B9E"/>
    <w:rsid w:val="79D31CC7"/>
    <w:rsid w:val="7A360C00"/>
    <w:rsid w:val="7AFE6E3A"/>
    <w:rsid w:val="7B3E7DA0"/>
    <w:rsid w:val="7BA16014"/>
    <w:rsid w:val="7C192247"/>
    <w:rsid w:val="7C4E1817"/>
    <w:rsid w:val="7C735456"/>
    <w:rsid w:val="7CA705C1"/>
    <w:rsid w:val="7CA70E63"/>
    <w:rsid w:val="7D1A4255"/>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27</Pages>
  <Words>6398</Words>
  <Characters>12435</Characters>
  <Lines>196</Lines>
  <Paragraphs>55</Paragraphs>
  <TotalTime>0</TotalTime>
  <ScaleCrop>false</ScaleCrop>
  <LinksUpToDate>false</LinksUpToDate>
  <CharactersWithSpaces>13324</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2024-12-05T08:55:33Z</dcterms:modified>
  <cp:revision>111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1FA39BB2341E444A9042AEC4810E84F0_13</vt:lpwstr>
  </property>
</Properties>
</file>