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13B2ED8">
            <w:pPr>
              <w:jc w:val="right"/>
              <w:rPr>
                <w:rFonts w:ascii="Times New Roman" w:hAnsi="Times New Roman" w:eastAsia="微软雅黑" w:cs="Times New Roman"/>
                <w:b/>
                <w:bCs/>
                <w:color w:val="1F497D"/>
                <w:sz w:val="36"/>
                <w:szCs w:val="36"/>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left"/>
              <w:rPr>
                <w:rFonts w:ascii="Times New Roman" w:hAnsi="Times New Roman" w:eastAsia="微软雅黑" w:cs="Times New Roman"/>
                <w:b/>
                <w:bCs/>
                <w:color w:val="1F497D"/>
                <w:sz w:val="36"/>
                <w:szCs w:val="36"/>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rPr>
              <w:t>三峡</w:t>
            </w:r>
            <w:r>
              <w:rPr>
                <w:rFonts w:ascii="黑体" w:hAnsi="黑体" w:eastAsia="黑体" w:cs="黑体"/>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ascii="Times New Roman" w:hAnsi="Times New Roman" w:eastAsia="微软雅黑" w:cs="Times New Roman"/>
                <w:b/>
                <w:bCs/>
                <w:color w:val="1F497D"/>
                <w:sz w:val="36"/>
                <w:szCs w:val="36"/>
              </w:rPr>
            </w:pPr>
          </w:p>
        </w:tc>
        <w:tc>
          <w:tcPr>
            <w:tcW w:w="8060" w:type="dxa"/>
            <w:vAlign w:val="center"/>
          </w:tcPr>
          <w:p w14:paraId="3CCE790B">
            <w:pPr>
              <w:jc w:val="both"/>
              <w:rPr>
                <w:rFonts w:ascii="Times New Roman" w:hAnsi="Times New Roman" w:eastAsia="微软雅黑" w:cs="Times New Roman"/>
                <w:b/>
                <w:bCs/>
                <w:color w:val="1F497D"/>
                <w:sz w:val="36"/>
                <w:szCs w:val="36"/>
              </w:rPr>
            </w:pPr>
            <w:r>
              <w:rPr>
                <w:rFonts w:hint="eastAsia" w:ascii="黑体" w:hAnsi="黑体" w:eastAsia="黑体" w:cs="黑体"/>
                <w:b/>
                <w:bCs/>
                <w:color w:val="254061" w:themeColor="accent1" w:themeShade="80"/>
                <w:sz w:val="32"/>
                <w:szCs w:val="32"/>
              </w:rPr>
              <w:t>脑胶质瘤200基因检测报告{% if PDInfo != undefined %}（含PD-L1）{% endif %}</w:t>
            </w:r>
          </w:p>
        </w:tc>
      </w:tr>
    </w:tbl>
    <w:p w14:paraId="083364A5">
      <w:pPr>
        <w:jc w:val="both"/>
        <w:rPr>
          <w:rFonts w:hint="eastAsia" w:ascii="微软雅黑" w:hAnsi="微软雅黑" w:eastAsia="微软雅黑" w:cs="微软雅黑"/>
          <w:b/>
          <w:bCs/>
          <w:color w:val="1F497D"/>
          <w:sz w:val="24"/>
          <w:szCs w:val="24"/>
        </w:rPr>
      </w:pPr>
    </w:p>
    <w:p w14:paraId="36A8CB9C">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342799BB">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0497E5F5">
            <w:pPr>
              <w:widowControl/>
              <w:jc w:val="center"/>
              <w:textAlignment w:val="center"/>
              <w:rPr>
                <w:rFonts w:hint="eastAsia"/>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25DAA04">
            <w:pPr>
              <w:widowControl/>
              <w:jc w:val="center"/>
              <w:textAlignment w:val="center"/>
              <w:rPr>
                <w:rFonts w:hint="eastAsia"/>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E503644">
            <w:pPr>
              <w:widowControl/>
              <w:jc w:val="center"/>
              <w:textAlignment w:val="center"/>
              <w:rPr>
                <w:rFonts w:hint="eastAsia"/>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63EAE3D">
            <w:pPr>
              <w:widowControl/>
              <w:jc w:val="center"/>
              <w:textAlignment w:val="center"/>
              <w:rPr>
                <w:rFonts w:hint="eastAsia"/>
                <w:b/>
                <w:color w:val="000000"/>
                <w:sz w:val="21"/>
                <w:szCs w:val="21"/>
                <w:lang w:bidi="ar"/>
              </w:rPr>
            </w:pPr>
            <w:r>
              <w:rPr>
                <w:rFonts w:hint="eastAsia"/>
                <w:b/>
                <w:color w:val="000000"/>
                <w:sz w:val="21"/>
                <w:szCs w:val="21"/>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DAF2469">
            <w:pPr>
              <w:widowControl/>
              <w:jc w:val="center"/>
              <w:textAlignment w:val="center"/>
              <w:rPr>
                <w:rFonts w:hint="eastAsia"/>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14D092">
            <w:pPr>
              <w:widowControl/>
              <w:jc w:val="center"/>
              <w:textAlignment w:val="center"/>
              <w:rPr>
                <w:rFonts w:hint="eastAsia"/>
                <w:b/>
                <w:color w:val="000000"/>
                <w:sz w:val="21"/>
                <w:szCs w:val="21"/>
                <w:lang w:bidi="ar"/>
              </w:rPr>
            </w:pPr>
            <w:r>
              <w:rPr>
                <w:rFonts w:ascii="Times New Roman" w:hAnsi="Times New Roman" w:cs="Times New Roman"/>
                <w:b/>
                <w:color w:val="000000"/>
                <w:sz w:val="21"/>
                <w:szCs w:val="21"/>
              </w:rPr>
              <w:t>{{ age }}</w:t>
            </w:r>
            <w:r>
              <w:rPr>
                <w:rFonts w:ascii="Times New Roman" w:hAnsi="Times New Roman" w:cs="Times New Roman"/>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09257C5">
            <w:pPr>
              <w:widowControl/>
              <w:jc w:val="center"/>
              <w:textAlignment w:val="center"/>
              <w:rPr>
                <w:rFonts w:hint="eastAsia"/>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593DD52A">
            <w:pPr>
              <w:widowControl/>
              <w:jc w:val="center"/>
              <w:textAlignment w:val="center"/>
              <w:rPr>
                <w:rFonts w:ascii="Times New Roman" w:hAnsi="Times New Roman" w:cs="Times New Roman"/>
                <w:b/>
                <w:bCs/>
                <w:kern w:val="2"/>
              </w:rPr>
            </w:pPr>
            <w:r>
              <w:rPr>
                <w:rFonts w:hint="eastAsia"/>
                <w:b/>
                <w:bCs/>
                <w:kern w:val="2"/>
              </w:rPr>
              <w:t>{{ hospital }}</w:t>
            </w:r>
          </w:p>
        </w:tc>
      </w:tr>
      <w:tr w14:paraId="31E78B77">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E415CDE">
            <w:pPr>
              <w:widowControl/>
              <w:jc w:val="center"/>
              <w:textAlignment w:val="center"/>
              <w:rPr>
                <w:rFonts w:hint="eastAsia"/>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C94AADB">
            <w:pPr>
              <w:widowControl/>
              <w:jc w:val="center"/>
              <w:textAlignment w:val="center"/>
              <w:rPr>
                <w:rFonts w:hint="eastAsia"/>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E6B774A">
            <w:pPr>
              <w:widowControl/>
              <w:jc w:val="center"/>
              <w:textAlignment w:val="center"/>
              <w:rPr>
                <w:rFonts w:hint="eastAsia"/>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BCC22A9">
            <w:pPr>
              <w:jc w:val="center"/>
              <w:rPr>
                <w:rFonts w:hint="eastAsia"/>
                <w:b/>
                <w:color w:val="000000"/>
                <w:sz w:val="21"/>
                <w:szCs w:val="21"/>
                <w:lang w:bidi="ar"/>
              </w:rPr>
            </w:pPr>
            <w:r>
              <w:rPr>
                <w:rFonts w:hint="eastAsia"/>
                <w:b/>
                <w:color w:val="000000"/>
                <w:sz w:val="21"/>
                <w:szCs w:val="21"/>
                <w:lang w:bidi="ar"/>
              </w:rPr>
              <w:t>{{ bed }}</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15A5987">
            <w:pPr>
              <w:widowControl/>
              <w:jc w:val="center"/>
              <w:textAlignment w:val="center"/>
              <w:rPr>
                <w:rFonts w:hint="eastAsia"/>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7229695B">
            <w:pPr>
              <w:widowControl/>
              <w:jc w:val="center"/>
              <w:textAlignment w:val="center"/>
              <w:rPr>
                <w:rFonts w:hint="eastAsia"/>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39BBB5AE">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7135A428">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67703598">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1ADE34AA">
            <w:pPr>
              <w:widowControl/>
              <w:jc w:val="center"/>
              <w:textAlignment w:val="center"/>
              <w:rPr>
                <w:rFonts w:hint="eastAsia"/>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9972ED4">
            <w:pPr>
              <w:widowControl/>
              <w:jc w:val="center"/>
              <w:textAlignment w:val="center"/>
              <w:rPr>
                <w:rFonts w:hint="eastAsia"/>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7EC6963">
            <w:pPr>
              <w:widowControl/>
              <w:jc w:val="center"/>
              <w:textAlignment w:val="center"/>
              <w:rPr>
                <w:rFonts w:hint="eastAsia"/>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393C3CB">
            <w:pPr>
              <w:widowControl/>
              <w:jc w:val="center"/>
              <w:textAlignment w:val="center"/>
              <w:rPr>
                <w:rFonts w:hint="eastAsia"/>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6CB31DE">
            <w:pPr>
              <w:widowControl/>
              <w:jc w:val="center"/>
              <w:textAlignment w:val="center"/>
              <w:rPr>
                <w:rFonts w:hint="eastAsia"/>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2C44D370">
            <w:pPr>
              <w:widowControl/>
              <w:jc w:val="center"/>
              <w:textAlignment w:val="center"/>
              <w:rPr>
                <w:rFonts w:hint="eastAsia"/>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0E83EB50">
      <w:pPr>
        <w:rPr>
          <w:rFonts w:hint="eastAsia" w:ascii="微软雅黑" w:hAnsi="微软雅黑" w:eastAsia="微软雅黑" w:cs="微软雅黑"/>
        </w:rPr>
      </w:pPr>
    </w:p>
    <w:p w14:paraId="6A71A04F">
      <w:pPr>
        <w:rPr>
          <w:rFonts w:hint="eastAsia" w:ascii="微软雅黑" w:hAnsi="微软雅黑" w:eastAsia="微软雅黑" w:cs="微软雅黑"/>
        </w:rPr>
      </w:pPr>
    </w:p>
    <w:tbl>
      <w:tblPr>
        <w:tblStyle w:val="19"/>
        <w:tblW w:w="973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88"/>
      </w:tblGrid>
      <w:tr w14:paraId="6701BD3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0BC5EC75">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88" w:type="dxa"/>
            <w:vAlign w:val="center"/>
          </w:tcPr>
          <w:p w14:paraId="638431BE">
            <w:pPr>
              <w:pStyle w:val="17"/>
              <w:rPr>
                <w:rFonts w:hint="eastAsia" w:asciiTheme="minorEastAsia" w:hAnsiTheme="minorEastAsia" w:eastAsiaTheme="minorEastAsia"/>
                <w:sz w:val="21"/>
                <w:szCs w:val="21"/>
              </w:rPr>
            </w:pPr>
            <w:r>
              <w:rPr>
                <w:rFonts w:hint="eastAsia" w:asciiTheme="minorEastAsia" w:hAnsiTheme="minorEastAsia" w:eastAsiaTheme="minorEastAsia"/>
                <w:sz w:val="21"/>
                <w:szCs w:val="21"/>
              </w:rPr>
              <w:t>脑胶质瘤200基因检测{% if PDInfo != undefined %}（含PD-L1）{% endif %}</w:t>
            </w:r>
          </w:p>
        </w:tc>
      </w:tr>
      <w:tr w14:paraId="058B267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3E5F31A0">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88" w:type="dxa"/>
            <w:vAlign w:val="center"/>
          </w:tcPr>
          <w:p w14:paraId="428BABA5">
            <w:pPr>
              <w:pStyle w:val="17"/>
              <w:rPr>
                <w:rFonts w:hint="eastAsia" w:asciiTheme="minorEastAsia" w:hAnsiTheme="minorEastAsia" w:eastAsiaTheme="minorEastAsia"/>
                <w:sz w:val="21"/>
                <w:szCs w:val="21"/>
              </w:rPr>
            </w:pPr>
            <w:r>
              <w:rPr>
                <w:rFonts w:hint="eastAsia" w:asciiTheme="minorEastAsia" w:hAnsiTheme="minorEastAsia" w:eastAsiaTheme="minorEastAsia"/>
                <w:sz w:val="21"/>
                <w:szCs w:val="21"/>
              </w:rPr>
              <w:t>{{ sample_type }}，</w:t>
            </w:r>
            <w:r>
              <w:rPr>
                <w:sz w:val="21"/>
                <w:szCs w:val="21"/>
              </w:rPr>
              <w:t>肿瘤细胞含量</w:t>
            </w:r>
            <w:r>
              <w:rPr>
                <w:rFonts w:hint="eastAsia"/>
                <w:sz w:val="21"/>
                <w:szCs w:val="21"/>
              </w:rPr>
              <w:t xml:space="preserve">：{% if summaryOfRresults.type == </w:t>
            </w:r>
            <w:r>
              <w:rPr>
                <w:sz w:val="21"/>
                <w:szCs w:val="21"/>
              </w:rPr>
              <w:t>“tissue”</w:t>
            </w:r>
            <w:r>
              <w:rPr>
                <w:rFonts w:hint="eastAsia"/>
                <w:sz w:val="21"/>
                <w:szCs w:val="21"/>
              </w:rPr>
              <w:t xml:space="preserve"> %}≥1</w:t>
            </w:r>
            <w:r>
              <w:rPr>
                <w:sz w:val="21"/>
                <w:szCs w:val="21"/>
              </w:rPr>
              <w:t>0</w:t>
            </w:r>
            <w:r>
              <w:rPr>
                <w:rFonts w:hint="eastAsia"/>
                <w:sz w:val="21"/>
                <w:szCs w:val="21"/>
              </w:rPr>
              <w:t>%{% else %}-{% endif %}</w:t>
            </w:r>
          </w:p>
        </w:tc>
      </w:tr>
      <w:tr w14:paraId="41E6A07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tcPr>
          <w:p w14:paraId="7D9A75A4">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检测方法</w:t>
            </w:r>
          </w:p>
        </w:tc>
        <w:tc>
          <w:tcPr>
            <w:tcW w:w="8488" w:type="dxa"/>
            <w:vAlign w:val="center"/>
          </w:tcPr>
          <w:p w14:paraId="288F0DFC">
            <w:pPr>
              <w:pStyle w:val="17"/>
              <w:rPr>
                <w:rFonts w:hint="eastAsia" w:asciiTheme="minorEastAsia" w:hAnsiTheme="minorEastAsia" w:eastAsiaTheme="minorEastAsia"/>
                <w:color w:val="000000" w:themeColor="text1"/>
                <w:sz w:val="21"/>
                <w:szCs w:val="21"/>
                <w14:textFill>
                  <w14:solidFill>
                    <w14:schemeClr w14:val="tx1"/>
                  </w14:solidFill>
                </w14:textFill>
              </w:rPr>
            </w:pPr>
            <w:r>
              <w:rPr>
                <w:rFonts w:hint="eastAsia" w:asciiTheme="minorEastAsia" w:hAnsiTheme="minorEastAsia" w:eastAsiaTheme="minorEastAsia"/>
                <w:color w:val="000000" w:themeColor="text1"/>
                <w:sz w:val="21"/>
                <w:szCs w:val="21"/>
                <w14:textFill>
                  <w14:solidFill>
                    <w14:schemeClr w14:val="tx1"/>
                  </w14:solidFill>
                </w14:textFill>
              </w:rPr>
              <w:t>高通量测序（NGS）</w:t>
            </w:r>
          </w:p>
        </w:tc>
      </w:tr>
      <w:tr w14:paraId="1556787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tcPr>
          <w:p w14:paraId="5AD0336E">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88" w:type="dxa"/>
          </w:tcPr>
          <w:p w14:paraId="299380D1">
            <w:pPr>
              <w:pStyle w:val="17"/>
              <w:spacing w:line="260" w:lineRule="exact"/>
              <w:rPr>
                <w:rFonts w:hint="eastAsia"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本</w:t>
            </w:r>
            <w:r>
              <w:rPr>
                <w:rFonts w:hint="eastAsia" w:asciiTheme="minorEastAsia" w:hAnsiTheme="minorEastAsia" w:eastAsiaTheme="minorEastAsia"/>
                <w:color w:val="000000" w:themeColor="text1"/>
                <w:sz w:val="21"/>
                <w:szCs w:val="21"/>
                <w14:textFill>
                  <w14:solidFill>
                    <w14:schemeClr w14:val="tx1"/>
                  </w14:solidFill>
                </w14:textFill>
              </w:rPr>
              <w:t>检测项目为脑胶质瘤200基因检测，针</w:t>
            </w:r>
            <w:r>
              <w:rPr>
                <w:rFonts w:asciiTheme="minorEastAsia" w:hAnsiTheme="minorEastAsia" w:eastAsiaTheme="minorEastAsia"/>
                <w:color w:val="000000" w:themeColor="text1"/>
                <w:sz w:val="21"/>
                <w:szCs w:val="21"/>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14:textFill>
                  <w14:solidFill>
                    <w14:schemeClr w14:val="tx1"/>
                  </w14:solidFill>
                </w14:textFill>
              </w:rPr>
              <w:t>200</w:t>
            </w:r>
            <w:r>
              <w:rPr>
                <w:rFonts w:asciiTheme="minorEastAsia" w:hAnsiTheme="minorEastAsia" w:eastAsiaTheme="minorEastAsia"/>
                <w:color w:val="000000" w:themeColor="text1"/>
                <w:sz w:val="21"/>
                <w:szCs w:val="21"/>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14:textFill>
                  <w14:solidFill>
                    <w14:schemeClr w14:val="tx1"/>
                  </w14:solidFill>
                </w14:textFill>
              </w:rPr>
              <w:t>{% if PDInfo != undefined %}，同时，本项目也通过免疫组化检测PD-L1表达情况{% endif %}。</w:t>
            </w:r>
            <w:r>
              <w:rPr>
                <w:rFonts w:asciiTheme="minorEastAsia" w:hAnsiTheme="minorEastAsia" w:eastAsiaTheme="minorEastAsia"/>
                <w:color w:val="000000" w:themeColor="text1"/>
                <w:sz w:val="21"/>
                <w:szCs w:val="21"/>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14:textFill>
                  <w14:solidFill>
                    <w14:schemeClr w14:val="tx1"/>
                  </w14:solidFill>
                </w14:textFill>
              </w:rPr>
              <w:t>（SNV）</w:t>
            </w:r>
            <w:r>
              <w:rPr>
                <w:rFonts w:asciiTheme="minorEastAsia" w:hAnsiTheme="minorEastAsia" w:eastAsiaTheme="minorEastAsia"/>
                <w:color w:val="000000" w:themeColor="text1"/>
                <w:sz w:val="21"/>
                <w:szCs w:val="21"/>
                <w14:textFill>
                  <w14:solidFill>
                    <w14:schemeClr w14:val="tx1"/>
                  </w14:solidFill>
                </w14:textFill>
              </w:rPr>
              <w:t>、小片段插入缺失</w:t>
            </w:r>
            <w:r>
              <w:rPr>
                <w:rFonts w:hint="eastAsia" w:asciiTheme="minorEastAsia" w:hAnsiTheme="minorEastAsia" w:eastAsiaTheme="minorEastAsia"/>
                <w:color w:val="000000" w:themeColor="text1"/>
                <w:sz w:val="21"/>
                <w:szCs w:val="21"/>
                <w14:textFill>
                  <w14:solidFill>
                    <w14:schemeClr w14:val="tx1"/>
                  </w14:solidFill>
                </w14:textFill>
              </w:rPr>
              <w:t>（INDEL）</w:t>
            </w:r>
            <w:r>
              <w:rPr>
                <w:rFonts w:asciiTheme="minorEastAsia" w:hAnsiTheme="minorEastAsia" w:eastAsiaTheme="minorEastAsia"/>
                <w:color w:val="000000" w:themeColor="text1"/>
                <w:sz w:val="21"/>
                <w:szCs w:val="21"/>
                <w14:textFill>
                  <w14:solidFill>
                    <w14:schemeClr w14:val="tx1"/>
                  </w14:solidFill>
                </w14:textFill>
              </w:rPr>
              <w:t>、拷贝数变异</w:t>
            </w:r>
            <w:r>
              <w:rPr>
                <w:rFonts w:hint="eastAsia" w:asciiTheme="minorEastAsia" w:hAnsiTheme="minorEastAsia" w:eastAsiaTheme="minorEastAsia"/>
                <w:color w:val="000000" w:themeColor="text1"/>
                <w:sz w:val="21"/>
                <w:szCs w:val="21"/>
                <w14:textFill>
                  <w14:solidFill>
                    <w14:schemeClr w14:val="tx1"/>
                  </w14:solidFill>
                </w14:textFill>
              </w:rPr>
              <w:t>（CNV）</w:t>
            </w:r>
            <w:r>
              <w:rPr>
                <w:rFonts w:asciiTheme="minorEastAsia" w:hAnsiTheme="minorEastAsia" w:eastAsiaTheme="minorEastAsia"/>
                <w:color w:val="000000" w:themeColor="text1"/>
                <w:sz w:val="21"/>
                <w:szCs w:val="21"/>
                <w14:textFill>
                  <w14:solidFill>
                    <w14:schemeClr w14:val="tx1"/>
                  </w14:solidFill>
                </w14:textFill>
              </w:rPr>
              <w:t>以及融合</w:t>
            </w:r>
            <w:r>
              <w:rPr>
                <w:rFonts w:hint="eastAsia" w:asciiTheme="minorEastAsia" w:hAnsiTheme="minorEastAsia" w:eastAsiaTheme="minorEastAsia"/>
                <w:color w:val="000000" w:themeColor="text1"/>
                <w:sz w:val="21"/>
                <w:szCs w:val="21"/>
                <w14:textFill>
                  <w14:solidFill>
                    <w14:schemeClr w14:val="tx1"/>
                  </w14:solidFill>
                </w14:textFill>
              </w:rPr>
              <w:t>（FUSION）</w:t>
            </w:r>
            <w:r>
              <w:rPr>
                <w:rFonts w:asciiTheme="minorEastAsia" w:hAnsiTheme="minorEastAsia" w:eastAsiaTheme="minorEastAsia"/>
                <w:color w:val="000000" w:themeColor="text1"/>
                <w:sz w:val="21"/>
                <w:szCs w:val="21"/>
                <w14:textFill>
                  <w14:solidFill>
                    <w14:schemeClr w14:val="tx1"/>
                  </w14:solidFill>
                </w14:textFill>
              </w:rPr>
              <w:t>。</w:t>
            </w:r>
          </w:p>
          <w:p w14:paraId="3D222448">
            <w:pPr>
              <w:pStyle w:val="17"/>
              <w:spacing w:line="260" w:lineRule="exact"/>
              <w:rPr>
                <w:rFonts w:hint="eastAsia" w:asciiTheme="minorEastAsia" w:hAnsiTheme="minorEastAsia" w:eastAsiaTheme="minorEastAsia"/>
                <w:color w:val="000000" w:themeColor="text1"/>
                <w:sz w:val="21"/>
                <w:szCs w:val="21"/>
                <w14:textFill>
                  <w14:solidFill>
                    <w14:schemeClr w14:val="tx1"/>
                  </w14:solidFill>
                </w14:textFill>
              </w:rPr>
            </w:pPr>
            <w:r>
              <w:rPr>
                <w:rFonts w:hint="eastAsia" w:asciiTheme="minorEastAsia" w:hAnsiTheme="minorEastAsia" w:eastAsiaTheme="minorEastAsia"/>
                <w:color w:val="000000" w:themeColor="text1"/>
                <w:sz w:val="21"/>
                <w:szCs w:val="21"/>
                <w14:textFill>
                  <w14:solidFill>
                    <w14:schemeClr w14:val="tx1"/>
                  </w14:solidFill>
                </w14:textFill>
              </w:rPr>
              <w:t>本报告分析基因变异与脑胶质瘤分子分型诊断预后、靶向药物、免疫药物、化疗药物和遗传风险的相关性，给出靶向药物（FDA/NMPA批准药物、临床试验药物等）、化疗药物的用药提示信息，从而为临床制定治疗方案提供参考信息。</w:t>
            </w:r>
          </w:p>
        </w:tc>
      </w:tr>
    </w:tbl>
    <w:p w14:paraId="04880570">
      <w:pPr>
        <w:rPr>
          <w:rFonts w:ascii="Times New Roman" w:hAnsi="Times New Roman" w:eastAsia="微软雅黑" w:cs="Times New Roman"/>
        </w:rPr>
      </w:pPr>
    </w:p>
    <w:p w14:paraId="1D96BAC8">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p>
    <w:p w14:paraId="008CFE06">
      <w:pPr>
        <w:pStyle w:val="2"/>
        <w:rPr>
          <w:rFonts w:ascii="Times New Roman" w:hAnsi="Times New Roman" w:eastAsia="微软雅黑" w:cs="Times New Roman"/>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ascii="Times New Roman" w:hAnsi="Times New Roman" w:eastAsia="微软雅黑" w:cs="Times New Roman"/>
          <w:b/>
          <w:color w:val="00B050"/>
          <w:sz w:val="32"/>
          <w:szCs w:val="32"/>
        </w:rPr>
      </w:pPr>
      <w:r>
        <w:rPr>
          <w:rFonts w:hint="eastAsia" w:ascii="Times New Roman" w:hAnsi="Times New Roman" w:eastAsia="微软雅黑" w:cs="黑体"/>
          <w:b/>
          <w:bCs/>
          <w:color w:val="254061" w:themeColor="accent1" w:themeShade="80"/>
          <w:sz w:val="32"/>
          <w:szCs w:val="32"/>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Layout w:type="fixed"/>
        <w:tblCellMar>
          <w:top w:w="0" w:type="dxa"/>
          <w:left w:w="0" w:type="dxa"/>
          <w:bottom w:w="0" w:type="dxa"/>
          <w:right w:w="0" w:type="dxa"/>
        </w:tblCellMar>
      </w:tblPr>
      <w:tblGrid>
        <w:gridCol w:w="1579"/>
        <w:gridCol w:w="2706"/>
        <w:gridCol w:w="5273"/>
      </w:tblGrid>
      <w:tr w14:paraId="7E15AF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285" w:type="dxa"/>
            <w:gridSpan w:val="2"/>
            <w:tcBorders>
              <w:tl2br w:val="nil"/>
              <w:tr2bl w:val="nil"/>
            </w:tcBorders>
            <w:shd w:val="clear" w:color="auto" w:fill="auto"/>
            <w:vAlign w:val="center"/>
          </w:tcPr>
          <w:p w14:paraId="7903A45C">
            <w:pPr>
              <w:jc w:val="center"/>
              <w:rPr>
                <w:rFonts w:hint="eastAsia" w:ascii="微软雅黑" w:eastAsia="微软雅黑"/>
                <w:b/>
                <w:color w:val="244061"/>
                <w:sz w:val="21"/>
              </w:rPr>
            </w:pPr>
            <w:bookmarkStart w:id="3" w:name="_Toc534807930"/>
            <w:r>
              <w:rPr>
                <w:rFonts w:hint="eastAsia" w:cs="黑体"/>
                <w:b/>
                <w:bCs/>
                <w:color w:val="244061"/>
                <w:sz w:val="28"/>
                <w:szCs w:val="36"/>
              </w:rPr>
              <w:br w:type="page"/>
            </w:r>
            <w:r>
              <w:rPr>
                <w:rFonts w:hint="eastAsia" w:ascii="微软雅黑" w:eastAsia="微软雅黑"/>
                <w:b/>
                <w:color w:val="244061"/>
                <w:sz w:val="21"/>
              </w:rPr>
              <w:t>检测类型</w:t>
            </w:r>
          </w:p>
        </w:tc>
        <w:tc>
          <w:tcPr>
            <w:tcW w:w="5273" w:type="dxa"/>
            <w:tcBorders>
              <w:tl2br w:val="nil"/>
              <w:tr2bl w:val="nil"/>
            </w:tcBorders>
            <w:shd w:val="clear" w:color="auto" w:fill="auto"/>
            <w:vAlign w:val="center"/>
          </w:tcPr>
          <w:p w14:paraId="1BC5608D">
            <w:pPr>
              <w:jc w:val="center"/>
              <w:rPr>
                <w:rFonts w:hint="eastAsia" w:ascii="微软雅黑" w:eastAsia="微软雅黑"/>
                <w:b/>
                <w:color w:val="244061"/>
              </w:rPr>
            </w:pPr>
            <w:r>
              <w:rPr>
                <w:rFonts w:ascii="Times New Roman" w:hAnsi="Times New Roman" w:eastAsia="微软雅黑" w:cs="黑体"/>
                <w:b/>
                <w:color w:val="244061"/>
                <w:sz w:val="21"/>
              </w:rPr>
              <w:t>检测结果</w:t>
            </w:r>
          </w:p>
        </w:tc>
      </w:tr>
      <w:tr w14:paraId="42404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10A10FA">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脑胶质瘤相关分子标记物检测</w:t>
            </w:r>
          </w:p>
        </w:tc>
        <w:tc>
          <w:tcPr>
            <w:tcW w:w="5273" w:type="dxa"/>
            <w:tcBorders>
              <w:tl2br w:val="nil"/>
              <w:tr2bl w:val="nil"/>
            </w:tcBorders>
            <w:shd w:val="clear" w:color="auto" w:fill="auto"/>
            <w:vAlign w:val="center"/>
          </w:tcPr>
          <w:p w14:paraId="1A3A1B91">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共检出{{ summaryOfRresults.brainGliomaSize }}个与脑胶质瘤诊断预后相关的分子标志物</w:t>
            </w:r>
          </w:p>
        </w:tc>
      </w:tr>
      <w:tr w14:paraId="35DC87D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37F7D600">
            <w:pPr>
              <w:pStyle w:val="33"/>
              <w:spacing w:before="40"/>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273" w:type="dxa"/>
            <w:tcBorders>
              <w:tl2br w:val="nil"/>
              <w:tr2bl w:val="nil"/>
            </w:tcBorders>
            <w:shd w:val="clear" w:color="auto" w:fill="auto"/>
            <w:vAlign w:val="center"/>
          </w:tcPr>
          <w:p w14:paraId="39D9991D">
            <w:pPr>
              <w:pStyle w:val="33"/>
              <w:spacing w:before="40" w:line="204" w:lineRule="auto"/>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共检出{{ summaryOfRresults.thisGeneticmarkerVwListSize }}个体细胞突变，其中{{ summaryOfRresults.somaticCellMedicationNum}}个与靶向药物相关{{bodyDrugStr}}；</w:t>
            </w:r>
          </w:p>
          <w:p w14:paraId="6BD3C294">
            <w:pPr>
              <w:pStyle w:val="33"/>
              <w:spacing w:before="40" w:line="204" w:lineRule="auto"/>
              <w:ind w:left="119" w:right="119"/>
              <w:rPr>
                <w:rFonts w:ascii="Times New Roman" w:hAnsi="Times New Roman" w:eastAsia="微软雅黑" w:cs="黑体"/>
                <w:sz w:val="21"/>
              </w:rPr>
            </w:pPr>
            <w:r>
              <w:rPr>
                <w:rFonts w:hint="eastAsia" w:ascii="Times New Roman" w:hAnsi="Times New Roman" w:eastAsia="微软雅黑" w:cs="Times New Roman"/>
                <w:sz w:val="21"/>
                <w:szCs w:val="21"/>
              </w:rPr>
              <w:t>共检出{{ summaryOfRresults.crCheckLineStrYF1280Size }}个胚系突变，其中{{summaryOfRresults.crDrugList}}个与靶向药物相关{{embryonalDrugStr}}</w:t>
            </w:r>
          </w:p>
        </w:tc>
      </w:tr>
      <w:tr w14:paraId="071DEF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8537E65">
            <w:pPr>
              <w:pStyle w:val="33"/>
              <w:spacing w:before="40"/>
              <w:ind w:left="119"/>
              <w:rPr>
                <w:rFonts w:hint="eastAsia" w:ascii="微软雅黑" w:hAnsi="微软雅黑" w:eastAsia="微软雅黑" w:cs="微软雅黑"/>
                <w:sz w:val="21"/>
                <w:szCs w:val="21"/>
              </w:rPr>
            </w:pPr>
            <w:r>
              <w:rPr>
                <w:rFonts w:hint="eastAsia" w:ascii="微软雅黑" w:hAnsi="微软雅黑" w:eastAsia="微软雅黑" w:cs="微软雅黑"/>
                <w:sz w:val="21"/>
                <w:szCs w:val="21"/>
              </w:rPr>
              <w:t>免疫治疗相关标志物检测</w:t>
            </w:r>
          </w:p>
        </w:tc>
        <w:tc>
          <w:tcPr>
            <w:tcW w:w="2706" w:type="dxa"/>
            <w:tcBorders>
              <w:tl2br w:val="nil"/>
              <w:tr2bl w:val="nil"/>
            </w:tcBorders>
            <w:shd w:val="clear" w:color="auto" w:fill="auto"/>
            <w:vAlign w:val="center"/>
          </w:tcPr>
          <w:p w14:paraId="6624D33D">
            <w:pPr>
              <w:ind w:left="119"/>
              <w:rPr>
                <w:rFonts w:ascii="Times New Roman" w:hAnsi="Times New Roman" w:eastAsia="微软雅黑" w:cs="黑体"/>
                <w:sz w:val="21"/>
              </w:rPr>
            </w:pPr>
            <w:r>
              <w:rPr>
                <w:rFonts w:ascii="Times New Roman" w:hAnsi="Times New Roman" w:eastAsia="微软雅黑" w:cs="黑体"/>
                <w:sz w:val="21"/>
              </w:rPr>
              <w:t>微卫星不稳定性（MSI）</w:t>
            </w:r>
          </w:p>
        </w:tc>
        <w:tc>
          <w:tcPr>
            <w:tcW w:w="5273" w:type="dxa"/>
            <w:tcBorders>
              <w:tl2br w:val="nil"/>
              <w:tr2bl w:val="nil"/>
            </w:tcBorders>
            <w:shd w:val="clear" w:color="auto" w:fill="auto"/>
            <w:vAlign w:val="center"/>
          </w:tcPr>
          <w:p w14:paraId="2DC8B03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{{summaryOfRresults.msi_status_state}}</w:t>
            </w:r>
          </w:p>
        </w:tc>
      </w:tr>
      <w:tr w14:paraId="2B33E9F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271257A">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69B77303">
            <w:pPr>
              <w:ind w:left="119"/>
              <w:rPr>
                <w:rFonts w:ascii="Times New Roman" w:hAnsi="Times New Roman" w:eastAsia="微软雅黑" w:cs="黑体"/>
                <w:sz w:val="21"/>
              </w:rPr>
            </w:pPr>
            <w:r>
              <w:rPr>
                <w:rFonts w:hint="eastAsia" w:ascii="Times New Roman" w:hAnsi="Times New Roman" w:eastAsia="微软雅黑" w:cs="黑体"/>
                <w:sz w:val="21"/>
              </w:rPr>
              <w:t>错配修复（MMR）基因</w:t>
            </w:r>
          </w:p>
        </w:tc>
        <w:tc>
          <w:tcPr>
            <w:tcW w:w="5273" w:type="dxa"/>
            <w:tcBorders>
              <w:tl2br w:val="nil"/>
              <w:tr2bl w:val="nil"/>
            </w:tcBorders>
            <w:shd w:val="clear" w:color="auto" w:fill="auto"/>
            <w:vAlign w:val="center"/>
          </w:tcPr>
          <w:p w14:paraId="3DC4350C">
            <w:pPr>
              <w:pStyle w:val="33"/>
              <w:ind w:left="119" w:right="119"/>
              <w:rPr>
                <w:rFonts w:ascii="Times New Roman" w:hAnsi="Times New Roman" w:eastAsia="微软雅黑" w:cs="Times New Roman"/>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Times New Roman"/>
                <w:sz w:val="21"/>
                <w:szCs w:val="21"/>
              </w:rPr>
              <w:t>{{summaryOfRresults.dMMRinfoSize}}</w:t>
            </w:r>
            <w:r>
              <w:rPr>
                <w:rFonts w:ascii="Times New Roman" w:hAnsi="Times New Roman" w:eastAsia="微软雅黑" w:cs="Times New Roman"/>
                <w:sz w:val="21"/>
                <w:szCs w:val="21"/>
              </w:rPr>
              <w:t>个MMR</w:t>
            </w:r>
            <w:r>
              <w:rPr>
                <w:rFonts w:hint="eastAsia" w:ascii="Times New Roman" w:hAnsi="Times New Roman" w:eastAsia="微软雅黑" w:cs="Times New Roman"/>
                <w:sz w:val="21"/>
                <w:szCs w:val="21"/>
              </w:rPr>
              <w:t>基因失活</w:t>
            </w:r>
            <w:r>
              <w:rPr>
                <w:rFonts w:ascii="Times New Roman" w:hAnsi="Times New Roman" w:eastAsia="微软雅黑" w:cs="Times New Roman"/>
                <w:sz w:val="21"/>
                <w:szCs w:val="21"/>
              </w:rPr>
              <w:t>突变</w:t>
            </w:r>
          </w:p>
        </w:tc>
      </w:tr>
      <w:tr w14:paraId="27E12F1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1A3BC6B">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18008E0">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PDInfo != undefined %}</w:t>
            </w:r>
          </w:p>
        </w:tc>
      </w:tr>
      <w:tr w14:paraId="031FFA7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4D8C07E">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0A5D43E8">
            <w:pPr>
              <w:pStyle w:val="33"/>
              <w:ind w:left="119"/>
              <w:rPr>
                <w:rFonts w:ascii="Times New Roman" w:hAnsi="Times New Roman" w:eastAsia="微软雅黑" w:cs="黑体"/>
                <w:sz w:val="21"/>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5273" w:type="dxa"/>
            <w:tcBorders>
              <w:tl2br w:val="nil"/>
              <w:tr2bl w:val="nil"/>
            </w:tcBorders>
            <w:shd w:val="clear" w:color="auto" w:fill="auto"/>
            <w:vAlign w:val="center"/>
          </w:tcPr>
          <w:p w14:paraId="3702D7D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使用{{</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Detect_antibody</w:t>
            </w:r>
            <w:r>
              <w:rPr>
                <w:rFonts w:hint="eastAsia" w:ascii="Times New Roman" w:hAnsi="Times New Roman" w:eastAsia="微软雅黑" w:cs="Times New Roman"/>
                <w:sz w:val="21"/>
                <w:szCs w:val="21"/>
              </w:rPr>
              <w:t xml:space="preserve"> }}抗体；T</w:t>
            </w:r>
            <w:r>
              <w:rPr>
                <w:rFonts w:ascii="Times New Roman" w:hAnsi="Times New Roman" w:eastAsia="微软雅黑" w:cs="Times New Roman"/>
                <w:sz w:val="21"/>
                <w:szCs w:val="21"/>
              </w:rPr>
              <w:t>PS</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.TPS }}，</w:t>
            </w:r>
            <w:r>
              <w:rPr>
                <w:rFonts w:ascii="Times New Roman" w:hAnsi="Times New Roman" w:eastAsia="微软雅黑" w:cs="Times New Roman"/>
                <w:sz w:val="21"/>
                <w:szCs w:val="21"/>
              </w:rPr>
              <w:t xml:space="preserve"> CPS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.CPS }}</w:t>
            </w:r>
          </w:p>
        </w:tc>
      </w:tr>
      <w:tr w14:paraId="0242427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D75EDE">
            <w:pPr>
              <w:spacing w:before="40"/>
              <w:ind w:left="119"/>
              <w:rPr>
                <w:rFonts w:ascii="Times New Roman" w:hAnsi="Times New Roman" w:eastAsia="微软雅黑" w:cs="黑体"/>
                <w:sz w:val="21"/>
              </w:rPr>
            </w:pPr>
          </w:p>
        </w:tc>
        <w:tc>
          <w:tcPr>
            <w:tcW w:w="7979" w:type="dxa"/>
            <w:gridSpan w:val="2"/>
            <w:tcBorders>
              <w:tl2br w:val="nil"/>
              <w:tr2bl w:val="nil"/>
            </w:tcBorders>
            <w:shd w:val="clear" w:color="auto" w:fill="auto"/>
            <w:vAlign w:val="center"/>
          </w:tcPr>
          <w:p w14:paraId="6D5F7617">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4C8121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2FCE802">
            <w:pPr>
              <w:pStyle w:val="33"/>
              <w:spacing w:before="40"/>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273" w:type="dxa"/>
            <w:tcBorders>
              <w:tl2br w:val="nil"/>
              <w:tr2bl w:val="nil"/>
            </w:tcBorders>
            <w:shd w:val="clear" w:color="auto" w:fill="auto"/>
            <w:vAlign w:val="center"/>
          </w:tcPr>
          <w:p w14:paraId="7B5D7C94">
            <w:pPr>
              <w:pStyle w:val="33"/>
              <w:spacing w:before="40" w:line="204" w:lineRule="auto"/>
              <w:ind w:left="119" w:right="119"/>
              <w:rPr>
                <w:rFonts w:ascii="Times New Roman" w:hAnsi="Times New Roman" w:eastAsia="微软雅黑" w:cs="黑体"/>
                <w:sz w:val="21"/>
              </w:rPr>
            </w:pPr>
            <w:r>
              <w:rPr>
                <w:rFonts w:ascii="Times New Roman" w:hAnsi="Times New Roman" w:eastAsia="微软雅黑" w:cs="Times New Roman"/>
                <w:sz w:val="21"/>
                <w:szCs w:val="21"/>
              </w:rPr>
              <w:t>共检出</w:t>
            </w:r>
            <w:r>
              <w:rPr>
                <w:rFonts w:hint="eastAsia" w:ascii="Times New Roman" w:hAnsi="Times New Roman" w:eastAsia="微软雅黑" w:cs="黑体"/>
                <w:sz w:val="21"/>
              </w:rPr>
              <w:t>{{ summaryOfRresults.crCheckLineStrYF1280Size }}</w:t>
            </w:r>
            <w:r>
              <w:rPr>
                <w:rFonts w:ascii="Times New Roman" w:hAnsi="Times New Roman" w:eastAsia="微软雅黑" w:cs="Times New Roman"/>
                <w:sz w:val="21"/>
                <w:szCs w:val="21"/>
              </w:rPr>
              <w:t>个胚系突变，其中</w:t>
            </w:r>
            <w:r>
              <w:rPr>
                <w:rFonts w:hint="eastAsia" w:ascii="Times New Roman" w:hAnsi="Times New Roman" w:eastAsia="微软雅黑" w:cs="黑体"/>
                <w:sz w:val="21"/>
              </w:rPr>
              <w:t>{{summaryOfRresults.hasPathogenicityCount}}</w:t>
            </w:r>
            <w:r>
              <w:rPr>
                <w:rFonts w:ascii="Times New Roman" w:hAnsi="Times New Roman" w:eastAsia="微软雅黑" w:cs="Times New Roman"/>
                <w:sz w:val="21"/>
                <w:szCs w:val="21"/>
              </w:rPr>
              <w:t>个为致病</w:t>
            </w:r>
            <w:r>
              <w:rPr>
                <w:rFonts w:hint="eastAsia" w:ascii="Times New Roman" w:hAnsi="Times New Roman" w:eastAsia="微软雅黑" w:cs="Times New Roman"/>
                <w:sz w:val="21"/>
                <w:szCs w:val="21"/>
              </w:rPr>
              <w:t>/可能</w:t>
            </w:r>
            <w:r>
              <w:rPr>
                <w:rFonts w:ascii="Times New Roman" w:hAnsi="Times New Roman" w:eastAsia="微软雅黑" w:cs="Times New Roman"/>
                <w:sz w:val="21"/>
                <w:szCs w:val="21"/>
              </w:rPr>
              <w:t>致病</w:t>
            </w:r>
            <w:r>
              <w:rPr>
                <w:rFonts w:hint="eastAsia" w:ascii="Times New Roman" w:hAnsi="Times New Roman" w:eastAsia="微软雅黑" w:cs="Times New Roman"/>
                <w:sz w:val="21"/>
                <w:szCs w:val="21"/>
              </w:rPr>
              <w:t>性</w:t>
            </w:r>
            <w:r>
              <w:rPr>
                <w:rFonts w:ascii="Times New Roman" w:hAnsi="Times New Roman" w:eastAsia="微软雅黑" w:cs="Times New Roman"/>
                <w:sz w:val="21"/>
                <w:szCs w:val="21"/>
              </w:rPr>
              <w:t>突变</w:t>
            </w:r>
            <w:r>
              <w:rPr>
                <w:rFonts w:hint="eastAsia" w:ascii="Times New Roman" w:hAnsi="Times New Roman" w:eastAsia="微软雅黑" w:cs="Times New Roman"/>
                <w:sz w:val="21"/>
                <w:szCs w:val="21"/>
                <w:lang w:bidi="ar"/>
              </w:rPr>
              <w:t>{{</w:t>
            </w:r>
            <w:r>
              <w:rPr>
                <w:rFonts w:ascii="Times New Roman" w:hAnsi="Times New Roman" w:eastAsia="微软雅黑" w:cs="Times New Roman"/>
                <w:sz w:val="21"/>
                <w:szCs w:val="21"/>
                <w:lang w:bidi="ar"/>
              </w:rPr>
              <w:t>crCheckDrugStr</w:t>
            </w:r>
            <w:r>
              <w:rPr>
                <w:rFonts w:hint="eastAsia" w:ascii="Times New Roman" w:hAnsi="Times New Roman" w:eastAsia="微软雅黑" w:cs="Times New Roman"/>
                <w:sz w:val="21"/>
                <w:szCs w:val="21"/>
                <w:lang w:bidi="ar"/>
              </w:rPr>
              <w:t>}}</w:t>
            </w:r>
          </w:p>
        </w:tc>
      </w:tr>
      <w:tr w14:paraId="6DB96A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10E23B93">
            <w:pPr>
              <w:pStyle w:val="33"/>
              <w:ind w:left="119"/>
              <w:jc w:val="both"/>
              <w:rPr>
                <w:rFonts w:ascii="Times New Roman" w:hAnsi="Times New Roman" w:eastAsia="微软雅黑" w:cs="黑体"/>
                <w:sz w:val="21"/>
              </w:rPr>
            </w:pPr>
            <w:r>
              <w:rPr>
                <w:rFonts w:ascii="Times New Roman" w:hAnsi="Times New Roman" w:eastAsia="微软雅黑" w:cs="黑体"/>
                <w:sz w:val="21"/>
              </w:rPr>
              <w:t>化疗药物检测</w:t>
            </w:r>
          </w:p>
        </w:tc>
        <w:tc>
          <w:tcPr>
            <w:tcW w:w="5273" w:type="dxa"/>
            <w:tcBorders>
              <w:tl2br w:val="nil"/>
              <w:tr2bl w:val="nil"/>
            </w:tcBorders>
            <w:shd w:val="clear" w:color="auto" w:fill="auto"/>
            <w:vAlign w:val="center"/>
          </w:tcPr>
          <w:p w14:paraId="52143EC8">
            <w:pPr>
              <w:pStyle w:val="33"/>
              <w:ind w:left="119" w:right="119"/>
              <w:jc w:val="both"/>
              <w:rPr>
                <w:rFonts w:ascii="Times New Roman" w:hAnsi="Times New Roman" w:eastAsia="微软雅黑" w:cs="黑体"/>
                <w:sz w:val="21"/>
              </w:rPr>
            </w:pPr>
            <w:r>
              <w:rPr>
                <w:rFonts w:ascii="Times New Roman" w:hAnsi="Times New Roman" w:eastAsia="微软雅黑" w:cs="Times New Roman"/>
                <w:sz w:val="21"/>
                <w:szCs w:val="21"/>
              </w:rPr>
              <w:t>详见“化疗药物检测解析”部分</w:t>
            </w:r>
          </w:p>
        </w:tc>
      </w:tr>
      <w:tr w14:paraId="3D8EBE6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7D30F307">
            <w:pPr>
              <w:pStyle w:val="33"/>
              <w:ind w:left="119"/>
              <w:rPr>
                <w:rFonts w:ascii="Times New Roman" w:hAnsi="Times New Roman" w:eastAsia="微软雅黑" w:cs="黑体"/>
                <w:sz w:val="21"/>
              </w:rPr>
            </w:pPr>
            <w:r>
              <w:rPr>
                <w:rFonts w:ascii="Times New Roman" w:hAnsi="Times New Roman" w:eastAsia="微软雅黑" w:cs="黑体"/>
                <w:sz w:val="21"/>
              </w:rPr>
              <w:t>样品总体质量评估</w:t>
            </w:r>
          </w:p>
        </w:tc>
        <w:tc>
          <w:tcPr>
            <w:tcW w:w="5273" w:type="dxa"/>
            <w:tcBorders>
              <w:tl2br w:val="nil"/>
              <w:tr2bl w:val="nil"/>
            </w:tcBorders>
            <w:shd w:val="clear" w:color="auto" w:fill="auto"/>
            <w:vAlign w:val="center"/>
          </w:tcPr>
          <w:p w14:paraId="59E83D91">
            <w:pPr>
              <w:pStyle w:val="33"/>
              <w:ind w:left="119" w:right="119"/>
              <w:jc w:val="both"/>
              <w:rPr>
                <w:rFonts w:ascii="Times New Roman" w:hAnsi="Times New Roman" w:eastAsia="微软雅黑" w:cs="黑体"/>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282BC113">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bidi="ar"/>
        </w:rPr>
        <w:t>说明</w:t>
      </w:r>
      <w:r>
        <w:rPr>
          <w:rFonts w:ascii="微软雅黑" w:hAnsi="微软雅黑" w:eastAsia="微软雅黑" w:cs="微软雅黑"/>
          <w:sz w:val="18"/>
          <w:szCs w:val="18"/>
          <w:lang w:bidi="ar"/>
        </w:rPr>
        <w:t>：</w:t>
      </w:r>
    </w:p>
    <w:p w14:paraId="319AC434">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本报告为基因检测结果，基因、药物等信息列举未按照重要性排序。</w:t>
      </w:r>
    </w:p>
    <w:p w14:paraId="1965D19D">
      <w:pPr>
        <w:numPr>
          <w:ilvl w:val="0"/>
          <w:numId w:val="2"/>
        </w:numPr>
        <w:ind w:left="330" w:leftChars="150"/>
        <w:rPr>
          <w:rFonts w:hint="eastAsia" w:ascii="微软雅黑" w:hAnsi="微软雅黑" w:eastAsia="微软雅黑" w:cs="微软雅黑"/>
          <w:sz w:val="18"/>
          <w:szCs w:val="18"/>
          <w:lang w:bidi="ar"/>
        </w:rPr>
      </w:pPr>
      <w:r>
        <w:rPr>
          <w:rFonts w:ascii="Times New Roman" w:hAnsi="Times New Roman" w:eastAsia="微软雅黑" w:cs="Times New Roman"/>
          <w:sz w:val="18"/>
          <w:szCs w:val="18"/>
        </w:rPr>
        <w:t>检测结果仅供科学研究和临床用药参考，具体治疗方案请咨询主治医生。</w:t>
      </w:r>
    </w:p>
    <w:p w14:paraId="72273BE3">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093537">
      <w:pPr>
        <w:rPr>
          <w:rFonts w:hint="eastAsia" w:ascii="微软雅黑" w:hAnsi="微软雅黑" w:eastAsia="微软雅黑" w:cs="微软雅黑"/>
          <w:b/>
          <w:bCs/>
          <w:color w:val="00B050"/>
          <w:sz w:val="28"/>
          <w:szCs w:val="36"/>
          <w:lang w:eastAsia="zh-CN"/>
        </w:rPr>
      </w:pPr>
      <w:bookmarkStart w:id="62" w:name="_GoBack"/>
      <w:bookmarkEnd w:id="62"/>
      <w:r>
        <w:rPr>
          <w:rFonts w:hint="eastAsia" w:ascii="微软雅黑" w:hAnsi="微软雅黑" w:eastAsia="微软雅黑" w:cs="微软雅黑"/>
          <w:b/>
          <w:bCs/>
          <w:color w:val="00B050"/>
          <w:sz w:val="28"/>
          <w:szCs w:val="36"/>
          <w:lang w:eastAsia="zh-CN"/>
        </w:rPr>
        <w:br w:type="page"/>
      </w:r>
    </w:p>
    <w:p w14:paraId="134BCC25">
      <w:pPr>
        <w:outlineLvl w:val="1"/>
        <w:rPr>
          <w:rFonts w:ascii="Times New Roman" w:hAnsi="Times New Roman" w:eastAsia="微软雅黑" w:cs="黑体"/>
          <w:b/>
          <w:bCs/>
          <w:color w:val="244061"/>
          <w:sz w:val="32"/>
          <w:szCs w:val="32"/>
        </w:rPr>
      </w:pPr>
      <w:bookmarkStart w:id="4" w:name="_Toc22132"/>
      <w:bookmarkStart w:id="5" w:name="_Toc499"/>
      <w:bookmarkStart w:id="6" w:name="_Toc2781"/>
      <w:bookmarkStart w:id="7" w:name="_Toc2819"/>
      <w:bookmarkStart w:id="8" w:name="_Toc20136_WPSOffice_Level1"/>
      <w:bookmarkStart w:id="9" w:name="_Toc19898_WPSOffice_Level1"/>
      <w:r>
        <w:rPr>
          <w:rFonts w:hint="eastAsia" w:ascii="Times New Roman" w:hAnsi="Times New Roman" w:eastAsia="微软雅黑" w:cs="黑体"/>
          <w:b/>
          <w:bCs/>
          <w:color w:val="254061" w:themeColor="accent1" w:themeShade="80"/>
          <w:sz w:val="32"/>
          <w:szCs w:val="32"/>
        </w:rPr>
        <w:t xml:space="preserve">二 </w:t>
      </w:r>
      <w:r>
        <w:rPr>
          <w:rFonts w:hint="eastAsia" w:ascii="Times New Roman" w:hAnsi="Times New Roman" w:eastAsia="微软雅黑" w:cs="黑体"/>
          <w:b/>
          <w:bCs/>
          <w:color w:val="244061"/>
          <w:sz w:val="32"/>
          <w:szCs w:val="32"/>
        </w:rPr>
        <w:t>检测结果及用药提示</w:t>
      </w:r>
    </w:p>
    <w:bookmarkEnd w:id="3"/>
    <w:bookmarkEnd w:id="4"/>
    <w:bookmarkEnd w:id="5"/>
    <w:bookmarkEnd w:id="6"/>
    <w:bookmarkEnd w:id="7"/>
    <w:bookmarkEnd w:id="8"/>
    <w:bookmarkEnd w:id="9"/>
    <w:p w14:paraId="5DE3500D">
      <w:pPr>
        <w:pStyle w:val="3"/>
        <w:jc w:val="both"/>
        <w:rPr>
          <w:rFonts w:hint="eastAsia" w:ascii="微软雅黑" w:hAnsi="微软雅黑" w:eastAsia="微软雅黑" w:cs="微软雅黑"/>
          <w:color w:val="254061" w:themeColor="accent1" w:themeShade="80"/>
        </w:rPr>
      </w:pPr>
      <w:bookmarkStart w:id="10" w:name="_Toc29369"/>
      <w:bookmarkStart w:id="11" w:name="_Toc23317"/>
      <w:bookmarkStart w:id="12" w:name="_Toc23375"/>
      <w:bookmarkStart w:id="13" w:name="_Toc10877"/>
      <w:bookmarkStart w:id="14" w:name="_Toc9088"/>
      <w:bookmarkStart w:id="15" w:name="_Toc11015_WPSOffice_Level2"/>
      <w:bookmarkStart w:id="16" w:name="_Toc18062_WPSOffice_Level2"/>
      <w:bookmarkStart w:id="17" w:name="_Toc3049"/>
      <w:r>
        <w:rPr>
          <w:rFonts w:hint="eastAsia" w:ascii="微软雅黑" w:hAnsi="微软雅黑" w:eastAsia="微软雅黑" w:cs="微软雅黑"/>
          <w:color w:val="254061" w:themeColor="accent1" w:themeShade="80"/>
        </w:rPr>
        <w:t>1 脑胶质瘤相关分子标记物检测结果</w:t>
      </w:r>
      <w:bookmarkEnd w:id="10"/>
      <w:bookmarkEnd w:id="11"/>
    </w:p>
    <w:tbl>
      <w:tblPr>
        <w:tblStyle w:val="19"/>
        <w:tblW w:w="9791"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6"/>
        <w:gridCol w:w="1546"/>
        <w:gridCol w:w="6269"/>
      </w:tblGrid>
      <w:tr w14:paraId="5A4C19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482EDCB">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分子标记物</w:t>
            </w:r>
          </w:p>
        </w:tc>
        <w:tc>
          <w:tcPr>
            <w:tcW w:w="1546" w:type="dxa"/>
            <w:tcBorders>
              <w:tl2br w:val="nil"/>
              <w:tr2bl w:val="nil"/>
            </w:tcBorders>
            <w:shd w:val="clear" w:color="auto" w:fill="auto"/>
            <w:vAlign w:val="center"/>
          </w:tcPr>
          <w:p w14:paraId="5DE9743D">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检测结果</w:t>
            </w:r>
          </w:p>
        </w:tc>
        <w:tc>
          <w:tcPr>
            <w:tcW w:w="6269" w:type="dxa"/>
            <w:tcBorders>
              <w:tl2br w:val="nil"/>
              <w:tr2bl w:val="nil"/>
            </w:tcBorders>
            <w:shd w:val="clear" w:color="auto" w:fill="auto"/>
            <w:vAlign w:val="center"/>
          </w:tcPr>
          <w:p w14:paraId="601D2CCA">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临床检测意义</w:t>
            </w:r>
          </w:p>
        </w:tc>
      </w:tr>
      <w:tr w14:paraId="1FF770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69CF2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MGMT </w:t>
            </w:r>
          </w:p>
          <w:p w14:paraId="5A3C02C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启动子甲基化</w:t>
            </w:r>
          </w:p>
        </w:tc>
        <w:tc>
          <w:tcPr>
            <w:tcW w:w="1546" w:type="dxa"/>
            <w:tcBorders>
              <w:tl2br w:val="nil"/>
              <w:tr2bl w:val="nil"/>
            </w:tcBorders>
            <w:shd w:val="clear" w:color="auto" w:fill="auto"/>
            <w:vAlign w:val="center"/>
          </w:tcPr>
          <w:p w14:paraId="4B4435D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bg.MGMT | mr() }}</w:t>
            </w:r>
          </w:p>
        </w:tc>
        <w:tc>
          <w:tcPr>
            <w:tcW w:w="6269" w:type="dxa"/>
            <w:tcBorders>
              <w:tl2br w:val="nil"/>
              <w:tr2bl w:val="nil"/>
            </w:tcBorders>
            <w:shd w:val="clear" w:color="auto" w:fill="auto"/>
            <w:vAlign w:val="center"/>
          </w:tcPr>
          <w:p w14:paraId="12D21189">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2CC12D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A33C5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染色体7+/10-</w:t>
            </w:r>
          </w:p>
        </w:tc>
        <w:tc>
          <w:tcPr>
            <w:tcW w:w="1546" w:type="dxa"/>
            <w:tcBorders>
              <w:tl2br w:val="nil"/>
              <w:tr2bl w:val="nil"/>
            </w:tcBorders>
            <w:shd w:val="clear" w:color="auto" w:fill="auto"/>
            <w:vAlign w:val="center"/>
          </w:tcPr>
          <w:p w14:paraId="7B4E694F">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bg.chr | mr() }}</w:t>
            </w:r>
          </w:p>
        </w:tc>
        <w:tc>
          <w:tcPr>
            <w:tcW w:w="6269" w:type="dxa"/>
            <w:tcBorders>
              <w:tl2br w:val="nil"/>
              <w:tr2bl w:val="nil"/>
            </w:tcBorders>
            <w:shd w:val="clear" w:color="auto" w:fill="auto"/>
            <w:vAlign w:val="center"/>
          </w:tcPr>
          <w:p w14:paraId="0A2AF337">
            <w:pPr>
              <w:keepNext w:val="0"/>
              <w:keepLines w:val="0"/>
              <w:widowControl w:val="0"/>
              <w:suppressLineNumbers w:val="0"/>
              <w:spacing w:before="0" w:beforeAutospacing="0" w:after="0" w:afterAutospacing="0"/>
              <w:ind w:left="0" w:right="0"/>
              <w:jc w:val="left"/>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超过50%的IDH野生型低级别胶质瘤同时发生7号染色体的扩增和10号染色体的缺失</w:t>
            </w:r>
            <w:r>
              <w:rPr>
                <w:rFonts w:hint="eastAsia" w:ascii="微软雅黑" w:hAnsi="微软雅黑" w:eastAsia="微软雅黑" w:cs="微软雅黑"/>
                <w:i w:val="0"/>
                <w:iCs w:val="0"/>
                <w:color w:val="000000"/>
                <w:kern w:val="0"/>
                <w:sz w:val="21"/>
                <w:szCs w:val="21"/>
                <w:lang w:val="en-US" w:eastAsia="zh-CN" w:bidi="ar"/>
              </w:rPr>
              <w:t>（</w:t>
            </w:r>
            <w:r>
              <w:rPr>
                <w:rFonts w:hint="eastAsia" w:ascii="微软雅黑" w:hAnsi="微软雅黑" w:eastAsia="微软雅黑" w:cs="微软雅黑"/>
                <w:b w:val="0"/>
                <w:bCs w:val="0"/>
                <w:i w:val="0"/>
                <w:iCs w:val="0"/>
                <w:color w:val="000000"/>
                <w:kern w:val="0"/>
                <w:sz w:val="21"/>
                <w:szCs w:val="21"/>
                <w:lang w:val="en-US" w:eastAsia="zh-CN" w:bidi="ar"/>
              </w:rPr>
              <w:t>Chr7+/10-</w:t>
            </w:r>
            <w:r>
              <w:rPr>
                <w:rFonts w:hint="eastAsia" w:ascii="微软雅黑" w:hAnsi="微软雅黑" w:eastAsia="微软雅黑" w:cs="微软雅黑"/>
                <w:i w:val="0"/>
                <w:iCs w:val="0"/>
                <w:color w:val="000000"/>
                <w:kern w:val="0"/>
                <w:sz w:val="21"/>
                <w:szCs w:val="21"/>
                <w:lang w:val="en-US" w:eastAsia="zh-CN" w:bidi="ar"/>
              </w:rPr>
              <w:t>）</w:t>
            </w:r>
            <w:r>
              <w:rPr>
                <w:rFonts w:hint="eastAsia" w:ascii="微软雅黑" w:hAnsi="微软雅黑" w:eastAsia="微软雅黑" w:cs="微软雅黑"/>
                <w:color w:val="000000"/>
                <w:sz w:val="21"/>
                <w:szCs w:val="21"/>
                <w:lang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0CB38E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A01C4C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1p/19q </w:t>
            </w:r>
          </w:p>
          <w:p w14:paraId="00E7B17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联合性缺失</w:t>
            </w:r>
          </w:p>
        </w:tc>
        <w:tc>
          <w:tcPr>
            <w:tcW w:w="1546" w:type="dxa"/>
            <w:tcBorders>
              <w:tl2br w:val="nil"/>
              <w:tr2bl w:val="nil"/>
            </w:tcBorders>
            <w:shd w:val="clear" w:color="auto" w:fill="auto"/>
            <w:vAlign w:val="center"/>
          </w:tcPr>
          <w:p w14:paraId="5390A0B0">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bg.pq | mr() }}</w:t>
            </w:r>
          </w:p>
        </w:tc>
        <w:tc>
          <w:tcPr>
            <w:tcW w:w="6269" w:type="dxa"/>
            <w:tcBorders>
              <w:tl2br w:val="nil"/>
              <w:tr2bl w:val="nil"/>
            </w:tcBorders>
            <w:shd w:val="clear" w:color="auto" w:fill="auto"/>
            <w:vAlign w:val="center"/>
          </w:tcPr>
          <w:p w14:paraId="6E715415">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07CF45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F6551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TERT </w:t>
            </w:r>
          </w:p>
          <w:p w14:paraId="4CFCCE38">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启动子突变</w:t>
            </w:r>
          </w:p>
        </w:tc>
        <w:tc>
          <w:tcPr>
            <w:tcW w:w="1546" w:type="dxa"/>
            <w:tcBorders>
              <w:tl2br w:val="nil"/>
              <w:tr2bl w:val="nil"/>
            </w:tcBorders>
            <w:shd w:val="clear" w:color="auto" w:fill="auto"/>
            <w:vAlign w:val="center"/>
          </w:tcPr>
          <w:p w14:paraId="19801409">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bg.TERT | mr() }}</w:t>
            </w:r>
          </w:p>
        </w:tc>
        <w:tc>
          <w:tcPr>
            <w:tcW w:w="6269" w:type="dxa"/>
            <w:tcBorders>
              <w:tl2br w:val="nil"/>
              <w:tr2bl w:val="nil"/>
            </w:tcBorders>
            <w:shd w:val="clear" w:color="auto" w:fill="auto"/>
            <w:vAlign w:val="center"/>
          </w:tcPr>
          <w:p w14:paraId="618D6101">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3FCB0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596B81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IDH1 突变</w:t>
            </w:r>
          </w:p>
        </w:tc>
        <w:tc>
          <w:tcPr>
            <w:tcW w:w="1546" w:type="dxa"/>
            <w:tcBorders>
              <w:tl2br w:val="nil"/>
              <w:tr2bl w:val="nil"/>
            </w:tcBorders>
            <w:shd w:val="clear" w:color="auto" w:fill="auto"/>
            <w:vAlign w:val="center"/>
          </w:tcPr>
          <w:p w14:paraId="7222035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bg.IDH1 | mr() }}</w:t>
            </w:r>
          </w:p>
        </w:tc>
        <w:tc>
          <w:tcPr>
            <w:tcW w:w="6269" w:type="dxa"/>
            <w:vMerge w:val="restart"/>
            <w:tcBorders>
              <w:tl2br w:val="nil"/>
              <w:tr2bl w:val="nil"/>
            </w:tcBorders>
            <w:shd w:val="clear" w:color="auto" w:fill="auto"/>
            <w:vAlign w:val="center"/>
          </w:tcPr>
          <w:p w14:paraId="1DE6A2B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BD58A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00CFC6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IDH2 突变</w:t>
            </w:r>
          </w:p>
        </w:tc>
        <w:tc>
          <w:tcPr>
            <w:tcW w:w="1546" w:type="dxa"/>
            <w:tcBorders>
              <w:tl2br w:val="nil"/>
              <w:tr2bl w:val="nil"/>
            </w:tcBorders>
            <w:shd w:val="clear" w:color="auto" w:fill="auto"/>
            <w:vAlign w:val="center"/>
          </w:tcPr>
          <w:p w14:paraId="0D3C526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bg.IDH2 | mr() }}</w:t>
            </w:r>
          </w:p>
        </w:tc>
        <w:tc>
          <w:tcPr>
            <w:tcW w:w="6269" w:type="dxa"/>
            <w:vMerge w:val="continue"/>
            <w:tcBorders>
              <w:tl2br w:val="nil"/>
              <w:tr2bl w:val="nil"/>
            </w:tcBorders>
            <w:shd w:val="clear" w:color="auto" w:fill="auto"/>
            <w:vAlign w:val="center"/>
          </w:tcPr>
          <w:p w14:paraId="5E317EAD">
            <w:pPr>
              <w:rPr>
                <w:rFonts w:hint="eastAsia" w:ascii="微软雅黑" w:hAnsi="微软雅黑" w:eastAsia="微软雅黑" w:cs="微软雅黑"/>
                <w:color w:val="000000"/>
                <w:sz w:val="21"/>
                <w:szCs w:val="21"/>
              </w:rPr>
            </w:pPr>
          </w:p>
        </w:tc>
      </w:tr>
      <w:tr w14:paraId="37C63C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A390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w:t>
            </w:r>
          </w:p>
        </w:tc>
        <w:tc>
          <w:tcPr>
            <w:tcW w:w="1546" w:type="dxa"/>
            <w:tcBorders>
              <w:tl2br w:val="nil"/>
              <w:tr2bl w:val="nil"/>
            </w:tcBorders>
            <w:shd w:val="clear" w:color="auto" w:fill="auto"/>
            <w:vAlign w:val="center"/>
          </w:tcPr>
          <w:p w14:paraId="39181469">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bg.ATRX | mr() }}</w:t>
            </w:r>
          </w:p>
        </w:tc>
        <w:tc>
          <w:tcPr>
            <w:tcW w:w="6269" w:type="dxa"/>
            <w:tcBorders>
              <w:tl2br w:val="nil"/>
              <w:tr2bl w:val="nil"/>
            </w:tcBorders>
            <w:shd w:val="clear" w:color="auto" w:fill="auto"/>
            <w:vAlign w:val="center"/>
          </w:tcPr>
          <w:p w14:paraId="6BD3CF5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4120B6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B0F034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w:t>
            </w:r>
          </w:p>
        </w:tc>
        <w:tc>
          <w:tcPr>
            <w:tcW w:w="1546" w:type="dxa"/>
            <w:tcBorders>
              <w:tl2br w:val="nil"/>
              <w:tr2bl w:val="nil"/>
            </w:tcBorders>
            <w:shd w:val="clear" w:color="auto" w:fill="auto"/>
            <w:vAlign w:val="center"/>
          </w:tcPr>
          <w:p w14:paraId="19FCE0B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bg.EGFR | mr() }}</w:t>
            </w:r>
          </w:p>
        </w:tc>
        <w:tc>
          <w:tcPr>
            <w:tcW w:w="6269" w:type="dxa"/>
            <w:tcBorders>
              <w:tl2br w:val="nil"/>
              <w:tr2bl w:val="nil"/>
            </w:tcBorders>
            <w:shd w:val="clear" w:color="auto" w:fill="auto"/>
            <w:vAlign w:val="center"/>
          </w:tcPr>
          <w:p w14:paraId="1546330A">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扩增是 IDH 野生型胶质母细胞瘤的常见分子指标。EGFR 扩增的胶质母细胞瘤患者预后较差。</w:t>
            </w:r>
          </w:p>
        </w:tc>
      </w:tr>
      <w:tr w14:paraId="019688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F097BE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CDKN2A/B </w:t>
            </w:r>
          </w:p>
          <w:p w14:paraId="49E3E7F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缺失</w:t>
            </w:r>
          </w:p>
        </w:tc>
        <w:tc>
          <w:tcPr>
            <w:tcW w:w="1546" w:type="dxa"/>
            <w:tcBorders>
              <w:tl2br w:val="nil"/>
              <w:tr2bl w:val="nil"/>
            </w:tcBorders>
            <w:shd w:val="clear" w:color="auto" w:fill="auto"/>
            <w:vAlign w:val="center"/>
          </w:tcPr>
          <w:p w14:paraId="4748049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bg.CDKN2 | mr() }}</w:t>
            </w:r>
          </w:p>
        </w:tc>
        <w:tc>
          <w:tcPr>
            <w:tcW w:w="6269" w:type="dxa"/>
            <w:tcBorders>
              <w:tl2br w:val="nil"/>
              <w:tr2bl w:val="nil"/>
            </w:tcBorders>
            <w:shd w:val="clear" w:color="auto" w:fill="auto"/>
            <w:vAlign w:val="center"/>
          </w:tcPr>
          <w:p w14:paraId="30E5F93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CDKN2A/B 纯合缺失是组织学缺少坏死和微血管增生的星形细胞瘤，IDH 突变型、WHO 4级胶质瘤的诊断指标之一。CDKN2A/B 缺失的星形细胞瘤患者预后较差。</w:t>
            </w:r>
          </w:p>
        </w:tc>
      </w:tr>
      <w:tr w14:paraId="15235B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6F8ADB9">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BRAF </w:t>
            </w:r>
          </w:p>
          <w:p w14:paraId="0D2D565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突变/融合</w:t>
            </w:r>
          </w:p>
        </w:tc>
        <w:tc>
          <w:tcPr>
            <w:tcW w:w="1546" w:type="dxa"/>
            <w:tcBorders>
              <w:tl2br w:val="nil"/>
              <w:tr2bl w:val="nil"/>
            </w:tcBorders>
            <w:shd w:val="clear" w:color="auto" w:fill="auto"/>
            <w:vAlign w:val="center"/>
          </w:tcPr>
          <w:p w14:paraId="1F554B0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bg.BRAF | mr() }}</w:t>
            </w:r>
          </w:p>
        </w:tc>
        <w:tc>
          <w:tcPr>
            <w:tcW w:w="6269" w:type="dxa"/>
            <w:tcBorders>
              <w:tl2br w:val="nil"/>
              <w:tr2bl w:val="nil"/>
            </w:tcBorders>
            <w:shd w:val="clear" w:color="auto" w:fill="auto"/>
            <w:vAlign w:val="center"/>
          </w:tcPr>
          <w:p w14:paraId="262C862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379D26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870769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H3-3A</w:t>
            </w:r>
          </w:p>
          <w:p w14:paraId="5D832463">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 突变</w:t>
            </w:r>
          </w:p>
        </w:tc>
        <w:tc>
          <w:tcPr>
            <w:tcW w:w="1546" w:type="dxa"/>
            <w:tcBorders>
              <w:tl2br w:val="nil"/>
              <w:tr2bl w:val="nil"/>
            </w:tcBorders>
            <w:shd w:val="clear" w:color="auto" w:fill="auto"/>
            <w:vAlign w:val="center"/>
          </w:tcPr>
          <w:p w14:paraId="0B17C6C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bg.H33A | mr() }}</w:t>
            </w:r>
          </w:p>
        </w:tc>
        <w:tc>
          <w:tcPr>
            <w:tcW w:w="6269" w:type="dxa"/>
            <w:vMerge w:val="restart"/>
            <w:tcBorders>
              <w:tl2br w:val="nil"/>
              <w:tr2bl w:val="nil"/>
            </w:tcBorders>
            <w:shd w:val="clear" w:color="auto" w:fill="auto"/>
            <w:vAlign w:val="center"/>
          </w:tcPr>
          <w:p w14:paraId="2A311270">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0FC55D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2D0939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H3C2</w:t>
            </w:r>
          </w:p>
          <w:p w14:paraId="36BA6F0E">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（HIST1H3B）突变</w:t>
            </w:r>
          </w:p>
        </w:tc>
        <w:tc>
          <w:tcPr>
            <w:tcW w:w="1546" w:type="dxa"/>
            <w:tcBorders>
              <w:tl2br w:val="nil"/>
              <w:tr2bl w:val="nil"/>
            </w:tcBorders>
            <w:shd w:val="clear" w:color="auto" w:fill="auto"/>
            <w:vAlign w:val="center"/>
          </w:tcPr>
          <w:p w14:paraId="2943413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bg.H3C2 | mr() }}</w:t>
            </w:r>
          </w:p>
        </w:tc>
        <w:tc>
          <w:tcPr>
            <w:tcW w:w="6269" w:type="dxa"/>
            <w:vMerge w:val="continue"/>
            <w:tcBorders>
              <w:tl2br w:val="nil"/>
              <w:tr2bl w:val="nil"/>
            </w:tcBorders>
            <w:shd w:val="clear" w:color="auto" w:fill="auto"/>
            <w:vAlign w:val="center"/>
          </w:tcPr>
          <w:p w14:paraId="14294EEC">
            <w:pPr>
              <w:widowControl/>
              <w:textAlignment w:val="center"/>
              <w:rPr>
                <w:rFonts w:hint="eastAsia" w:ascii="微软雅黑" w:hAnsi="微软雅黑" w:eastAsia="微软雅黑" w:cs="微软雅黑"/>
                <w:color w:val="000000"/>
                <w:sz w:val="21"/>
                <w:szCs w:val="21"/>
                <w:lang w:bidi="ar"/>
              </w:rPr>
            </w:pPr>
          </w:p>
        </w:tc>
      </w:tr>
      <w:tr w14:paraId="423B22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1AE047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H3C3（HIST1H3C）突变</w:t>
            </w:r>
          </w:p>
        </w:tc>
        <w:tc>
          <w:tcPr>
            <w:tcW w:w="1546" w:type="dxa"/>
            <w:tcBorders>
              <w:tl2br w:val="nil"/>
              <w:tr2bl w:val="nil"/>
            </w:tcBorders>
            <w:shd w:val="clear" w:color="auto" w:fill="auto"/>
            <w:vAlign w:val="center"/>
          </w:tcPr>
          <w:p w14:paraId="2BEDBFF1">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bg.H3C3 | mr() }}</w:t>
            </w:r>
          </w:p>
        </w:tc>
        <w:tc>
          <w:tcPr>
            <w:tcW w:w="6269" w:type="dxa"/>
            <w:vMerge w:val="continue"/>
            <w:tcBorders>
              <w:tl2br w:val="nil"/>
              <w:tr2bl w:val="nil"/>
            </w:tcBorders>
            <w:shd w:val="clear" w:color="auto" w:fill="auto"/>
            <w:vAlign w:val="center"/>
          </w:tcPr>
          <w:p w14:paraId="5AE9464F">
            <w:pPr>
              <w:rPr>
                <w:rFonts w:hint="eastAsia" w:ascii="微软雅黑" w:hAnsi="微软雅黑" w:eastAsia="微软雅黑" w:cs="微软雅黑"/>
                <w:color w:val="000000"/>
                <w:sz w:val="21"/>
                <w:szCs w:val="21"/>
              </w:rPr>
            </w:pPr>
          </w:p>
        </w:tc>
      </w:tr>
      <w:tr w14:paraId="6EB008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1AD7EB0">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TP53 突变</w:t>
            </w:r>
          </w:p>
        </w:tc>
        <w:tc>
          <w:tcPr>
            <w:tcW w:w="1546" w:type="dxa"/>
            <w:tcBorders>
              <w:tl2br w:val="nil"/>
              <w:tr2bl w:val="nil"/>
            </w:tcBorders>
            <w:shd w:val="clear" w:color="auto" w:fill="auto"/>
            <w:vAlign w:val="center"/>
          </w:tcPr>
          <w:p w14:paraId="27E22937">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bg.TP53 | mr() }}</w:t>
            </w:r>
          </w:p>
        </w:tc>
        <w:tc>
          <w:tcPr>
            <w:tcW w:w="6269" w:type="dxa"/>
            <w:tcBorders>
              <w:tl2br w:val="nil"/>
              <w:tr2bl w:val="nil"/>
            </w:tcBorders>
            <w:shd w:val="clear" w:color="auto" w:fill="auto"/>
            <w:vAlign w:val="center"/>
          </w:tcPr>
          <w:p w14:paraId="2A53DF7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常见于星形细胞瘤，IDH 突变型；弥漫型中线胶质瘤，H3 K27 突变型和弥漫型半球胶质瘤，H3 G34 突变型；可鉴别 WHO 1级胶质瘤与胶质增生。</w:t>
            </w:r>
          </w:p>
        </w:tc>
      </w:tr>
      <w:tr w14:paraId="753611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48F29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 突变</w:t>
            </w:r>
          </w:p>
        </w:tc>
        <w:tc>
          <w:tcPr>
            <w:tcW w:w="1546" w:type="dxa"/>
            <w:tcBorders>
              <w:tl2br w:val="nil"/>
              <w:tr2bl w:val="nil"/>
            </w:tcBorders>
            <w:shd w:val="clear" w:color="auto" w:fill="auto"/>
            <w:vAlign w:val="center"/>
          </w:tcPr>
          <w:p w14:paraId="73906C4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bg.PTEN | mr() }}</w:t>
            </w:r>
          </w:p>
        </w:tc>
        <w:tc>
          <w:tcPr>
            <w:tcW w:w="6269" w:type="dxa"/>
            <w:tcBorders>
              <w:tl2br w:val="nil"/>
              <w:tr2bl w:val="nil"/>
            </w:tcBorders>
            <w:shd w:val="clear" w:color="auto" w:fill="auto"/>
            <w:vAlign w:val="center"/>
          </w:tcPr>
          <w:p w14:paraId="06974B7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54E37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65AB62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 突变</w:t>
            </w:r>
          </w:p>
        </w:tc>
        <w:tc>
          <w:tcPr>
            <w:tcW w:w="1546" w:type="dxa"/>
            <w:tcBorders>
              <w:tl2br w:val="nil"/>
              <w:tr2bl w:val="nil"/>
            </w:tcBorders>
            <w:shd w:val="clear" w:color="auto" w:fill="auto"/>
            <w:vAlign w:val="center"/>
          </w:tcPr>
          <w:p w14:paraId="510B803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bg.PIK3CA | mr() }}</w:t>
            </w:r>
          </w:p>
        </w:tc>
        <w:tc>
          <w:tcPr>
            <w:tcW w:w="6269" w:type="dxa"/>
            <w:tcBorders>
              <w:tl2br w:val="nil"/>
              <w:tr2bl w:val="nil"/>
            </w:tcBorders>
            <w:shd w:val="clear" w:color="auto" w:fill="auto"/>
            <w:vAlign w:val="center"/>
          </w:tcPr>
          <w:p w14:paraId="41437E39">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PIK3CA基因编码磷酸脂酰肌醇3激酶（PI3K）的p110a 催化亚基，它是由酪氨酸激酶受体（如EGFR以及HER2等）驱动的通路中的一个完整信号分子。PIK3CA激活突变常在胶质母细胞瘤中发生。</w:t>
            </w:r>
          </w:p>
        </w:tc>
      </w:tr>
      <w:tr w14:paraId="569263B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ABB88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w:t>
            </w:r>
          </w:p>
        </w:tc>
        <w:tc>
          <w:tcPr>
            <w:tcW w:w="1546" w:type="dxa"/>
            <w:tcBorders>
              <w:tl2br w:val="nil"/>
              <w:tr2bl w:val="nil"/>
            </w:tcBorders>
            <w:shd w:val="clear" w:color="auto" w:fill="auto"/>
            <w:vAlign w:val="center"/>
          </w:tcPr>
          <w:p w14:paraId="3AD3A236">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bg.MYCN | mr() }}</w:t>
            </w:r>
          </w:p>
        </w:tc>
        <w:tc>
          <w:tcPr>
            <w:tcW w:w="6269" w:type="dxa"/>
            <w:tcBorders>
              <w:tl2br w:val="nil"/>
              <w:tr2bl w:val="nil"/>
            </w:tcBorders>
            <w:shd w:val="clear" w:color="auto" w:fill="auto"/>
            <w:vAlign w:val="center"/>
          </w:tcPr>
          <w:p w14:paraId="6402B2CE">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扩增的脊髓室管膜瘤更具侵袭性，预后相对较差。</w:t>
            </w:r>
          </w:p>
        </w:tc>
      </w:tr>
      <w:tr w14:paraId="747640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0896B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PDGFRA 扩增</w:t>
            </w:r>
          </w:p>
        </w:tc>
        <w:tc>
          <w:tcPr>
            <w:tcW w:w="1546" w:type="dxa"/>
            <w:tcBorders>
              <w:tl2br w:val="nil"/>
              <w:tr2bl w:val="nil"/>
            </w:tcBorders>
            <w:shd w:val="clear" w:color="auto" w:fill="auto"/>
            <w:vAlign w:val="center"/>
          </w:tcPr>
          <w:p w14:paraId="698A8A2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bg.PDGFRA | mr() }}</w:t>
            </w:r>
          </w:p>
        </w:tc>
        <w:tc>
          <w:tcPr>
            <w:tcW w:w="6269" w:type="dxa"/>
            <w:tcBorders>
              <w:tl2br w:val="nil"/>
              <w:tr2bl w:val="nil"/>
            </w:tcBorders>
            <w:shd w:val="clear" w:color="auto" w:fill="auto"/>
            <w:vAlign w:val="center"/>
          </w:tcPr>
          <w:p w14:paraId="02E3B3D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 H3 K27 型弥漫性中线胶质瘤和 H3 及 IDH野生型弥漫性儿童高级别胶质瘤。</w:t>
            </w:r>
          </w:p>
        </w:tc>
      </w:tr>
      <w:tr w14:paraId="2650A2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78603D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 融合</w:t>
            </w:r>
          </w:p>
        </w:tc>
        <w:tc>
          <w:tcPr>
            <w:tcW w:w="1546" w:type="dxa"/>
            <w:tcBorders>
              <w:tl2br w:val="nil"/>
              <w:tr2bl w:val="nil"/>
            </w:tcBorders>
            <w:shd w:val="clear" w:color="auto" w:fill="auto"/>
            <w:vAlign w:val="center"/>
          </w:tcPr>
          <w:p w14:paraId="6B4ED4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bg.FGFR1 | mr() }}</w:t>
            </w:r>
          </w:p>
        </w:tc>
        <w:tc>
          <w:tcPr>
            <w:tcW w:w="6269" w:type="dxa"/>
            <w:vMerge w:val="restart"/>
            <w:tcBorders>
              <w:tl2br w:val="nil"/>
              <w:tr2bl w:val="nil"/>
            </w:tcBorders>
            <w:shd w:val="clear" w:color="auto" w:fill="auto"/>
            <w:vAlign w:val="center"/>
          </w:tcPr>
          <w:p w14:paraId="4A3675C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1DF303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E7D320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FGFR2 融合</w:t>
            </w:r>
          </w:p>
        </w:tc>
        <w:tc>
          <w:tcPr>
            <w:tcW w:w="1546" w:type="dxa"/>
            <w:tcBorders>
              <w:tl2br w:val="nil"/>
              <w:tr2bl w:val="nil"/>
            </w:tcBorders>
            <w:shd w:val="clear" w:color="auto" w:fill="auto"/>
            <w:vAlign w:val="center"/>
          </w:tcPr>
          <w:p w14:paraId="23F4B0A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bg.FGFR2 | mr() }}</w:t>
            </w:r>
          </w:p>
        </w:tc>
        <w:tc>
          <w:tcPr>
            <w:tcW w:w="6269" w:type="dxa"/>
            <w:vMerge w:val="continue"/>
            <w:tcBorders>
              <w:tl2br w:val="nil"/>
              <w:tr2bl w:val="nil"/>
            </w:tcBorders>
            <w:shd w:val="clear" w:color="auto" w:fill="auto"/>
            <w:vAlign w:val="center"/>
          </w:tcPr>
          <w:p w14:paraId="7D28B6A0">
            <w:pPr>
              <w:rPr>
                <w:rFonts w:hint="eastAsia" w:ascii="微软雅黑" w:hAnsi="微软雅黑" w:eastAsia="微软雅黑" w:cs="微软雅黑"/>
                <w:color w:val="000000"/>
                <w:sz w:val="21"/>
                <w:szCs w:val="21"/>
              </w:rPr>
            </w:pPr>
          </w:p>
        </w:tc>
      </w:tr>
      <w:tr w14:paraId="3DCA3F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ED7244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FGFR3 融合</w:t>
            </w:r>
          </w:p>
        </w:tc>
        <w:tc>
          <w:tcPr>
            <w:tcW w:w="1546" w:type="dxa"/>
            <w:tcBorders>
              <w:tl2br w:val="nil"/>
              <w:tr2bl w:val="nil"/>
            </w:tcBorders>
            <w:shd w:val="clear" w:color="auto" w:fill="auto"/>
            <w:vAlign w:val="center"/>
          </w:tcPr>
          <w:p w14:paraId="6E974354">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bg.FGFR3 | mr() }}</w:t>
            </w:r>
          </w:p>
        </w:tc>
        <w:tc>
          <w:tcPr>
            <w:tcW w:w="6269" w:type="dxa"/>
            <w:vMerge w:val="continue"/>
            <w:tcBorders>
              <w:tl2br w:val="nil"/>
              <w:tr2bl w:val="nil"/>
            </w:tcBorders>
            <w:shd w:val="clear" w:color="auto" w:fill="auto"/>
            <w:vAlign w:val="center"/>
          </w:tcPr>
          <w:p w14:paraId="3BFEECAB">
            <w:pPr>
              <w:rPr>
                <w:rFonts w:hint="eastAsia" w:ascii="微软雅黑" w:hAnsi="微软雅黑" w:eastAsia="微软雅黑" w:cs="微软雅黑"/>
                <w:color w:val="000000"/>
                <w:sz w:val="21"/>
                <w:szCs w:val="21"/>
              </w:rPr>
            </w:pPr>
          </w:p>
        </w:tc>
      </w:tr>
      <w:tr w14:paraId="7B0A57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2EF1FB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NTRK1 融合</w:t>
            </w:r>
          </w:p>
        </w:tc>
        <w:tc>
          <w:tcPr>
            <w:tcW w:w="1546" w:type="dxa"/>
            <w:tcBorders>
              <w:tl2br w:val="nil"/>
              <w:tr2bl w:val="nil"/>
            </w:tcBorders>
            <w:shd w:val="clear" w:color="auto" w:fill="auto"/>
            <w:vAlign w:val="center"/>
          </w:tcPr>
          <w:p w14:paraId="7AA1A73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bg.NTRK1 | mr() }}</w:t>
            </w:r>
          </w:p>
        </w:tc>
        <w:tc>
          <w:tcPr>
            <w:tcW w:w="6269" w:type="dxa"/>
            <w:vMerge w:val="restart"/>
            <w:tcBorders>
              <w:tl2br w:val="nil"/>
              <w:tr2bl w:val="nil"/>
            </w:tcBorders>
            <w:shd w:val="clear" w:color="auto" w:fill="auto"/>
            <w:vAlign w:val="center"/>
          </w:tcPr>
          <w:p w14:paraId="2699F2F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5BCB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6BF3FB3">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NTRK2 融合</w:t>
            </w:r>
          </w:p>
        </w:tc>
        <w:tc>
          <w:tcPr>
            <w:tcW w:w="1546" w:type="dxa"/>
            <w:tcBorders>
              <w:tl2br w:val="nil"/>
              <w:tr2bl w:val="nil"/>
            </w:tcBorders>
            <w:shd w:val="clear" w:color="auto" w:fill="auto"/>
            <w:vAlign w:val="center"/>
          </w:tcPr>
          <w:p w14:paraId="01FB94A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bg.NTRK2 | mr() }}</w:t>
            </w:r>
          </w:p>
        </w:tc>
        <w:tc>
          <w:tcPr>
            <w:tcW w:w="6269" w:type="dxa"/>
            <w:vMerge w:val="continue"/>
            <w:tcBorders>
              <w:tl2br w:val="nil"/>
              <w:tr2bl w:val="nil"/>
            </w:tcBorders>
            <w:shd w:val="clear" w:color="auto" w:fill="auto"/>
            <w:vAlign w:val="center"/>
          </w:tcPr>
          <w:p w14:paraId="2B83010C">
            <w:pPr>
              <w:rPr>
                <w:rFonts w:hint="eastAsia" w:ascii="微软雅黑" w:hAnsi="微软雅黑" w:eastAsia="微软雅黑" w:cs="微软雅黑"/>
                <w:color w:val="000000"/>
                <w:sz w:val="21"/>
                <w:szCs w:val="21"/>
              </w:rPr>
            </w:pPr>
          </w:p>
        </w:tc>
      </w:tr>
      <w:tr w14:paraId="2252AD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78A9EE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NTRK3 融合</w:t>
            </w:r>
          </w:p>
        </w:tc>
        <w:tc>
          <w:tcPr>
            <w:tcW w:w="1546" w:type="dxa"/>
            <w:tcBorders>
              <w:tl2br w:val="nil"/>
              <w:tr2bl w:val="nil"/>
            </w:tcBorders>
            <w:shd w:val="clear" w:color="auto" w:fill="auto"/>
            <w:vAlign w:val="center"/>
          </w:tcPr>
          <w:p w14:paraId="5BFF64D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bg.NTRK3 | mr() }}</w:t>
            </w:r>
          </w:p>
        </w:tc>
        <w:tc>
          <w:tcPr>
            <w:tcW w:w="6269" w:type="dxa"/>
            <w:vMerge w:val="continue"/>
            <w:tcBorders>
              <w:tl2br w:val="nil"/>
              <w:tr2bl w:val="nil"/>
            </w:tcBorders>
            <w:shd w:val="clear" w:color="auto" w:fill="auto"/>
            <w:vAlign w:val="center"/>
          </w:tcPr>
          <w:p w14:paraId="6FCCE3F9">
            <w:pPr>
              <w:rPr>
                <w:rFonts w:hint="eastAsia" w:ascii="微软雅黑" w:hAnsi="微软雅黑" w:eastAsia="微软雅黑" w:cs="微软雅黑"/>
                <w:color w:val="000000"/>
                <w:sz w:val="21"/>
                <w:szCs w:val="21"/>
              </w:rPr>
            </w:pPr>
          </w:p>
        </w:tc>
      </w:tr>
      <w:tr w14:paraId="64D3A6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8C5FDF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ALK 融合</w:t>
            </w:r>
          </w:p>
        </w:tc>
        <w:tc>
          <w:tcPr>
            <w:tcW w:w="1546" w:type="dxa"/>
            <w:tcBorders>
              <w:tl2br w:val="nil"/>
              <w:tr2bl w:val="nil"/>
            </w:tcBorders>
            <w:shd w:val="clear" w:color="auto" w:fill="auto"/>
            <w:vAlign w:val="center"/>
          </w:tcPr>
          <w:p w14:paraId="3EAD3E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bg.ALK | mr() }}</w:t>
            </w:r>
          </w:p>
        </w:tc>
        <w:tc>
          <w:tcPr>
            <w:tcW w:w="6269" w:type="dxa"/>
            <w:tcBorders>
              <w:tl2br w:val="nil"/>
              <w:tr2bl w:val="nil"/>
            </w:tcBorders>
            <w:shd w:val="clear" w:color="auto" w:fill="auto"/>
            <w:vAlign w:val="center"/>
          </w:tcPr>
          <w:p w14:paraId="173EF1EC">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F43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6AE20A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ROS1 融合</w:t>
            </w:r>
          </w:p>
        </w:tc>
        <w:tc>
          <w:tcPr>
            <w:tcW w:w="1546" w:type="dxa"/>
            <w:tcBorders>
              <w:tl2br w:val="nil"/>
              <w:tr2bl w:val="nil"/>
            </w:tcBorders>
            <w:shd w:val="clear" w:color="auto" w:fill="auto"/>
            <w:vAlign w:val="center"/>
          </w:tcPr>
          <w:p w14:paraId="012860E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bg.ROS1 | mr() }}</w:t>
            </w:r>
          </w:p>
        </w:tc>
        <w:tc>
          <w:tcPr>
            <w:tcW w:w="6269" w:type="dxa"/>
            <w:tcBorders>
              <w:tl2br w:val="nil"/>
              <w:tr2bl w:val="nil"/>
            </w:tcBorders>
            <w:shd w:val="clear" w:color="auto" w:fill="auto"/>
            <w:vAlign w:val="center"/>
          </w:tcPr>
          <w:p w14:paraId="051AE99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133000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14CA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MET 扩增</w:t>
            </w:r>
          </w:p>
        </w:tc>
        <w:tc>
          <w:tcPr>
            <w:tcW w:w="1546" w:type="dxa"/>
            <w:tcBorders>
              <w:tl2br w:val="nil"/>
              <w:tr2bl w:val="nil"/>
            </w:tcBorders>
            <w:shd w:val="clear" w:color="auto" w:fill="auto"/>
            <w:vAlign w:val="center"/>
          </w:tcPr>
          <w:p w14:paraId="04F93B3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bg.MET | mr() }}</w:t>
            </w:r>
          </w:p>
        </w:tc>
        <w:tc>
          <w:tcPr>
            <w:tcW w:w="6269" w:type="dxa"/>
            <w:tcBorders>
              <w:tl2br w:val="nil"/>
              <w:tr2bl w:val="nil"/>
            </w:tcBorders>
            <w:shd w:val="clear" w:color="auto" w:fill="auto"/>
            <w:vAlign w:val="center"/>
          </w:tcPr>
          <w:p w14:paraId="6862039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D24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39525B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SMARCB1 突变</w:t>
            </w:r>
          </w:p>
        </w:tc>
        <w:tc>
          <w:tcPr>
            <w:tcW w:w="1546" w:type="dxa"/>
            <w:tcBorders>
              <w:tl2br w:val="nil"/>
              <w:tr2bl w:val="nil"/>
            </w:tcBorders>
            <w:shd w:val="clear" w:color="auto" w:fill="auto"/>
            <w:vAlign w:val="center"/>
          </w:tcPr>
          <w:p w14:paraId="7BD48F4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bg.SMARCB1 | mr() }}</w:t>
            </w:r>
          </w:p>
        </w:tc>
        <w:tc>
          <w:tcPr>
            <w:tcW w:w="6269" w:type="dxa"/>
            <w:tcBorders>
              <w:tl2br w:val="nil"/>
              <w:tr2bl w:val="nil"/>
            </w:tcBorders>
            <w:shd w:val="clear" w:color="auto" w:fill="auto"/>
            <w:vAlign w:val="center"/>
          </w:tcPr>
          <w:p w14:paraId="248A9B86">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非典型畸胎样/横纹肌样肿瘤的关键诊断指标；松果体区促纤维增生型黏液样肿瘤，SMARCB1 突变型的关键诊断指标。</w:t>
            </w:r>
          </w:p>
        </w:tc>
      </w:tr>
      <w:tr w14:paraId="4D6C70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FF393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TSC1 突变</w:t>
            </w:r>
          </w:p>
        </w:tc>
        <w:tc>
          <w:tcPr>
            <w:tcW w:w="1546" w:type="dxa"/>
            <w:tcBorders>
              <w:tl2br w:val="nil"/>
              <w:tr2bl w:val="nil"/>
            </w:tcBorders>
            <w:shd w:val="clear" w:color="auto" w:fill="auto"/>
            <w:vAlign w:val="center"/>
          </w:tcPr>
          <w:p w14:paraId="3E7EB7C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bg.TSC1 | mr() }}</w:t>
            </w:r>
          </w:p>
        </w:tc>
        <w:tc>
          <w:tcPr>
            <w:tcW w:w="6269" w:type="dxa"/>
            <w:vMerge w:val="restart"/>
            <w:tcBorders>
              <w:tl2br w:val="nil"/>
              <w:tr2bl w:val="nil"/>
            </w:tcBorders>
            <w:shd w:val="clear" w:color="auto" w:fill="auto"/>
            <w:vAlign w:val="center"/>
          </w:tcPr>
          <w:p w14:paraId="1E5C13B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室管膜下巨细胞星形细胞瘤的关键诊断指标。</w:t>
            </w:r>
          </w:p>
        </w:tc>
      </w:tr>
      <w:tr w14:paraId="01096B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421DA7E">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TSC2 突变</w:t>
            </w:r>
          </w:p>
        </w:tc>
        <w:tc>
          <w:tcPr>
            <w:tcW w:w="1546" w:type="dxa"/>
            <w:tcBorders>
              <w:tl2br w:val="nil"/>
              <w:tr2bl w:val="nil"/>
            </w:tcBorders>
            <w:shd w:val="clear" w:color="auto" w:fill="auto"/>
            <w:vAlign w:val="center"/>
          </w:tcPr>
          <w:p w14:paraId="31C7E5E5">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bg.TSC2 | mr() }}</w:t>
            </w:r>
          </w:p>
        </w:tc>
        <w:tc>
          <w:tcPr>
            <w:tcW w:w="6269" w:type="dxa"/>
            <w:vMerge w:val="continue"/>
            <w:tcBorders>
              <w:tl2br w:val="nil"/>
              <w:tr2bl w:val="nil"/>
            </w:tcBorders>
            <w:shd w:val="clear" w:color="auto" w:fill="auto"/>
            <w:vAlign w:val="center"/>
          </w:tcPr>
          <w:p w14:paraId="5CCB5F07">
            <w:pPr>
              <w:rPr>
                <w:rFonts w:hint="eastAsia" w:ascii="微软雅黑" w:hAnsi="微软雅黑" w:eastAsia="微软雅黑" w:cs="微软雅黑"/>
                <w:color w:val="000000"/>
                <w:sz w:val="21"/>
                <w:szCs w:val="21"/>
              </w:rPr>
            </w:pPr>
          </w:p>
        </w:tc>
      </w:tr>
      <w:tr w14:paraId="045848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616A42C8">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NF1 突变</w:t>
            </w:r>
          </w:p>
        </w:tc>
        <w:tc>
          <w:tcPr>
            <w:tcW w:w="1546" w:type="dxa"/>
            <w:tcBorders>
              <w:tl2br w:val="nil"/>
              <w:tr2bl w:val="nil"/>
            </w:tcBorders>
            <w:shd w:val="clear" w:color="auto" w:fill="auto"/>
            <w:vAlign w:val="center"/>
          </w:tcPr>
          <w:p w14:paraId="4490CFD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bg.NF1 | mr() }}</w:t>
            </w:r>
          </w:p>
        </w:tc>
        <w:tc>
          <w:tcPr>
            <w:tcW w:w="6269" w:type="dxa"/>
            <w:tcBorders>
              <w:tl2br w:val="nil"/>
              <w:tr2bl w:val="nil"/>
            </w:tcBorders>
            <w:shd w:val="clear" w:color="auto" w:fill="auto"/>
            <w:vAlign w:val="center"/>
          </w:tcPr>
          <w:p w14:paraId="02835B7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0E840F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F0D47B">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 融合</w:t>
            </w:r>
          </w:p>
        </w:tc>
        <w:tc>
          <w:tcPr>
            <w:tcW w:w="1546" w:type="dxa"/>
            <w:tcBorders>
              <w:tl2br w:val="nil"/>
              <w:tr2bl w:val="nil"/>
            </w:tcBorders>
            <w:shd w:val="clear" w:color="auto" w:fill="auto"/>
            <w:vAlign w:val="center"/>
          </w:tcPr>
          <w:p w14:paraId="37143D0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bg.YAP1 | mr() }}</w:t>
            </w:r>
          </w:p>
        </w:tc>
        <w:tc>
          <w:tcPr>
            <w:tcW w:w="6269" w:type="dxa"/>
            <w:tcBorders>
              <w:tl2br w:val="nil"/>
              <w:tr2bl w:val="nil"/>
            </w:tcBorders>
            <w:shd w:val="clear" w:color="auto" w:fill="auto"/>
            <w:vAlign w:val="center"/>
          </w:tcPr>
          <w:p w14:paraId="1E75211D">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YAP1融合是幕上室管膜瘤的诊断指标。发生YAP1 融合变异的幕上室管膜瘤更具侵袭性，预后相对较差。</w:t>
            </w:r>
          </w:p>
        </w:tc>
      </w:tr>
      <w:tr w14:paraId="444910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B549E82">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ZFTA（C11orf95）-RELA融合</w:t>
            </w:r>
          </w:p>
        </w:tc>
        <w:tc>
          <w:tcPr>
            <w:tcW w:w="1546" w:type="dxa"/>
            <w:tcBorders>
              <w:tl2br w:val="nil"/>
              <w:tr2bl w:val="nil"/>
            </w:tcBorders>
            <w:shd w:val="clear" w:color="auto" w:fill="auto"/>
            <w:vAlign w:val="center"/>
          </w:tcPr>
          <w:p w14:paraId="7851D3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bg.ZFTA | mr() }}</w:t>
            </w:r>
          </w:p>
        </w:tc>
        <w:tc>
          <w:tcPr>
            <w:tcW w:w="6269" w:type="dxa"/>
            <w:tcBorders>
              <w:tl2br w:val="nil"/>
              <w:tr2bl w:val="nil"/>
            </w:tcBorders>
            <w:shd w:val="clear" w:color="auto" w:fill="auto"/>
            <w:vAlign w:val="center"/>
          </w:tcPr>
          <w:p w14:paraId="7634024C">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ZFTA-RELA 基因融合是室管膜瘤亚型的关键诊断指标。发生ZFTA-RELA 融合变异的幕上室管膜瘤更具侵袭性，预后相对较差。</w:t>
            </w:r>
          </w:p>
        </w:tc>
      </w:tr>
    </w:tbl>
    <w:p w14:paraId="42041D97">
      <w:pPr>
        <w:rPr>
          <w:rFonts w:ascii="Times New Roman" w:hAnsi="Times New Roman"/>
          <w:color w:val="62B541"/>
          <w:szCs w:val="18"/>
          <w14:shadow w14:blurRad="50800" w14:dist="38100" w14:dir="10800000" w14:sx="100000" w14:sy="100000" w14:kx="0" w14:ky="0" w14:algn="r">
            <w14:srgbClr w14:val="62B541">
              <w14:alpha w14:val="60000"/>
            </w14:srgbClr>
          </w14:shadow>
        </w:rPr>
      </w:pPr>
    </w:p>
    <w:p w14:paraId="32EFF0BD">
      <w:pPr>
        <w:spacing w:before="47"/>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rPr>
        <w:t>注:</w:t>
      </w:r>
    </w:p>
    <w:p w14:paraId="39F3560E">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MGMT启动子甲基化检测：多重荧光PCR法。MGMT基因编码O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-甲基鸟嘌呤DNA甲基转移酶，可将鸟嘌呤O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739374B">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1p19q联合性缺失检测：覆盖1p 29个区域和19q 16个区域，进行NGS测序和染色体缺失分析。若1p染⾊体与19q染⾊体同时检测出杂合性缺失则为联合缺失，若仅有⼀项或者两项都未检测出缺失则为非联合缺失。</w:t>
      </w:r>
    </w:p>
    <w:p w14:paraId="790B1AC6">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H3变异（H3-3A G35或K28M、H3C2 K28M、H3C3 K28M）依据COSMIC命名标准进⾏呈现，其位点与指南或文献报道的H3G34和K27M⼀致 [PMID:28912153]。</w:t>
      </w:r>
    </w:p>
    <w:p w14:paraId="3A0F18AA">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本列表中基因的检测范围涵盖但不限于上表中列出的变异类型。良性变异、或疑似良性变异不在此“检出”范围内。</w:t>
      </w:r>
    </w:p>
    <w:p w14:paraId="7031F99D">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4841DD4B">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bCs/>
        </w:rPr>
        <w:t>本报告结果仅针对本次送检样品，结果仅供医⽣参考，不包含任何临床建议，具体用药请遵医嘱。</w:t>
      </w:r>
    </w:p>
    <w:p w14:paraId="21D35765">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rPr>
        <w:t>本报告只对本次采集样本负责，如有疑问，请在7个工作日内与我们联系。</w:t>
      </w:r>
    </w:p>
    <w:p w14:paraId="43CC8CAA">
      <w:pPr>
        <w:rPr>
          <w:rFonts w:hint="eastAsia"/>
        </w:rPr>
      </w:pPr>
      <w:r>
        <w:rPr>
          <w:rFonts w:hint="eastAsia"/>
        </w:rPr>
        <w:br w:type="page"/>
      </w:r>
    </w:p>
    <w:p w14:paraId="193D40D5">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 xml:space="preserve">2 </w:t>
      </w:r>
      <w:bookmarkEnd w:id="12"/>
      <w:bookmarkEnd w:id="13"/>
      <w:bookmarkEnd w:id="14"/>
      <w:bookmarkEnd w:id="15"/>
      <w:bookmarkEnd w:id="16"/>
      <w:bookmarkEnd w:id="17"/>
      <w:r>
        <w:rPr>
          <w:rFonts w:hint="eastAsia" w:ascii="微软雅黑" w:hAnsi="微软雅黑" w:eastAsia="微软雅黑" w:cs="微软雅黑"/>
          <w:color w:val="254061" w:themeColor="accent1" w:themeShade="80"/>
        </w:rPr>
        <w:t>体细胞变异分级提示</w:t>
      </w:r>
    </w:p>
    <w:p w14:paraId="5DECF482">
      <w:pPr>
        <w:ind w:firstLine="420" w:firstLineChars="200"/>
        <w:rPr>
          <w:rFonts w:ascii="Times New Roman" w:hAnsi="Times New Roman" w:eastAsia="微软雅黑" w:cs="Times New Roman"/>
          <w:b/>
          <w:color w:val="00B050"/>
          <w:sz w:val="24"/>
          <w:szCs w:val="24"/>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6"/>
        <w:gridCol w:w="1031"/>
        <w:gridCol w:w="1463"/>
        <w:gridCol w:w="923"/>
        <w:gridCol w:w="1031"/>
        <w:gridCol w:w="2157"/>
        <w:gridCol w:w="2167"/>
      </w:tblGrid>
      <w:tr w14:paraId="6D500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66D03D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变异分类</w:t>
            </w:r>
          </w:p>
        </w:tc>
        <w:tc>
          <w:tcPr>
            <w:tcW w:w="535" w:type="pct"/>
            <w:shd w:val="clear" w:color="auto" w:fill="auto"/>
            <w:vAlign w:val="center"/>
          </w:tcPr>
          <w:p w14:paraId="7F39C03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659038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68D37E34">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35" w:type="pct"/>
            <w:shd w:val="clear" w:color="auto" w:fill="auto"/>
            <w:vAlign w:val="center"/>
          </w:tcPr>
          <w:p w14:paraId="149D819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变异丰度/拷贝数{% if readsFlag == True %}</w:t>
            </w:r>
          </w:p>
          <w:p w14:paraId="79811228">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/reads数{%endif%}</w:t>
            </w:r>
          </w:p>
        </w:tc>
        <w:tc>
          <w:tcPr>
            <w:tcW w:w="1119" w:type="pct"/>
            <w:shd w:val="clear" w:color="auto" w:fill="auto"/>
            <w:vAlign w:val="center"/>
          </w:tcPr>
          <w:p w14:paraId="67A2915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22" w:type="pct"/>
            <w:shd w:val="clear" w:color="auto" w:fill="auto"/>
            <w:vAlign w:val="center"/>
          </w:tcPr>
          <w:p w14:paraId="62AEF73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3762F4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31F5A25F">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bodyAndComplexDrugTipLineStr or unknownTipLineStr %}</w:t>
            </w:r>
          </w:p>
        </w:tc>
      </w:tr>
      <w:tr w14:paraId="7CDC64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A3B37E6">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bodyDrugTipLineStr %}</w:t>
            </w:r>
          </w:p>
        </w:tc>
      </w:tr>
      <w:tr w14:paraId="7E4D8C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2DF7E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1A78CEC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27A16164">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7521FC8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33E2115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02C06DA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B3B963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27FE305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D92711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8A11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241902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E8531C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06D3476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26634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AFB0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0D243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001A546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62E567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0C1B91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unknownTipLineStr %}</w:t>
            </w:r>
          </w:p>
        </w:tc>
      </w:tr>
      <w:tr w14:paraId="0F5052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5B8F7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73F5ED4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3C9C4509">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521143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7B57B8E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F5C63BB">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466AEE9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025227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77BC57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3A3A25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4CF27E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complexDrugTipLineStr %}</w:t>
            </w:r>
          </w:p>
        </w:tc>
      </w:tr>
      <w:tr w14:paraId="2521EB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3CDEC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6DFAEBA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tip.comutation }}</w:t>
            </w:r>
          </w:p>
        </w:tc>
        <w:tc>
          <w:tcPr>
            <w:tcW w:w="759" w:type="pct"/>
            <w:shd w:val="clear" w:color="auto" w:fill="auto"/>
            <w:vAlign w:val="center"/>
          </w:tcPr>
          <w:p w14:paraId="4E2F0403">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7CB9D6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006CD6A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A72B20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4D24CB0D">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178E977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455F0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7FF5358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7D1445A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0DC0F30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E375763">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6C204BA0">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2E023116">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2CB9ED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53F3B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4D4CCF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3E5ADE3">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1FA94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6BE937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535" w:type="pct"/>
            <w:shd w:val="clear" w:color="auto" w:fill="auto"/>
            <w:vAlign w:val="center"/>
          </w:tcPr>
          <w:p w14:paraId="282B1FC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759" w:type="pct"/>
            <w:shd w:val="clear" w:color="auto" w:fill="auto"/>
            <w:vAlign w:val="center"/>
          </w:tcPr>
          <w:p w14:paraId="196F0B4F">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54118C6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535" w:type="pct"/>
            <w:shd w:val="clear" w:color="auto" w:fill="auto"/>
            <w:vAlign w:val="center"/>
          </w:tcPr>
          <w:p w14:paraId="4043EF7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19" w:type="pct"/>
            <w:shd w:val="clear" w:color="auto" w:fill="auto"/>
            <w:vAlign w:val="center"/>
          </w:tcPr>
          <w:p w14:paraId="0946438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67988A3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6DDB44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5183CA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0FD75CCB">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40F9B1B">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本报告所列举的药物或基因变异并未按照基因或者药物的重要性排序，具体决策需参照临床实际。</w:t>
      </w:r>
    </w:p>
    <w:p w14:paraId="75BE3FF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EA8A2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rPr>
        <w:t>）</w:t>
      </w:r>
      <w:r>
        <w:rPr>
          <w:rFonts w:hint="eastAsia" w:ascii="Times New Roman" w:hAnsi="Times New Roman" w:eastAsia="微软雅黑" w:cs="Times New Roman"/>
          <w:bCs/>
        </w:rPr>
        <w:t>。</w:t>
      </w:r>
    </w:p>
    <w:p w14:paraId="466CE6C6">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DE2154">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可能耐药药物：FDA/NMPA已经批准的、NCCN指南推荐的、临床试验或者临床研究有明确结果的、药物敏感性可能降低或产生耐药的靶向药物。</w:t>
      </w:r>
    </w:p>
    <w:p w14:paraId="16B186D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“-”表示该位点无相应靶向药物提示。</w:t>
      </w:r>
    </w:p>
    <w:p w14:paraId="338E61C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*标注的药物：NMPA批准的靶向药物。</w:t>
      </w:r>
    </w:p>
    <w:p w14:paraId="78493B2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分析注释时采用RefSeq转录本编号。</w:t>
      </w:r>
    </w:p>
    <w:p w14:paraId="2C6EFB52">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变异丰度：在某位点产生突变的等位基因在该位点全部等位基因中所占比率。</w:t>
      </w:r>
    </w:p>
    <w:p w14:paraId="38AC3C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拷贝数：是指某⼀种基因或某⼀段特定的DNA序列在单倍体基因组中出现的数目。</w:t>
      </w:r>
      <w:r>
        <w:rPr>
          <w:rFonts w:hint="eastAsia" w:ascii="Times New Roman" w:hAnsi="Times New Roman" w:eastAsia="微软雅黑" w:cs="Times New Roman"/>
        </w:rPr>
        <w:t>{% if readsFlag == True %}</w:t>
      </w:r>
    </w:p>
    <w:p w14:paraId="4297E271">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reads数：RNA层面检测到的支持融合基因的片段数。</w:t>
      </w:r>
      <w:r>
        <w:rPr>
          <w:rFonts w:hint="eastAsia" w:ascii="Times New Roman" w:hAnsi="Times New Roman" w:eastAsia="微软雅黑" w:cs="Times New Roman"/>
        </w:rPr>
        <w:t>{% endif %}</w:t>
      </w:r>
    </w:p>
    <w:p w14:paraId="57D6DAA6">
      <w:pPr>
        <w:pStyle w:val="10"/>
        <w:numPr>
          <w:ilvl w:val="0"/>
          <w:numId w:val="4"/>
        </w:numPr>
        <w:rPr>
          <w:rFonts w:ascii="Times New Roman" w:hAnsi="Times New Roman" w:eastAsia="微软雅黑" w:cs="Times New Roman"/>
        </w:rPr>
      </w:pPr>
      <w:r>
        <w:rPr>
          <w:rFonts w:hint="eastAsia" w:ascii="Times New Roman" w:hAnsi="Times New Roman" w:eastAsia="微软雅黑" w:cs="Times New Roman"/>
          <w:bCs/>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rPr>
        <w:t>{% if complex == True %}</w:t>
      </w:r>
    </w:p>
    <w:p w14:paraId="688EE4B9">
      <w:pPr>
        <w:pStyle w:val="10"/>
        <w:numPr>
          <w:ilvl w:val="0"/>
          <w:numId w:val="4"/>
        </w:numPr>
        <w:rPr>
          <w:rFonts w:ascii="Times New Roman" w:hAnsi="Times New Roman" w:eastAsia="微软雅黑" w:cs="Times New Roman"/>
        </w:rPr>
      </w:pPr>
      <w:r>
        <w:rPr>
          <w:rFonts w:ascii="Times New Roman" w:hAnsi="Times New Roman" w:eastAsia="微软雅黑" w:cs="Times New Roman"/>
        </w:rPr>
        <w:t>多靶点循证</w:t>
      </w:r>
      <w:r>
        <w:rPr>
          <w:rFonts w:hint="eastAsia" w:ascii="Times New Roman" w:hAnsi="Times New Roman" w:eastAsia="微软雅黑" w:cs="Times New Roman"/>
        </w:rPr>
        <w:t>检测结果中的符号意义：“+”表示“并且”，“/”表示“或者”，“!”表示“不满足”。{% endif %}</w:t>
      </w:r>
    </w:p>
    <w:p w14:paraId="4CE985EB">
      <w:pPr>
        <w:numPr>
          <w:ilvl w:val="0"/>
          <w:numId w:val="5"/>
        </w:numPr>
        <w:rPr>
          <w:rFonts w:ascii="Times New Roman" w:hAnsi="Times New Roman" w:eastAsia="微软雅黑" w:cs="Times New Roman"/>
          <w:sz w:val="18"/>
          <w:szCs w:val="18"/>
        </w:rPr>
      </w:pPr>
      <w:r>
        <w:rPr>
          <w:rFonts w:ascii="Times New Roman" w:hAnsi="Times New Roman" w:eastAsia="微软雅黑" w:cs="Times New Roman"/>
          <w:b/>
          <w:color w:val="00B050"/>
          <w:sz w:val="24"/>
          <w:szCs w:val="24"/>
        </w:rPr>
        <w:br w:type="page"/>
      </w:r>
    </w:p>
    <w:p w14:paraId="35C353C0">
      <w:pPr>
        <w:pStyle w:val="3"/>
        <w:jc w:val="both"/>
        <w:rPr>
          <w:rFonts w:hint="eastAsia" w:ascii="微软雅黑" w:hAnsi="微软雅黑" w:eastAsia="微软雅黑" w:cs="微软雅黑"/>
          <w:color w:val="254061" w:themeColor="accent1" w:themeShade="80"/>
        </w:rPr>
      </w:pPr>
      <w:bookmarkStart w:id="18" w:name="_Toc19898_WPSOffice_Level2"/>
      <w:bookmarkStart w:id="19" w:name="_Toc3497"/>
      <w:bookmarkStart w:id="20" w:name="_Toc13489_WPSOffice_Level2"/>
      <w:bookmarkStart w:id="21" w:name="_Toc10743"/>
      <w:bookmarkStart w:id="22" w:name="_Toc5962"/>
      <w:bookmarkStart w:id="23" w:name="_Toc24038"/>
      <w:bookmarkStart w:id="24" w:name="_Hlk516758315"/>
      <w:r>
        <w:rPr>
          <w:rFonts w:hint="eastAsia" w:ascii="微软雅黑" w:hAnsi="微软雅黑" w:eastAsia="微软雅黑" w:cs="微软雅黑"/>
          <w:color w:val="254061" w:themeColor="accent1" w:themeShade="80"/>
        </w:rPr>
        <w:t xml:space="preserve">3 </w:t>
      </w:r>
      <w:bookmarkEnd w:id="18"/>
      <w:bookmarkEnd w:id="19"/>
      <w:bookmarkEnd w:id="20"/>
      <w:bookmarkEnd w:id="21"/>
      <w:bookmarkEnd w:id="22"/>
      <w:bookmarkEnd w:id="23"/>
      <w:bookmarkEnd w:id="24"/>
      <w:r>
        <w:rPr>
          <w:rFonts w:hint="eastAsia" w:ascii="微软雅黑" w:hAnsi="微软雅黑" w:eastAsia="微软雅黑" w:cs="微软雅黑"/>
          <w:color w:val="254061" w:themeColor="accent1" w:themeShade="80"/>
        </w:rPr>
        <w:t>胚系变异结果提示</w:t>
      </w:r>
    </w:p>
    <w:p w14:paraId="2170BC40">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3.1 肿瘤遗传风险检测</w:t>
      </w:r>
    </w:p>
    <w:p w14:paraId="7CF2B25F">
      <w:pPr>
        <w:spacing w:before="188" w:line="252" w:lineRule="auto"/>
        <w:ind w:left="113" w:right="213" w:firstLine="476"/>
        <w:jc w:val="both"/>
        <w:rPr>
          <w:rFonts w:ascii="Times New Roman" w:hAnsi="Times New Roman" w:eastAsia="微软雅黑" w:cs="Times New Roman"/>
          <w:sz w:val="21"/>
          <w:szCs w:val="21"/>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w:t>
      </w:r>
      <w:r>
        <w:rPr>
          <w:rFonts w:ascii="Times New Roman" w:hAnsi="Times New Roman" w:eastAsia="微软雅黑" w:cs="Times New Roman"/>
          <w:b/>
          <w:color w:val="000000" w:themeColor="text1"/>
          <w:sz w:val="21"/>
          <w:szCs w:val="21"/>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14:textFill>
            <w14:solidFill>
              <w14:schemeClr w14:val="tx1"/>
            </w14:solidFill>
          </w14:textFill>
        </w:rPr>
        <w:t>。</w:t>
      </w:r>
      <w:r>
        <w:rPr>
          <w:rFonts w:hint="eastAsia" w:ascii="Times New Roman" w:hAnsi="Times New Roman" w:eastAsia="微软雅黑" w:cs="Times New Roman"/>
          <w:b/>
          <w:color w:val="000000" w:themeColor="text1"/>
          <w:sz w:val="21"/>
          <w:szCs w:val="21"/>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36CFD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05B1DF86">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3D8D8A5">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00FBF7E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5D630B9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3BC0D7E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026BC3C">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1910406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F83C44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1D0E94BE">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2747D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4759A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crCheckLineStrYF1280 != [] %}</w:t>
            </w:r>
          </w:p>
        </w:tc>
      </w:tr>
      <w:tr w14:paraId="625A89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907163">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cr in crCheckLineStrYF1280 %}</w:t>
            </w:r>
          </w:p>
        </w:tc>
      </w:tr>
      <w:tr w14:paraId="2934F2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656153A">
            <w:pPr>
              <w:spacing w:before="20"/>
              <w:jc w:val="center"/>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 cr.Gene }}</w:t>
            </w:r>
          </w:p>
        </w:tc>
        <w:tc>
          <w:tcPr>
            <w:tcW w:w="825" w:type="dxa"/>
            <w:shd w:val="clear" w:color="auto" w:fill="auto"/>
            <w:vAlign w:val="center"/>
          </w:tcPr>
          <w:p w14:paraId="6F791F9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cr.Chr }}</w:t>
            </w:r>
          </w:p>
        </w:tc>
        <w:tc>
          <w:tcPr>
            <w:tcW w:w="825" w:type="dxa"/>
            <w:shd w:val="clear" w:color="auto" w:fill="auto"/>
            <w:vAlign w:val="center"/>
          </w:tcPr>
          <w:p w14:paraId="14BEF08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w:t>
            </w:r>
            <w:r>
              <w:rPr>
                <w:rFonts w:ascii="Times New Roman" w:hAnsi="Times New Roman" w:eastAsia="微软雅黑" w:cs="Times New Roman"/>
                <w:sz w:val="21"/>
                <w:szCs w:val="21"/>
              </w:rPr>
              <w:t>exon</w:t>
            </w:r>
            <w:r>
              <w:rPr>
                <w:rFonts w:hint="eastAsia" w:ascii="Times New Roman" w:hAnsi="Times New Roman" w:eastAsia="微软雅黑" w:cs="Times New Roman"/>
                <w:sz w:val="21"/>
                <w:szCs w:val="21"/>
              </w:rPr>
              <w:t xml:space="preserve"> }}</w:t>
            </w:r>
          </w:p>
        </w:tc>
        <w:tc>
          <w:tcPr>
            <w:tcW w:w="1146" w:type="dxa"/>
            <w:shd w:val="clear" w:color="auto" w:fill="auto"/>
            <w:vAlign w:val="center"/>
          </w:tcPr>
          <w:p w14:paraId="7C1E35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cr.cHGVS }}</w:t>
            </w:r>
          </w:p>
        </w:tc>
        <w:tc>
          <w:tcPr>
            <w:tcW w:w="1056" w:type="dxa"/>
            <w:shd w:val="clear" w:color="auto" w:fill="auto"/>
            <w:vAlign w:val="center"/>
          </w:tcPr>
          <w:p w14:paraId="2E067DA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cr.pHGVS }}</w:t>
            </w:r>
          </w:p>
        </w:tc>
        <w:tc>
          <w:tcPr>
            <w:tcW w:w="1140" w:type="dxa"/>
            <w:shd w:val="clear" w:color="auto" w:fill="auto"/>
            <w:vAlign w:val="center"/>
          </w:tcPr>
          <w:p w14:paraId="4A0EC256">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cr.ExonicFunc }}</w:t>
            </w:r>
          </w:p>
        </w:tc>
        <w:tc>
          <w:tcPr>
            <w:tcW w:w="1140" w:type="dxa"/>
            <w:shd w:val="clear" w:color="auto" w:fill="auto"/>
            <w:vAlign w:val="center"/>
          </w:tcPr>
          <w:p w14:paraId="33423B3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cr.Zygosity }}</w:t>
            </w:r>
          </w:p>
        </w:tc>
        <w:tc>
          <w:tcPr>
            <w:tcW w:w="930" w:type="dxa"/>
            <w:shd w:val="clear" w:color="auto" w:fill="auto"/>
            <w:vAlign w:val="center"/>
          </w:tcPr>
          <w:p w14:paraId="0EE60B31">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cr.c1000g2015aug_all }}</w:t>
            </w:r>
          </w:p>
        </w:tc>
        <w:tc>
          <w:tcPr>
            <w:tcW w:w="1527" w:type="dxa"/>
            <w:shd w:val="clear" w:color="auto" w:fill="auto"/>
            <w:vAlign w:val="center"/>
          </w:tcPr>
          <w:p w14:paraId="2A480D5A">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cr.Clinical_significance }}</w:t>
            </w:r>
          </w:p>
        </w:tc>
      </w:tr>
      <w:tr w14:paraId="455ABF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F3AFF22">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053F33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69C1D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709988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64B1E96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w:t>
            </w:r>
          </w:p>
        </w:tc>
        <w:tc>
          <w:tcPr>
            <w:tcW w:w="825" w:type="dxa"/>
            <w:shd w:val="clear" w:color="auto" w:fill="auto"/>
            <w:vAlign w:val="center"/>
          </w:tcPr>
          <w:p w14:paraId="1853F04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825" w:type="dxa"/>
            <w:shd w:val="clear" w:color="auto" w:fill="auto"/>
            <w:vAlign w:val="center"/>
          </w:tcPr>
          <w:p w14:paraId="6735C82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6" w:type="dxa"/>
            <w:shd w:val="clear" w:color="auto" w:fill="auto"/>
            <w:vAlign w:val="center"/>
          </w:tcPr>
          <w:p w14:paraId="154C83B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056" w:type="dxa"/>
            <w:shd w:val="clear" w:color="auto" w:fill="auto"/>
            <w:vAlign w:val="center"/>
          </w:tcPr>
          <w:p w14:paraId="3366E85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0DED178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5BAD0E9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930" w:type="dxa"/>
            <w:shd w:val="clear" w:color="auto" w:fill="auto"/>
            <w:vAlign w:val="center"/>
          </w:tcPr>
          <w:p w14:paraId="191530D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527" w:type="dxa"/>
            <w:shd w:val="clear" w:color="auto" w:fill="auto"/>
            <w:vAlign w:val="center"/>
          </w:tcPr>
          <w:p w14:paraId="5D0053B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49D3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156BB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40AC3C54">
      <w:pPr>
        <w:ind w:left="412"/>
        <w:jc w:val="both"/>
        <w:rPr>
          <w:rFonts w:hint="eastAsia"/>
          <w:color w:val="254061" w:themeColor="accent1" w:themeShade="80"/>
        </w:rPr>
      </w:pPr>
    </w:p>
    <w:p w14:paraId="2A932DF8">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43035C0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6B57598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1113B452">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BF95A8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41" w:type="pct"/>
            <w:tcBorders>
              <w:top w:val="single" w:color="244061" w:sz="18" w:space="0"/>
            </w:tcBorders>
            <w:shd w:val="clear" w:color="auto" w:fill="auto"/>
            <w:vAlign w:val="center"/>
          </w:tcPr>
          <w:p w14:paraId="68128B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A6BE51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33" w:type="pct"/>
            <w:tcBorders>
              <w:top w:val="single" w:color="244061" w:sz="18" w:space="0"/>
            </w:tcBorders>
            <w:shd w:val="clear" w:color="auto" w:fill="auto"/>
            <w:vAlign w:val="center"/>
          </w:tcPr>
          <w:p w14:paraId="08410FA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193D39F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2ED6B6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embryonalDrugTipLineStr != [] %}</w:t>
            </w:r>
          </w:p>
        </w:tc>
      </w:tr>
      <w:tr w14:paraId="0BF066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CE658F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embryonalDrugTipLineStr %}</w:t>
            </w:r>
          </w:p>
        </w:tc>
      </w:tr>
      <w:tr w14:paraId="46A3FCD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08FB9F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1780" w:type="dxa"/>
            <w:shd w:val="clear" w:color="auto" w:fill="auto"/>
            <w:vAlign w:val="center"/>
          </w:tcPr>
          <w:p w14:paraId="44DEC161">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650" w:type="pct"/>
            <w:shd w:val="clear" w:color="auto" w:fill="auto"/>
            <w:vAlign w:val="center"/>
          </w:tcPr>
          <w:p w14:paraId="30AD6E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41" w:type="pct"/>
            <w:shd w:val="clear" w:color="auto" w:fill="auto"/>
            <w:vAlign w:val="center"/>
          </w:tcPr>
          <w:p w14:paraId="0887EE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2253" w:type="dxa"/>
            <w:shd w:val="clear" w:color="auto" w:fill="auto"/>
            <w:vAlign w:val="center"/>
          </w:tcPr>
          <w:p w14:paraId="61D29181">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624EDC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1C21AE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E8EA0D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40BDA6F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2253" w:type="dxa"/>
            <w:shd w:val="clear" w:color="auto" w:fill="auto"/>
            <w:vAlign w:val="center"/>
          </w:tcPr>
          <w:p w14:paraId="46BBD8A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F7366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79420BE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5D0D9D7">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6841FD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590E350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C2881F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10EBBA5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115EB2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A10325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E58A71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本次检测未发现靶药相关致病性及可能致病性胚系突变</w:t>
            </w:r>
          </w:p>
        </w:tc>
      </w:tr>
      <w:tr w14:paraId="59424D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A682A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5F9AD469">
      <w:pPr>
        <w:spacing w:before="4" w:line="240" w:lineRule="exact"/>
        <w:rPr>
          <w:rFonts w:ascii="Times New Roman" w:hAnsi="Times New Roman" w:eastAsia="微软雅黑" w:cs="Times New Roman"/>
          <w:sz w:val="24"/>
          <w:szCs w:val="24"/>
        </w:rPr>
      </w:pPr>
    </w:p>
    <w:p w14:paraId="51D3AE83">
      <w:pPr>
        <w:spacing w:before="47"/>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注：</w:t>
      </w:r>
    </w:p>
    <w:p w14:paraId="40DAC6C9">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本报告只给出千人频率均在2%以下的胚系非同义突变。</w:t>
      </w:r>
    </w:p>
    <w:p w14:paraId="2408D5C7">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根据美国医学遗传医师学会（ACMG）指导意见，个体携带的变异，分为5个大类：</w:t>
      </w:r>
    </w:p>
    <w:p w14:paraId="01FDF516">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致病性变异：有大量证据表明这种变异是高风险的致病性变异。</w:t>
      </w:r>
    </w:p>
    <w:p w14:paraId="06AFEC8A">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可能致病性变异：有一些证据表明这种变异是高风险的致病性变异。</w:t>
      </w:r>
    </w:p>
    <w:p w14:paraId="26122FAC">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不确定性变异：没有足够的证据，将变异分类到其他四类中。</w:t>
      </w:r>
    </w:p>
    <w:p w14:paraId="22BB932C">
      <w:pPr>
        <w:ind w:firstLine="360" w:firstLineChars="200"/>
        <w:rPr>
          <w:rFonts w:ascii="Times New Roman" w:hAnsi="Times New Roman" w:eastAsia="微软雅黑" w:cs="Times New Roman"/>
          <w:sz w:val="18"/>
          <w:szCs w:val="18"/>
          <w:lang w:val="zh-CN"/>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可能良性</w:t>
      </w:r>
      <w:r>
        <w:rPr>
          <w:rFonts w:ascii="Times New Roman" w:hAnsi="Times New Roman" w:eastAsia="微软雅黑" w:cs="Times New Roman"/>
          <w:sz w:val="18"/>
          <w:szCs w:val="18"/>
          <w:lang w:val="zh-CN"/>
        </w:rPr>
        <w:t>变异：有一些证据表明这种变异不是高风险的致病变异。</w:t>
      </w:r>
    </w:p>
    <w:p w14:paraId="1109C455">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良性</w:t>
      </w:r>
      <w:r>
        <w:rPr>
          <w:rFonts w:ascii="Times New Roman" w:hAnsi="Times New Roman" w:eastAsia="微软雅黑" w:cs="Times New Roman"/>
          <w:sz w:val="18"/>
          <w:szCs w:val="18"/>
          <w:lang w:val="zh-CN"/>
        </w:rPr>
        <w:t>变异：有大量证据表明这种变异不是高风险的致病变异。</w:t>
      </w:r>
    </w:p>
    <w:p w14:paraId="3EBDBBB2">
      <w:pPr>
        <w:numPr>
          <w:ilvl w:val="0"/>
          <w:numId w:val="6"/>
        </w:numPr>
        <w:rPr>
          <w:rFonts w:ascii="Times New Roman" w:hAnsi="Times New Roman" w:eastAsia="微软雅黑" w:cs="Times New Roman"/>
          <w:sz w:val="18"/>
          <w:szCs w:val="18"/>
        </w:rPr>
      </w:pPr>
      <w:r>
        <w:rPr>
          <w:rFonts w:ascii="Times New Roman" w:hAnsi="Times New Roman" w:eastAsia="微软雅黑" w:cs="Times New Roman"/>
          <w:sz w:val="18"/>
          <w:szCs w:val="18"/>
        </w:rPr>
        <w:t>基因变异临床意义等级来源于ACMG指南及Clinvar等公共数据库，随着相关指南、数据库不断完善以及临床数据的更新，变异分级可能发生变化。</w:t>
      </w:r>
    </w:p>
    <w:p w14:paraId="0FD67073">
      <w:pPr>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良性变异和可能良性变异不在报告中展示。</w:t>
      </w:r>
    </w:p>
    <w:p w14:paraId="30A4A03A">
      <w:pPr>
        <w:rPr>
          <w:rFonts w:ascii="Times New Roman" w:hAnsi="Times New Roman" w:eastAsia="微软雅黑" w:cs="Times New Roman"/>
          <w:sz w:val="18"/>
          <w:szCs w:val="18"/>
        </w:rPr>
      </w:pPr>
    </w:p>
    <w:p w14:paraId="36A3B09B">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40BAF47D">
      <w:pPr>
        <w:pStyle w:val="3"/>
        <w:jc w:val="both"/>
        <w:rPr>
          <w:rFonts w:hint="eastAsia" w:ascii="微软雅黑" w:hAnsi="微软雅黑" w:eastAsia="微软雅黑" w:cs="微软雅黑"/>
          <w:color w:val="254061" w:themeColor="accent1" w:themeShade="80"/>
        </w:rPr>
      </w:pPr>
      <w:bookmarkStart w:id="25" w:name="_Toc6221_WPSOffice_Level2"/>
      <w:bookmarkStart w:id="26" w:name="_Toc22552"/>
      <w:bookmarkStart w:id="27" w:name="_Toc7551_WPSOffice_Level2"/>
      <w:bookmarkStart w:id="28" w:name="_Toc20320"/>
      <w:bookmarkStart w:id="29" w:name="_Toc25737"/>
      <w:bookmarkStart w:id="30" w:name="_Toc4339"/>
      <w:r>
        <w:rPr>
          <w:rFonts w:hint="eastAsia" w:ascii="微软雅黑" w:hAnsi="微软雅黑" w:eastAsia="微软雅黑" w:cs="微软雅黑"/>
          <w:color w:val="254061" w:themeColor="accent1" w:themeShade="80"/>
        </w:rPr>
        <w:t>4 免疫药物用药提示</w:t>
      </w:r>
      <w:bookmarkEnd w:id="25"/>
      <w:bookmarkEnd w:id="26"/>
      <w:bookmarkEnd w:id="27"/>
      <w:bookmarkEnd w:id="28"/>
      <w:bookmarkEnd w:id="29"/>
      <w:bookmarkEnd w:id="30"/>
    </w:p>
    <w:p w14:paraId="5F423281">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7DE214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82" w:type="dxa"/>
            <w:gridSpan w:val="2"/>
            <w:tcBorders>
              <w:tl2br w:val="nil"/>
              <w:tr2bl w:val="nil"/>
            </w:tcBorders>
            <w:shd w:val="clear" w:color="auto" w:fill="auto"/>
            <w:vAlign w:val="center"/>
          </w:tcPr>
          <w:p w14:paraId="09986991">
            <w:pPr>
              <w:widowControl/>
              <w:snapToGrid w:val="0"/>
              <w:jc w:val="center"/>
              <w:textAlignment w:val="center"/>
              <w:rPr>
                <w:rFonts w:ascii="Times New Roman" w:hAnsi="Times New Roman" w:eastAsia="微软雅黑" w:cs="Times New Roman"/>
                <w:b/>
                <w:bCs/>
                <w:color w:val="244061"/>
                <w:sz w:val="21"/>
                <w:szCs w:val="21"/>
              </w:rPr>
            </w:pPr>
            <w:r>
              <w:rPr>
                <w:rFonts w:hint="eastAsia" w:ascii="微软雅黑" w:hAnsi="微软雅黑" w:eastAsia="微软雅黑" w:cs="微软雅黑"/>
                <w:b/>
                <w:bCs/>
                <w:color w:val="244061"/>
                <w:sz w:val="21"/>
                <w:szCs w:val="21"/>
              </w:rPr>
              <w:t>检出指标/基因</w:t>
            </w:r>
          </w:p>
        </w:tc>
        <w:tc>
          <w:tcPr>
            <w:tcW w:w="2600" w:type="dxa"/>
            <w:tcBorders>
              <w:tl2br w:val="nil"/>
              <w:tr2bl w:val="nil"/>
            </w:tcBorders>
            <w:shd w:val="clear" w:color="auto" w:fill="auto"/>
            <w:vAlign w:val="center"/>
          </w:tcPr>
          <w:p w14:paraId="371685F7">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检测结果</w:t>
            </w:r>
          </w:p>
        </w:tc>
        <w:tc>
          <w:tcPr>
            <w:tcW w:w="3556" w:type="dxa"/>
            <w:tcBorders>
              <w:tl2br w:val="nil"/>
              <w:tr2bl w:val="nil"/>
            </w:tcBorders>
            <w:shd w:val="clear" w:color="auto" w:fill="auto"/>
            <w:vAlign w:val="center"/>
          </w:tcPr>
          <w:p w14:paraId="761E2799">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检测意义</w:t>
            </w:r>
          </w:p>
        </w:tc>
      </w:tr>
      <w:tr w14:paraId="3F28B5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3782" w:type="dxa"/>
            <w:gridSpan w:val="2"/>
            <w:tcBorders>
              <w:tl2br w:val="nil"/>
              <w:tr2bl w:val="nil"/>
            </w:tcBorders>
            <w:shd w:val="clear" w:color="auto" w:fill="auto"/>
            <w:vAlign w:val="center"/>
          </w:tcPr>
          <w:p w14:paraId="65426FBF">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微卫星不稳定（</w:t>
            </w:r>
            <w:r>
              <w:rPr>
                <w:rStyle w:val="60"/>
                <w:rFonts w:eastAsia="微软雅黑"/>
                <w:color w:val="244061"/>
                <w:lang w:bidi="ar"/>
              </w:rPr>
              <w:t>MSI</w:t>
            </w:r>
            <w:r>
              <w:rPr>
                <w:rStyle w:val="62"/>
                <w:rFonts w:hint="default" w:ascii="Times New Roman" w:hAnsi="Times New Roman" w:cs="Times New Roman"/>
                <w:color w:val="244061"/>
                <w:lang w:bidi="ar"/>
              </w:rPr>
              <w:t>）</w:t>
            </w:r>
          </w:p>
        </w:tc>
        <w:tc>
          <w:tcPr>
            <w:tcW w:w="2600" w:type="dxa"/>
            <w:tcBorders>
              <w:tl2br w:val="nil"/>
              <w:tr2bl w:val="nil"/>
            </w:tcBorders>
            <w:shd w:val="clear" w:color="auto" w:fill="auto"/>
            <w:vAlign w:val="center"/>
          </w:tcPr>
          <w:p w14:paraId="40C5F18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summaryOfRresults.msi_status_state }}</w:t>
            </w:r>
          </w:p>
        </w:tc>
        <w:tc>
          <w:tcPr>
            <w:tcW w:w="3556" w:type="dxa"/>
            <w:tcBorders>
              <w:tl2br w:val="nil"/>
              <w:tr2bl w:val="nil"/>
            </w:tcBorders>
            <w:shd w:val="clear" w:color="auto" w:fill="auto"/>
            <w:vAlign w:val="center"/>
          </w:tcPr>
          <w:p w14:paraId="04D01E5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xml:space="preserve">{% if summaryOfRresults.msi_status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MSI-H</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 %}</w:t>
            </w:r>
            <w:r>
              <w:rPr>
                <w:rStyle w:val="61"/>
                <w:rFonts w:hint="default" w:ascii="Times New Roman" w:hAnsi="Times New Roman" w:cs="Times New Roman"/>
                <w:lang w:bidi="ar"/>
              </w:rPr>
              <w:t>微卫星不稳定型（</w:t>
            </w:r>
            <w:r>
              <w:rPr>
                <w:rStyle w:val="63"/>
                <w:rFonts w:eastAsia="微软雅黑"/>
                <w:lang w:bidi="ar"/>
              </w:rPr>
              <w:t>MSI-H</w:t>
            </w:r>
            <w:r>
              <w:rPr>
                <w:rStyle w:val="61"/>
                <w:rFonts w:hint="default" w:ascii="Times New Roman" w:hAnsi="Times New Roman" w:cs="Times New Roman"/>
                <w:lang w:bidi="ar"/>
              </w:rPr>
              <w:t>）患者免疫治疗预后较好，接受免疫检查点抑制剂药物治疗的获益率较高。</w:t>
            </w:r>
            <w:r>
              <w:rPr>
                <w:rFonts w:hint="eastAsia" w:ascii="Times New Roman" w:hAnsi="Times New Roman" w:eastAsia="微软雅黑" w:cs="Times New Roman"/>
                <w:sz w:val="21"/>
                <w:szCs w:val="21"/>
              </w:rPr>
              <w:t>{% else %}</w:t>
            </w:r>
            <w:r>
              <w:rPr>
                <w:rFonts w:hint="eastAsia" w:ascii="Times New Roman" w:hAnsi="Times New Roman" w:eastAsia="微软雅黑" w:cs="Times New Roman"/>
                <w:color w:val="000000"/>
                <w:sz w:val="21"/>
                <w:szCs w:val="21"/>
                <w:lang w:bidi="ar"/>
              </w:rPr>
              <w:t>微卫星稳定型（</w:t>
            </w:r>
            <w:r>
              <w:rPr>
                <w:rFonts w:ascii="Times New Roman" w:hAnsi="Times New Roman" w:eastAsia="微软雅黑" w:cs="Times New Roman"/>
                <w:color w:val="000000"/>
                <w:sz w:val="21"/>
                <w:szCs w:val="21"/>
                <w:lang w:bidi="ar"/>
              </w:rPr>
              <w:t>MSS</w:t>
            </w:r>
            <w:r>
              <w:rPr>
                <w:rFonts w:hint="eastAsia" w:ascii="Times New Roman" w:hAnsi="Times New Roman" w:eastAsia="微软雅黑" w:cs="Times New Roman"/>
                <w:color w:val="000000"/>
                <w:sz w:val="21"/>
                <w:szCs w:val="21"/>
                <w:lang w:bidi="ar"/>
              </w:rPr>
              <w:t>）患者接受免疫检查点抑制剂药物治疗的获益率较低。</w:t>
            </w:r>
            <w:r>
              <w:rPr>
                <w:rFonts w:hint="eastAsia" w:ascii="Times New Roman" w:hAnsi="Times New Roman" w:eastAsia="微软雅黑" w:cs="Times New Roman"/>
                <w:sz w:val="21"/>
                <w:szCs w:val="21"/>
              </w:rPr>
              <w:t>{% endif %}</w:t>
            </w:r>
          </w:p>
        </w:tc>
      </w:tr>
      <w:tr w14:paraId="4BD08B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restart"/>
            <w:tcBorders>
              <w:tl2br w:val="nil"/>
              <w:tr2bl w:val="nil"/>
            </w:tcBorders>
            <w:shd w:val="clear" w:color="auto" w:fill="auto"/>
            <w:vAlign w:val="center"/>
          </w:tcPr>
          <w:p w14:paraId="17D98DB7">
            <w:pPr>
              <w:widowControl/>
              <w:snapToGrid w:val="0"/>
              <w:jc w:val="center"/>
              <w:textAlignment w:val="center"/>
              <w:rPr>
                <w:rStyle w:val="62"/>
                <w:rFonts w:hint="default" w:ascii="Times New Roman" w:hAnsi="Times New Roman" w:cs="Times New Roman"/>
                <w:color w:val="244061"/>
                <w:lang w:bidi="ar"/>
              </w:rPr>
            </w:pPr>
            <w:r>
              <w:rPr>
                <w:rStyle w:val="62"/>
                <w:rFonts w:hint="default" w:ascii="Times New Roman" w:hAnsi="Times New Roman" w:cs="Times New Roman"/>
                <w:color w:val="244061"/>
                <w:lang w:bidi="ar"/>
              </w:rPr>
              <w:t>错配修复（</w:t>
            </w:r>
            <w:r>
              <w:rPr>
                <w:rStyle w:val="60"/>
                <w:rFonts w:eastAsia="微软雅黑"/>
                <w:color w:val="244061"/>
                <w:lang w:bidi="ar"/>
              </w:rPr>
              <w:t>MMR</w:t>
            </w:r>
            <w:r>
              <w:rPr>
                <w:rStyle w:val="62"/>
                <w:rFonts w:hint="default" w:ascii="Times New Roman" w:hAnsi="Times New Roman" w:cs="Times New Roman"/>
                <w:color w:val="244061"/>
                <w:lang w:bidi="ar"/>
              </w:rPr>
              <w:t>）</w:t>
            </w:r>
          </w:p>
          <w:p w14:paraId="101E55D0">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基因</w:t>
            </w:r>
          </w:p>
        </w:tc>
        <w:tc>
          <w:tcPr>
            <w:tcW w:w="2348" w:type="dxa"/>
            <w:tcBorders>
              <w:tl2br w:val="nil"/>
              <w:tr2bl w:val="nil"/>
            </w:tcBorders>
            <w:shd w:val="clear" w:color="auto" w:fill="auto"/>
            <w:vAlign w:val="center"/>
          </w:tcPr>
          <w:p w14:paraId="76CEC61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MLH1</w:t>
            </w:r>
            <w:r>
              <w:rPr>
                <w:rStyle w:val="63"/>
                <w:rFonts w:hint="eastAsia" w:eastAsia="微软雅黑"/>
                <w:lang w:bidi="ar"/>
              </w:rPr>
              <w:t>失活突变</w:t>
            </w:r>
          </w:p>
        </w:tc>
        <w:tc>
          <w:tcPr>
            <w:tcW w:w="2600" w:type="dxa"/>
            <w:tcBorders>
              <w:tl2br w:val="nil"/>
              <w:tr2bl w:val="nil"/>
            </w:tcBorders>
            <w:shd w:val="clear" w:color="auto" w:fill="auto"/>
            <w:vAlign w:val="center"/>
          </w:tcPr>
          <w:p w14:paraId="7592E6D4">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dmmr.dmmrMLH1 %}{%if loop.last%}{{ i }}{%else%}{{ i }}</w:t>
            </w:r>
          </w:p>
          <w:p w14:paraId="1FAE37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restart"/>
            <w:tcBorders>
              <w:tl2br w:val="nil"/>
              <w:tr2bl w:val="nil"/>
            </w:tcBorders>
            <w:shd w:val="clear" w:color="auto" w:fill="auto"/>
            <w:vAlign w:val="center"/>
          </w:tcPr>
          <w:p w14:paraId="79A50C2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dmmr.detectionSignificance }}</w:t>
            </w:r>
          </w:p>
        </w:tc>
      </w:tr>
      <w:tr w14:paraId="4D6B18B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1A84FBEE">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7AC19D0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MSH2</w:t>
            </w:r>
            <w:r>
              <w:rPr>
                <w:rStyle w:val="63"/>
                <w:rFonts w:hint="eastAsia" w:eastAsia="微软雅黑"/>
                <w:lang w:bidi="ar"/>
              </w:rPr>
              <w:t>失活突变</w:t>
            </w:r>
          </w:p>
        </w:tc>
        <w:tc>
          <w:tcPr>
            <w:tcW w:w="2600" w:type="dxa"/>
            <w:tcBorders>
              <w:tl2br w:val="nil"/>
              <w:tr2bl w:val="nil"/>
            </w:tcBorders>
            <w:shd w:val="clear" w:color="auto" w:fill="auto"/>
            <w:vAlign w:val="center"/>
          </w:tcPr>
          <w:p w14:paraId="70B2A90D">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w:t>
            </w:r>
            <w:r>
              <w:rPr>
                <w:rFonts w:hint="eastAsia" w:ascii="Times New Roman" w:hAnsi="Times New Roman" w:eastAsia="微软雅黑" w:cs="Times New Roman"/>
                <w:sz w:val="21"/>
                <w:szCs w:val="21"/>
              </w:rPr>
              <w:t>2 %}{%if loop.last%}{{ i }}{%else%}{{ i }}</w:t>
            </w:r>
          </w:p>
          <w:p w14:paraId="110C53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FAB7D5">
            <w:pPr>
              <w:snapToGrid w:val="0"/>
              <w:jc w:val="both"/>
              <w:rPr>
                <w:rFonts w:ascii="Times New Roman" w:hAnsi="Times New Roman" w:eastAsia="微软雅黑" w:cs="Times New Roman"/>
                <w:color w:val="000000"/>
                <w:sz w:val="21"/>
                <w:szCs w:val="21"/>
              </w:rPr>
            </w:pPr>
          </w:p>
        </w:tc>
      </w:tr>
      <w:tr w14:paraId="7CDA3C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20A09A2C">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4C475476">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MSH6</w:t>
            </w:r>
            <w:r>
              <w:rPr>
                <w:rStyle w:val="63"/>
                <w:rFonts w:hint="eastAsia" w:eastAsia="微软雅黑"/>
                <w:lang w:bidi="ar"/>
              </w:rPr>
              <w:t>失活突变</w:t>
            </w:r>
          </w:p>
        </w:tc>
        <w:tc>
          <w:tcPr>
            <w:tcW w:w="2600" w:type="dxa"/>
            <w:tcBorders>
              <w:tl2br w:val="nil"/>
              <w:tr2bl w:val="nil"/>
            </w:tcBorders>
            <w:shd w:val="clear" w:color="auto" w:fill="auto"/>
            <w:vAlign w:val="center"/>
          </w:tcPr>
          <w:p w14:paraId="678021D5">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SH6</w:t>
            </w:r>
            <w:r>
              <w:rPr>
                <w:rFonts w:hint="eastAsia" w:ascii="Times New Roman" w:hAnsi="Times New Roman" w:eastAsia="微软雅黑" w:cs="Times New Roman"/>
                <w:sz w:val="21"/>
                <w:szCs w:val="21"/>
              </w:rPr>
              <w:t xml:space="preserve"> %}{%if loop.last%}{{ i }}{%else%}{{ i }}</w:t>
            </w:r>
          </w:p>
          <w:p w14:paraId="399EE8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5BCD28">
            <w:pPr>
              <w:snapToGrid w:val="0"/>
              <w:jc w:val="both"/>
              <w:rPr>
                <w:rFonts w:ascii="Times New Roman" w:hAnsi="Times New Roman" w:eastAsia="微软雅黑" w:cs="Times New Roman"/>
                <w:color w:val="000000"/>
                <w:sz w:val="21"/>
                <w:szCs w:val="21"/>
              </w:rPr>
            </w:pPr>
          </w:p>
        </w:tc>
      </w:tr>
      <w:tr w14:paraId="2677167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5B48BF86">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10E85844">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PMS2</w:t>
            </w:r>
            <w:r>
              <w:rPr>
                <w:rStyle w:val="63"/>
                <w:rFonts w:hint="eastAsia" w:eastAsia="微软雅黑"/>
                <w:lang w:bidi="ar"/>
              </w:rPr>
              <w:t>失活突变</w:t>
            </w:r>
          </w:p>
        </w:tc>
        <w:tc>
          <w:tcPr>
            <w:tcW w:w="2600" w:type="dxa"/>
            <w:tcBorders>
              <w:tl2br w:val="nil"/>
              <w:tr2bl w:val="nil"/>
            </w:tcBorders>
            <w:shd w:val="clear" w:color="auto" w:fill="auto"/>
            <w:vAlign w:val="center"/>
          </w:tcPr>
          <w:p w14:paraId="3C8EE15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w:t>
            </w:r>
            <w:r>
              <w:rPr>
                <w:rStyle w:val="63"/>
                <w:rFonts w:eastAsia="微软雅黑"/>
                <w:color w:val="auto"/>
                <w:lang w:bidi="ar"/>
              </w:rPr>
              <w:t>PMS2</w:t>
            </w:r>
            <w:r>
              <w:rPr>
                <w:rFonts w:hint="eastAsia" w:ascii="Times New Roman" w:hAnsi="Times New Roman" w:eastAsia="微软雅黑" w:cs="Times New Roman"/>
                <w:sz w:val="21"/>
                <w:szCs w:val="21"/>
              </w:rPr>
              <w:t xml:space="preserve"> %}{%if loop.last%}{{ i }}{%else%}{{ i }}</w:t>
            </w:r>
          </w:p>
          <w:p w14:paraId="5067F9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3FD9ED72">
            <w:pPr>
              <w:snapToGrid w:val="0"/>
              <w:jc w:val="both"/>
              <w:rPr>
                <w:rFonts w:ascii="Times New Roman" w:hAnsi="Times New Roman" w:eastAsia="微软雅黑" w:cs="Times New Roman"/>
                <w:color w:val="000000"/>
                <w:sz w:val="21"/>
                <w:szCs w:val="21"/>
              </w:rPr>
            </w:pPr>
          </w:p>
        </w:tc>
      </w:tr>
    </w:tbl>
    <w:p w14:paraId="41A69EB7">
      <w:pPr>
        <w:spacing w:line="216" w:lineRule="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注：</w:t>
      </w:r>
    </w:p>
    <w:p w14:paraId="30239C23">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免疫药物疗效相关基因突变检测及免疫药物用药提示：通过高通量测序法检测与免疫药物疗效相关的基因突变，评估免疫检查点抑制剂获益情况。</w:t>
      </w:r>
    </w:p>
    <w:p w14:paraId="17D40AE0">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B1FD68">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指标详细解析说明见免疫检查点抑制剂治疗相关指标检测结果解析。</w:t>
      </w:r>
    </w:p>
    <w:p w14:paraId="135343F1">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“-”表示本次检测未发现相关变异。</w:t>
      </w:r>
    </w:p>
    <w:p w14:paraId="7C624120">
      <w:pPr>
        <w:rPr>
          <w:rFonts w:ascii="Times New Roman" w:hAnsi="Times New Roman" w:eastAsia="微软雅黑" w:cs="Times New Roman"/>
          <w:sz w:val="18"/>
          <w:szCs w:val="18"/>
          <w:shd w:val="clear" w:color="auto" w:fill="FFFFFF"/>
        </w:rPr>
      </w:pPr>
      <w:r>
        <w:rPr>
          <w:rFonts w:ascii="Times New Roman" w:hAnsi="Times New Roman" w:eastAsia="微软雅黑" w:cs="Times New Roman"/>
          <w:b/>
          <w:color w:val="00B050"/>
          <w:sz w:val="24"/>
          <w:szCs w:val="24"/>
        </w:rPr>
        <w:br w:type="page"/>
      </w:r>
    </w:p>
    <w:p w14:paraId="60695AE4">
      <w:p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 xml:space="preserve"> != </w:t>
      </w:r>
      <w:r>
        <w:rPr>
          <w:rFonts w:ascii="Times New Roman" w:hAnsi="Times New Roman" w:eastAsia="微软雅黑" w:cs="Times New Roman"/>
          <w:sz w:val="24"/>
          <w:szCs w:val="24"/>
        </w:rPr>
        <w:t>undefined</w:t>
      </w:r>
      <w:r>
        <w:rPr>
          <w:rFonts w:hint="eastAsia" w:ascii="Times New Roman" w:hAnsi="Times New Roman" w:eastAsia="微软雅黑" w:cs="Times New Roman"/>
          <w:sz w:val="24"/>
          <w:szCs w:val="24"/>
        </w:rPr>
        <w:t xml:space="preserve"> %}</w:t>
      </w:r>
    </w:p>
    <w:p w14:paraId="44D0B6D1">
      <w:pPr>
        <w:pStyle w:val="3"/>
        <w:jc w:val="both"/>
        <w:rPr>
          <w:rFonts w:hint="eastAsia" w:ascii="微软雅黑" w:hAnsi="微软雅黑" w:eastAsia="微软雅黑" w:cs="微软雅黑"/>
          <w:color w:val="254061" w:themeColor="accent1" w:themeShade="80"/>
        </w:rPr>
      </w:pPr>
      <w:bookmarkStart w:id="31" w:name="_Toc9387"/>
      <w:bookmarkStart w:id="32" w:name="_Toc106719764"/>
      <w:bookmarkStart w:id="33" w:name="_Toc20034"/>
      <w:bookmarkStart w:id="34" w:name="_Toc10223"/>
      <w:r>
        <w:rPr>
          <w:rFonts w:hint="eastAsia" w:ascii="微软雅黑" w:hAnsi="微软雅黑" w:eastAsia="微软雅黑" w:cs="微软雅黑"/>
          <w:color w:val="254061" w:themeColor="accent1" w:themeShade="80"/>
        </w:rPr>
        <w:t>5 PD-L1检测结果</w:t>
      </w:r>
      <w:bookmarkEnd w:id="31"/>
      <w:bookmarkEnd w:id="32"/>
      <w:bookmarkEnd w:id="33"/>
      <w:bookmarkEnd w:id="34"/>
    </w:p>
    <w:p w14:paraId="16024F8A">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5.1</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71B20BEA">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tcBorders>
              <w:tl2br w:val="nil"/>
              <w:tr2bl w:val="nil"/>
            </w:tcBorders>
            <w:vAlign w:val="center"/>
          </w:tcPr>
          <w:p w14:paraId="56800558">
            <w:pPr>
              <w:pStyle w:val="57"/>
            </w:pPr>
            <w:r>
              <w:rPr>
                <w:rFonts w:hint="eastAsia"/>
              </w:rPr>
              <w:t>{{</w:t>
            </w:r>
            <w:r>
              <w:t xml:space="preserve"> PDInfo</w:t>
            </w:r>
            <w:r>
              <w:rPr>
                <w:rFonts w:hint="eastAsia"/>
              </w:rPr>
              <w:t>.</w:t>
            </w:r>
            <w:r>
              <w:t>Tumor_cell_count</w:t>
            </w:r>
            <w:r>
              <w:rPr>
                <w:rFonts w:hint="eastAsia"/>
              </w:rPr>
              <w:t xml:space="preserve">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CA5E8C3">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if</w:t>
      </w:r>
      <w:r>
        <w:rPr>
          <w:rFonts w:ascii="Times New Roman" w:hAnsi="Times New Roman" w:eastAsia="微软雅黑" w:cs="Times New Roman"/>
          <w:b/>
          <w:sz w:val="21"/>
          <w:szCs w:val="21"/>
        </w:rPr>
        <w:t xml:space="preserve"> 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he_PIC_status</w:t>
      </w:r>
      <w:r>
        <w:rPr>
          <w:rFonts w:hint="eastAsia" w:ascii="Times New Roman" w:hAnsi="Times New Roman" w:eastAsia="微软雅黑" w:cs="Times New Roman"/>
          <w:b/>
          <w:sz w:val="21"/>
          <w:szCs w:val="21"/>
        </w:rPr>
        <w:t xml:space="preserve"> %}</w:t>
      </w:r>
    </w:p>
    <w:p w14:paraId="43DF483F">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xml:space="preserve">{{ </w:t>
      </w:r>
      <w:r>
        <w:rPr>
          <w:rFonts w:ascii="Times New Roman" w:hAnsi="Times New Roman" w:eastAsia="微软雅黑" w:cs="Times New Roman"/>
          <w:b/>
          <w:sz w:val="21"/>
          <w:szCs w:val="21"/>
        </w:rPr>
        <w:t>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w:t>
      </w:r>
      <w:r>
        <w:rPr>
          <w:rFonts w:hint="eastAsia" w:ascii="Times New Roman" w:hAnsi="Times New Roman" w:eastAsia="微软雅黑" w:cs="Times New Roman"/>
          <w:b/>
          <w:sz w:val="21"/>
          <w:szCs w:val="21"/>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rPr>
        <w:t xml:space="preserve"> }}{% endif %}</w:t>
      </w:r>
    </w:p>
    <w:p w14:paraId="67E3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1C4D7464">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5.2</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276DF1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0F0ED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479D2E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412FF99">
            <w:pPr>
              <w:pStyle w:val="59"/>
              <w:rPr>
                <w:rFonts w:hint="eastAsia"/>
              </w:rPr>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FDF65C8">
            <w:pPr>
              <w:pStyle w:val="59"/>
              <w:rPr>
                <w:rFonts w:hint="eastAsia"/>
              </w:rPr>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numPr>
          <w:ilvl w:val="1"/>
          <w:numId w:val="0"/>
        </w:numPr>
        <w:ind w:left="1113" w:hanging="673"/>
        <w:jc w:val="both"/>
        <w:rPr>
          <w:rFonts w:hint="eastAsia" w:ascii="微软雅黑" w:hAnsi="微软雅黑" w:eastAsia="微软雅黑" w:cs="微软雅黑"/>
          <w:bCs/>
          <w:color w:val="244061"/>
          <w:sz w:val="28"/>
          <w:szCs w:val="28"/>
        </w:rPr>
      </w:pPr>
      <w:r>
        <w:rPr>
          <w:rFonts w:hint="eastAsia" w:ascii="微软雅黑" w:hAnsi="微软雅黑" w:eastAsia="微软雅黑" w:cs="微软雅黑"/>
          <w:bCs/>
          <w:color w:val="244061"/>
          <w:sz w:val="28"/>
          <w:szCs w:val="28"/>
        </w:rPr>
        <w:t>5.3</w:t>
      </w:r>
      <w:r>
        <w:rPr>
          <w:rFonts w:hint="eastAsia" w:ascii="微软雅黑" w:hAnsi="微软雅黑" w:eastAsia="微软雅黑" w:cs="微软雅黑"/>
          <w:bCs/>
          <w:color w:val="244061"/>
          <w:sz w:val="28"/>
          <w:szCs w:val="28"/>
        </w:rPr>
        <w:tab/>
      </w:r>
      <w:r>
        <w:rPr>
          <w:rFonts w:hint="eastAsia" w:ascii="微软雅黑" w:hAnsi="微软雅黑" w:eastAsia="微软雅黑" w:cs="微软雅黑"/>
          <w:color w:val="254061" w:themeColor="accent1" w:themeShade="80"/>
          <w:sz w:val="28"/>
          <w:szCs w:val="28"/>
        </w:rPr>
        <w:t>检测图谱：</w:t>
      </w:r>
      <w:r>
        <w:rPr>
          <w:rFonts w:hint="eastAsia" w:ascii="微软雅黑" w:hAnsi="微软雅黑" w:eastAsia="微软雅黑" w:cs="微软雅黑"/>
          <w:bCs/>
          <w:color w:val="244061"/>
          <w:sz w:val="28"/>
          <w:szCs w:val="28"/>
        </w:rPr>
        <w:t xml:space="preserve"> </w:t>
      </w:r>
    </w:p>
    <w:p w14:paraId="1B35C6B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1541BA">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18" w:type="dxa"/>
            <w:vAlign w:val="center"/>
          </w:tcPr>
          <w:p w14:paraId="3F878850">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118" w:type="dxa"/>
            <w:vAlign w:val="center"/>
          </w:tcPr>
          <w:p w14:paraId="4D8535C3">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F2B56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24F76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79E1DBD">
      <w:pPr>
        <w:spacing w:line="276" w:lineRule="auto"/>
        <w:ind w:left="1252" w:leftChars="78" w:right="449" w:rightChars="204" w:hanging="1080" w:hangingChars="600"/>
        <w:rPr>
          <w:rFonts w:ascii="Times New Roman" w:hAnsi="Times New Roman" w:eastAsia="微软雅黑" w:cs="Times New Roman"/>
          <w:sz w:val="18"/>
          <w:szCs w:val="18"/>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P</w:t>
            </w:r>
            <w:r>
              <w:rPr>
                <w:rFonts w:hint="eastAsia" w:ascii="Times New Roman" w:hAnsi="Times New Roman" w:eastAsia="微软雅黑" w:cs="Times New Roman"/>
                <w:sz w:val="18"/>
                <w:szCs w:val="18"/>
                <w:shd w:val="clear" w:color="auto" w:fill="FFFFFF"/>
              </w:rPr>
              <w:t>D-L1染色细胞(肿瘤细胞)数量</w:t>
            </w:r>
          </w:p>
        </w:tc>
        <w:tc>
          <w:tcPr>
            <w:tcW w:w="2168" w:type="dxa"/>
            <w:gridSpan w:val="2"/>
            <w:vMerge w:val="restart"/>
            <w:vAlign w:val="center"/>
          </w:tcPr>
          <w:p w14:paraId="6FC14747">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ascii="Times New Roman" w:hAnsi="Times New Roman" w:eastAsia="微软雅黑" w:cs="Times New Roman"/>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活的肿瘤细胞总数</w:t>
            </w:r>
          </w:p>
        </w:tc>
        <w:tc>
          <w:tcPr>
            <w:tcW w:w="2168" w:type="dxa"/>
            <w:gridSpan w:val="2"/>
            <w:vMerge w:val="continue"/>
          </w:tcPr>
          <w:p w14:paraId="4E1730FD">
            <w:pPr>
              <w:spacing w:line="276" w:lineRule="auto"/>
              <w:jc w:val="left"/>
              <w:rPr>
                <w:rFonts w:ascii="Times New Roman" w:hAnsi="Times New Roman" w:eastAsia="微软雅黑" w:cs="Times New Roman"/>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ascii="Times New Roman" w:hAnsi="Times New Roman" w:eastAsia="微软雅黑" w:cs="Times New Roman"/>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活的肿瘤细胞总数</w:t>
            </w:r>
          </w:p>
        </w:tc>
        <w:tc>
          <w:tcPr>
            <w:tcW w:w="776" w:type="dxa"/>
            <w:vMerge w:val="continue"/>
          </w:tcPr>
          <w:p w14:paraId="46EB0B8A">
            <w:pPr>
              <w:spacing w:line="276" w:lineRule="auto"/>
              <w:jc w:val="left"/>
              <w:rPr>
                <w:rFonts w:ascii="Times New Roman" w:hAnsi="Times New Roman" w:eastAsia="微软雅黑" w:cs="Times New Roman"/>
                <w:sz w:val="18"/>
                <w:szCs w:val="18"/>
                <w:shd w:val="clear" w:color="auto" w:fill="FFFFFF"/>
              </w:rPr>
            </w:pPr>
          </w:p>
        </w:tc>
      </w:tr>
    </w:tbl>
    <w:p w14:paraId="58E1697A">
      <w:pPr>
        <w:spacing w:line="276" w:lineRule="auto"/>
        <w:ind w:firstLine="360" w:firstLineChars="200"/>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ab/>
      </w:r>
      <w:r>
        <w:rPr>
          <w:rFonts w:hint="eastAsia" w:ascii="Times New Roman" w:hAnsi="Times New Roman" w:eastAsia="微软雅黑" w:cs="Times New Roman"/>
          <w:sz w:val="18"/>
          <w:szCs w:val="18"/>
          <w:shd w:val="clear" w:color="auto" w:fill="FFFFFF"/>
        </w:rPr>
        <w:t>CPS</w:t>
      </w:r>
      <w:r>
        <w:rPr>
          <w:rFonts w:ascii="Times New Roman" w:hAnsi="Times New Roman" w:eastAsia="微软雅黑" w:cs="Times New Roman"/>
          <w:sz w:val="18"/>
          <w:szCs w:val="18"/>
          <w:shd w:val="clear" w:color="auto" w:fill="FFFFFF"/>
        </w:rPr>
        <w:t>结果采用0~100数值来表示</w:t>
      </w:r>
      <w:r>
        <w:rPr>
          <w:rFonts w:hint="eastAsia" w:ascii="Times New Roman" w:hAnsi="Times New Roman" w:eastAsia="微软雅黑" w:cs="Times New Roman"/>
          <w:sz w:val="18"/>
          <w:szCs w:val="18"/>
          <w:shd w:val="clear" w:color="auto" w:fill="FFFFFF"/>
        </w:rPr>
        <w:t>，</w:t>
      </w:r>
      <w:r>
        <w:rPr>
          <w:rFonts w:ascii="Times New Roman" w:hAnsi="Times New Roman" w:eastAsia="微软雅黑" w:cs="Times New Roman"/>
          <w:sz w:val="18"/>
          <w:szCs w:val="18"/>
          <w:shd w:val="clear" w:color="auto" w:fill="FFFFFF"/>
        </w:rPr>
        <w:t>当计算结果超过100时，最终结果按照100来计算。</w:t>
      </w:r>
    </w:p>
    <w:p w14:paraId="5A9848CE">
      <w:pPr>
        <w:spacing w:line="276" w:lineRule="auto"/>
        <w:ind w:left="172" w:leftChars="78" w:right="449" w:rightChars="204" w:firstLine="248"/>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程序性死亡</w:t>
      </w:r>
      <w:r>
        <w:rPr>
          <w:rFonts w:hint="eastAsia" w:ascii="Times New Roman" w:hAnsi="Times New Roman" w:eastAsia="微软雅黑" w:cs="Times New Roman"/>
          <w:sz w:val="18"/>
          <w:szCs w:val="18"/>
          <w:shd w:val="clear" w:color="auto" w:fill="FFFFFF"/>
        </w:rPr>
        <w:t>受体</w:t>
      </w:r>
      <w:r>
        <w:rPr>
          <w:rFonts w:ascii="Times New Roman" w:hAnsi="Times New Roman" w:eastAsia="微软雅黑" w:cs="Times New Roman"/>
          <w:sz w:val="18"/>
          <w:szCs w:val="18"/>
          <w:shd w:val="clear" w:color="auto" w:fill="FFFFFF"/>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rPr>
        <w:t>,其中</w:t>
      </w:r>
      <w:r>
        <w:rPr>
          <w:rFonts w:ascii="Times New Roman" w:hAnsi="Times New Roman" w:eastAsia="微软雅黑" w:cs="Times New Roman"/>
          <w:sz w:val="18"/>
          <w:szCs w:val="18"/>
          <w:shd w:val="clear" w:color="auto" w:fill="FFFFFF"/>
        </w:rPr>
        <w:t>肿瘤组织中PD-L1的表达水平对预测PD-1和PD-L1抑制剂疗效具有重要意义</w:t>
      </w:r>
      <w:r>
        <w:rPr>
          <w:rFonts w:hint="eastAsia" w:ascii="Times New Roman" w:hAnsi="Times New Roman" w:eastAsia="微软雅黑" w:cs="Times New Roman"/>
          <w:sz w:val="18"/>
          <w:szCs w:val="18"/>
          <w:shd w:val="clear" w:color="auto" w:fill="FFFFFF"/>
        </w:rPr>
        <w:t>。</w:t>
      </w:r>
    </w:p>
    <w:p w14:paraId="1F2DFEB9">
      <w:pPr>
        <w:rPr>
          <w:rFonts w:ascii="Times New Roman" w:hAnsi="Times New Roman" w:eastAsia="微软雅黑" w:cs="Times New Roman"/>
          <w:b/>
          <w:bCs/>
        </w:rPr>
      </w:pPr>
      <w:r>
        <w:rPr>
          <w:rFonts w:ascii="Times New Roman" w:hAnsi="Times New Roman" w:eastAsia="微软雅黑" w:cs="Times New Roman"/>
          <w:b/>
          <w:bCs/>
        </w:rPr>
        <w:br w:type="page"/>
      </w:r>
    </w:p>
    <w:p w14:paraId="4291CAA9">
      <w:pPr>
        <w:rPr>
          <w:rFonts w:ascii="Times New Roman" w:hAnsi="Times New Roman" w:eastAsia="微软雅黑" w:cs="Times New Roman"/>
          <w:sz w:val="24"/>
          <w:szCs w:val="24"/>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.pdInfoTable != [] %}</w:t>
      </w:r>
    </w:p>
    <w:p w14:paraId="6E188BDC">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5.4</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PD-L1表达阳性阈值：</w:t>
      </w:r>
    </w:p>
    <w:p w14:paraId="3EBA684A">
      <w:pPr>
        <w:pStyle w:val="10"/>
        <w:spacing w:before="18"/>
        <w:rPr>
          <w:rFonts w:hint="eastAsia"/>
          <w:b/>
          <w:sz w:val="6"/>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3"/>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3"/>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rPr>
        <w:t xml:space="preserve">{%if </w:t>
      </w:r>
      <w:r>
        <w:rPr>
          <w:rFonts w:hint="eastAsia" w:ascii="Times New Roman" w:hAnsi="Times New Roman" w:eastAsia="微软雅黑" w:cs="Times New Roman"/>
          <w:bCs/>
          <w:sz w:val="18"/>
          <w:szCs w:val="18"/>
        </w:rPr>
        <w:t>PDInfo.superscript_remark == True %</w:t>
      </w:r>
      <w:r>
        <w:rPr>
          <w:rFonts w:hint="eastAsia" w:ascii="Times New Roman" w:hAnsi="Times New Roman" w:eastAsia="微软雅黑" w:cs="Times New Roman"/>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rPr>
        <w:t>{% endif %}</w:t>
      </w:r>
    </w:p>
    <w:p w14:paraId="083674E4">
      <w:pPr>
        <w:widowControl/>
        <w:rPr>
          <w:rFonts w:ascii="Times New Roman" w:hAnsi="Times New Roman" w:eastAsia="微软雅黑" w:cs="Times New Roman"/>
          <w:b/>
          <w:bCs/>
        </w:rPr>
      </w:pPr>
      <w:r>
        <w:rPr>
          <w:rFonts w:ascii="Times New Roman" w:hAnsi="Times New Roman" w:eastAsia="微软雅黑" w:cs="Times New Roman"/>
          <w:b/>
          <w:bCs/>
        </w:rPr>
        <w:br w:type="page"/>
      </w:r>
      <w:r>
        <w:rPr>
          <w:rFonts w:hint="eastAsia" w:ascii="Times New Roman" w:hAnsi="Times New Roman" w:eastAsia="微软雅黑" w:cs="Times New Roman"/>
          <w:sz w:val="24"/>
          <w:szCs w:val="24"/>
        </w:rPr>
        <w:t>{% endif %}{%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35" w:name="_Toc534637498"/>
      <w:bookmarkStart w:id="36" w:name="_Toc25428"/>
      <w:bookmarkStart w:id="37" w:name="_Toc526855037"/>
      <w:bookmarkStart w:id="38" w:name="_Toc527112385"/>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ascii="Times New Roman" w:hAnsi="Times New Roman" w:eastAsia="微软雅黑" w:cs="黑体"/>
          <w:b/>
          <w:bCs/>
          <w:color w:val="254061" w:themeColor="accent1" w:themeShade="80"/>
          <w:sz w:val="32"/>
          <w:szCs w:val="32"/>
        </w:rPr>
      </w:pPr>
      <w:r>
        <w:rPr>
          <w:rFonts w:hint="eastAsia" w:ascii="Times New Roman" w:hAnsi="Times New Roman" w:eastAsia="微软雅黑" w:cs="黑体"/>
          <w:b/>
          <w:bCs/>
          <w:color w:val="254061" w:themeColor="accent1" w:themeShade="80"/>
          <w:sz w:val="32"/>
          <w:szCs w:val="32"/>
        </w:rPr>
        <w:t>三 检测结果详细解析</w:t>
      </w:r>
    </w:p>
    <w:p w14:paraId="4FFEA547">
      <w:pPr>
        <w:pStyle w:val="3"/>
        <w:jc w:val="both"/>
        <w:rPr>
          <w:rFonts w:hint="eastAsia" w:ascii="微软雅黑" w:hAnsi="微软雅黑" w:eastAsia="微软雅黑" w:cs="微软雅黑"/>
          <w:color w:val="254061" w:themeColor="accent1" w:themeShade="80"/>
        </w:rPr>
      </w:pPr>
      <w:bookmarkStart w:id="39" w:name="_Toc32443_WPSOffice_Level2"/>
      <w:bookmarkStart w:id="40" w:name="_Toc22255"/>
      <w:bookmarkStart w:id="41" w:name="_Toc4331_WPSOffice_Level2"/>
      <w:bookmarkStart w:id="42" w:name="_Toc6468"/>
      <w:bookmarkStart w:id="43" w:name="_Toc23606"/>
      <w:r>
        <w:rPr>
          <w:rFonts w:hint="eastAsia" w:ascii="微软雅黑" w:hAnsi="微软雅黑" w:eastAsia="微软雅黑" w:cs="微软雅黑"/>
          <w:color w:val="254061" w:themeColor="accent1" w:themeShade="80"/>
        </w:rPr>
        <w:t xml:space="preserve">1 </w:t>
      </w:r>
      <w:bookmarkEnd w:id="39"/>
      <w:bookmarkEnd w:id="40"/>
      <w:bookmarkEnd w:id="41"/>
      <w:bookmarkEnd w:id="42"/>
      <w:bookmarkEnd w:id="43"/>
      <w:r>
        <w:rPr>
          <w:rFonts w:hint="eastAsia" w:ascii="微软雅黑" w:hAnsi="微软雅黑" w:eastAsia="微软雅黑" w:cs="微软雅黑"/>
          <w:color w:val="254061" w:themeColor="accent1" w:themeShade="80"/>
        </w:rPr>
        <w:t>体细胞变异结果解析</w:t>
      </w:r>
    </w:p>
    <w:p w14:paraId="77177659">
      <w:pPr>
        <w:ind w:left="412"/>
        <w:jc w:val="both"/>
        <w:rPr>
          <w:rFonts w:hint="eastAsia"/>
          <w:color w:val="254061" w:themeColor="accent1" w:themeShade="80"/>
        </w:rPr>
      </w:pPr>
      <w:r>
        <w:rPr>
          <w:rFonts w:hint="eastAsia" w:ascii="Times New Roman" w:hAnsi="Times New Roman" w:eastAsia="微软雅黑" w:cs="Times New Roman"/>
          <w:bCs/>
          <w:sz w:val="24"/>
          <w:szCs w:val="24"/>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rPr>
        <w:t>{%if BodyDrugDrugDetectionStr or unknownVarAnalysisStr %}{% for tdd in BodyDrugNoComplexStr %}</w:t>
      </w:r>
    </w:p>
    <w:p w14:paraId="5A242134">
      <w:pPr>
        <w:keepNext/>
        <w:numPr>
          <w:ilvl w:val="0"/>
          <w:numId w:val="8"/>
        </w:numPr>
        <w:spacing w:before="120" w:beforeLines="50" w:after="120" w:afterLines="50"/>
        <w:ind w:firstLine="20"/>
        <w:rPr>
          <w:rFonts w:ascii="Times New Roman" w:hAnsi="Times New Roman" w:eastAsia="微软雅黑" w:cs="Times New Roman"/>
          <w:b/>
          <w:color w:val="000000" w:themeColor="text1"/>
          <w:sz w:val="24"/>
          <w:szCs w:val="24"/>
          <w14:textFill>
            <w14:solidFill>
              <w14:schemeClr w14:val="tx1"/>
            </w14:solidFill>
          </w14:textFill>
        </w:rPr>
      </w:pPr>
      <w:bookmarkStart w:id="44" w:name="_Toc6931_WPSOffice_Level3"/>
      <w:bookmarkStart w:id="45" w:name="_Toc18091_WPSOffice_Level3"/>
      <w:bookmarkStart w:id="46" w:name="_Toc15289_WPSOffice_Level3"/>
      <w:r>
        <w:rPr>
          <w:rFonts w:hint="eastAsia" w:ascii="Times New Roman" w:hAnsi="Times New Roman" w:eastAsia="微软雅黑" w:cs="Times New Roman"/>
          <w:b/>
          <w:sz w:val="24"/>
          <w:szCs w:val="24"/>
        </w:rPr>
        <w:t>{{ tdd.gene }}</w:t>
      </w:r>
    </w:p>
    <w:bookmarkEnd w:id="44"/>
    <w:bookmarkEnd w:id="45"/>
    <w:bookmarkEnd w:id="46"/>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35D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71A9EE2">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134E198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8B51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BD9948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75249D5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D4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E73DA3">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347BA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7926DD">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AE98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D09BF15">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F472C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50B2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BBCE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B0E7DE9">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011B33">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7D5F4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88A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38D8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CA0EE6">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AA5BA2">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9FAD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4215B58">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B9F8BD">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84639">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10162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3858D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B5C6C3">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9714B0">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58E1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2CBC0A">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36A8EC">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FB2A2E">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C2A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62EE68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04F4F8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DAA5FCF">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A06D4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0ECD2F">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8E2895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5BCE0B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630200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5EE062F5">
      <w:pPr>
        <w:keepNext/>
        <w:spacing w:before="26"/>
        <w:ind w:left="414"/>
        <w:rPr>
          <w:rFonts w:ascii="Times New Roman" w:hAnsi="Times New Roman" w:eastAsia="微软雅黑" w:cs="Times New Roman"/>
          <w:b/>
          <w:sz w:val="24"/>
        </w:rPr>
      </w:pPr>
      <w:r>
        <w:rPr>
          <w:rFonts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4F4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61412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C37F09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9159F2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3D87944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4530B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DC261D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743FC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93D74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59FBBD8">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BF615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op w:val="dashed" w:color="244061" w:sz="4" w:space="0"/>
              <w:left w:val="dashed" w:color="244061" w:sz="4" w:space="0"/>
              <w:bottom w:val="dashed" w:color="244061" w:sz="4" w:space="0"/>
              <w:right w:val="nil"/>
            </w:tcBorders>
            <w:vAlign w:val="center"/>
          </w:tcPr>
          <w:p w14:paraId="4AB3F16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75B801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DA6091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F21BAD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C09EB47">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37342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393D17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38D7B7C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46B2C05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28A6C8D">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1D9D5D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DD3D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0720E8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079F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7471766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3FD93CF1">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C03C17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689207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F093C">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52E2FBF">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for vus in unknownVarAnalysisStr %}</w:t>
      </w:r>
    </w:p>
    <w:p w14:paraId="17EA7D05">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9A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19CAD8FF">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027" w:type="dxa"/>
            <w:tcBorders>
              <w:top w:val="single" w:color="244061" w:sz="18" w:space="0"/>
              <w:left w:val="dashed" w:color="244061" w:sz="4" w:space="0"/>
              <w:bottom w:val="dashed" w:color="244061" w:sz="4" w:space="0"/>
              <w:right w:val="nil"/>
            </w:tcBorders>
            <w:vAlign w:val="center"/>
          </w:tcPr>
          <w:p w14:paraId="15F3809C">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vus.ori_variant }}</w:t>
            </w:r>
          </w:p>
        </w:tc>
      </w:tr>
      <w:tr w14:paraId="0C577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7F15824">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突变说明</w:t>
            </w:r>
          </w:p>
        </w:tc>
        <w:tc>
          <w:tcPr>
            <w:tcW w:w="8027" w:type="dxa"/>
            <w:tcBorders>
              <w:top w:val="dashed" w:color="244061" w:sz="4" w:space="0"/>
              <w:left w:val="dashed" w:color="244061" w:sz="4" w:space="0"/>
              <w:bottom w:val="dashed" w:color="244061" w:sz="4" w:space="0"/>
              <w:right w:val="nil"/>
            </w:tcBorders>
            <w:vAlign w:val="center"/>
          </w:tcPr>
          <w:p w14:paraId="60CF50B1">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vus.mutDesc }}</w:t>
            </w:r>
          </w:p>
        </w:tc>
      </w:tr>
      <w:tr w14:paraId="4B9A1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30574C7">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基因说明</w:t>
            </w:r>
          </w:p>
        </w:tc>
        <w:tc>
          <w:tcPr>
            <w:tcW w:w="8027" w:type="dxa"/>
            <w:tcBorders>
              <w:top w:val="dashed" w:color="244061" w:sz="4" w:space="0"/>
              <w:left w:val="dashed" w:color="244061" w:sz="4" w:space="0"/>
              <w:bottom w:val="dashed" w:color="244061" w:sz="4" w:space="0"/>
              <w:right w:val="nil"/>
            </w:tcBorders>
            <w:vAlign w:val="center"/>
          </w:tcPr>
          <w:p w14:paraId="535DABF1">
            <w:pPr>
              <w:keepNext/>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vus.gene_description_chinese }}</w:t>
            </w:r>
          </w:p>
        </w:tc>
      </w:tr>
    </w:tbl>
    <w:p w14:paraId="71AA4860">
      <w:pP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endfor %}{% for tdd in ComplexDrugStr %}</w:t>
      </w:r>
    </w:p>
    <w:p w14:paraId="2CA78A54">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E1D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272914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703D408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w:t>
            </w:r>
          </w:p>
        </w:tc>
      </w:tr>
      <w:tr w14:paraId="4273E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B95CC9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0CD780C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94A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3A47B0F">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11F686">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2B20C3">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2074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EB42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55ABD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AEDAA8">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8456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B48873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78DB98">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D3C0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B784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5D8A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8A0455">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6D52EFB">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D7D5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06EE24B">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EC3D3A">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9F595B7">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E582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C9021E0">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0856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7BBE54B">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4B0B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AAB584">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02589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40DE90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1063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B33E5BB">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010D07">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5D9411">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5F0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6979554">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04899E6">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C44D2F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5323E17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228E7F0F">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5E564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FAD259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4087B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323A301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7D544B9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19C9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45ECD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17D7F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03349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4AA7E1F6">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594848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4DAD991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09C0E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4579FD8">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DDEF68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2DA44122">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1156BE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1636FA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2EBEF2E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E7A036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9E06A3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387F3C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D459A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564DCA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4FFB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0B5D18B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D8A565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F1FE98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2CC70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69617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7F9B5FD">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endif %}</w:t>
      </w:r>
      <w:r>
        <w:rPr>
          <w:rFonts w:hint="eastAsia" w:ascii="Times New Roman" w:hAnsi="Times New Roman" w:eastAsia="微软雅黑" w:cs="Times New Roman"/>
          <w:b/>
          <w:sz w:val="24"/>
          <w:szCs w:val="24"/>
        </w:rPr>
        <w:br w:type="page"/>
      </w:r>
    </w:p>
    <w:p w14:paraId="01C77F35">
      <w:pPr>
        <w:pStyle w:val="3"/>
        <w:jc w:val="both"/>
        <w:rPr>
          <w:rFonts w:hint="eastAsia" w:ascii="微软雅黑" w:hAnsi="微软雅黑" w:eastAsia="微软雅黑" w:cs="微软雅黑"/>
          <w:color w:val="254061" w:themeColor="accent1" w:themeShade="80"/>
          <w:sz w:val="28"/>
          <w:szCs w:val="28"/>
        </w:rPr>
      </w:pPr>
      <w:bookmarkStart w:id="47" w:name="_Toc9494"/>
      <w:bookmarkStart w:id="48" w:name="_Toc9080"/>
      <w:bookmarkStart w:id="49" w:name="_Toc11393"/>
      <w:r>
        <w:rPr>
          <w:rFonts w:hint="eastAsia" w:ascii="微软雅黑" w:hAnsi="微软雅黑" w:eastAsia="微软雅黑" w:cs="微软雅黑"/>
          <w:color w:val="254061" w:themeColor="accent1" w:themeShade="80"/>
          <w:sz w:val="28"/>
          <w:szCs w:val="28"/>
        </w:rPr>
        <w:t>2 胚系变异结果解析</w:t>
      </w:r>
    </w:p>
    <w:p w14:paraId="5D67D4FE">
      <w:pPr>
        <w:pStyle w:val="55"/>
        <w:ind w:firstLine="439" w:firstLineChars="183"/>
        <w:rPr>
          <w:color w:val="244061"/>
        </w:rPr>
      </w:pPr>
      <w:r>
        <w:rPr>
          <w:rFonts w:hint="eastAsia"/>
          <w:color w:val="244061"/>
        </w:rPr>
        <w:t>{%if geneticCancerRiskInfo %}{% for tdd in geneticCancerRiskInfo %}</w:t>
      </w:r>
    </w:p>
    <w:p w14:paraId="7362EBB7">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53F35F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34F9BB5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l2br w:val="nil"/>
              <w:tr2bl w:val="nil"/>
            </w:tcBorders>
            <w:vAlign w:val="center"/>
          </w:tcPr>
          <w:p w14:paraId="6B952683">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9AFE7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AB60BB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l2br w:val="nil"/>
              <w:tr2bl w:val="nil"/>
            </w:tcBorders>
            <w:vAlign w:val="center"/>
          </w:tcPr>
          <w:p w14:paraId="74EBEB54">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6A48C7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5BBDA6">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l2br w:val="nil"/>
              <w:tr2bl w:val="nil"/>
            </w:tcBorders>
            <w:shd w:val="clear" w:color="auto" w:fill="auto"/>
            <w:vAlign w:val="center"/>
          </w:tcPr>
          <w:p w14:paraId="3687428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7E10EC5E">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028E4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519CB46">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997ED22">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64710DB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81E3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BC293A2">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12A66274">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141BC340">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4020B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2B7549">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633F2ECF">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09F3AB5F">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3262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D8A3725">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l2br w:val="nil"/>
              <w:tr2bl w:val="nil"/>
            </w:tcBorders>
            <w:shd w:val="clear" w:color="auto" w:fill="auto"/>
            <w:vAlign w:val="center"/>
          </w:tcPr>
          <w:p w14:paraId="7A725137">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0EA2B5D3">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7F6E7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A11441F">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36F3234">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1BE5BFAC">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ABD24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61FC8AD">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7C62647E">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65B6393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0A71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1E0933">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C53E5F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49AAC31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60643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26A43A1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l2br w:val="nil"/>
              <w:tr2bl w:val="nil"/>
            </w:tcBorders>
            <w:vAlign w:val="center"/>
          </w:tcPr>
          <w:p w14:paraId="05564CEB">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'变异解析</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5AD199C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2963489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60E4A923">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11D7C5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F398D3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DEB473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66186A8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51BB19C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6D2A8B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A18E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042E96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3278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6F58268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3CBC23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5AE7A84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266C56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4C267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533105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3065CC1">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9A76A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62123B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06407E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88F5239">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D524ED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8048B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B8BBA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1D130D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1713B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2FF2814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556D67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6F6F54B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5C1FD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F3701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DD3AD42">
      <w:pPr>
        <w:pStyle w:val="55"/>
        <w:rPr>
          <w:color w:val="auto"/>
          <w:sz w:val="18"/>
          <w:szCs w:val="18"/>
          <w:lang w:bidi="ar"/>
        </w:rPr>
      </w:pPr>
      <w:r>
        <w:rPr>
          <w:rFonts w:hint="eastAsia"/>
          <w:color w:val="auto"/>
          <w:sz w:val="18"/>
          <w:szCs w:val="18"/>
          <w:lang w:bidi="ar"/>
        </w:rPr>
        <w:t>{% endif %}{% endfor %}{% else%}</w:t>
      </w:r>
    </w:p>
    <w:p w14:paraId="4CAAA188">
      <w:pPr>
        <w:ind w:left="412"/>
        <w:jc w:val="both"/>
        <w:rPr>
          <w:rFonts w:hint="eastAsia"/>
        </w:rPr>
      </w:pPr>
      <w:r>
        <w:rPr>
          <w:rFonts w:hint="eastAsia" w:ascii="Times New Roman" w:hAnsi="Times New Roman" w:eastAsia="微软雅黑" w:cs="Times New Roman"/>
          <w:bCs/>
          <w:sz w:val="24"/>
          <w:szCs w:val="24"/>
        </w:rPr>
        <w:t>未检出致病或可能致病性突变</w:t>
      </w:r>
      <w:r>
        <w:rPr>
          <w:rFonts w:hint="eastAsia" w:ascii="微软雅黑" w:hAnsi="微软雅黑" w:eastAsia="微软雅黑" w:cs="微软雅黑"/>
          <w:bCs/>
          <w:sz w:val="24"/>
          <w:szCs w:val="24"/>
          <w:lang w:bidi="ar"/>
        </w:rPr>
        <w:t>{% endif %}</w:t>
      </w:r>
    </w:p>
    <w:p w14:paraId="4903AF1B">
      <w:pPr>
        <w:rPr>
          <w:rFonts w:hint="eastAsia"/>
          <w:color w:val="254061" w:themeColor="accent1" w:themeShade="80"/>
        </w:rPr>
      </w:pPr>
      <w:r>
        <w:rPr>
          <w:rFonts w:hint="eastAsia"/>
          <w:color w:val="254061" w:themeColor="accent1" w:themeShade="80"/>
        </w:rPr>
        <w:br w:type="page"/>
      </w:r>
    </w:p>
    <w:p w14:paraId="2D616A56">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3免疫检测结果解析</w:t>
      </w:r>
      <w:bookmarkEnd w:id="47"/>
      <w:bookmarkEnd w:id="48"/>
      <w:bookmarkEnd w:id="49"/>
    </w:p>
    <w:p w14:paraId="79DF2A89">
      <w:pPr>
        <w:pStyle w:val="3"/>
        <w:numPr>
          <w:ilvl w:val="1"/>
          <w:numId w:val="9"/>
        </w:numPr>
        <w:ind w:left="981"/>
        <w:jc w:val="both"/>
        <w:rPr>
          <w:rFonts w:hint="eastAsia" w:ascii="微软雅黑" w:hAnsi="微软雅黑" w:eastAsia="微软雅黑" w:cs="微软雅黑"/>
          <w:color w:val="254061" w:themeColor="accent1" w:themeShade="80"/>
          <w:sz w:val="28"/>
          <w:szCs w:val="28"/>
          <w:lang w:val="en-US" w:eastAsia="zh-CN"/>
        </w:rPr>
      </w:pPr>
      <w:bookmarkStart w:id="50" w:name="_Toc11562_WPSOffice_Level3"/>
      <w:r>
        <w:rPr>
          <w:rFonts w:hint="eastAsia" w:ascii="微软雅黑" w:hAnsi="微软雅黑" w:eastAsia="微软雅黑" w:cs="微软雅黑"/>
          <w:color w:val="254061" w:themeColor="accent1" w:themeShade="80"/>
          <w:sz w:val="28"/>
          <w:szCs w:val="28"/>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bookmarkEnd w:id="50"/>
    <w:p w14:paraId="54D4290D">
      <w:pPr>
        <w:rPr>
          <w:rFonts w:ascii="Times New Roman" w:hAnsi="Times New Roman" w:eastAsia="微软雅黑" w:cs="Times New Roman"/>
          <w:b/>
          <w:sz w:val="18"/>
          <w:szCs w:val="18"/>
          <w:lang w:bidi="ar"/>
        </w:rPr>
      </w:pPr>
      <w:r>
        <w:rPr>
          <w:rFonts w:hint="eastAsia" w:ascii="Times New Roman" w:hAnsi="Times New Roman" w:eastAsia="微软雅黑" w:cs="Times New Roman"/>
          <w:b/>
          <w:sz w:val="18"/>
          <w:szCs w:val="18"/>
          <w:lang w:bidi="ar"/>
        </w:rPr>
        <w:br w:type="page"/>
      </w:r>
    </w:p>
    <w:p w14:paraId="6A37CB8F">
      <w:pPr>
        <w:pStyle w:val="3"/>
        <w:numPr>
          <w:ilvl w:val="1"/>
          <w:numId w:val="9"/>
        </w:numPr>
        <w:ind w:left="981"/>
        <w:jc w:val="both"/>
        <w:rPr>
          <w:rFonts w:hint="eastAsia" w:ascii="微软雅黑" w:hAnsi="微软雅黑" w:eastAsia="微软雅黑" w:cs="微软雅黑"/>
          <w:color w:val="254061" w:themeColor="accent1" w:themeShade="80"/>
          <w:sz w:val="28"/>
          <w:szCs w:val="28"/>
        </w:rPr>
      </w:pPr>
      <w:bookmarkStart w:id="51" w:name="_Toc7307_WPSOffice_Level3"/>
      <w:r>
        <w:rPr>
          <w:rFonts w:hint="eastAsia" w:ascii="微软雅黑" w:hAnsi="微软雅黑" w:eastAsia="微软雅黑" w:cs="微软雅黑"/>
          <w:color w:val="254061" w:themeColor="accent1" w:themeShade="80"/>
          <w:sz w:val="28"/>
          <w:szCs w:val="28"/>
        </w:rPr>
        <w:t>错配修复（MMR）相关基因检测结果</w:t>
      </w:r>
    </w:p>
    <w:bookmarkEnd w:id="51"/>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BCDC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7989261B">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D87CF00">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1CE9C5">
            <w:pPr>
              <w:spacing w:before="13" w:line="252" w:lineRule="auto"/>
              <w:ind w:right="174"/>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641224E">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突变类型</w:t>
            </w:r>
          </w:p>
        </w:tc>
      </w:tr>
      <w:tr w14:paraId="3319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07E94A6">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for dmmr in dMMRinfo %}</w:t>
            </w:r>
          </w:p>
        </w:tc>
      </w:tr>
      <w:tr w14:paraId="16CD9C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707CCBFA">
            <w:pPr>
              <w:spacing w:before="13" w:line="252" w:lineRule="auto"/>
              <w:ind w:right="174"/>
              <w:jc w:val="center"/>
              <w:rPr>
                <w:rFonts w:hint="eastAsia"/>
                <w:b/>
                <w:bCs/>
              </w:rPr>
            </w:pPr>
            <w:r>
              <w:rPr>
                <w:rFonts w:hint="eastAsia" w:ascii="Times New Roman" w:hAnsi="Times New Roman" w:eastAsia="微软雅黑" w:cs="Times New Roman"/>
                <w:b/>
                <w:bCs/>
                <w:sz w:val="21"/>
                <w:szCs w:val="21"/>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EAA3379">
            <w:pPr>
              <w:spacing w:before="13" w:line="252" w:lineRule="auto"/>
              <w:ind w:right="174"/>
              <w:jc w:val="center"/>
              <w:rPr>
                <w:rFonts w:hint="eastAsia"/>
              </w:rPr>
            </w:pPr>
            <w:r>
              <w:rPr>
                <w:rFonts w:hint="eastAsia" w:ascii="Times New Roman" w:hAnsi="Times New Roman" w:eastAsia="微软雅黑" w:cs="Times New Roman"/>
                <w:sz w:val="21"/>
                <w:szCs w:val="21"/>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859A52">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3A7E3540">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dmmr.mut_type}}</w:t>
            </w:r>
          </w:p>
        </w:tc>
      </w:tr>
      <w:tr w14:paraId="4B08A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8FCF324">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endfor %}</w:t>
            </w:r>
          </w:p>
        </w:tc>
      </w:tr>
      <w:tr w14:paraId="46B20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25BAC3DB">
            <w:pPr>
              <w:spacing w:before="13" w:line="252" w:lineRule="auto"/>
              <w:ind w:right="174"/>
              <w:jc w:val="center"/>
              <w:rPr>
                <w:rFonts w:ascii="Times New Roman" w:hAnsi="Times New Roman" w:eastAsia="微软雅黑" w:cs="Times New Roman"/>
                <w:b/>
                <w:bCs/>
                <w:sz w:val="21"/>
                <w:szCs w:val="21"/>
              </w:rPr>
            </w:pPr>
          </w:p>
        </w:tc>
        <w:tc>
          <w:tcPr>
            <w:tcW w:w="3117" w:type="dxa"/>
            <w:tcBorders>
              <w:top w:val="dashed" w:color="244061" w:sz="4" w:space="0"/>
              <w:left w:val="nil"/>
              <w:bottom w:val="nil"/>
              <w:right w:val="nil"/>
            </w:tcBorders>
            <w:shd w:val="clear" w:color="auto" w:fill="auto"/>
            <w:vAlign w:val="center"/>
          </w:tcPr>
          <w:p w14:paraId="08F88194">
            <w:pPr>
              <w:spacing w:before="13" w:line="252" w:lineRule="auto"/>
              <w:ind w:right="174"/>
              <w:jc w:val="center"/>
              <w:rPr>
                <w:rFonts w:ascii="Times New Roman" w:hAnsi="Times New Roman" w:eastAsia="微软雅黑" w:cs="Times New Roman"/>
                <w:b/>
                <w:bCs/>
                <w:sz w:val="21"/>
                <w:szCs w:val="21"/>
              </w:rPr>
            </w:pPr>
          </w:p>
        </w:tc>
        <w:tc>
          <w:tcPr>
            <w:tcW w:w="1849" w:type="dxa"/>
            <w:tcBorders>
              <w:top w:val="dashed" w:color="244061" w:sz="4" w:space="0"/>
              <w:left w:val="nil"/>
              <w:bottom w:val="nil"/>
              <w:right w:val="nil"/>
            </w:tcBorders>
            <w:shd w:val="clear" w:color="auto" w:fill="auto"/>
            <w:vAlign w:val="center"/>
          </w:tcPr>
          <w:p w14:paraId="408FB626">
            <w:pPr>
              <w:spacing w:before="13" w:line="252" w:lineRule="auto"/>
              <w:ind w:right="174"/>
              <w:jc w:val="center"/>
              <w:rPr>
                <w:rFonts w:ascii="Times New Roman" w:hAnsi="Times New Roman" w:eastAsia="微软雅黑" w:cs="Times New Roman"/>
                <w:b/>
                <w:bCs/>
                <w:sz w:val="21"/>
                <w:szCs w:val="21"/>
              </w:rPr>
            </w:pPr>
          </w:p>
        </w:tc>
        <w:tc>
          <w:tcPr>
            <w:tcW w:w="2631" w:type="dxa"/>
            <w:tcBorders>
              <w:top w:val="dashed" w:color="244061" w:sz="4" w:space="0"/>
              <w:left w:val="nil"/>
              <w:bottom w:val="nil"/>
              <w:right w:val="nil"/>
            </w:tcBorders>
            <w:shd w:val="clear" w:color="auto" w:fill="auto"/>
            <w:vAlign w:val="center"/>
          </w:tcPr>
          <w:p w14:paraId="644BB029">
            <w:pPr>
              <w:spacing w:before="13" w:line="252" w:lineRule="auto"/>
              <w:ind w:right="174"/>
              <w:jc w:val="center"/>
              <w:rPr>
                <w:rFonts w:ascii="Times New Roman" w:hAnsi="Times New Roman" w:eastAsia="微软雅黑" w:cs="Times New Roman"/>
                <w:b/>
                <w:bCs/>
                <w:sz w:val="21"/>
                <w:szCs w:val="21"/>
              </w:rPr>
            </w:pPr>
          </w:p>
        </w:tc>
      </w:tr>
      <w:tr w14:paraId="4F522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6848CEA">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指标解析：</w:t>
            </w:r>
          </w:p>
          <w:p w14:paraId="161EB577">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3246282">
            <w:pPr>
              <w:ind w:firstLine="360" w:firstLineChars="200"/>
              <w:rPr>
                <w:rFonts w:ascii="Times New Roman" w:hAnsi="Times New Roman" w:eastAsia="微软雅黑" w:cs="Times New Roman"/>
                <w:sz w:val="18"/>
                <w:shd w:val="clear" w:color="auto" w:fill="FFFFFF"/>
              </w:rPr>
            </w:pPr>
          </w:p>
          <w:p w14:paraId="15E3EB9F">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临床意义：</w:t>
            </w:r>
          </w:p>
          <w:p w14:paraId="63D2F6CB">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F52C741">
            <w:pPr>
              <w:ind w:firstLine="360" w:firstLineChars="200"/>
              <w:rPr>
                <w:rFonts w:ascii="Times New Roman" w:hAnsi="Times New Roman" w:eastAsia="微软雅黑" w:cs="Times New Roman"/>
                <w:sz w:val="18"/>
                <w:shd w:val="clear" w:color="auto" w:fill="FFFFFF"/>
              </w:rPr>
            </w:pPr>
          </w:p>
          <w:p w14:paraId="15B2C59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6539F9B">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错配修复（MMR）基因突变会导致错配修复缺陷（dMMR）；如果没有发生基因突变，则为正常（pMMR）。</w:t>
            </w:r>
          </w:p>
          <w:p w14:paraId="511EBE0C">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本次检测仅限于基因水平突变检测，未进行IHC表达检测，仅供参考。</w:t>
            </w:r>
          </w:p>
          <w:p w14:paraId="236DA9CE">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MMR基因检测体系/胚系突变。</w:t>
            </w:r>
          </w:p>
          <w:p w14:paraId="4117F656">
            <w:pPr>
              <w:numPr>
                <w:ilvl w:val="0"/>
                <w:numId w:val="10"/>
              </w:numPr>
              <w:rPr>
                <w:rFonts w:ascii="Times New Roman" w:hAnsi="Times New Roman" w:eastAsia="微软雅黑" w:cs="Times New Roman"/>
                <w:sz w:val="21"/>
                <w:szCs w:val="21"/>
              </w:rPr>
            </w:pPr>
            <w:r>
              <w:rPr>
                <w:rFonts w:hint="eastAsia" w:ascii="Times New Roman" w:hAnsi="Times New Roman" w:eastAsia="微软雅黑" w:cs="Times New Roman"/>
                <w:sz w:val="18"/>
                <w:szCs w:val="18"/>
                <w:shd w:val="clear" w:color="auto" w:fill="FFFFFF"/>
              </w:rPr>
              <w:t>“-”表示本次检测未发现相关变异。</w:t>
            </w:r>
          </w:p>
        </w:tc>
      </w:tr>
    </w:tbl>
    <w:p w14:paraId="1E586A1C">
      <w:pPr>
        <w:rPr>
          <w:rFonts w:hint="eastAsia" w:ascii="微软雅黑" w:hAnsi="微软雅黑" w:eastAsia="微软雅黑" w:cs="微软雅黑"/>
          <w:sz w:val="18"/>
          <w:szCs w:val="18"/>
          <w:shd w:val="clear" w:color="auto" w:fill="FFFFFF"/>
          <w:lang w:bidi="ar"/>
        </w:rPr>
      </w:pPr>
      <w:r>
        <w:rPr>
          <w:rFonts w:ascii="微软雅黑" w:hAnsi="微软雅黑" w:eastAsia="微软雅黑" w:cs="微软雅黑"/>
          <w:sz w:val="18"/>
          <w:szCs w:val="18"/>
          <w:shd w:val="clear" w:color="auto" w:fill="FFFFFF"/>
          <w:lang w:bidi="ar"/>
        </w:rPr>
        <w:br w:type="page"/>
      </w:r>
    </w:p>
    <w:p w14:paraId="40EB7D87">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4 化疗药物检测解析</w:t>
      </w:r>
    </w:p>
    <w:p w14:paraId="253B7737">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E6D5E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75594448">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本癌种</w:t>
            </w:r>
          </w:p>
        </w:tc>
        <w:tc>
          <w:tcPr>
            <w:tcW w:w="7480" w:type="dxa"/>
            <w:tcBorders>
              <w:tl2br w:val="nil"/>
              <w:tr2bl w:val="nil"/>
            </w:tcBorders>
            <w:vAlign w:val="center"/>
          </w:tcPr>
          <w:p w14:paraId="7C9D6D0C">
            <w:pPr>
              <w:widowControl/>
              <w:jc w:val="both"/>
              <w:rPr>
                <w:rFonts w:ascii="Times New Roman" w:hAnsi="Times New Roman" w:eastAsia="微软雅黑" w:cs="Times New Roman"/>
                <w:color w:val="4F4F4F"/>
                <w:sz w:val="18"/>
                <w:szCs w:val="18"/>
                <w:lang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638F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shd w:val="clear" w:color="auto" w:fill="auto"/>
            <w:vAlign w:val="center"/>
          </w:tcPr>
          <w:p w14:paraId="04E12272">
            <w:pPr>
              <w:widowControl/>
              <w:jc w:val="center"/>
              <w:rPr>
                <w:rFonts w:ascii="Times New Roman" w:hAnsi="Times New Roman" w:eastAsia="微软雅黑" w:cs="Times New Roman"/>
                <w:b/>
                <w:bCs/>
                <w:color w:val="244061"/>
                <w:sz w:val="18"/>
                <w:szCs w:val="18"/>
                <w:lang w:bidi="ar"/>
              </w:rPr>
            </w:pPr>
          </w:p>
        </w:tc>
        <w:tc>
          <w:tcPr>
            <w:tcW w:w="7480" w:type="dxa"/>
            <w:tcBorders>
              <w:tl2br w:val="nil"/>
              <w:tr2bl w:val="nil"/>
            </w:tcBorders>
            <w:vAlign w:val="center"/>
          </w:tcPr>
          <w:p w14:paraId="4BF3146E">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B2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518370FE">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其他癌种</w:t>
            </w:r>
          </w:p>
        </w:tc>
        <w:tc>
          <w:tcPr>
            <w:tcW w:w="7480" w:type="dxa"/>
            <w:tcBorders>
              <w:tl2br w:val="nil"/>
              <w:tr2bl w:val="nil"/>
            </w:tcBorders>
            <w:vAlign w:val="center"/>
          </w:tcPr>
          <w:p w14:paraId="3A9292EC">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BD507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tcBorders>
              <w:tl2br w:val="nil"/>
              <w:tr2bl w:val="nil"/>
            </w:tcBorders>
            <w:shd w:val="clear" w:color="auto" w:fill="auto"/>
            <w:vAlign w:val="center"/>
          </w:tcPr>
          <w:p w14:paraId="40F24124">
            <w:pPr>
              <w:widowControl/>
              <w:jc w:val="center"/>
              <w:rPr>
                <w:rFonts w:ascii="Times New Roman" w:hAnsi="Times New Roman" w:eastAsia="微软雅黑" w:cs="Times New Roman"/>
                <w:color w:val="4F4F4F"/>
                <w:sz w:val="18"/>
                <w:szCs w:val="18"/>
                <w:lang w:bidi="ar"/>
              </w:rPr>
            </w:pPr>
          </w:p>
        </w:tc>
        <w:tc>
          <w:tcPr>
            <w:tcW w:w="7480" w:type="dxa"/>
            <w:tcBorders>
              <w:tl2br w:val="nil"/>
              <w:tr2bl w:val="nil"/>
            </w:tcBorders>
            <w:vAlign w:val="center"/>
          </w:tcPr>
          <w:p w14:paraId="28B9D2B4">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69ED6D6">
      <w:pPr>
        <w:rPr>
          <w:rFonts w:ascii="Times New Roman" w:hAnsi="Times New Roman" w:eastAsia="微软雅黑" w:cs="Times New Roman"/>
        </w:rPr>
      </w:pPr>
      <w:r>
        <w:rPr>
          <w:rFonts w:ascii="Times New Roman" w:hAnsi="Times New Roman" w:eastAsia="微软雅黑" w:cs="Times New Roman"/>
          <w:b/>
          <w:sz w:val="18"/>
          <w:szCs w:val="18"/>
          <w:lang w:bidi="ar"/>
        </w:rPr>
        <w:t>注：</w:t>
      </w:r>
    </w:p>
    <w:p w14:paraId="06A49667">
      <w:pPr>
        <w:numPr>
          <w:ilvl w:val="0"/>
          <w:numId w:val="11"/>
        </w:numPr>
        <w:rPr>
          <w:rFonts w:ascii="Times New Roman" w:hAnsi="Times New Roman" w:eastAsia="微软雅黑" w:cs="Times New Roman"/>
        </w:rPr>
      </w:pPr>
      <w:r>
        <w:rPr>
          <w:rFonts w:ascii="Times New Roman" w:hAnsi="Times New Roman" w:eastAsia="微软雅黑" w:cs="Times New Roman"/>
          <w:sz w:val="18"/>
          <w:szCs w:val="18"/>
          <w:lang w:bidi="ar"/>
        </w:rPr>
        <w:t>本癌种化疗药物的毒副风险和</w:t>
      </w:r>
      <w:r>
        <w:rPr>
          <w:rFonts w:hint="eastAsia" w:ascii="Times New Roman" w:hAnsi="Times New Roman" w:eastAsia="微软雅黑" w:cs="Times New Roman"/>
          <w:sz w:val="18"/>
          <w:szCs w:val="18"/>
          <w:lang w:bidi="ar"/>
        </w:rPr>
        <w:t>敏感</w:t>
      </w:r>
      <w:r>
        <w:rPr>
          <w:rFonts w:ascii="Times New Roman" w:hAnsi="Times New Roman" w:eastAsia="微软雅黑" w:cs="Times New Roman"/>
          <w:sz w:val="18"/>
          <w:szCs w:val="18"/>
          <w:lang w:bidi="ar"/>
        </w:rPr>
        <w:t>性预测参考纳入人群为本癌种患者的研究文献。</w:t>
      </w:r>
    </w:p>
    <w:p w14:paraId="732AABE8">
      <w:pPr>
        <w:numPr>
          <w:ilvl w:val="0"/>
          <w:numId w:val="11"/>
        </w:numPr>
        <w:rPr>
          <w:rFonts w:ascii="Times New Roman" w:hAnsi="Times New Roman" w:eastAsia="微软雅黑" w:cs="Times New Roman"/>
          <w:sz w:val="18"/>
          <w:szCs w:val="18"/>
          <w:lang w:bidi="ar"/>
        </w:rPr>
      </w:pPr>
      <w:r>
        <w:rPr>
          <w:rFonts w:ascii="Times New Roman" w:hAnsi="Times New Roman" w:eastAsia="微软雅黑" w:cs="Times New Roman"/>
          <w:sz w:val="18"/>
          <w:szCs w:val="18"/>
          <w:lang w:bidi="ar"/>
        </w:rPr>
        <w:t>更详细的化疗基因多态性和药物信息参见“</w:t>
      </w:r>
      <w:r>
        <w:rPr>
          <w:rFonts w:hint="eastAsia" w:ascii="Times New Roman" w:hAnsi="Times New Roman" w:eastAsia="微软雅黑" w:cs="Times New Roman"/>
          <w:sz w:val="18"/>
          <w:szCs w:val="18"/>
          <w:lang w:bidi="ar"/>
        </w:rPr>
        <w:t>化疗药物用药解析</w:t>
      </w:r>
      <w:r>
        <w:rPr>
          <w:rFonts w:ascii="Times New Roman" w:hAnsi="Times New Roman" w:eastAsia="微软雅黑" w:cs="Times New Roman"/>
          <w:sz w:val="18"/>
          <w:szCs w:val="18"/>
          <w:lang w:bidi="ar"/>
        </w:rPr>
        <w:t>”。</w:t>
      </w:r>
    </w:p>
    <w:p w14:paraId="4711CFDA">
      <w:pPr>
        <w:rPr>
          <w:rFonts w:ascii="Times New Roman" w:hAnsi="Times New Roman" w:eastAsia="微软雅黑" w:cs="Times New Roman"/>
          <w:b/>
          <w:color w:val="45A3A7"/>
          <w:sz w:val="24"/>
        </w:rPr>
      </w:pPr>
      <w:r>
        <w:rPr>
          <w:rFonts w:ascii="Times New Roman" w:hAnsi="Times New Roman" w:eastAsia="微软雅黑" w:cs="Times New Roman"/>
          <w:b/>
          <w:color w:val="45A3A7"/>
          <w:sz w:val="24"/>
        </w:rPr>
        <w:br w:type="page"/>
      </w:r>
    </w:p>
    <w:p w14:paraId="115FBFAE">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7"/>
        <w:gridCol w:w="797"/>
        <w:gridCol w:w="781"/>
        <w:gridCol w:w="834"/>
        <w:gridCol w:w="795"/>
        <w:gridCol w:w="2694"/>
        <w:gridCol w:w="813"/>
        <w:gridCol w:w="750"/>
        <w:gridCol w:w="511"/>
      </w:tblGrid>
      <w:tr w14:paraId="1CF682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14935C1">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药物类别</w:t>
            </w:r>
          </w:p>
        </w:tc>
        <w:tc>
          <w:tcPr>
            <w:tcW w:w="443" w:type="pct"/>
            <w:shd w:val="clear" w:color="auto" w:fill="auto"/>
            <w:vAlign w:val="center"/>
          </w:tcPr>
          <w:p w14:paraId="109FE1C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化疗药物</w:t>
            </w:r>
          </w:p>
        </w:tc>
        <w:tc>
          <w:tcPr>
            <w:tcW w:w="434" w:type="pct"/>
            <w:shd w:val="clear" w:color="auto" w:fill="auto"/>
            <w:vAlign w:val="center"/>
          </w:tcPr>
          <w:p w14:paraId="60A5D075">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检测基因</w:t>
            </w:r>
          </w:p>
        </w:tc>
        <w:tc>
          <w:tcPr>
            <w:tcW w:w="464" w:type="pct"/>
            <w:shd w:val="clear" w:color="auto" w:fill="auto"/>
            <w:vAlign w:val="center"/>
          </w:tcPr>
          <w:p w14:paraId="543AFCAF">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检测位点</w:t>
            </w:r>
          </w:p>
        </w:tc>
        <w:tc>
          <w:tcPr>
            <w:tcW w:w="442" w:type="pct"/>
            <w:shd w:val="clear" w:color="auto" w:fill="auto"/>
            <w:vAlign w:val="center"/>
          </w:tcPr>
          <w:p w14:paraId="75FC99CA">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检测结果</w:t>
            </w:r>
          </w:p>
        </w:tc>
        <w:tc>
          <w:tcPr>
            <w:tcW w:w="1498" w:type="pct"/>
            <w:shd w:val="clear" w:color="auto" w:fill="auto"/>
            <w:vAlign w:val="center"/>
          </w:tcPr>
          <w:p w14:paraId="76A4E0E0">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用药提示(仅供参考)</w:t>
            </w:r>
          </w:p>
        </w:tc>
        <w:tc>
          <w:tcPr>
            <w:tcW w:w="452" w:type="pct"/>
            <w:shd w:val="clear" w:color="auto" w:fill="auto"/>
            <w:vAlign w:val="center"/>
          </w:tcPr>
          <w:p w14:paraId="2E53F361">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毒副作用风险</w:t>
            </w:r>
          </w:p>
        </w:tc>
        <w:tc>
          <w:tcPr>
            <w:tcW w:w="417" w:type="pct"/>
            <w:shd w:val="clear" w:color="auto" w:fill="auto"/>
            <w:vAlign w:val="center"/>
          </w:tcPr>
          <w:p w14:paraId="65AC8968">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药物敏感性</w:t>
            </w:r>
          </w:p>
        </w:tc>
        <w:tc>
          <w:tcPr>
            <w:tcW w:w="281" w:type="pct"/>
            <w:shd w:val="clear" w:color="auto" w:fill="auto"/>
            <w:vAlign w:val="center"/>
          </w:tcPr>
          <w:p w14:paraId="27204B53">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等级</w:t>
            </w:r>
          </w:p>
        </w:tc>
      </w:tr>
      <w:tr w14:paraId="7D4A68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7EF9596">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ca in chemoAnalysis%}</w:t>
            </w:r>
          </w:p>
        </w:tc>
      </w:tr>
      <w:tr w14:paraId="10ECA1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8A2650">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 in ca %}</w:t>
            </w:r>
          </w:p>
        </w:tc>
      </w:tr>
      <w:tr w14:paraId="01F6F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0E98A5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vm %}{{ c.drug_class }}</w:t>
            </w:r>
          </w:p>
        </w:tc>
        <w:tc>
          <w:tcPr>
            <w:tcW w:w="443" w:type="pct"/>
            <w:shd w:val="clear" w:color="auto" w:fill="auto"/>
            <w:vAlign w:val="center"/>
          </w:tcPr>
          <w:p w14:paraId="7A6C0EED">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c.drug_name_chinese }}</w:t>
            </w:r>
          </w:p>
        </w:tc>
        <w:tc>
          <w:tcPr>
            <w:tcW w:w="434" w:type="pct"/>
            <w:shd w:val="clear" w:color="auto" w:fill="auto"/>
            <w:vAlign w:val="center"/>
          </w:tcPr>
          <w:p w14:paraId="1E85A19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c.gene }}</w:t>
            </w:r>
          </w:p>
        </w:tc>
        <w:tc>
          <w:tcPr>
            <w:tcW w:w="464" w:type="pct"/>
            <w:shd w:val="clear" w:color="auto" w:fill="auto"/>
            <w:vAlign w:val="center"/>
          </w:tcPr>
          <w:p w14:paraId="0794211B">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c.rs_id }}</w:t>
            </w:r>
          </w:p>
        </w:tc>
        <w:tc>
          <w:tcPr>
            <w:tcW w:w="442" w:type="pct"/>
            <w:shd w:val="clear" w:color="auto" w:fill="auto"/>
            <w:vAlign w:val="center"/>
          </w:tcPr>
          <w:p w14:paraId="58C6ABB9">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c.allele }}</w:t>
            </w:r>
          </w:p>
        </w:tc>
        <w:tc>
          <w:tcPr>
            <w:tcW w:w="1498" w:type="pct"/>
            <w:shd w:val="clear" w:color="auto" w:fill="auto"/>
            <w:vAlign w:val="center"/>
          </w:tcPr>
          <w:p w14:paraId="58B6CAC5">
            <w:pPr>
              <w:spacing w:line="206" w:lineRule="exact"/>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c.trans_PMID }}</w:t>
            </w:r>
          </w:p>
        </w:tc>
        <w:tc>
          <w:tcPr>
            <w:tcW w:w="452" w:type="pct"/>
            <w:shd w:val="clear" w:color="auto" w:fill="auto"/>
            <w:vAlign w:val="center"/>
          </w:tcPr>
          <w:p w14:paraId="778DDD5A">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c.tox }}</w:t>
            </w:r>
          </w:p>
        </w:tc>
        <w:tc>
          <w:tcPr>
            <w:tcW w:w="417" w:type="pct"/>
            <w:shd w:val="clear" w:color="auto" w:fill="auto"/>
            <w:vAlign w:val="center"/>
          </w:tcPr>
          <w:p w14:paraId="1871B438">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c.eff }}</w:t>
            </w:r>
          </w:p>
        </w:tc>
        <w:tc>
          <w:tcPr>
            <w:tcW w:w="281" w:type="pct"/>
            <w:shd w:val="clear" w:color="auto" w:fill="auto"/>
            <w:vAlign w:val="center"/>
          </w:tcPr>
          <w:p w14:paraId="5D1B78D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c.evidence }}</w:t>
            </w:r>
          </w:p>
        </w:tc>
      </w:tr>
      <w:tr w14:paraId="029C2E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B80432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r w14:paraId="6CF2B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B45376">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bl>
    <w:p w14:paraId="35B036E7">
      <w:pPr>
        <w:pStyle w:val="32"/>
        <w:tabs>
          <w:tab w:val="left" w:pos="1317"/>
        </w:tabs>
        <w:kinsoku w:val="0"/>
        <w:overflowPunct w:val="0"/>
        <w:spacing w:before="1" w:line="187" w:lineRule="auto"/>
        <w:ind w:left="0" w:right="1131" w:firstLine="0"/>
        <w:rPr>
          <w:rFonts w:hint="eastAsia" w:ascii="微软雅黑" w:hAnsi="微软雅黑" w:eastAsia="微软雅黑" w:cs="宋体"/>
          <w:b/>
          <w:bCs/>
          <w:sz w:val="18"/>
        </w:rPr>
      </w:pPr>
      <w:r>
        <w:rPr>
          <w:rFonts w:hint="eastAsia" w:ascii="微软雅黑" w:hAnsi="微软雅黑" w:eastAsia="微软雅黑" w:cs="宋体"/>
          <w:b/>
          <w:bCs/>
          <w:sz w:val="18"/>
        </w:rPr>
        <w:t>注：</w:t>
      </w:r>
    </w:p>
    <w:p w14:paraId="44371575">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03F05AB">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PharmGKB是美国国立卫生研究院资助的提供人类基因变异与药物反应相关关系的知识库。</w:t>
      </w:r>
    </w:p>
    <w:p w14:paraId="5CC934A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临床证据等级来源于临床证据等级来源于PharmGKB Clinical Annotation Levels of Evidence (https://www.pharmgkb.org/page/clinAnnLevels)，证据等级 1A、1B、2A、2B、3 、4分别代表证据支持程度依次降低：</w:t>
      </w:r>
    </w:p>
    <w:p w14:paraId="2DF4F794">
      <w:pPr>
        <w:ind w:left="420"/>
        <w:rPr>
          <w:rFonts w:ascii="Times New Roman" w:hAnsi="Times New Roman" w:eastAsia="微软雅黑" w:cs="Times New Roman"/>
          <w:sz w:val="18"/>
        </w:rPr>
      </w:pPr>
      <w:r>
        <w:rPr>
          <w:rFonts w:ascii="Times New Roman" w:hAnsi="Times New Roman" w:eastAsia="微软雅黑" w:cs="Times New Roman"/>
          <w:sz w:val="18"/>
        </w:rPr>
        <w:t>1A：由临床药物基因组学实施联盟 (CPIC) 或遗传药理学指南认可，或在遗传药理学研究网络 (PGRN) 或某些重大卫生系统认可。</w:t>
      </w:r>
    </w:p>
    <w:p w14:paraId="29CAC29B">
      <w:pPr>
        <w:ind w:left="420"/>
        <w:rPr>
          <w:rFonts w:ascii="Times New Roman" w:hAnsi="Times New Roman" w:eastAsia="微软雅黑" w:cs="Times New Roman"/>
          <w:sz w:val="18"/>
        </w:rPr>
      </w:pPr>
      <w:r>
        <w:rPr>
          <w:rFonts w:ascii="Times New Roman" w:hAnsi="Times New Roman" w:eastAsia="微软雅黑" w:cs="Times New Roman"/>
          <w:sz w:val="18"/>
        </w:rPr>
        <w:t>1B：相关性基于多项有统计显著性的研究，此相关性必须在多于一个群体的研究中被重复，且显著性较强。</w:t>
      </w:r>
    </w:p>
    <w:p w14:paraId="629885FB">
      <w:pPr>
        <w:ind w:left="420"/>
        <w:rPr>
          <w:rFonts w:ascii="Times New Roman" w:hAnsi="Times New Roman" w:eastAsia="微软雅黑" w:cs="Times New Roman"/>
          <w:sz w:val="18"/>
        </w:rPr>
      </w:pPr>
      <w:r>
        <w:rPr>
          <w:rFonts w:ascii="Times New Roman" w:hAnsi="Times New Roman" w:eastAsia="微软雅黑" w:cs="Times New Roman"/>
          <w:sz w:val="18"/>
        </w:rPr>
        <w:t>2A：PharmGKB 定义的 2B 级之上的有 VIP（Very Important Pharmacogene，非常重要的用药相关基因）的变异。2A 级变异为已知用药相关基因，与 2B 级相比功能相关性更显著。</w:t>
      </w:r>
    </w:p>
    <w:p w14:paraId="1058C794">
      <w:pPr>
        <w:ind w:left="420"/>
        <w:rPr>
          <w:rFonts w:ascii="Times New Roman" w:hAnsi="Times New Roman" w:eastAsia="微软雅黑" w:cs="Times New Roman"/>
          <w:sz w:val="18"/>
        </w:rPr>
      </w:pPr>
      <w:r>
        <w:rPr>
          <w:rFonts w:ascii="Times New Roman" w:hAnsi="Times New Roman" w:eastAsia="微软雅黑" w:cs="Times New Roman"/>
          <w:sz w:val="18"/>
        </w:rPr>
        <w:t>2B：相关性基于多项重复性研究所得的中等程度证据，但其中某些研究可能缺乏统计学显著性或规模效应较小。</w:t>
      </w:r>
    </w:p>
    <w:p w14:paraId="38ED20A1">
      <w:pPr>
        <w:ind w:left="420"/>
        <w:rPr>
          <w:rFonts w:ascii="Times New Roman" w:hAnsi="Times New Roman" w:eastAsia="微软雅黑" w:cs="Times New Roman"/>
          <w:sz w:val="18"/>
        </w:rPr>
      </w:pPr>
      <w:r>
        <w:rPr>
          <w:rFonts w:ascii="Times New Roman" w:hAnsi="Times New Roman" w:eastAsia="微软雅黑" w:cs="Times New Roman"/>
          <w:sz w:val="18"/>
        </w:rPr>
        <w:t>3 ：相关性基于单一显著性（尚无重复性）研究或多项缺乏明确证据的研究。</w:t>
      </w:r>
    </w:p>
    <w:p w14:paraId="7C098C3D">
      <w:pPr>
        <w:ind w:left="420"/>
        <w:rPr>
          <w:rFonts w:ascii="Times New Roman" w:hAnsi="Times New Roman" w:eastAsia="微软雅黑" w:cs="Times New Roman"/>
          <w:sz w:val="18"/>
        </w:rPr>
      </w:pPr>
      <w:r>
        <w:rPr>
          <w:rFonts w:ascii="Times New Roman" w:hAnsi="Times New Roman" w:eastAsia="微软雅黑" w:cs="Times New Roman"/>
          <w:sz w:val="18"/>
        </w:rPr>
        <w:t>4</w:t>
      </w:r>
      <w:r>
        <w:rPr>
          <w:rFonts w:hint="eastAsia" w:ascii="Times New Roman" w:hAnsi="Times New Roman" w:eastAsia="微软雅黑" w:cs="Times New Roman"/>
          <w:sz w:val="18"/>
        </w:rPr>
        <w:t xml:space="preserve"> </w:t>
      </w:r>
      <w:r>
        <w:rPr>
          <w:rFonts w:ascii="Times New Roman" w:hAnsi="Times New Roman" w:eastAsia="微软雅黑" w:cs="Times New Roman"/>
          <w:sz w:val="18"/>
        </w:rPr>
        <w:t>：注释仅基于少量病例、非权威研究或体外的分子功能研究。</w:t>
      </w:r>
    </w:p>
    <w:p w14:paraId="1555F28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本报告中参考药物并非按照疗效排序。</w:t>
      </w:r>
    </w:p>
    <w:p w14:paraId="1D44F989">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此处检测结果仅从基因角度进行分析，化疗药物的药效及毒副作用还会受到多种临床因素影响，用药上会存在个体差异，所以实际临床用药方案需临床医生综合判断。</w:t>
      </w:r>
    </w:p>
    <w:p w14:paraId="7A25B8DC">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 未有研究报道或现有研究结论不一致。</w:t>
      </w:r>
    </w:p>
    <w:p w14:paraId="1431C3B0">
      <w:pPr>
        <w:rPr>
          <w:rFonts w:ascii="Times New Roman" w:hAnsi="Times New Roman" w:eastAsia="微软雅黑" w:cs="Times New Roman"/>
          <w:sz w:val="18"/>
        </w:rPr>
      </w:pPr>
      <w:r>
        <w:rPr>
          <w:rFonts w:ascii="Times New Roman" w:hAnsi="Times New Roman" w:eastAsia="微软雅黑" w:cs="Times New Roman"/>
          <w:sz w:val="18"/>
        </w:rPr>
        <w:br w:type="page"/>
      </w:r>
    </w:p>
    <w:p w14:paraId="542D02D7">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5"/>
      <w:bookmarkEnd w:id="36"/>
      <w:bookmarkEnd w:id="37"/>
      <w:bookmarkEnd w:id="38"/>
    </w:p>
    <w:p w14:paraId="5DD2CC05">
      <w:pPr>
        <w:pStyle w:val="3"/>
        <w:numPr>
          <w:ilvl w:val="0"/>
          <w:numId w:val="13"/>
        </w:numPr>
        <w:jc w:val="both"/>
        <w:rPr>
          <w:rFonts w:hint="eastAsia" w:ascii="微软雅黑" w:hAnsi="微软雅黑" w:eastAsia="微软雅黑" w:cs="微软雅黑"/>
          <w:color w:val="254061" w:themeColor="accent1" w:themeShade="80"/>
        </w:rPr>
      </w:pPr>
      <w:bookmarkStart w:id="52" w:name="_Toc527112386"/>
      <w:bookmarkStart w:id="53" w:name="_Toc526855038"/>
      <w:bookmarkStart w:id="54" w:name="_Toc534637499"/>
      <w:r>
        <w:rPr>
          <w:rFonts w:hint="eastAsia" w:ascii="微软雅黑" w:hAnsi="微软雅黑" w:eastAsia="微软雅黑" w:cs="微软雅黑"/>
          <w:color w:val="254061" w:themeColor="accent1" w:themeShade="80"/>
        </w:rPr>
        <w:t>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CBA729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AE9B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2BCC1C5">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4E6297AE">
            <w:pPr>
              <w:ind w:left="119"/>
              <w:jc w:val="center"/>
              <w:rPr>
                <w:rFonts w:ascii="Times New Roman" w:hAnsi="Times New Roman" w:eastAsia="微软雅黑" w:cs="Times New Roman"/>
                <w:b/>
                <w:color w:val="244061"/>
                <w:sz w:val="21"/>
              </w:rPr>
            </w:pPr>
            <w:r>
              <w:rPr>
                <w:rFonts w:hint="eastAsia" w:ascii="Times New Roman" w:hAnsi="Times New Roman" w:eastAsia="微软雅黑" w:cs="Times New Roman"/>
                <w:b/>
                <w:color w:val="244061"/>
                <w:sz w:val="21"/>
              </w:rPr>
              <w:t>质控数值</w:t>
            </w:r>
          </w:p>
        </w:tc>
        <w:tc>
          <w:tcPr>
            <w:tcW w:w="2721" w:type="dxa"/>
            <w:tcBorders>
              <w:top w:val="single" w:color="244061" w:sz="18" w:space="0"/>
            </w:tcBorders>
            <w:shd w:val="clear" w:color="auto" w:fill="auto"/>
            <w:vAlign w:val="center"/>
          </w:tcPr>
          <w:p w14:paraId="3761C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3DC71A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7CB5D5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病理</w:t>
            </w:r>
            <w:r>
              <w:rPr>
                <w:rFonts w:hint="eastAsia" w:ascii="Times New Roman" w:hAnsi="Times New Roman" w:eastAsia="微软雅黑" w:cs="Times New Roman"/>
                <w:b/>
                <w:sz w:val="21"/>
              </w:rPr>
              <w:t>评估</w:t>
            </w:r>
          </w:p>
        </w:tc>
        <w:tc>
          <w:tcPr>
            <w:tcW w:w="2721" w:type="dxa"/>
            <w:vAlign w:val="center"/>
          </w:tcPr>
          <w:p w14:paraId="2FC842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肿瘤细胞含量</w:t>
            </w:r>
          </w:p>
        </w:tc>
        <w:tc>
          <w:tcPr>
            <w:tcW w:w="2381" w:type="dxa"/>
            <w:vAlign w:val="center"/>
          </w:tcPr>
          <w:p w14:paraId="309D7A9A">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tumorcellcontent</w:t>
            </w:r>
            <w:r>
              <w:rPr>
                <w:rFonts w:hint="eastAsia" w:ascii="Times New Roman" w:hAnsi="Times New Roman" w:eastAsia="微软雅黑" w:cs="Times New Roman"/>
                <w:sz w:val="21"/>
              </w:rPr>
              <w:t xml:space="preserve"> }}</w:t>
            </w:r>
          </w:p>
        </w:tc>
        <w:tc>
          <w:tcPr>
            <w:tcW w:w="2721" w:type="dxa"/>
            <w:vAlign w:val="center"/>
          </w:tcPr>
          <w:p w14:paraId="2475298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1</w:t>
            </w:r>
            <w:r>
              <w:rPr>
                <w:rFonts w:ascii="Times New Roman" w:hAnsi="Times New Roman" w:eastAsia="微软雅黑" w:cs="Times New Roman"/>
                <w:sz w:val="21"/>
                <w:szCs w:val="21"/>
                <w:lang w:bidi="ar"/>
              </w:rPr>
              <w:t>0%</w:t>
            </w:r>
          </w:p>
        </w:tc>
      </w:tr>
      <w:tr w14:paraId="0373A5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A412D2A">
            <w:pPr>
              <w:ind w:left="119"/>
              <w:jc w:val="center"/>
              <w:rPr>
                <w:rFonts w:ascii="Times New Roman" w:hAnsi="Times New Roman" w:eastAsia="微软雅黑" w:cs="Times New Roman"/>
                <w:b/>
                <w:sz w:val="21"/>
              </w:rPr>
            </w:pPr>
            <w:r>
              <w:rPr>
                <w:rFonts w:hint="eastAsia" w:ascii="Times New Roman" w:hAnsi="Times New Roman" w:eastAsia="微软雅黑" w:cs="Times New Roman"/>
                <w:b/>
                <w:sz w:val="21"/>
              </w:rPr>
              <w:t>核酸质量评估</w:t>
            </w:r>
          </w:p>
        </w:tc>
        <w:tc>
          <w:tcPr>
            <w:tcW w:w="2721" w:type="dxa"/>
            <w:vAlign w:val="center"/>
          </w:tcPr>
          <w:p w14:paraId="516E76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15BD6435">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DNA_total</w:t>
            </w:r>
            <w:r>
              <w:rPr>
                <w:rFonts w:hint="eastAsia" w:ascii="Times New Roman" w:hAnsi="Times New Roman" w:eastAsia="微软雅黑" w:cs="Times New Roman"/>
                <w:sz w:val="21"/>
              </w:rPr>
              <w:t xml:space="preserve"> }}</w:t>
            </w:r>
          </w:p>
        </w:tc>
        <w:tc>
          <w:tcPr>
            <w:tcW w:w="2721" w:type="dxa"/>
            <w:vAlign w:val="center"/>
          </w:tcPr>
          <w:p w14:paraId="1DB9FEE0">
            <w:pPr>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100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2</w:t>
            </w:r>
            <w:r>
              <w:rPr>
                <w:rFonts w:ascii="Times New Roman" w:hAnsi="Times New Roman" w:eastAsia="微软雅黑" w:cs="Times New Roman"/>
                <w:sz w:val="21"/>
                <w:szCs w:val="21"/>
                <w:lang w:bidi="ar"/>
              </w:rPr>
              <w:t>0</w:t>
            </w:r>
            <w:r>
              <w:rPr>
                <w:rFonts w:hint="eastAsia" w:ascii="Times New Roman" w:hAnsi="Times New Roman" w:eastAsia="微软雅黑" w:cs="黑体"/>
                <w:sz w:val="21"/>
              </w:rPr>
              <w:t>{% endif %}</w:t>
            </w:r>
          </w:p>
        </w:tc>
      </w:tr>
      <w:tr w14:paraId="56E0CF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68DD1BC">
            <w:pPr>
              <w:ind w:left="119"/>
              <w:jc w:val="center"/>
              <w:rPr>
                <w:rFonts w:ascii="Times New Roman" w:hAnsi="Times New Roman" w:eastAsia="微软雅黑" w:cs="Times New Roman"/>
                <w:b/>
                <w:sz w:val="21"/>
              </w:rPr>
            </w:pPr>
          </w:p>
        </w:tc>
        <w:tc>
          <w:tcPr>
            <w:tcW w:w="2721" w:type="dxa"/>
            <w:vAlign w:val="center"/>
          </w:tcPr>
          <w:p w14:paraId="09B3DF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降解程度</w:t>
            </w:r>
          </w:p>
        </w:tc>
        <w:tc>
          <w:tcPr>
            <w:tcW w:w="2381" w:type="dxa"/>
            <w:vAlign w:val="center"/>
          </w:tcPr>
          <w:p w14:paraId="54A0989F">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DNA_degradation</w:t>
            </w:r>
            <w:r>
              <w:rPr>
                <w:rFonts w:hint="eastAsia" w:ascii="Times New Roman" w:hAnsi="Times New Roman" w:eastAsia="微软雅黑" w:cs="Times New Roman"/>
                <w:sz w:val="21"/>
              </w:rPr>
              <w:t xml:space="preserve"> }}</w:t>
            </w:r>
          </w:p>
        </w:tc>
        <w:tc>
          <w:tcPr>
            <w:tcW w:w="2721" w:type="dxa"/>
            <w:vAlign w:val="center"/>
          </w:tcPr>
          <w:p w14:paraId="300BFC7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A/B/C</w:t>
            </w:r>
            <w:r>
              <w:rPr>
                <w:rFonts w:hint="eastAsia" w:ascii="微软雅黑" w:hAnsi="微软雅黑" w:eastAsia="微软雅黑" w:cs="微软雅黑"/>
                <w:sz w:val="21"/>
                <w:szCs w:val="21"/>
                <w:lang w:bidi="ar"/>
              </w:rPr>
              <w:t>级</w:t>
            </w:r>
          </w:p>
        </w:tc>
      </w:tr>
      <w:tr w14:paraId="2C4483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78AD72">
            <w:pPr>
              <w:ind w:left="119"/>
              <w:jc w:val="center"/>
              <w:rPr>
                <w:rFonts w:ascii="Times New Roman" w:hAnsi="Times New Roman" w:eastAsia="微软雅黑" w:cs="Times New Roman"/>
                <w:b/>
                <w:sz w:val="21"/>
              </w:rPr>
            </w:pPr>
          </w:p>
        </w:tc>
        <w:tc>
          <w:tcPr>
            <w:tcW w:w="2721" w:type="dxa"/>
            <w:vAlign w:val="center"/>
          </w:tcPr>
          <w:p w14:paraId="75A295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预文库总量（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794C4EF7">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outbound_quantity</w:t>
            </w:r>
            <w:r>
              <w:rPr>
                <w:rFonts w:hint="eastAsia" w:ascii="Times New Roman" w:hAnsi="Times New Roman" w:eastAsia="微软雅黑" w:cs="Times New Roman"/>
                <w:sz w:val="21"/>
              </w:rPr>
              <w:t xml:space="preserve"> }}</w:t>
            </w:r>
          </w:p>
        </w:tc>
        <w:tc>
          <w:tcPr>
            <w:tcW w:w="2721" w:type="dxa"/>
            <w:vAlign w:val="center"/>
          </w:tcPr>
          <w:p w14:paraId="7F7E53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p>
        </w:tc>
      </w:tr>
      <w:tr w14:paraId="08F90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B746E8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rPr>
              <w:t>质量评估</w:t>
            </w:r>
          </w:p>
        </w:tc>
        <w:tc>
          <w:tcPr>
            <w:tcW w:w="2721" w:type="dxa"/>
            <w:vAlign w:val="center"/>
          </w:tcPr>
          <w:p w14:paraId="1CC12C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平均测序深度</w:t>
            </w:r>
          </w:p>
        </w:tc>
        <w:tc>
          <w:tcPr>
            <w:tcW w:w="2381" w:type="dxa"/>
            <w:vAlign w:val="center"/>
          </w:tcPr>
          <w:p w14:paraId="39D037F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sequencing_depth</w:t>
            </w:r>
            <w:r>
              <w:rPr>
                <w:rFonts w:hint="eastAsia" w:ascii="Times New Roman" w:hAnsi="Times New Roman" w:eastAsia="微软雅黑" w:cs="Times New Roman"/>
                <w:sz w:val="21"/>
              </w:rPr>
              <w:t xml:space="preserve"> }}</w:t>
            </w:r>
          </w:p>
        </w:tc>
        <w:tc>
          <w:tcPr>
            <w:tcW w:w="2721" w:type="dxa"/>
            <w:vAlign w:val="center"/>
          </w:tcPr>
          <w:p w14:paraId="03FFD7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cs="Times New Roman"/>
                <w:color w:val="000000"/>
                <w:sz w:val="21"/>
                <w:szCs w:val="21"/>
              </w:rPr>
              <w:t>15</w:t>
            </w:r>
            <w:r>
              <w:rPr>
                <w:rFonts w:ascii="Times New Roman" w:hAnsi="Times New Roman" w:cs="Times New Roman"/>
                <w:color w:val="000000"/>
                <w:sz w:val="21"/>
                <w:szCs w:val="21"/>
              </w:rPr>
              <w:t>00</w:t>
            </w:r>
            <w:r>
              <w:rPr>
                <w:rFonts w:hint="eastAsia" w:ascii="Times New Roman" w:hAnsi="Times New Roman" w:eastAsia="微软雅黑" w:cs="黑体"/>
                <w:sz w:val="21"/>
              </w:rPr>
              <w:t>{% endif %}</w:t>
            </w:r>
          </w:p>
        </w:tc>
      </w:tr>
      <w:tr w14:paraId="15688C4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672D25">
            <w:pPr>
              <w:ind w:left="119"/>
              <w:jc w:val="center"/>
              <w:rPr>
                <w:rFonts w:ascii="Times New Roman" w:hAnsi="Times New Roman" w:eastAsia="微软雅黑" w:cs="Times New Roman"/>
                <w:b/>
                <w:sz w:val="21"/>
              </w:rPr>
            </w:pPr>
          </w:p>
        </w:tc>
        <w:tc>
          <w:tcPr>
            <w:tcW w:w="2721" w:type="dxa"/>
            <w:vAlign w:val="center"/>
          </w:tcPr>
          <w:p w14:paraId="723BD36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覆盖均一性</w:t>
            </w:r>
          </w:p>
        </w:tc>
        <w:tc>
          <w:tcPr>
            <w:tcW w:w="2381" w:type="dxa"/>
            <w:vAlign w:val="center"/>
          </w:tcPr>
          <w:p w14:paraId="7C2A3D5B">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coverage_uniformity }}</w:t>
            </w:r>
          </w:p>
        </w:tc>
        <w:tc>
          <w:tcPr>
            <w:tcW w:w="2721" w:type="dxa"/>
            <w:vAlign w:val="center"/>
          </w:tcPr>
          <w:p w14:paraId="7B80C09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90%</w:t>
            </w:r>
          </w:p>
        </w:tc>
      </w:tr>
      <w:tr w14:paraId="328E6CF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6D9BD7B">
            <w:pPr>
              <w:ind w:left="119"/>
              <w:jc w:val="center"/>
              <w:rPr>
                <w:rFonts w:ascii="Times New Roman" w:hAnsi="Times New Roman" w:eastAsia="微软雅黑" w:cs="Times New Roman"/>
                <w:b/>
                <w:sz w:val="21"/>
              </w:rPr>
            </w:pPr>
          </w:p>
        </w:tc>
        <w:tc>
          <w:tcPr>
            <w:tcW w:w="2721" w:type="dxa"/>
            <w:vAlign w:val="center"/>
          </w:tcPr>
          <w:p w14:paraId="4A46FB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基因组比对率</w:t>
            </w:r>
          </w:p>
        </w:tc>
        <w:tc>
          <w:tcPr>
            <w:tcW w:w="2381" w:type="dxa"/>
            <w:vAlign w:val="center"/>
          </w:tcPr>
          <w:p w14:paraId="201982EE">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genome_alignment }}</w:t>
            </w:r>
          </w:p>
        </w:tc>
        <w:tc>
          <w:tcPr>
            <w:tcW w:w="2721" w:type="dxa"/>
            <w:vAlign w:val="center"/>
          </w:tcPr>
          <w:p w14:paraId="0DC0A53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95%</w:t>
            </w:r>
          </w:p>
        </w:tc>
      </w:tr>
      <w:tr w14:paraId="481DBA0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F73EF6">
            <w:pPr>
              <w:ind w:left="119"/>
              <w:jc w:val="center"/>
              <w:rPr>
                <w:rFonts w:ascii="Times New Roman" w:hAnsi="Times New Roman" w:eastAsia="微软雅黑" w:cs="Times New Roman"/>
                <w:b/>
                <w:sz w:val="21"/>
              </w:rPr>
            </w:pPr>
          </w:p>
        </w:tc>
        <w:tc>
          <w:tcPr>
            <w:tcW w:w="2721" w:type="dxa"/>
            <w:vAlign w:val="center"/>
          </w:tcPr>
          <w:p w14:paraId="5437272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碱基质量</w:t>
            </w:r>
            <w:r>
              <w:rPr>
                <w:rFonts w:ascii="Times New Roman" w:hAnsi="Times New Roman" w:eastAsia="微软雅黑" w:cs="Times New Roman"/>
                <w:sz w:val="21"/>
                <w:szCs w:val="21"/>
                <w:lang w:bidi="ar"/>
              </w:rPr>
              <w:t>Q30</w:t>
            </w:r>
            <w:r>
              <w:rPr>
                <w:rFonts w:hint="eastAsia" w:ascii="Times New Roman" w:hAnsi="Times New Roman" w:eastAsia="微软雅黑" w:cs="微软雅黑"/>
                <w:sz w:val="21"/>
                <w:szCs w:val="21"/>
                <w:lang w:bidi="ar"/>
              </w:rPr>
              <w:t>占比</w:t>
            </w:r>
          </w:p>
        </w:tc>
        <w:tc>
          <w:tcPr>
            <w:tcW w:w="2381" w:type="dxa"/>
            <w:vAlign w:val="center"/>
          </w:tcPr>
          <w:p w14:paraId="62E6D1F2">
            <w:pPr>
              <w:autoSpaceDE w:val="0"/>
              <w:ind w:left="110" w:leftChars="50"/>
              <w:jc w:val="center"/>
              <w:rPr>
                <w:rFonts w:ascii="Times New Roman" w:hAnsi="Times New Roman" w:eastAsia="微软雅黑" w:cs="Times New Roman"/>
                <w:sz w:val="21"/>
              </w:rPr>
            </w:pPr>
            <w:r>
              <w:rPr>
                <w:rFonts w:hint="eastAsia" w:ascii="Times New Roman" w:hAnsi="Times New Roman" w:eastAsia="微软雅黑" w:cs="Times New Roman"/>
                <w:sz w:val="21"/>
              </w:rPr>
              <w:t>{{ base_quality }}</w:t>
            </w:r>
          </w:p>
        </w:tc>
        <w:tc>
          <w:tcPr>
            <w:tcW w:w="2721" w:type="dxa"/>
            <w:vAlign w:val="center"/>
          </w:tcPr>
          <w:p w14:paraId="4C1120A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80%</w:t>
            </w:r>
          </w:p>
        </w:tc>
      </w:tr>
      <w:tr w14:paraId="75A765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76437C">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shd w:val="clear" w:color="auto" w:fill="F1F1F1"/>
            <w:vAlign w:val="center"/>
          </w:tcPr>
          <w:p w14:paraId="4F07B494">
            <w:pPr>
              <w:ind w:left="119"/>
              <w:jc w:val="center"/>
              <w:rPr>
                <w:rFonts w:ascii="Times New Roman" w:hAnsi="Times New Roman" w:eastAsia="微软雅黑" w:cs="Times New Roman"/>
                <w:bCs/>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31DAF65D">
      <w:pPr>
        <w:spacing w:before="53" w:line="301" w:lineRule="exact"/>
        <w:rPr>
          <w:rFonts w:ascii="Times New Roman" w:hAnsi="Times New Roman" w:eastAsia="微软雅黑" w:cs="Times New Roman"/>
          <w:bCs/>
          <w:sz w:val="18"/>
        </w:rPr>
      </w:pPr>
      <w:r>
        <w:rPr>
          <w:rFonts w:hint="eastAsia" w:ascii="Times New Roman" w:hAnsi="Times New Roman" w:eastAsia="微软雅黑" w:cs="Times New Roman"/>
          <w:bCs/>
          <w:sz w:val="18"/>
        </w:rPr>
        <w:t>注：</w:t>
      </w:r>
    </w:p>
    <w:p w14:paraId="382A125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肿瘤细胞含量：送检样本经HE染色评估的肿瘤细胞含量。如送检样本不满足病理评估所需条件，则不进行此项评估。血浆cfDNA样本不做此项评估。</w:t>
      </w:r>
    </w:p>
    <w:p w14:paraId="410E9B8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DNA总量：送检样本的DNA提取总量。</w:t>
      </w:r>
    </w:p>
    <w:p w14:paraId="6871508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DNA降解程度：cfDNA样本不适用于此项评估。</w:t>
      </w:r>
    </w:p>
    <w:p w14:paraId="5E2C0823">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A级：有主带，或降解均匀且降解区域主要集中在5000bp以上</w:t>
      </w:r>
      <w:r>
        <w:rPr>
          <w:rFonts w:hint="eastAsia" w:ascii="Times New Roman" w:hAnsi="Times New Roman" w:eastAsia="微软雅黑" w:cs="Times New Roman"/>
          <w:bCs/>
          <w:sz w:val="18"/>
          <w:szCs w:val="18"/>
        </w:rPr>
        <w:t>；</w:t>
      </w:r>
    </w:p>
    <w:p w14:paraId="5A411B87">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B级：无主带，降解均匀且降解区域主要集中在1500-5000bp之间</w:t>
      </w:r>
      <w:r>
        <w:rPr>
          <w:rFonts w:hint="eastAsia" w:ascii="Times New Roman" w:hAnsi="Times New Roman" w:eastAsia="微软雅黑" w:cs="Times New Roman"/>
          <w:bCs/>
          <w:sz w:val="18"/>
          <w:szCs w:val="18"/>
        </w:rPr>
        <w:t>；</w:t>
      </w:r>
    </w:p>
    <w:p w14:paraId="0EC9EAB4">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C级：无主带，降解均匀且降解区域主要集中在500-1500bp之间</w:t>
      </w:r>
      <w:r>
        <w:rPr>
          <w:rFonts w:hint="eastAsia" w:ascii="Times New Roman" w:hAnsi="Times New Roman" w:eastAsia="微软雅黑" w:cs="Times New Roman"/>
          <w:bCs/>
          <w:sz w:val="18"/>
          <w:szCs w:val="18"/>
        </w:rPr>
        <w:t>；</w:t>
      </w:r>
    </w:p>
    <w:p w14:paraId="733DBB00">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pacing w:val="3"/>
          <w:sz w:val="18"/>
          <w:szCs w:val="18"/>
        </w:rPr>
        <w:t>D级</w:t>
      </w:r>
      <w:r>
        <w:rPr>
          <w:rFonts w:ascii="Times New Roman" w:hAnsi="Times New Roman" w:eastAsia="微软雅黑" w:cs="Times New Roman"/>
          <w:bCs/>
          <w:sz w:val="18"/>
          <w:szCs w:val="18"/>
        </w:rPr>
        <w:t>（</w:t>
      </w:r>
      <w:r>
        <w:rPr>
          <w:rFonts w:ascii="Times New Roman" w:hAnsi="Times New Roman" w:eastAsia="微软雅黑" w:cs="Times New Roman"/>
          <w:bCs/>
          <w:spacing w:val="1"/>
          <w:sz w:val="18"/>
          <w:szCs w:val="18"/>
        </w:rPr>
        <w:t>不合格</w:t>
      </w:r>
      <w:r>
        <w:rPr>
          <w:rFonts w:ascii="Times New Roman" w:hAnsi="Times New Roman" w:eastAsia="微软雅黑" w:cs="Times New Roman"/>
          <w:bCs/>
          <w:spacing w:val="-90"/>
          <w:sz w:val="18"/>
          <w:szCs w:val="18"/>
        </w:rPr>
        <w:t>）</w:t>
      </w:r>
      <w:r>
        <w:rPr>
          <w:rFonts w:ascii="Times New Roman" w:hAnsi="Times New Roman" w:eastAsia="微软雅黑" w:cs="Times New Roman"/>
          <w:bCs/>
          <w:sz w:val="18"/>
          <w:szCs w:val="18"/>
        </w:rPr>
        <w:t>）：无主带，降解均匀且降解区域主要集中在500-1500bp</w:t>
      </w:r>
      <w:r>
        <w:rPr>
          <w:rFonts w:ascii="Times New Roman" w:hAnsi="Times New Roman" w:eastAsia="微软雅黑" w:cs="Times New Roman"/>
          <w:bCs/>
          <w:spacing w:val="-1"/>
          <w:sz w:val="18"/>
          <w:szCs w:val="18"/>
        </w:rPr>
        <w:t>之间，但总量介于</w:t>
      </w:r>
      <w:r>
        <w:rPr>
          <w:rFonts w:ascii="Times New Roman" w:hAnsi="Times New Roman" w:eastAsia="微软雅黑" w:cs="Times New Roman"/>
          <w:bCs/>
          <w:sz w:val="18"/>
          <w:szCs w:val="18"/>
        </w:rPr>
        <w:t>100ng</w:t>
      </w:r>
      <w:r>
        <w:rPr>
          <w:rFonts w:ascii="Times New Roman" w:hAnsi="Times New Roman" w:eastAsia="微软雅黑" w:cs="Times New Roman"/>
          <w:bCs/>
          <w:spacing w:val="-3"/>
          <w:sz w:val="18"/>
          <w:szCs w:val="18"/>
        </w:rPr>
        <w:t>到</w:t>
      </w:r>
      <w:r>
        <w:rPr>
          <w:rFonts w:ascii="Times New Roman" w:hAnsi="Times New Roman" w:eastAsia="微软雅黑" w:cs="Times New Roman"/>
          <w:bCs/>
          <w:sz w:val="18"/>
          <w:szCs w:val="18"/>
        </w:rPr>
        <w:t>300ng之间；或降解区</w:t>
      </w:r>
      <w:r>
        <w:rPr>
          <w:rFonts w:ascii="Times New Roman" w:hAnsi="Times New Roman" w:eastAsia="微软雅黑" w:cs="Times New Roman"/>
          <w:bCs/>
          <w:spacing w:val="-2"/>
          <w:sz w:val="18"/>
          <w:szCs w:val="18"/>
        </w:rPr>
        <w:t>域弥散在</w:t>
      </w:r>
      <w:r>
        <w:rPr>
          <w:rFonts w:ascii="Times New Roman" w:hAnsi="Times New Roman" w:eastAsia="微软雅黑" w:cs="Times New Roman"/>
          <w:bCs/>
          <w:sz w:val="18"/>
          <w:szCs w:val="18"/>
        </w:rPr>
        <w:t>150-1000bp</w:t>
      </w:r>
      <w:r>
        <w:rPr>
          <w:rFonts w:ascii="Times New Roman" w:hAnsi="Times New Roman" w:eastAsia="微软雅黑" w:cs="Times New Roman"/>
          <w:bCs/>
          <w:spacing w:val="-2"/>
          <w:sz w:val="18"/>
          <w:szCs w:val="18"/>
        </w:rPr>
        <w:t>，或集中在</w:t>
      </w:r>
      <w:r>
        <w:rPr>
          <w:rFonts w:ascii="Times New Roman" w:hAnsi="Times New Roman" w:eastAsia="微软雅黑" w:cs="Times New Roman"/>
          <w:bCs/>
          <w:sz w:val="18"/>
          <w:szCs w:val="18"/>
        </w:rPr>
        <w:t>500bp以下。</w:t>
      </w:r>
    </w:p>
    <w:p w14:paraId="223BF75F">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预文库总量：核酸片段经过接头连接和扩增纯化后中间产物的总量。</w:t>
      </w:r>
    </w:p>
    <w:p w14:paraId="718DC17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平均测序深度：目标区域每个碱基被测到的平均次数。</w:t>
      </w:r>
    </w:p>
    <w:p w14:paraId="6643D6C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覆盖均一性：测序深度达到平均测序深度20%的碱基占比。</w:t>
      </w:r>
    </w:p>
    <w:p w14:paraId="5393ADDE">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基因组比对率：比对到参考基因组上的reads数目占比。</w:t>
      </w:r>
    </w:p>
    <w:p w14:paraId="6381F71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碱基质量Q30占比：测序数据中碱基质量在Q30以上（即碱基识别错误率在千分之一以下）的占比。</w:t>
      </w:r>
    </w:p>
    <w:p w14:paraId="0BF1E8BB">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xml:space="preserve">总体质量评估：根据 </w:t>
      </w:r>
      <w:r>
        <w:rPr>
          <w:rFonts w:ascii="Times New Roman" w:hAnsi="Times New Roman" w:eastAsia="微软雅黑" w:cs="Times New Roman"/>
          <w:bCs/>
          <w:sz w:val="18"/>
          <w:szCs w:val="18"/>
        </w:rPr>
        <w:t xml:space="preserve">DNA </w:t>
      </w:r>
      <w:r>
        <w:rPr>
          <w:rFonts w:hint="eastAsia" w:ascii="Times New Roman" w:hAnsi="Times New Roman" w:eastAsia="微软雅黑" w:cs="Times New Roman"/>
          <w:bCs/>
          <w:sz w:val="18"/>
          <w:szCs w:val="18"/>
        </w:rPr>
        <w:t>平均测序深度进行评估，分为“合格”、“警戒”、“不合格”三个等级。总体质量评估为“警戒”或者“不合格”时，均会影响检测的准确性和敏感性。</w:t>
      </w:r>
    </w:p>
    <w:p w14:paraId="5A7A1590">
      <w:pPr>
        <w:rPr>
          <w:rFonts w:ascii="Times New Roman" w:hAnsi="Times New Roman"/>
          <w:sz w:val="30"/>
        </w:rPr>
      </w:pPr>
      <w:r>
        <w:rPr>
          <w:rFonts w:hint="eastAsia"/>
        </w:rPr>
        <w:br w:type="page"/>
      </w:r>
    </w:p>
    <w:p w14:paraId="7C0CC14D">
      <w:pPr>
        <w:pStyle w:val="3"/>
        <w:numPr>
          <w:ilvl w:val="0"/>
          <w:numId w:val="13"/>
        </w:numPr>
        <w:jc w:val="both"/>
        <w:rPr>
          <w:rFonts w:hint="eastAsia" w:ascii="微软雅黑" w:hAnsi="微软雅黑" w:eastAsia="微软雅黑" w:cs="微软雅黑"/>
          <w:color w:val="254061" w:themeColor="accent1" w:themeShade="80"/>
        </w:rPr>
      </w:pPr>
      <w:bookmarkStart w:id="55" w:name="_Toc16368_WPSOffice_Level1"/>
      <w:bookmarkStart w:id="56" w:name="_Toc22458"/>
      <w:bookmarkStart w:id="57" w:name="_Toc28910_WPSOffice_Level1"/>
      <w:bookmarkStart w:id="58" w:name="_Toc22484_WPSOffice_Level1"/>
      <w:bookmarkStart w:id="59" w:name="_Toc7549"/>
      <w:bookmarkStart w:id="60" w:name="_Toc19099"/>
      <w:bookmarkStart w:id="61" w:name="_Toc30533"/>
      <w:r>
        <w:rPr>
          <w:rFonts w:hint="eastAsia" w:ascii="微软雅黑" w:hAnsi="微软雅黑" w:eastAsia="微软雅黑" w:cs="微软雅黑"/>
          <w:color w:val="254061" w:themeColor="accent1" w:themeShade="80"/>
        </w:rPr>
        <w:t>检测基因列表</w:t>
      </w:r>
      <w:bookmarkEnd w:id="52"/>
      <w:bookmarkEnd w:id="53"/>
      <w:bookmarkEnd w:id="54"/>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BFC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0A47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 xml:space="preserve">{%tr for Gene in </w:t>
            </w:r>
            <w:r>
              <w:rPr>
                <w:rFonts w:hint="eastAsia" w:ascii="Times New Roman" w:hAnsi="Times New Roman" w:eastAsia="微软雅黑" w:cs="Times New Roman"/>
                <w:sz w:val="18"/>
                <w:szCs w:val="18"/>
                <w:lang w:bidi="ar"/>
              </w:rPr>
              <w:t>gene.genes</w:t>
            </w:r>
            <w:r>
              <w:rPr>
                <w:rFonts w:hint="eastAsia" w:ascii="Times New Roman" w:hAnsi="Times New Roman" w:eastAsia="微软雅黑" w:cs="Times New Roman"/>
                <w:sz w:val="18"/>
                <w:szCs w:val="18"/>
              </w:rPr>
              <w:t xml:space="preserve"> | red(7,18,</w:t>
            </w:r>
            <w:r>
              <w:rPr>
                <w:rFonts w:ascii="Times New Roman" w:hAnsi="Times New Roman" w:eastAsia="微软雅黑" w:cs="Times New Roman"/>
                <w:sz w:val="18"/>
                <w:szCs w:val="18"/>
              </w:rPr>
              <w:t>T</w:t>
            </w:r>
            <w:r>
              <w:rPr>
                <w:rFonts w:hint="eastAsia" w:ascii="Times New Roman" w:hAnsi="Times New Roman" w:eastAsia="微软雅黑" w:cs="Times New Roman"/>
                <w:sz w:val="18"/>
                <w:szCs w:val="18"/>
              </w:rPr>
              <w:t>ure)%}</w:t>
            </w:r>
          </w:p>
        </w:tc>
      </w:tr>
      <w:tr w14:paraId="33B8B234">
        <w:tblPrEx>
          <w:tblCellMar>
            <w:top w:w="0" w:type="dxa"/>
            <w:left w:w="0" w:type="dxa"/>
            <w:bottom w:w="0" w:type="dxa"/>
            <w:right w:w="0" w:type="dxa"/>
          </w:tblCellMar>
        </w:tblPrEx>
        <w:trPr>
          <w:trHeight w:val="340"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D30404">
            <w:pPr>
              <w:widowControl/>
              <w:jc w:val="center"/>
              <w:rPr>
                <w:rFonts w:ascii="Times New Roman" w:hAnsi="Times New Roman" w:eastAsia="微软雅黑" w:cs="Times New Roman"/>
                <w:i/>
                <w:iCs/>
                <w:color w:val="000000"/>
                <w:sz w:val="18"/>
                <w:szCs w:val="18"/>
                <w:lang w:bidi="ar"/>
              </w:rPr>
            </w:pPr>
            <w:r>
              <w:rPr>
                <w:rFonts w:hint="eastAsia" w:ascii="Times New Roman" w:hAnsi="Times New Roman" w:eastAsia="微软雅黑" w:cs="Times New Roman"/>
                <w:i/>
                <w:iCs/>
                <w:sz w:val="18"/>
                <w:szCs w:val="18"/>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DC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DEC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134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4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53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63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Gene[6] }}</w:t>
            </w:r>
          </w:p>
        </w:tc>
      </w:tr>
      <w:tr w14:paraId="4609BDA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994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{%tr endfor%}</w:t>
            </w:r>
          </w:p>
        </w:tc>
      </w:tr>
    </w:tbl>
    <w:p w14:paraId="7EBD2241">
      <w:pPr>
        <w:rPr>
          <w:rFonts w:hint="eastAsia"/>
        </w:rPr>
      </w:pPr>
      <w:r>
        <w:rPr>
          <w:rFonts w:ascii="Times New Roman" w:hAnsi="Times New Roman" w:eastAsia="微软雅黑" w:cs="Times New Roman"/>
          <w:b/>
          <w:bCs/>
          <w:sz w:val="18"/>
          <w:szCs w:val="18"/>
        </w:rPr>
        <w:t>注：</w:t>
      </w:r>
      <w:r>
        <w:rPr>
          <w:rFonts w:hint="eastAsia" w:ascii="Times New Roman" w:hAnsi="Times New Roman" w:eastAsia="微软雅黑" w:cs="Times New Roman"/>
          <w:sz w:val="18"/>
          <w:szCs w:val="18"/>
        </w:rPr>
        <w:t>红色标注基因表示本次检出结果阳性，无红色标注基因表示本次检出结果阴性。</w:t>
      </w:r>
    </w:p>
    <w:p w14:paraId="38D8041C">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6F956A18">
      <w:pPr>
        <w:pStyle w:val="3"/>
        <w:keepNext w:val="0"/>
        <w:keepLines w:val="0"/>
        <w:pageBreakBefore w:val="0"/>
        <w:widowControl w:val="0"/>
        <w:numPr>
          <w:ilvl w:val="0"/>
          <w:numId w:val="13"/>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6578F8EB">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9DEA8520"/>
    <w:multiLevelType w:val="singleLevel"/>
    <w:tmpl w:val="9DEA8520"/>
    <w:lvl w:ilvl="0" w:tentative="0">
      <w:start w:val="1"/>
      <w:numFmt w:val="decimal"/>
      <w:lvlText w:val="%1."/>
      <w:lvlJc w:val="left"/>
      <w:pPr>
        <w:tabs>
          <w:tab w:val="left" w:pos="295"/>
        </w:tabs>
        <w:ind w:left="295" w:hanging="295"/>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B573E4EF"/>
    <w:multiLevelType w:val="multilevel"/>
    <w:tmpl w:val="B573E4EF"/>
    <w:lvl w:ilvl="0" w:tentative="0">
      <w:start w:val="3"/>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微软雅黑" w:hAnsi="微软雅黑" w:eastAsia="微软雅黑" w:cs="微软雅黑"/>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4">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DA1C343"/>
    <w:multiLevelType w:val="singleLevel"/>
    <w:tmpl w:val="2DA1C343"/>
    <w:lvl w:ilvl="0" w:tentative="0">
      <w:start w:val="1"/>
      <w:numFmt w:val="decimal"/>
      <w:lvlText w:val="%1."/>
      <w:lvlJc w:val="left"/>
      <w:pPr>
        <w:ind w:left="425" w:hanging="425"/>
      </w:pPr>
      <w:rPr>
        <w:rFonts w:hint="default"/>
      </w:rPr>
    </w:lvl>
  </w:abstractNum>
  <w:abstractNum w:abstractNumId="9">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D2A38E"/>
    <w:multiLevelType w:val="singleLevel"/>
    <w:tmpl w:val="3FD2A38E"/>
    <w:lvl w:ilvl="0" w:tentative="0">
      <w:start w:val="1"/>
      <w:numFmt w:val="decimal"/>
      <w:lvlText w:val="%1."/>
      <w:lvlJc w:val="left"/>
      <w:pPr>
        <w:ind w:left="425" w:hanging="42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5"/>
  </w:num>
  <w:num w:numId="3">
    <w:abstractNumId w:val="1"/>
  </w:num>
  <w:num w:numId="4">
    <w:abstractNumId w:val="10"/>
  </w:num>
  <w:num w:numId="5">
    <w:abstractNumId w:val="15"/>
  </w:num>
  <w:num w:numId="6">
    <w:abstractNumId w:val="12"/>
  </w:num>
  <w:num w:numId="7">
    <w:abstractNumId w:val="11"/>
  </w:num>
  <w:num w:numId="8">
    <w:abstractNumId w:val="9"/>
  </w:num>
  <w:num w:numId="9">
    <w:abstractNumId w:val="3"/>
  </w:num>
  <w:num w:numId="10">
    <w:abstractNumId w:val="6"/>
  </w:num>
  <w:num w:numId="11">
    <w:abstractNumId w:val="4"/>
  </w:num>
  <w:num w:numId="12">
    <w:abstractNumId w:val="13"/>
  </w:num>
  <w:num w:numId="13">
    <w:abstractNumId w:val="0"/>
  </w:num>
  <w:num w:numId="14">
    <w:abstractNumId w:val="7"/>
  </w:num>
  <w:num w:numId="15">
    <w:abstractNumId w:val="14"/>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0"/>
  <w:displayVerticalDrawingGridEvery w:val="2"/>
  <w:characterSpacingControl w:val="doNotCompress"/>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D8321C"/>
    <w:rsid w:val="01EE084F"/>
    <w:rsid w:val="02B16749"/>
    <w:rsid w:val="02DA0B1E"/>
    <w:rsid w:val="030A1074"/>
    <w:rsid w:val="032B1BE2"/>
    <w:rsid w:val="035A176A"/>
    <w:rsid w:val="035C523B"/>
    <w:rsid w:val="03643579"/>
    <w:rsid w:val="039F085D"/>
    <w:rsid w:val="03BD5429"/>
    <w:rsid w:val="045F1F7F"/>
    <w:rsid w:val="04C72E3B"/>
    <w:rsid w:val="0645558F"/>
    <w:rsid w:val="06DD5923"/>
    <w:rsid w:val="07DF4045"/>
    <w:rsid w:val="080C0FCE"/>
    <w:rsid w:val="085444F7"/>
    <w:rsid w:val="090E6DE2"/>
    <w:rsid w:val="0A0502D0"/>
    <w:rsid w:val="0A4800D1"/>
    <w:rsid w:val="0ACD30F7"/>
    <w:rsid w:val="0B1D461D"/>
    <w:rsid w:val="0B697485"/>
    <w:rsid w:val="0B7C40A9"/>
    <w:rsid w:val="0BB05BB6"/>
    <w:rsid w:val="0BB717D7"/>
    <w:rsid w:val="0C65019C"/>
    <w:rsid w:val="0C813E69"/>
    <w:rsid w:val="0CB91E9E"/>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20D6845"/>
    <w:rsid w:val="133040B2"/>
    <w:rsid w:val="133A1527"/>
    <w:rsid w:val="134645CE"/>
    <w:rsid w:val="138E5E4D"/>
    <w:rsid w:val="14F416DE"/>
    <w:rsid w:val="15442DF3"/>
    <w:rsid w:val="166167A3"/>
    <w:rsid w:val="16986E38"/>
    <w:rsid w:val="16CC5916"/>
    <w:rsid w:val="16E157FE"/>
    <w:rsid w:val="16EF30D8"/>
    <w:rsid w:val="172D4F6E"/>
    <w:rsid w:val="172E1EC1"/>
    <w:rsid w:val="175A7638"/>
    <w:rsid w:val="1836136A"/>
    <w:rsid w:val="18504D21"/>
    <w:rsid w:val="1863573C"/>
    <w:rsid w:val="197113F3"/>
    <w:rsid w:val="19B06471"/>
    <w:rsid w:val="1A491A28"/>
    <w:rsid w:val="1A556FE9"/>
    <w:rsid w:val="1A627D5C"/>
    <w:rsid w:val="1AFA1FF1"/>
    <w:rsid w:val="1B125754"/>
    <w:rsid w:val="1BE4783E"/>
    <w:rsid w:val="1BE5687C"/>
    <w:rsid w:val="1C35254A"/>
    <w:rsid w:val="1C46724D"/>
    <w:rsid w:val="1C6B037B"/>
    <w:rsid w:val="1CCA0FFC"/>
    <w:rsid w:val="1D741D7F"/>
    <w:rsid w:val="1ED9132E"/>
    <w:rsid w:val="1EDA2B4A"/>
    <w:rsid w:val="1F1E171F"/>
    <w:rsid w:val="1FA77E9F"/>
    <w:rsid w:val="1FEB71C0"/>
    <w:rsid w:val="203945B9"/>
    <w:rsid w:val="207D13AB"/>
    <w:rsid w:val="20A0049E"/>
    <w:rsid w:val="20B147CB"/>
    <w:rsid w:val="2112792C"/>
    <w:rsid w:val="21390525"/>
    <w:rsid w:val="21742B65"/>
    <w:rsid w:val="21E4370A"/>
    <w:rsid w:val="222B0335"/>
    <w:rsid w:val="22D00B25"/>
    <w:rsid w:val="22E73BCC"/>
    <w:rsid w:val="233740CD"/>
    <w:rsid w:val="23396F85"/>
    <w:rsid w:val="23A75A11"/>
    <w:rsid w:val="24735323"/>
    <w:rsid w:val="24737443"/>
    <w:rsid w:val="24E370FD"/>
    <w:rsid w:val="250971A1"/>
    <w:rsid w:val="261C6242"/>
    <w:rsid w:val="268D2393"/>
    <w:rsid w:val="271D2C97"/>
    <w:rsid w:val="288406F2"/>
    <w:rsid w:val="28CE392E"/>
    <w:rsid w:val="293140D5"/>
    <w:rsid w:val="295C627B"/>
    <w:rsid w:val="29CF0D5E"/>
    <w:rsid w:val="2A27612F"/>
    <w:rsid w:val="2A283292"/>
    <w:rsid w:val="2B4E6910"/>
    <w:rsid w:val="2C1F4808"/>
    <w:rsid w:val="2C200BD1"/>
    <w:rsid w:val="2CAB7CC5"/>
    <w:rsid w:val="2CCD1101"/>
    <w:rsid w:val="2CD47D9D"/>
    <w:rsid w:val="2D4762FC"/>
    <w:rsid w:val="2D536CB5"/>
    <w:rsid w:val="2D542FB4"/>
    <w:rsid w:val="2DFE24A0"/>
    <w:rsid w:val="2F2B0C86"/>
    <w:rsid w:val="2F6767FD"/>
    <w:rsid w:val="2FC503D3"/>
    <w:rsid w:val="304D0D09"/>
    <w:rsid w:val="306F3BE1"/>
    <w:rsid w:val="31472B92"/>
    <w:rsid w:val="316628E9"/>
    <w:rsid w:val="319121DA"/>
    <w:rsid w:val="31EE517C"/>
    <w:rsid w:val="32215F9F"/>
    <w:rsid w:val="327A7BD3"/>
    <w:rsid w:val="329B4993"/>
    <w:rsid w:val="32A777DC"/>
    <w:rsid w:val="3309069A"/>
    <w:rsid w:val="33A23374"/>
    <w:rsid w:val="33CA1AD8"/>
    <w:rsid w:val="33F64577"/>
    <w:rsid w:val="340C0A8D"/>
    <w:rsid w:val="343949EB"/>
    <w:rsid w:val="34ED312A"/>
    <w:rsid w:val="35095EA0"/>
    <w:rsid w:val="37204A50"/>
    <w:rsid w:val="374B6987"/>
    <w:rsid w:val="37D030C6"/>
    <w:rsid w:val="382331AB"/>
    <w:rsid w:val="385555E4"/>
    <w:rsid w:val="387A7805"/>
    <w:rsid w:val="39A10BCE"/>
    <w:rsid w:val="3A0504C9"/>
    <w:rsid w:val="3A5F2230"/>
    <w:rsid w:val="3A670D93"/>
    <w:rsid w:val="3A8C29FB"/>
    <w:rsid w:val="3B361E49"/>
    <w:rsid w:val="3BEE2461"/>
    <w:rsid w:val="3C0F571D"/>
    <w:rsid w:val="3C4E0A85"/>
    <w:rsid w:val="3C573483"/>
    <w:rsid w:val="3C8D3911"/>
    <w:rsid w:val="3E79229B"/>
    <w:rsid w:val="3E8F39DA"/>
    <w:rsid w:val="3ED529B9"/>
    <w:rsid w:val="3F2D78C6"/>
    <w:rsid w:val="3F632CDC"/>
    <w:rsid w:val="3FAE2946"/>
    <w:rsid w:val="3FAF13AE"/>
    <w:rsid w:val="40130E29"/>
    <w:rsid w:val="40AC684C"/>
    <w:rsid w:val="40DE07F5"/>
    <w:rsid w:val="41146FE8"/>
    <w:rsid w:val="415617C0"/>
    <w:rsid w:val="417702E7"/>
    <w:rsid w:val="41D23E46"/>
    <w:rsid w:val="42323D75"/>
    <w:rsid w:val="426C0A6E"/>
    <w:rsid w:val="42A11566"/>
    <w:rsid w:val="42AB2BD6"/>
    <w:rsid w:val="436069EE"/>
    <w:rsid w:val="43C2164A"/>
    <w:rsid w:val="43E31A09"/>
    <w:rsid w:val="44432484"/>
    <w:rsid w:val="444628E2"/>
    <w:rsid w:val="444E69CA"/>
    <w:rsid w:val="4467501D"/>
    <w:rsid w:val="449030E7"/>
    <w:rsid w:val="449470E1"/>
    <w:rsid w:val="44A44E84"/>
    <w:rsid w:val="44D12FF3"/>
    <w:rsid w:val="451832ED"/>
    <w:rsid w:val="454D259D"/>
    <w:rsid w:val="45723C79"/>
    <w:rsid w:val="45761F2E"/>
    <w:rsid w:val="45F316C1"/>
    <w:rsid w:val="4699195A"/>
    <w:rsid w:val="46C567B5"/>
    <w:rsid w:val="46DE7698"/>
    <w:rsid w:val="48AC3B9E"/>
    <w:rsid w:val="48D14A7C"/>
    <w:rsid w:val="495A2347"/>
    <w:rsid w:val="49A319ED"/>
    <w:rsid w:val="49C10D2B"/>
    <w:rsid w:val="4ACE6BD0"/>
    <w:rsid w:val="4B0E2F39"/>
    <w:rsid w:val="4B8247F5"/>
    <w:rsid w:val="4BAD2017"/>
    <w:rsid w:val="4C4F39D5"/>
    <w:rsid w:val="4C7D29CB"/>
    <w:rsid w:val="4CA4180F"/>
    <w:rsid w:val="4D1F7D6E"/>
    <w:rsid w:val="4D300C08"/>
    <w:rsid w:val="4D5036AB"/>
    <w:rsid w:val="4DD70392"/>
    <w:rsid w:val="4E1526AE"/>
    <w:rsid w:val="4E8E2795"/>
    <w:rsid w:val="4E941BA3"/>
    <w:rsid w:val="4EA55F05"/>
    <w:rsid w:val="4F1700B8"/>
    <w:rsid w:val="4FA730A5"/>
    <w:rsid w:val="4FC374CC"/>
    <w:rsid w:val="4FE5146F"/>
    <w:rsid w:val="5081012C"/>
    <w:rsid w:val="50E342C3"/>
    <w:rsid w:val="510117B1"/>
    <w:rsid w:val="5136083B"/>
    <w:rsid w:val="51646B6C"/>
    <w:rsid w:val="51B07017"/>
    <w:rsid w:val="5226439F"/>
    <w:rsid w:val="525D71C4"/>
    <w:rsid w:val="528147CF"/>
    <w:rsid w:val="52D6395C"/>
    <w:rsid w:val="538057B3"/>
    <w:rsid w:val="53BF6310"/>
    <w:rsid w:val="542D76E9"/>
    <w:rsid w:val="5459613F"/>
    <w:rsid w:val="552863E9"/>
    <w:rsid w:val="565F7902"/>
    <w:rsid w:val="568922AB"/>
    <w:rsid w:val="56D35F07"/>
    <w:rsid w:val="570B25AE"/>
    <w:rsid w:val="57117FB5"/>
    <w:rsid w:val="57323268"/>
    <w:rsid w:val="57974C8E"/>
    <w:rsid w:val="57CC7219"/>
    <w:rsid w:val="58162B65"/>
    <w:rsid w:val="587D548B"/>
    <w:rsid w:val="589870FB"/>
    <w:rsid w:val="58E35061"/>
    <w:rsid w:val="58FC26D7"/>
    <w:rsid w:val="59623892"/>
    <w:rsid w:val="5A33044A"/>
    <w:rsid w:val="5B356BDD"/>
    <w:rsid w:val="5B976FC1"/>
    <w:rsid w:val="5BEA6B3E"/>
    <w:rsid w:val="5BF94292"/>
    <w:rsid w:val="5C0E1B80"/>
    <w:rsid w:val="5C247125"/>
    <w:rsid w:val="5C5C54BA"/>
    <w:rsid w:val="5CAA6024"/>
    <w:rsid w:val="5CD63135"/>
    <w:rsid w:val="5D6513C2"/>
    <w:rsid w:val="5D6D5411"/>
    <w:rsid w:val="5DBC6F48"/>
    <w:rsid w:val="5DF53F95"/>
    <w:rsid w:val="5E0448E8"/>
    <w:rsid w:val="5E1155DC"/>
    <w:rsid w:val="5E3877B6"/>
    <w:rsid w:val="5E4B2925"/>
    <w:rsid w:val="5E59788A"/>
    <w:rsid w:val="5E5D50D2"/>
    <w:rsid w:val="5E8A398A"/>
    <w:rsid w:val="5EF0750C"/>
    <w:rsid w:val="5F1A0523"/>
    <w:rsid w:val="5F8C08EA"/>
    <w:rsid w:val="60095BA6"/>
    <w:rsid w:val="60256D04"/>
    <w:rsid w:val="60654544"/>
    <w:rsid w:val="60AC26EF"/>
    <w:rsid w:val="617C0DC9"/>
    <w:rsid w:val="627E55B4"/>
    <w:rsid w:val="62C531E2"/>
    <w:rsid w:val="63191049"/>
    <w:rsid w:val="635147E4"/>
    <w:rsid w:val="63595768"/>
    <w:rsid w:val="63894210"/>
    <w:rsid w:val="641E158C"/>
    <w:rsid w:val="6450167E"/>
    <w:rsid w:val="64516B62"/>
    <w:rsid w:val="648C0434"/>
    <w:rsid w:val="65452B0E"/>
    <w:rsid w:val="654F43C0"/>
    <w:rsid w:val="65501D46"/>
    <w:rsid w:val="65B53A3E"/>
    <w:rsid w:val="65C178C7"/>
    <w:rsid w:val="65DF0ECB"/>
    <w:rsid w:val="663E7162"/>
    <w:rsid w:val="66432D9C"/>
    <w:rsid w:val="66710920"/>
    <w:rsid w:val="67242BCD"/>
    <w:rsid w:val="67DF62C5"/>
    <w:rsid w:val="6822110B"/>
    <w:rsid w:val="68896BF3"/>
    <w:rsid w:val="69182419"/>
    <w:rsid w:val="692963D7"/>
    <w:rsid w:val="693D1C6D"/>
    <w:rsid w:val="696B2299"/>
    <w:rsid w:val="696B3FA3"/>
    <w:rsid w:val="698044F4"/>
    <w:rsid w:val="69DB74AC"/>
    <w:rsid w:val="6A211646"/>
    <w:rsid w:val="6A32564C"/>
    <w:rsid w:val="6A6E3115"/>
    <w:rsid w:val="6B2520C6"/>
    <w:rsid w:val="6B6E6F24"/>
    <w:rsid w:val="6BE61A0D"/>
    <w:rsid w:val="6BFA5082"/>
    <w:rsid w:val="6C7D7C32"/>
    <w:rsid w:val="6D1F799B"/>
    <w:rsid w:val="6D361187"/>
    <w:rsid w:val="6E481A15"/>
    <w:rsid w:val="6E75472D"/>
    <w:rsid w:val="6E8E3022"/>
    <w:rsid w:val="6F415570"/>
    <w:rsid w:val="6F4C2AA5"/>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A042BA"/>
    <w:rsid w:val="72D81E1F"/>
    <w:rsid w:val="732C6966"/>
    <w:rsid w:val="73A330CC"/>
    <w:rsid w:val="73BB2205"/>
    <w:rsid w:val="73EA7F5B"/>
    <w:rsid w:val="73F9408B"/>
    <w:rsid w:val="743306B3"/>
    <w:rsid w:val="74367A9C"/>
    <w:rsid w:val="74372486"/>
    <w:rsid w:val="74692B38"/>
    <w:rsid w:val="74975E44"/>
    <w:rsid w:val="74C13EDD"/>
    <w:rsid w:val="74C23FF5"/>
    <w:rsid w:val="7523578E"/>
    <w:rsid w:val="75516763"/>
    <w:rsid w:val="760426CC"/>
    <w:rsid w:val="76051E1C"/>
    <w:rsid w:val="76441BDB"/>
    <w:rsid w:val="765B0A6B"/>
    <w:rsid w:val="76CD26D9"/>
    <w:rsid w:val="77CB2E7D"/>
    <w:rsid w:val="77F424C6"/>
    <w:rsid w:val="782878D8"/>
    <w:rsid w:val="78697EA9"/>
    <w:rsid w:val="789A3C5D"/>
    <w:rsid w:val="78BA0E7B"/>
    <w:rsid w:val="78C91C63"/>
    <w:rsid w:val="792A3948"/>
    <w:rsid w:val="79355B9E"/>
    <w:rsid w:val="79D31CC7"/>
    <w:rsid w:val="7A360C00"/>
    <w:rsid w:val="7AFE6E3A"/>
    <w:rsid w:val="7B382FB9"/>
    <w:rsid w:val="7B3E7DA0"/>
    <w:rsid w:val="7BA16014"/>
    <w:rsid w:val="7C192247"/>
    <w:rsid w:val="7C4E1817"/>
    <w:rsid w:val="7C735456"/>
    <w:rsid w:val="7CA705C1"/>
    <w:rsid w:val="7CA70E63"/>
    <w:rsid w:val="7D1A4255"/>
    <w:rsid w:val="7DBA2FBF"/>
    <w:rsid w:val="7DC37B21"/>
    <w:rsid w:val="7DDA3D59"/>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字符"/>
    <w:basedOn w:val="21"/>
    <w:link w:val="4"/>
    <w:qFormat/>
    <w:uiPriority w:val="0"/>
    <w:rPr>
      <w:rFonts w:ascii="宋体" w:hAnsi="宋体" w:cs="宋体"/>
      <w:sz w:val="30"/>
      <w:szCs w:val="30"/>
    </w:rPr>
  </w:style>
  <w:style w:type="character" w:customStyle="1" w:styleId="26">
    <w:name w:val="批注文字 字符"/>
    <w:basedOn w:val="21"/>
    <w:link w:val="9"/>
    <w:qFormat/>
    <w:uiPriority w:val="0"/>
    <w:rPr>
      <w:rFonts w:ascii="宋体" w:hAnsi="宋体" w:cs="宋体"/>
      <w:sz w:val="22"/>
      <w:szCs w:val="22"/>
    </w:rPr>
  </w:style>
  <w:style w:type="character" w:customStyle="1" w:styleId="27">
    <w:name w:val="批注框文本 字符"/>
    <w:link w:val="12"/>
    <w:qFormat/>
    <w:uiPriority w:val="0"/>
    <w:rPr>
      <w:rFonts w:hint="default" w:ascii="宋体" w:hAnsi="宋体" w:cs="宋体"/>
      <w:sz w:val="18"/>
      <w:szCs w:val="18"/>
      <w:lang w:eastAsia="en-US"/>
    </w:rPr>
  </w:style>
  <w:style w:type="character" w:customStyle="1" w:styleId="28">
    <w:name w:val="页脚 字符"/>
    <w:link w:val="13"/>
    <w:qFormat/>
    <w:uiPriority w:val="0"/>
    <w:rPr>
      <w:rFonts w:hint="default" w:ascii="宋体" w:hAnsi="宋体" w:eastAsia="宋体" w:cs="宋体"/>
      <w:sz w:val="18"/>
      <w:szCs w:val="18"/>
    </w:rPr>
  </w:style>
  <w:style w:type="character" w:customStyle="1" w:styleId="29">
    <w:name w:val="页眉 字符"/>
    <w:link w:val="14"/>
    <w:qFormat/>
    <w:uiPriority w:val="0"/>
    <w:rPr>
      <w:rFonts w:hint="default" w:ascii="宋体" w:hAnsi="宋体" w:eastAsia="宋体" w:cs="宋体"/>
      <w:sz w:val="18"/>
      <w:szCs w:val="18"/>
    </w:rPr>
  </w:style>
  <w:style w:type="character" w:customStyle="1" w:styleId="30">
    <w:name w:val="批注主题 字符"/>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网格表 4 - 着色 12"/>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spacing w:before="12" w:line="380" w:lineRule="exact"/>
      <w:ind w:left="0"/>
    </w:pPr>
    <w:rPr>
      <w:rFonts w:cs="Times New Roman"/>
      <w:color w:val="416AAB"/>
      <w:szCs w:val="24"/>
    </w:rPr>
  </w:style>
  <w:style w:type="paragraph" w:customStyle="1" w:styleId="54">
    <w:name w:val="msolistparagraph"/>
    <w:basedOn w:val="1"/>
    <w:qFormat/>
    <w:uiPriority w:val="0"/>
    <w:pPr>
      <w:ind w:firstLine="420" w:firstLineChars="200"/>
    </w:pPr>
    <w:rPr>
      <w:rFonts w:hint="eastAsia" w:cs="Times New Roma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27</Pages>
  <Words>8811</Words>
  <Characters>20909</Characters>
  <Lines>1</Lines>
  <Paragraphs>1</Paragraphs>
  <TotalTime>0</TotalTime>
  <ScaleCrop>false</ScaleCrop>
  <LinksUpToDate>false</LinksUpToDate>
  <CharactersWithSpaces>22599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2025-03-13T02:04:20Z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