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肿瘤定制化检测中级套餐（86基因）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eastAsia" w:ascii="宋体" w:hAnsi="宋体" w:eastAsia="宋体" w:cs="宋体"/>
                <w:kern w:val="0"/>
                <w:sz w:val="24"/>
                <w:szCs w:val="24"/>
                <w:lang w:eastAsia="zh-CN"/>
              </w:rPr>
              <w:t>86个基因，检测突变形式为点突变（SNV）、小片段插入缺失（INDEL）、拷贝数变异（CNV）以及融合（FUSION）。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9D33C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149837259"/>
      <w:bookmarkStart w:id="1" w:name="_Toc30305"/>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op w:val="nil"/>
              <w:left w:val="nil"/>
              <w:right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right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bottom w:val="single" w:color="000000" w:themeColor="text1" w:sz="4" w:space="0"/>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839"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866"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left w:val="nil"/>
              <w:bottom w:val="single" w:color="000000" w:themeColor="text1" w:sz="4" w:space="0"/>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sz w:val="28"/>
        </w:rPr>
        <mc:AlternateContent>
          <mc:Choice Requires="wps">
            <w:drawing>
              <wp:inline distT="0" distB="0" distL="114300" distR="114300">
                <wp:extent cx="6263640" cy="372745"/>
                <wp:effectExtent l="0" t="0" r="0" b="8255"/>
                <wp:docPr id="5" name="文本框 5"/>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cU0J&#10;FNgAAAAEAQAADwAAAAAAAAABACAAAAAiAAAAZHJzL2Rvd25yZXYueG1sUEsBAhQAFAAAAAgAh07i&#10;QP6o3vNbAgAAmgQAAA4AAAAAAAAAAQAgAAAAJwEAAGRycy9lMm9Eb2MueG1sUEsFBgAAAAAGAAYA&#10;WQEAAPQFAAAAAA==&#10;">
                <v:fill on="t" focussize="0,0"/>
                <v:stroke on="f" weight="0.5pt"/>
                <v:imagedata o:title=""/>
                <o:lock v:ext="edit" aspectratio="f"/>
                <v:textbo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F66FDC2">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1181A41B">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l2br w:val="nil"/>
              <w:tr2bl w:val="nil"/>
            </w:tcBorders>
            <w:shd w:val="clear" w:color="auto" w:fill="00D392"/>
            <w:vAlign w:val="center"/>
          </w:tcPr>
          <w:p w14:paraId="0D47C0A5">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790BE062">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3E891B20">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检测意义</w:t>
            </w:r>
          </w:p>
        </w:tc>
      </w:tr>
      <w:tr w14:paraId="3AD3128D">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1FF27A5C">
            <w:pPr>
              <w:widowControl/>
              <w:snapToGrid w:val="0"/>
              <w:jc w:val="center"/>
              <w:textAlignment w:val="center"/>
              <w:rPr>
                <w:rFonts w:hint="eastAsia" w:ascii="宋体" w:hAnsi="宋体" w:eastAsia="宋体" w:cs="宋体"/>
                <w:b/>
                <w:bCs/>
                <w:color w:val="000000"/>
                <w:sz w:val="18"/>
                <w:szCs w:val="18"/>
                <w:lang w:eastAsia="zh-CN"/>
              </w:rPr>
            </w:pPr>
            <w:r>
              <w:rPr>
                <w:rStyle w:val="31"/>
                <w:rFonts w:hint="eastAsia" w:ascii="宋体" w:hAnsi="宋体" w:eastAsia="宋体" w:cs="宋体"/>
                <w:sz w:val="18"/>
                <w:szCs w:val="18"/>
                <w:lang w:eastAsia="zh-CN" w:bidi="ar"/>
              </w:rPr>
              <w:t>微卫星不稳定（</w:t>
            </w:r>
            <w:r>
              <w:rPr>
                <w:rStyle w:val="32"/>
                <w:rFonts w:hint="eastAsia" w:ascii="宋体" w:hAnsi="宋体" w:eastAsia="宋体" w:cs="宋体"/>
                <w:sz w:val="18"/>
                <w:szCs w:val="18"/>
                <w:lang w:eastAsia="zh-CN" w:bidi="ar"/>
              </w:rPr>
              <w:t>MSI</w:t>
            </w:r>
            <w:r>
              <w:rPr>
                <w:rStyle w:val="31"/>
                <w:rFonts w:hint="eastAsia" w:ascii="宋体" w:hAnsi="宋体" w:eastAsia="宋体" w:cs="宋体"/>
                <w:sz w:val="18"/>
                <w:szCs w:val="18"/>
                <w:lang w:eastAsia="zh-CN" w:bidi="ar"/>
              </w:rPr>
              <w:t>）</w:t>
            </w:r>
          </w:p>
        </w:tc>
        <w:tc>
          <w:tcPr>
            <w:tcW w:w="3209" w:type="dxa"/>
            <w:shd w:val="clear" w:color="auto" w:fill="auto"/>
            <w:vAlign w:val="center"/>
          </w:tcPr>
          <w:p w14:paraId="2355E450">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shd w:val="clear" w:color="auto" w:fill="auto"/>
            <w:vAlign w:val="center"/>
          </w:tcPr>
          <w:p w14:paraId="04D8B8B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6"/>
                <w:rFonts w:hint="eastAsia" w:ascii="宋体" w:hAnsi="宋体" w:eastAsia="宋体" w:cs="宋体"/>
                <w:sz w:val="18"/>
                <w:szCs w:val="18"/>
                <w:lang w:eastAsia="zh-CN" w:bidi="ar"/>
              </w:rPr>
              <w:t>微卫星不稳定型（</w:t>
            </w:r>
            <w:r>
              <w:rPr>
                <w:rStyle w:val="33"/>
                <w:rFonts w:hint="eastAsia" w:ascii="宋体" w:hAnsi="宋体" w:eastAsia="宋体" w:cs="宋体"/>
                <w:sz w:val="18"/>
                <w:szCs w:val="18"/>
                <w:lang w:eastAsia="zh-CN" w:bidi="ar"/>
              </w:rPr>
              <w:t>MSI-H</w:t>
            </w:r>
            <w:r>
              <w:rPr>
                <w:rStyle w:val="36"/>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122F7DFE">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1C6F4384">
            <w:pPr>
              <w:widowControl/>
              <w:snapToGrid w:val="0"/>
              <w:jc w:val="center"/>
              <w:textAlignment w:val="center"/>
              <w:rPr>
                <w:rStyle w:val="31"/>
                <w:rFonts w:hint="eastAsia" w:ascii="宋体" w:hAnsi="宋体" w:eastAsia="宋体" w:cs="宋体"/>
                <w:sz w:val="18"/>
                <w:szCs w:val="18"/>
                <w:highlight w:val="yellow"/>
                <w:lang w:eastAsia="zh-CN" w:bidi="ar"/>
              </w:rPr>
            </w:pPr>
            <w:r>
              <w:rPr>
                <w:rStyle w:val="31"/>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2F4395F3">
            <w:pPr>
              <w:snapToGrid w:val="0"/>
              <w:jc w:val="left"/>
              <w:rPr>
                <w:rStyle w:val="31"/>
                <w:rFonts w:hint="eastAsia" w:ascii="宋体" w:hAnsi="宋体" w:eastAsia="宋体" w:cs="宋体"/>
                <w:sz w:val="18"/>
                <w:szCs w:val="18"/>
                <w:highlight w:val="none"/>
                <w:lang w:val="en-US" w:eastAsia="zh-CN" w:bidi="ar"/>
              </w:rPr>
            </w:pPr>
            <w:r>
              <w:rPr>
                <w:rStyle w:val="36"/>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4265CA3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6579235E">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364BF52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3BF9B7CA">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302652">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42AD105">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1BBBA19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6C31E24">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C666D2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C92E7CB">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E16D2F">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4F63B31">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33E973F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3D9DA8DD">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65A27E6">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2EE78F1">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6398869">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3D56645">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72BB0E3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3"/>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5574437">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3DA0BA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numPr>
          <w:ilvl w:val="0"/>
          <w:numId w:val="0"/>
        </w:numPr>
        <w:ind w:leftChars="0"/>
        <w:rPr>
          <w:sz w:val="28"/>
          <w:lang w:eastAsia="zh-CN"/>
        </w:rPr>
      </w:pP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op w:val="nil"/>
              <w:left w:val="nil"/>
              <w:right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tcBorders>
              <w:bottom w:val="single" w:color="000000" w:themeColor="text1" w:sz="4" w:space="0"/>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op w:val="nil"/>
              <w:left w:val="nil"/>
              <w:right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bottom w:val="single" w:color="000000" w:themeColor="text1" w:sz="4" w:space="0"/>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C64B9FF">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711C3019">
            <w:pPr>
              <w:spacing w:before="13" w:line="252" w:lineRule="auto"/>
              <w:ind w:right="174"/>
              <w:jc w:val="left"/>
              <w:rPr>
                <w:rFonts w:hint="eastAsia" w:ascii="宋体" w:hAnsi="宋体" w:eastAsia="宋体" w:cs="宋体"/>
                <w:b/>
                <w:bCs/>
                <w:color w:val="000000"/>
                <w:kern w:val="0"/>
                <w:sz w:val="13"/>
                <w:szCs w:val="13"/>
                <w:lang w:val="en-US" w:eastAsia="zh-CN" w:bidi="ar"/>
              </w:rPr>
            </w:pPr>
          </w:p>
          <w:p w14:paraId="1FE35BF3">
            <w:pPr>
              <w:spacing w:before="13" w:line="252" w:lineRule="auto"/>
              <w:ind w:right="174"/>
              <w:jc w:val="left"/>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7AEB23FD">
      <w:pPr>
        <w:rPr>
          <w:rFonts w:hint="eastAsia"/>
          <w:sz w:val="30"/>
          <w:lang w:eastAsia="zh-CN"/>
        </w:rPr>
      </w:pPr>
      <w:r>
        <w:rPr>
          <w:rFonts w:hint="eastAsia"/>
          <w:color w:val="000000" w:themeColor="text1"/>
          <w14:textFill>
            <w14:solidFill>
              <w14:schemeClr w14:val="tx1"/>
            </w14:solidFill>
          </w14:textFill>
        </w:rPr>
        <w:t>{%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right w:val="single" w:color="FFFFFF" w:sz="18" w:space="0"/>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right w:val="single" w:color="FFFFFF" w:sz="18" w:space="0"/>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single" w:color="FFFFFF" w:sz="18" w:space="0"/>
              <w:right w:val="single" w:color="FFFFFF" w:sz="18" w:space="0"/>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right w:val="single" w:color="FFFFFF" w:sz="18" w:space="0"/>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right w:val="single" w:color="FFFFFF" w:sz="18" w:space="0"/>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single" w:color="FFFFFF" w:sz="18" w:space="0"/>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tcBorders>
              <w:bottom w:val="single" w:color="000000" w:themeColor="text1" w:sz="4" w:space="0"/>
            </w:tcBorders>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2"/>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2" w:name="_Toc13196_WPSOffice_Level1"/>
      <w:bookmarkStart w:id="3" w:name="_Toc16594"/>
      <w:bookmarkStart w:id="4" w:name="_Toc2409"/>
      <w:bookmarkStart w:id="5" w:name="_Toc21764_WPSOffice_Level1"/>
      <w:bookmarkStart w:id="6" w:name="_Toc12505"/>
      <w:bookmarkStart w:id="7" w:name="_Toc27302"/>
      <w:bookmarkStart w:id="8" w:name="_Toc28240"/>
      <w:bookmarkStart w:id="9" w:name="_Toc1707_WPSOffice_Level1"/>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2"/>
    <w:bookmarkEnd w:id="3"/>
    <w:bookmarkEnd w:id="4"/>
    <w:bookmarkEnd w:id="5"/>
    <w:bookmarkEnd w:id="6"/>
    <w:bookmarkEnd w:id="7"/>
    <w:bookmarkEnd w:id="8"/>
    <w:bookmarkEnd w:id="9"/>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0" w:name="_Toc19443"/>
      <w:bookmarkStart w:id="11" w:name="_Toc149837268"/>
      <w:bookmarkStart w:id="12" w:name="_Toc30346"/>
      <w:bookmarkStart w:id="13"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0"/>
      <w:bookmarkEnd w:id="11"/>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12"/>
      <w:bookmarkEnd w:id="13"/>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0A33F9C8">
      <w:pPr>
        <w:rPr>
          <w:rFonts w:ascii="Times New Roman" w:hAnsi="Times New Roman" w:eastAsia="微软雅黑" w:cs="Times New Roman"/>
          <w:sz w:val="24"/>
          <w:szCs w:val="24"/>
          <w:lang w:eastAsia="zh-CN"/>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0ADF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CDDB0E0">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47C48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4EF5A0C2">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Gene[0] }}</w:t>
            </w:r>
          </w:p>
        </w:tc>
        <w:tc>
          <w:tcPr>
            <w:tcW w:w="1247" w:type="dxa"/>
            <w:vAlign w:val="center"/>
          </w:tcPr>
          <w:p w14:paraId="1D431958">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Gene[1] }}</w:t>
            </w:r>
          </w:p>
        </w:tc>
        <w:tc>
          <w:tcPr>
            <w:tcW w:w="1247" w:type="dxa"/>
            <w:vAlign w:val="center"/>
          </w:tcPr>
          <w:p w14:paraId="60DD3036">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Gene[2] }}</w:t>
            </w:r>
          </w:p>
        </w:tc>
        <w:tc>
          <w:tcPr>
            <w:tcW w:w="1247" w:type="dxa"/>
            <w:vAlign w:val="center"/>
          </w:tcPr>
          <w:p w14:paraId="5C2DA16B">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Gene[3] }}</w:t>
            </w:r>
          </w:p>
        </w:tc>
        <w:tc>
          <w:tcPr>
            <w:tcW w:w="1247" w:type="dxa"/>
            <w:vAlign w:val="center"/>
          </w:tcPr>
          <w:p w14:paraId="551DEEF1">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Gene[4] }}</w:t>
            </w:r>
          </w:p>
        </w:tc>
        <w:tc>
          <w:tcPr>
            <w:tcW w:w="1247" w:type="dxa"/>
            <w:vAlign w:val="center"/>
          </w:tcPr>
          <w:p w14:paraId="3D2AAA65">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Gene[5] }}</w:t>
            </w:r>
          </w:p>
        </w:tc>
        <w:tc>
          <w:tcPr>
            <w:tcW w:w="1247" w:type="dxa"/>
            <w:vAlign w:val="center"/>
          </w:tcPr>
          <w:p w14:paraId="4ED7C129">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6</w:t>
            </w:r>
            <w:r>
              <w:rPr>
                <w:rFonts w:hint="eastAsia" w:ascii="Times New Roman" w:hAnsi="Times New Roman" w:eastAsia="微软雅黑" w:cs="Times New Roman"/>
                <w:i/>
                <w:sz w:val="18"/>
                <w:szCs w:val="18"/>
                <w:lang w:eastAsia="zh-CN"/>
              </w:rPr>
              <w:t>] }}</w:t>
            </w:r>
          </w:p>
        </w:tc>
        <w:tc>
          <w:tcPr>
            <w:tcW w:w="1247" w:type="dxa"/>
            <w:vAlign w:val="center"/>
          </w:tcPr>
          <w:p w14:paraId="0B619523">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7</w:t>
            </w:r>
            <w:r>
              <w:rPr>
                <w:rFonts w:hint="eastAsia" w:ascii="Times New Roman" w:hAnsi="Times New Roman" w:eastAsia="微软雅黑" w:cs="Times New Roman"/>
                <w:i/>
                <w:sz w:val="18"/>
                <w:szCs w:val="18"/>
                <w:lang w:eastAsia="zh-CN"/>
              </w:rPr>
              <w:t>] }}</w:t>
            </w:r>
          </w:p>
        </w:tc>
      </w:tr>
      <w:tr w14:paraId="5D8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78F87DC7">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bookmarkStart w:id="14" w:name="_Toc15114"/>
      <w:bookmarkStart w:id="15" w:name="_Toc3409"/>
      <w:bookmarkStart w:id="16" w:name="_Toc20924"/>
      <w:bookmarkStart w:id="17" w:name="_Toc28454_WPSOffice_Level1"/>
      <w:bookmarkStart w:id="18" w:name="_Toc20170_WPSOffice_Level1"/>
      <w:bookmarkStart w:id="19" w:name="_Toc31185"/>
      <w:bookmarkStart w:id="20" w:name="_Toc27693"/>
      <w:bookmarkStart w:id="21" w:name="_Toc26985_WPSOffice_Level1"/>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14"/>
    <w:bookmarkEnd w:id="15"/>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采用目标区域探针捕获技术，基于Illumina测序平台的二代高通量测序技术(NGS)对样本进行检测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w:t>
      </w:r>
      <w:bookmarkStart w:id="33" w:name="_GoBack"/>
      <w:bookmarkEnd w:id="33"/>
      <w:r>
        <w:rPr>
          <w:rFonts w:hint="eastAsia" w:ascii="宋体" w:hAnsi="宋体" w:eastAsia="宋体" w:cs="宋体"/>
          <w:color w:val="000000" w:themeColor="text1"/>
          <w:sz w:val="21"/>
          <w:szCs w:val="21"/>
          <w:highlight w:val="none"/>
          <w:lang w:val="en-US" w:eastAsia="zh-CN"/>
          <w14:textFill>
            <w14:solidFill>
              <w14:schemeClr w14:val="tx1"/>
            </w14:solidFill>
          </w14:textFill>
        </w:rPr>
        <w:t>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4"/>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6"/>
      <w:bookmarkEnd w:id="17"/>
      <w:bookmarkEnd w:id="18"/>
      <w:bookmarkEnd w:id="19"/>
      <w:bookmarkEnd w:id="20"/>
      <w:bookmarkEnd w:id="21"/>
      <w:bookmarkStart w:id="22" w:name="_Toc22162_WPSOffice_Level1"/>
      <w:bookmarkStart w:id="23" w:name="_Toc19584_WPSOffice_Level1"/>
      <w:bookmarkStart w:id="24" w:name="_Toc14611_WPSOffice_Level1"/>
      <w:bookmarkStart w:id="25" w:name="_Toc17792_WPSOffice_Level2"/>
      <w:bookmarkStart w:id="26" w:name="_Toc22623"/>
      <w:bookmarkStart w:id="27" w:name="_Toc13275"/>
    </w:p>
    <w:p w14:paraId="23DBC5C7">
      <w:pPr>
        <w:rPr>
          <w:rFonts w:hint="eastAsia" w:ascii="Times New Roman" w:hAnsi="Times New Roman" w:eastAsia="微软雅黑" w:cs="Times New Roman"/>
          <w:bCs/>
          <w:sz w:val="21"/>
          <w:szCs w:val="21"/>
          <w:lang w:val="en-US" w:eastAsia="zh-CN"/>
        </w:rPr>
      </w:pPr>
      <w:bookmarkStart w:id="28" w:name="_Toc24849"/>
      <w:bookmarkStart w:id="29" w:name="_Toc23906"/>
      <w:bookmarkStart w:id="30" w:name="_Toc21361"/>
      <w:bookmarkStart w:id="31" w:name="_Toc22967"/>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8"/>
      <w:bookmarkEnd w:id="29"/>
      <w:bookmarkEnd w:id="30"/>
      <w:bookmarkEnd w:id="31"/>
    </w:p>
    <w:p w14:paraId="1D6EF290">
      <w:pPr>
        <w:rPr>
          <w:rFonts w:hint="eastAsia" w:ascii="Times New Roman" w:hAnsi="Times New Roman" w:eastAsia="微软雅黑" w:cs="Times New Roman"/>
          <w:bCs/>
          <w:sz w:val="21"/>
          <w:szCs w:val="21"/>
          <w:lang w:val="en-US" w:eastAsia="zh-CN"/>
        </w:rPr>
      </w:pPr>
    </w:p>
    <w:bookmarkEnd w:id="22"/>
    <w:bookmarkEnd w:id="23"/>
    <w:bookmarkEnd w:id="24"/>
    <w:bookmarkEnd w:id="25"/>
    <w:bookmarkEnd w:id="26"/>
    <w:bookmarkEnd w:id="27"/>
    <w:p w14:paraId="1B63E10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Shaw AT, Bauer TM, de Marinis F, et al. First-line lorlatinib or crizotinib in advanced ALK-positive lung cancer. N Engl J Med. 2020;383(21):2018-2029. [PMID: 33207094]</w:t>
      </w:r>
    </w:p>
    <w:p w14:paraId="5AD936E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1E16B34A">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A5F3A73">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6DFDAC7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Yaeger R, et al. Encorafenib, binimetinib, and cetuximab in BRAF V600E-mutated colorectal cancer. N Engl J Med. 2019;381(17):1632-1643. [PMID: 31566309]</w:t>
      </w:r>
    </w:p>
    <w:p w14:paraId="2CE12CD0">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15F85E0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781D9DE7">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5D3A03C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31F790C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30A71BB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16BA7F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Loriot Y, Necchi A, Park SH, et al. Erdafitinib in locally advanced or metastatic urothelial carcinoma. N Engl J Med. 2019;381(4):338-348. [PMID: 31340094]</w:t>
      </w:r>
    </w:p>
    <w:p w14:paraId="5E6C41A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239E4CF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Chung HC, et al. First-line pembrolizumab/placebo plus trastuzumab and chemotherapy in HER2-positive advanced gastric cancer: KEYNOTE-811. Future Oncol 2021 Feb;17(5):491-501. [PMID: 33167735]</w:t>
      </w:r>
    </w:p>
    <w:p w14:paraId="4D5DE07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"https://pubmed.ncbi.nlm.nih.gov/?term=Lee+HW&amp;cauthor_id=32636318"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Lee</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HW,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"https://pubmed.ncbi.nlm.nih.gov/?term=Sa+JK&amp;cauthor_id=32636318"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Sa</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JK,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"https://pubmed.ncbi.nlm.nih.gov/?term=Gualberto+A&amp;cauthor_id=32636318"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Gualberto</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A, et al. A phase II trial of tipifarnib for patients with previously treated, metastatic urothelial carcinoma harboring HRAS mutations. Clin Cancer Res. 2020; 26(19): 5113-5119. [PMID: 32636318]</w:t>
      </w:r>
    </w:p>
    <w:p w14:paraId="2032D9A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Fakih MG, Strickler JH, et al. KRAS G12C Inhibition with Sotorasib in Advanced Solid Tumors[J]. N Engl J Med. 2020, 24;383(13):1207-1217. [PMID: 32955176]</w:t>
      </w:r>
    </w:p>
    <w:p w14:paraId="699642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Wolf J, Seto T, Han JY, Reguart N, et al. Capmatinib in MET exon 14-mutated or MET-amplified non-small-cell lung cancer. N Engl J Med. 2020;383(10):944-957. [PMID: 32877583]</w:t>
      </w:r>
    </w:p>
    <w:p w14:paraId="1B8ADFF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7175FA9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Clark JW, Weiss J, Ou SI, et al. Antitumor activity of crizotinib in lung cancers harboring a MET exon 14 alteration. Nat Med. 2020;26(1):47-51. [PMID: 31932802]</w:t>
      </w:r>
    </w:p>
    <w:p w14:paraId="56DF74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Paik PK, Felip E, Veillon R, et al. Tepotinib in non-small-cell lung cancer with MET exon 14 skipping mutations. N Engl J Med. 2020;383(10):931-943. [PMID: 32469185]</w:t>
      </w:r>
    </w:p>
    <w:p w14:paraId="4204880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76BD2E22">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1C2F8141">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035CF03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50F5DA9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Drusbosky LM, Rodriguez E, Dawar R, et al. Therapeutic strategies in RET gene rearranged non-small cell lung cancer. J Hematol Oncol. 2021;14(1):50. [PMID: 33771190]</w:t>
      </w:r>
    </w:p>
    <w:p w14:paraId="21153A9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2F21156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7C3CAB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Zhao H, Yao W, Min X, et al. Apatinib Plus Gefitinib as First-Line Treatment in Advanced EGFR-Mutant NSCLC: The Phase III ACTIVE Study (CTONG1706). J Thorac Oncol. 2021;16(9):1533-1546. [PMID: 34033974]</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288179BD"/>
    <w:multiLevelType w:val="singleLevel"/>
    <w:tmpl w:val="288179BD"/>
    <w:lvl w:ilvl="0" w:tentative="0">
      <w:start w:val="2"/>
      <w:numFmt w:val="decimal"/>
      <w:lvlText w:val="%1."/>
      <w:lvlJc w:val="left"/>
      <w:pPr>
        <w:tabs>
          <w:tab w:val="left" w:pos="312"/>
        </w:tabs>
      </w:p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4">
    <w:nsid w:val="7B09C697"/>
    <w:multiLevelType w:val="singleLevel"/>
    <w:tmpl w:val="7B09C697"/>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C0331C"/>
    <w:rsid w:val="01D658DA"/>
    <w:rsid w:val="02517CBA"/>
    <w:rsid w:val="03E06E1F"/>
    <w:rsid w:val="03E57C61"/>
    <w:rsid w:val="05191617"/>
    <w:rsid w:val="057335C1"/>
    <w:rsid w:val="061C48FA"/>
    <w:rsid w:val="06622FDE"/>
    <w:rsid w:val="06862B05"/>
    <w:rsid w:val="071D3FAB"/>
    <w:rsid w:val="09812E93"/>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F748B7"/>
    <w:rsid w:val="124A1047"/>
    <w:rsid w:val="12AF5735"/>
    <w:rsid w:val="12C34799"/>
    <w:rsid w:val="13B121FA"/>
    <w:rsid w:val="14206CB7"/>
    <w:rsid w:val="14D412B4"/>
    <w:rsid w:val="16192126"/>
    <w:rsid w:val="167D2018"/>
    <w:rsid w:val="16891F33"/>
    <w:rsid w:val="176123B1"/>
    <w:rsid w:val="17713378"/>
    <w:rsid w:val="18452030"/>
    <w:rsid w:val="19066A98"/>
    <w:rsid w:val="199F74A2"/>
    <w:rsid w:val="1A4A453E"/>
    <w:rsid w:val="1A712159"/>
    <w:rsid w:val="1B6509D4"/>
    <w:rsid w:val="1B9C1403"/>
    <w:rsid w:val="1C170A7F"/>
    <w:rsid w:val="1CA01EAA"/>
    <w:rsid w:val="1CD24EBC"/>
    <w:rsid w:val="1D5664B6"/>
    <w:rsid w:val="1D647A6D"/>
    <w:rsid w:val="1DF84375"/>
    <w:rsid w:val="1EB4180B"/>
    <w:rsid w:val="1FCB32AB"/>
    <w:rsid w:val="1FFE0153"/>
    <w:rsid w:val="20343022"/>
    <w:rsid w:val="21E40288"/>
    <w:rsid w:val="22BD432B"/>
    <w:rsid w:val="23AE14CB"/>
    <w:rsid w:val="23D03057"/>
    <w:rsid w:val="23EF6974"/>
    <w:rsid w:val="24285550"/>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B80E38"/>
    <w:rsid w:val="2CF27CFD"/>
    <w:rsid w:val="2D035FCE"/>
    <w:rsid w:val="2D391923"/>
    <w:rsid w:val="2D945258"/>
    <w:rsid w:val="2E0E7081"/>
    <w:rsid w:val="2EA15E7F"/>
    <w:rsid w:val="2EE45D6B"/>
    <w:rsid w:val="2FEC6956"/>
    <w:rsid w:val="301F1E4C"/>
    <w:rsid w:val="30354AD0"/>
    <w:rsid w:val="30BF439A"/>
    <w:rsid w:val="33775400"/>
    <w:rsid w:val="346800E7"/>
    <w:rsid w:val="346C7CD4"/>
    <w:rsid w:val="356502F1"/>
    <w:rsid w:val="3571067D"/>
    <w:rsid w:val="35A5383E"/>
    <w:rsid w:val="35A81922"/>
    <w:rsid w:val="37982968"/>
    <w:rsid w:val="37A61E10"/>
    <w:rsid w:val="39170258"/>
    <w:rsid w:val="39DE55F3"/>
    <w:rsid w:val="39FD7AC0"/>
    <w:rsid w:val="3A103993"/>
    <w:rsid w:val="3A1846D0"/>
    <w:rsid w:val="3A43603C"/>
    <w:rsid w:val="3A8B7AF3"/>
    <w:rsid w:val="3C181440"/>
    <w:rsid w:val="3C4147FD"/>
    <w:rsid w:val="3C53013A"/>
    <w:rsid w:val="3C6A5F3E"/>
    <w:rsid w:val="3C942B48"/>
    <w:rsid w:val="3C9B7773"/>
    <w:rsid w:val="3E784CAF"/>
    <w:rsid w:val="42784497"/>
    <w:rsid w:val="43776D56"/>
    <w:rsid w:val="43F76D91"/>
    <w:rsid w:val="45013EA7"/>
    <w:rsid w:val="45093545"/>
    <w:rsid w:val="45BF5ADC"/>
    <w:rsid w:val="45F51780"/>
    <w:rsid w:val="47D71662"/>
    <w:rsid w:val="47FB1302"/>
    <w:rsid w:val="488D0130"/>
    <w:rsid w:val="48EC02BF"/>
    <w:rsid w:val="49A62559"/>
    <w:rsid w:val="49C35028"/>
    <w:rsid w:val="4B5C190B"/>
    <w:rsid w:val="4B6E01D6"/>
    <w:rsid w:val="4B8B3BFC"/>
    <w:rsid w:val="4C093628"/>
    <w:rsid w:val="4CC21042"/>
    <w:rsid w:val="4D626381"/>
    <w:rsid w:val="4D903FFE"/>
    <w:rsid w:val="4DCE524B"/>
    <w:rsid w:val="4ECE7922"/>
    <w:rsid w:val="4ED37AFB"/>
    <w:rsid w:val="4F0348E3"/>
    <w:rsid w:val="4F964A55"/>
    <w:rsid w:val="4FF5558B"/>
    <w:rsid w:val="5011275F"/>
    <w:rsid w:val="50136F8F"/>
    <w:rsid w:val="505E1082"/>
    <w:rsid w:val="51B34B08"/>
    <w:rsid w:val="51D81308"/>
    <w:rsid w:val="52AF1549"/>
    <w:rsid w:val="53272682"/>
    <w:rsid w:val="53723B8B"/>
    <w:rsid w:val="53D17DBD"/>
    <w:rsid w:val="55B464AB"/>
    <w:rsid w:val="56731990"/>
    <w:rsid w:val="56E32460"/>
    <w:rsid w:val="571C1C97"/>
    <w:rsid w:val="574D1079"/>
    <w:rsid w:val="57911F10"/>
    <w:rsid w:val="57E91301"/>
    <w:rsid w:val="580D1911"/>
    <w:rsid w:val="582A2734"/>
    <w:rsid w:val="58554097"/>
    <w:rsid w:val="5A160C1F"/>
    <w:rsid w:val="5A1E1DD0"/>
    <w:rsid w:val="5A9015FB"/>
    <w:rsid w:val="5ADA39FB"/>
    <w:rsid w:val="5B710073"/>
    <w:rsid w:val="5BC1147D"/>
    <w:rsid w:val="5CB54D70"/>
    <w:rsid w:val="5CD251BD"/>
    <w:rsid w:val="5D940211"/>
    <w:rsid w:val="5FA1715B"/>
    <w:rsid w:val="5FBA5715"/>
    <w:rsid w:val="608163B8"/>
    <w:rsid w:val="60F168FC"/>
    <w:rsid w:val="61AF16FF"/>
    <w:rsid w:val="624E41CF"/>
    <w:rsid w:val="628232F6"/>
    <w:rsid w:val="62B44FFF"/>
    <w:rsid w:val="62E00B42"/>
    <w:rsid w:val="6321538F"/>
    <w:rsid w:val="6321796C"/>
    <w:rsid w:val="64065861"/>
    <w:rsid w:val="64967EC8"/>
    <w:rsid w:val="64AA1754"/>
    <w:rsid w:val="66064CBA"/>
    <w:rsid w:val="67AB72BD"/>
    <w:rsid w:val="67C80D34"/>
    <w:rsid w:val="68CD2E71"/>
    <w:rsid w:val="695D3A47"/>
    <w:rsid w:val="6AFF0A3C"/>
    <w:rsid w:val="6B230036"/>
    <w:rsid w:val="6B7519B8"/>
    <w:rsid w:val="6B8E6F9E"/>
    <w:rsid w:val="6BAA4AB8"/>
    <w:rsid w:val="6BCC3834"/>
    <w:rsid w:val="6D2A25C0"/>
    <w:rsid w:val="6D60320B"/>
    <w:rsid w:val="6DD54C21"/>
    <w:rsid w:val="6E297E68"/>
    <w:rsid w:val="6E7C73C6"/>
    <w:rsid w:val="6E87371E"/>
    <w:rsid w:val="6EDD18B4"/>
    <w:rsid w:val="6EEA7031"/>
    <w:rsid w:val="6F0C162D"/>
    <w:rsid w:val="6F2B4B68"/>
    <w:rsid w:val="6F4D4E57"/>
    <w:rsid w:val="6F6254D4"/>
    <w:rsid w:val="6FE70C3C"/>
    <w:rsid w:val="707E0E37"/>
    <w:rsid w:val="723B53D9"/>
    <w:rsid w:val="7261482B"/>
    <w:rsid w:val="72750781"/>
    <w:rsid w:val="72B74712"/>
    <w:rsid w:val="734B0AAB"/>
    <w:rsid w:val="74BF0FAF"/>
    <w:rsid w:val="760342F6"/>
    <w:rsid w:val="76CECDB4"/>
    <w:rsid w:val="76F27584"/>
    <w:rsid w:val="77106CCA"/>
    <w:rsid w:val="777546A8"/>
    <w:rsid w:val="77804029"/>
    <w:rsid w:val="782F3180"/>
    <w:rsid w:val="784A5363"/>
    <w:rsid w:val="78DC32F4"/>
    <w:rsid w:val="7A15284A"/>
    <w:rsid w:val="7B582304"/>
    <w:rsid w:val="7B99466E"/>
    <w:rsid w:val="7BD35584"/>
    <w:rsid w:val="7BDF0250"/>
    <w:rsid w:val="7C1120EB"/>
    <w:rsid w:val="7D275E6F"/>
    <w:rsid w:val="7D3B6123"/>
    <w:rsid w:val="7D806106"/>
    <w:rsid w:val="7E0B4B47"/>
    <w:rsid w:val="7E826381"/>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21</Pages>
  <Words>3503</Words>
  <Characters>9078</Characters>
  <Lines>37</Lines>
  <Paragraphs>10</Paragraphs>
  <TotalTime>5</TotalTime>
  <ScaleCrop>false</ScaleCrop>
  <LinksUpToDate>false</LinksUpToDate>
  <CharactersWithSpaces>9930</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2025-08-12T07:38:55Z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