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6792C">
      <w:pPr>
        <w:rPr>
          <w:rFonts w:ascii="Times New Roman" w:hAnsi="Times New Roman" w:eastAsia="微软雅黑" w:cs="Times New Roman"/>
        </w:rPr>
      </w:pPr>
      <w:r>
        <w:rPr>
          <w:rFonts w:ascii="Times New Roman" w:hAnsi="Times New Roman" w:eastAsia="微软雅黑" w:cs="Times New Roman"/>
        </w:rPr>
        <w:drawing>
          <wp:anchor distT="0" distB="0" distL="114300" distR="114300" simplePos="0" relativeHeight="251660288" behindDoc="1" locked="0" layoutInCell="1" allowOverlap="1">
            <wp:simplePos x="0" y="0"/>
            <wp:positionH relativeFrom="column">
              <wp:posOffset>-705485</wp:posOffset>
            </wp:positionH>
            <wp:positionV relativeFrom="paragraph">
              <wp:posOffset>-917575</wp:posOffset>
            </wp:positionV>
            <wp:extent cx="7559040" cy="6556375"/>
            <wp:effectExtent l="0" t="0" r="3810" b="15875"/>
            <wp:wrapNone/>
            <wp:docPr id="83" name="图片 140" descr="C:\Users\lenovo\Desktop\ek5HNuXrVw3ZsHYCwc-b-A==_7916880643685842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40" descr="C:\Users\lenovo\Desktop\ek5HNuXrVw3ZsHYCwc-b-A==_7916880643685842401.jpg"/>
                    <pic:cNvPicPr>
                      <a:picLocks noChangeAspect="1"/>
                    </pic:cNvPicPr>
                  </pic:nvPicPr>
                  <pic:blipFill>
                    <a:blip r:embed="rId8"/>
                    <a:stretch>
                      <a:fillRect/>
                    </a:stretch>
                  </pic:blipFill>
                  <pic:spPr>
                    <a:xfrm>
                      <a:off x="0" y="0"/>
                      <a:ext cx="7559040" cy="6556375"/>
                    </a:xfrm>
                    <a:prstGeom prst="rect">
                      <a:avLst/>
                    </a:prstGeom>
                    <a:noFill/>
                    <a:ln>
                      <a:noFill/>
                    </a:ln>
                  </pic:spPr>
                </pic:pic>
              </a:graphicData>
            </a:graphic>
          </wp:anchor>
        </w:drawing>
      </w:r>
      <w:r>
        <w:rPr>
          <w:rFonts w:hint="eastAsia" w:ascii="Times New Roman" w:hAnsi="Times New Roman" w:eastAsia="微软雅黑" w:cs="Times New Roman"/>
        </w:rPr>
        <w:tab/>
      </w:r>
    </w:p>
    <w:p w14:paraId="32437A4F">
      <w:pPr>
        <w:rPr>
          <w:rFonts w:ascii="Times New Roman" w:hAnsi="Times New Roman" w:eastAsia="微软雅黑" w:cs="Times New Roman"/>
        </w:rPr>
      </w:pPr>
    </w:p>
    <w:p w14:paraId="61B7E850">
      <w:pPr>
        <w:rPr>
          <w:rFonts w:ascii="Times New Roman" w:hAnsi="Times New Roman" w:eastAsia="微软雅黑" w:cs="Times New Roman"/>
        </w:rPr>
      </w:pPr>
    </w:p>
    <w:p w14:paraId="67582711">
      <w:pPr>
        <w:rPr>
          <w:rFonts w:ascii="Times New Roman" w:hAnsi="Times New Roman" w:eastAsia="微软雅黑" w:cs="Times New Roman"/>
        </w:rPr>
      </w:pPr>
    </w:p>
    <w:p w14:paraId="3BDFA77E">
      <w:pPr>
        <w:rPr>
          <w:rFonts w:ascii="Times New Roman" w:hAnsi="Times New Roman" w:eastAsia="微软雅黑" w:cs="Times New Roman"/>
        </w:rPr>
      </w:pPr>
    </w:p>
    <w:p w14:paraId="0E297155">
      <w:pPr>
        <w:rPr>
          <w:rFonts w:ascii="Times New Roman" w:hAnsi="Times New Roman" w:eastAsia="微软雅黑" w:cs="Times New Roman"/>
        </w:rPr>
      </w:pPr>
    </w:p>
    <w:p w14:paraId="66ED7436">
      <w:pPr>
        <w:rPr>
          <w:rFonts w:ascii="Times New Roman" w:hAnsi="Times New Roman" w:eastAsia="微软雅黑" w:cs="Times New Roman"/>
        </w:rPr>
      </w:pPr>
    </w:p>
    <w:p w14:paraId="3E902D82">
      <w:pPr>
        <w:rPr>
          <w:rFonts w:ascii="Times New Roman" w:hAnsi="Times New Roman" w:eastAsia="微软雅黑" w:cs="Times New Roman"/>
        </w:rPr>
      </w:pPr>
    </w:p>
    <w:p w14:paraId="3C2EB1AA">
      <w:pPr>
        <w:rPr>
          <w:rFonts w:ascii="Times New Roman" w:hAnsi="Times New Roman" w:eastAsia="微软雅黑" w:cs="Times New Roman"/>
        </w:rPr>
      </w:pPr>
    </w:p>
    <w:p w14:paraId="66628DA3">
      <w:pPr>
        <w:rPr>
          <w:rFonts w:ascii="Times New Roman" w:hAnsi="Times New Roman" w:eastAsia="微软雅黑" w:cs="Times New Roman"/>
        </w:rPr>
      </w:pPr>
    </w:p>
    <w:p w14:paraId="6DE09FF9">
      <w:pPr>
        <w:rPr>
          <w:rFonts w:ascii="Times New Roman" w:hAnsi="Times New Roman" w:eastAsia="微软雅黑" w:cs="Times New Roman"/>
        </w:rPr>
      </w:pPr>
    </w:p>
    <w:p w14:paraId="5D65F3AA">
      <w:pPr>
        <w:jc w:val="center"/>
        <w:rPr>
          <w:rFonts w:ascii="Times New Roman" w:hAnsi="Times New Roman" w:eastAsia="微软雅黑" w:cs="Times New Roman"/>
        </w:rPr>
      </w:pPr>
    </w:p>
    <w:p w14:paraId="2B41A34A">
      <w:pPr>
        <w:rPr>
          <w:rFonts w:ascii="Times New Roman" w:hAnsi="Times New Roman" w:eastAsia="微软雅黑" w:cs="Times New Roman"/>
        </w:rPr>
      </w:pPr>
    </w:p>
    <w:p w14:paraId="10222241">
      <w:pPr>
        <w:rPr>
          <w:rFonts w:ascii="Times New Roman" w:hAnsi="Times New Roman" w:eastAsia="微软雅黑" w:cs="Times New Roman"/>
        </w:rPr>
      </w:pPr>
    </w:p>
    <w:p w14:paraId="0888DF53">
      <w:pPr>
        <w:rPr>
          <w:rFonts w:ascii="Times New Roman" w:hAnsi="Times New Roman" w:eastAsia="微软雅黑" w:cs="Times New Roman"/>
        </w:rPr>
      </w:pPr>
    </w:p>
    <w:p w14:paraId="05EC201D">
      <w:pPr>
        <w:rPr>
          <w:rFonts w:ascii="Times New Roman" w:hAnsi="Times New Roman" w:eastAsia="微软雅黑" w:cs="Times New Roman"/>
        </w:rPr>
      </w:pPr>
    </w:p>
    <w:p w14:paraId="4E98AB69">
      <w:pPr>
        <w:jc w:val="center"/>
        <w:rPr>
          <w:rFonts w:ascii="Times New Roman" w:hAnsi="Times New Roman" w:eastAsia="微软雅黑" w:cs="Times New Roman"/>
          <w:b/>
          <w:sz w:val="48"/>
          <w:szCs w:val="48"/>
        </w:rPr>
      </w:pPr>
      <w:r>
        <w:rPr>
          <w:rFonts w:ascii="Times New Roman" w:hAnsi="Times New Roman" w:eastAsia="微软雅黑" w:cs="Times New Roman"/>
          <w:b/>
          <w:sz w:val="48"/>
          <w:szCs w:val="48"/>
        </w:rPr>
        <w:t xml:space="preserve">             </w:t>
      </w:r>
    </w:p>
    <w:p w14:paraId="51F4C1CC">
      <w:pPr>
        <w:jc w:val="center"/>
        <w:rPr>
          <w:rFonts w:ascii="Times New Roman" w:hAnsi="Times New Roman" w:eastAsia="微软雅黑" w:cs="Times New Roman"/>
          <w:b/>
          <w:sz w:val="48"/>
          <w:szCs w:val="48"/>
        </w:rPr>
      </w:pPr>
    </w:p>
    <w:p w14:paraId="35BB831B">
      <w:pPr>
        <w:jc w:val="center"/>
        <w:rPr>
          <w:rFonts w:ascii="Times New Roman" w:hAnsi="Times New Roman" w:eastAsia="微软雅黑" w:cs="Times New Roman"/>
          <w:b/>
          <w:sz w:val="48"/>
          <w:szCs w:val="48"/>
        </w:rPr>
      </w:pPr>
    </w:p>
    <w:p w14:paraId="75A16E09">
      <w:pPr>
        <w:jc w:val="center"/>
        <w:rPr>
          <w:rFonts w:ascii="Times New Roman" w:hAnsi="Times New Roman" w:eastAsia="微软雅黑" w:cs="Times New Roman"/>
          <w:b/>
          <w:sz w:val="48"/>
          <w:szCs w:val="48"/>
        </w:rPr>
      </w:pPr>
    </w:p>
    <w:p w14:paraId="4D073732">
      <w:pPr>
        <w:jc w:val="center"/>
        <w:rPr>
          <w:rFonts w:ascii="Times New Roman" w:hAnsi="Times New Roman" w:eastAsia="微软雅黑" w:cs="Times New Roman"/>
          <w:b/>
          <w:sz w:val="48"/>
          <w:szCs w:val="48"/>
        </w:rPr>
      </w:pPr>
    </w:p>
    <w:p w14:paraId="28DD509B">
      <w:pPr>
        <w:jc w:val="center"/>
        <w:rPr>
          <w:rFonts w:ascii="Times New Roman" w:hAnsi="Times New Roman" w:eastAsia="微软雅黑" w:cs="Times New Roman"/>
          <w:b/>
          <w:color w:val="1F497D"/>
          <w:sz w:val="36"/>
          <w:szCs w:val="36"/>
        </w:rPr>
      </w:pPr>
    </w:p>
    <w:p w14:paraId="4D6A232C">
      <w:pPr>
        <w:jc w:val="center"/>
        <w:rPr>
          <w:rFonts w:ascii="Times New Roman" w:hAnsi="Times New Roman" w:eastAsia="微软雅黑" w:cs="Times New Roman"/>
          <w:b/>
          <w:bCs/>
          <w:color w:val="1F497D"/>
          <w:sz w:val="36"/>
          <w:szCs w:val="36"/>
        </w:rPr>
      </w:pPr>
    </w:p>
    <w:p w14:paraId="7BD43928">
      <w:pPr>
        <w:jc w:val="center"/>
        <w:rPr>
          <w:rFonts w:ascii="Times New Roman" w:hAnsi="Times New Roman" w:eastAsia="微软雅黑" w:cs="Times New Roman"/>
          <w:b/>
          <w:bCs/>
          <w:color w:val="1F497D"/>
          <w:sz w:val="36"/>
          <w:szCs w:val="36"/>
        </w:rPr>
      </w:pPr>
    </w:p>
    <w:p w14:paraId="17A19C22">
      <w:pPr>
        <w:jc w:val="center"/>
        <w:rPr>
          <w:rFonts w:ascii="Times New Roman" w:hAnsi="Times New Roman" w:eastAsia="微软雅黑" w:cs="Times New Roman"/>
          <w:b/>
          <w:bCs/>
          <w:color w:val="1F497D"/>
          <w:sz w:val="36"/>
          <w:szCs w:val="36"/>
        </w:rPr>
      </w:pPr>
    </w:p>
    <w:p w14:paraId="2DEF8DB5">
      <w:pPr>
        <w:jc w:val="center"/>
        <w:rPr>
          <w:rFonts w:ascii="Times New Roman" w:hAnsi="Times New Roman" w:eastAsia="微软雅黑" w:cs="Times New Roman"/>
          <w:b/>
          <w:bCs/>
          <w:color w:val="1F497D"/>
          <w:sz w:val="36"/>
          <w:szCs w:val="36"/>
        </w:rPr>
      </w:pPr>
    </w:p>
    <w:p w14:paraId="5A1C2BEC">
      <w:pPr>
        <w:jc w:val="center"/>
        <w:rPr>
          <w:rFonts w:ascii="Times New Roman" w:hAnsi="Times New Roman" w:eastAsia="微软雅黑" w:cs="Times New Roman"/>
          <w:b/>
          <w:bCs/>
          <w:color w:val="1F497D"/>
          <w:sz w:val="36"/>
          <w:szCs w:val="36"/>
        </w:rPr>
      </w:pPr>
    </w:p>
    <w:p w14:paraId="05CDEE68">
      <w:pPr>
        <w:jc w:val="center"/>
        <w:rPr>
          <w:rFonts w:ascii="Times New Roman" w:hAnsi="Times New Roman" w:eastAsia="微软雅黑" w:cs="Times New Roman"/>
          <w:b/>
          <w:bCs/>
          <w:color w:val="1F497D"/>
          <w:sz w:val="36"/>
          <w:szCs w:val="36"/>
        </w:rPr>
      </w:pPr>
    </w:p>
    <w:p w14:paraId="483FADF3">
      <w:pPr>
        <w:jc w:val="center"/>
        <w:rPr>
          <w:rFonts w:ascii="Times New Roman" w:hAnsi="Times New Roman" w:eastAsia="微软雅黑" w:cs="Times New Roman"/>
          <w:b/>
          <w:bCs/>
          <w:color w:val="1F497D"/>
          <w:sz w:val="36"/>
          <w:szCs w:val="36"/>
        </w:rPr>
      </w:pPr>
    </w:p>
    <w:p w14:paraId="4E011686">
      <w:pPr>
        <w:jc w:val="center"/>
        <w:rPr>
          <w:rFonts w:ascii="黑体" w:hAnsi="黑体" w:eastAsia="黑体" w:cs="黑体"/>
          <w:b/>
          <w:bCs/>
          <w:color w:val="1F497D"/>
          <w:sz w:val="36"/>
          <w:szCs w:val="36"/>
        </w:rPr>
      </w:pPr>
      <w:r>
        <w:rPr>
          <w:rFonts w:hint="eastAsia" w:ascii="黑体" w:hAnsi="黑体" w:eastAsia="黑体" w:cs="黑体"/>
          <w:b/>
          <w:bCs/>
          <w:color w:val="1F497D"/>
          <w:sz w:val="36"/>
          <w:szCs w:val="36"/>
        </w:rPr>
        <w:drawing>
          <wp:anchor distT="0" distB="0" distL="114300" distR="114300" simplePos="0" relativeHeight="251662336" behindDoc="0" locked="0" layoutInCell="1" allowOverlap="0">
            <wp:simplePos x="0" y="0"/>
            <wp:positionH relativeFrom="column">
              <wp:posOffset>78105</wp:posOffset>
            </wp:positionH>
            <wp:positionV relativeFrom="paragraph">
              <wp:posOffset>-120650</wp:posOffset>
            </wp:positionV>
            <wp:extent cx="781050" cy="781050"/>
            <wp:effectExtent l="0" t="0" r="11430" b="11430"/>
            <wp:wrapSquare wrapText="bothSides"/>
            <wp:docPr id="84" name="图片 83" descr="无标题.png"/>
            <wp:cNvGraphicFramePr/>
            <a:graphic xmlns:a="http://schemas.openxmlformats.org/drawingml/2006/main">
              <a:graphicData uri="http://schemas.openxmlformats.org/drawingml/2006/picture">
                <pic:pic xmlns:pic="http://schemas.openxmlformats.org/drawingml/2006/picture">
                  <pic:nvPicPr>
                    <pic:cNvPr id="84" name="图片 83" descr="无标题.png"/>
                    <pic:cNvPicPr preferRelativeResize="0"/>
                  </pic:nvPicPr>
                  <pic:blipFill>
                    <a:blip r:embed="rId9"/>
                    <a:stretch>
                      <a:fillRect/>
                    </a:stretch>
                  </pic:blipFill>
                  <pic:spPr>
                    <a:xfrm>
                      <a:off x="0" y="0"/>
                      <a:ext cx="781050" cy="781050"/>
                    </a:xfrm>
                    <a:prstGeom prst="rect">
                      <a:avLst/>
                    </a:prstGeom>
                    <a:noFill/>
                    <a:ln>
                      <a:noFill/>
                    </a:ln>
                  </pic:spPr>
                </pic:pic>
              </a:graphicData>
            </a:graphic>
          </wp:anchor>
        </w:drawing>
      </w:r>
      <w:r>
        <w:rPr>
          <w:rFonts w:ascii="黑体" w:hAnsi="黑体" w:eastAsia="黑体" w:cs="黑体"/>
          <w:b/>
          <w:bCs/>
          <w:color w:val="1F497D"/>
          <w:sz w:val="36"/>
          <w:szCs w:val="36"/>
        </w:rPr>
        <w:t>重庆大学附属肿瘤医院 重庆市肿瘤医院 病理科</w:t>
      </w:r>
    </w:p>
    <w:p w14:paraId="1AC9E4F4">
      <w:pPr>
        <w:ind w:firstLine="1261" w:firstLineChars="350"/>
        <w:jc w:val="both"/>
        <w:rPr>
          <w:rFonts w:ascii="Times New Roman" w:hAnsi="Times New Roman" w:eastAsia="微软雅黑" w:cs="Times New Roman"/>
          <w:b/>
          <w:color w:val="1F497D"/>
          <w:sz w:val="36"/>
          <w:szCs w:val="36"/>
        </w:rPr>
      </w:pPr>
      <w:r>
        <w:rPr>
          <w:rFonts w:ascii="黑体" w:hAnsi="黑体" w:eastAsia="黑体" w:cs="黑体"/>
          <w:b/>
          <w:bCs/>
          <w:color w:val="1F497D"/>
          <w:sz w:val="36"/>
          <w:szCs w:val="36"/>
        </w:rPr>
        <w:t>肺癌13驱动基因检测报告</w:t>
      </w:r>
    </w:p>
    <w:p w14:paraId="4E61290D">
      <w:pPr>
        <w:rPr>
          <w:rFonts w:ascii="Times New Roman" w:hAnsi="Times New Roman" w:eastAsia="微软雅黑" w:cs="Times New Roman"/>
        </w:rPr>
      </w:pPr>
    </w:p>
    <w:tbl>
      <w:tblPr>
        <w:tblStyle w:val="19"/>
        <w:tblW w:w="9672" w:type="dxa"/>
        <w:tblInd w:w="0" w:type="dxa"/>
        <w:tblLayout w:type="fixed"/>
        <w:tblCellMar>
          <w:top w:w="0" w:type="dxa"/>
          <w:left w:w="0" w:type="dxa"/>
          <w:bottom w:w="0" w:type="dxa"/>
          <w:right w:w="0" w:type="dxa"/>
        </w:tblCellMar>
      </w:tblPr>
      <w:tblGrid>
        <w:gridCol w:w="1182"/>
        <w:gridCol w:w="951"/>
        <w:gridCol w:w="764"/>
        <w:gridCol w:w="704"/>
        <w:gridCol w:w="779"/>
        <w:gridCol w:w="779"/>
        <w:gridCol w:w="1334"/>
        <w:gridCol w:w="1395"/>
        <w:gridCol w:w="1784"/>
      </w:tblGrid>
      <w:tr w14:paraId="271ED5EF">
        <w:trPr>
          <w:trHeight w:val="402" w:hRule="atLeast"/>
        </w:trPr>
        <w:tc>
          <w:tcPr>
            <w:tcW w:w="1182" w:type="dxa"/>
            <w:tcBorders>
              <w:top w:val="single" w:color="000000" w:sz="8" w:space="0"/>
              <w:left w:val="nil"/>
              <w:bottom w:val="single" w:color="000000" w:sz="8" w:space="0"/>
              <w:right w:val="single" w:color="000000" w:sz="8" w:space="0"/>
            </w:tcBorders>
            <w:noWrap/>
            <w:tcMar>
              <w:top w:w="15" w:type="dxa"/>
              <w:left w:w="15" w:type="dxa"/>
              <w:right w:w="15" w:type="dxa"/>
            </w:tcMar>
            <w:vAlign w:val="center"/>
          </w:tcPr>
          <w:p w14:paraId="0070AB59">
            <w:pPr>
              <w:widowControl/>
              <w:jc w:val="center"/>
              <w:textAlignment w:val="center"/>
              <w:rPr>
                <w:b/>
                <w:color w:val="000000"/>
                <w:sz w:val="21"/>
                <w:szCs w:val="21"/>
                <w:lang w:bidi="ar"/>
              </w:rPr>
            </w:pPr>
            <w:r>
              <w:rPr>
                <w:b/>
                <w:color w:val="000000"/>
                <w:sz w:val="21"/>
                <w:szCs w:val="21"/>
                <w:lang w:bidi="ar"/>
              </w:rPr>
              <w:t>姓名</w:t>
            </w:r>
          </w:p>
        </w:tc>
        <w:tc>
          <w:tcPr>
            <w:tcW w:w="951"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7D6A1DB7">
            <w:pPr>
              <w:widowControl/>
              <w:jc w:val="center"/>
              <w:textAlignment w:val="center"/>
              <w:rPr>
                <w:b/>
                <w:color w:val="000000"/>
                <w:sz w:val="21"/>
                <w:szCs w:val="21"/>
                <w:lang w:bidi="ar"/>
              </w:rPr>
            </w:pPr>
            <w:r>
              <w:rPr>
                <w:rFonts w:ascii="Times New Roman" w:hAnsi="Times New Roman" w:eastAsia="微软雅黑" w:cs="Times New Roman"/>
                <w:b/>
                <w:color w:val="000000"/>
              </w:rPr>
              <w:t>{{ client }}</w:t>
            </w:r>
          </w:p>
        </w:tc>
        <w:tc>
          <w:tcPr>
            <w:tcW w:w="76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6B02F203">
            <w:pPr>
              <w:widowControl/>
              <w:jc w:val="center"/>
              <w:textAlignment w:val="center"/>
              <w:rPr>
                <w:b/>
                <w:color w:val="000000"/>
                <w:sz w:val="21"/>
                <w:szCs w:val="21"/>
                <w:lang w:bidi="ar"/>
              </w:rPr>
            </w:pPr>
            <w:r>
              <w:rPr>
                <w:b/>
                <w:color w:val="000000"/>
                <w:sz w:val="21"/>
                <w:szCs w:val="21"/>
                <w:lang w:bidi="ar"/>
              </w:rPr>
              <w:t>性别</w:t>
            </w:r>
          </w:p>
        </w:tc>
        <w:tc>
          <w:tcPr>
            <w:tcW w:w="70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6B0B3E1F">
            <w:pPr>
              <w:widowControl/>
              <w:jc w:val="center"/>
              <w:textAlignment w:val="center"/>
              <w:rPr>
                <w:b/>
                <w:color w:val="000000"/>
                <w:sz w:val="21"/>
                <w:szCs w:val="21"/>
                <w:lang w:bidi="ar"/>
              </w:rPr>
            </w:pP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295B0DCB">
            <w:pPr>
              <w:widowControl/>
              <w:jc w:val="center"/>
              <w:textAlignment w:val="center"/>
              <w:rPr>
                <w:b/>
                <w:color w:val="000000"/>
                <w:sz w:val="21"/>
                <w:szCs w:val="21"/>
                <w:lang w:bidi="ar"/>
              </w:rPr>
            </w:pPr>
            <w:r>
              <w:rPr>
                <w:b/>
                <w:color w:val="000000"/>
                <w:sz w:val="21"/>
                <w:szCs w:val="21"/>
                <w:lang w:bidi="ar"/>
              </w:rPr>
              <w:t>年龄</w:t>
            </w: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252CF931">
            <w:pPr>
              <w:widowControl/>
              <w:jc w:val="center"/>
              <w:textAlignment w:val="center"/>
              <w:rPr>
                <w:b/>
                <w:color w:val="000000"/>
                <w:sz w:val="21"/>
                <w:szCs w:val="21"/>
                <w:lang w:bidi="ar"/>
              </w:rPr>
            </w:pPr>
            <w:r>
              <w:rPr>
                <w:b/>
                <w:color w:val="000000"/>
                <w:sz w:val="21"/>
                <w:szCs w:val="21"/>
                <w:lang w:bidi="ar"/>
              </w:rPr>
              <w:t>岁</w:t>
            </w:r>
          </w:p>
        </w:tc>
        <w:tc>
          <w:tcPr>
            <w:tcW w:w="133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49609B7A">
            <w:pPr>
              <w:widowControl/>
              <w:jc w:val="center"/>
              <w:textAlignment w:val="center"/>
              <w:rPr>
                <w:b/>
                <w:color w:val="000000"/>
                <w:sz w:val="21"/>
                <w:szCs w:val="21"/>
                <w:lang w:bidi="ar"/>
              </w:rPr>
            </w:pPr>
            <w:r>
              <w:rPr>
                <w:b/>
                <w:color w:val="000000"/>
                <w:sz w:val="21"/>
                <w:szCs w:val="21"/>
                <w:lang w:bidi="ar"/>
              </w:rPr>
              <w:t>送检医院：</w:t>
            </w:r>
          </w:p>
        </w:tc>
        <w:tc>
          <w:tcPr>
            <w:tcW w:w="3179" w:type="dxa"/>
            <w:gridSpan w:val="2"/>
            <w:tcBorders>
              <w:top w:val="single" w:color="000000" w:sz="8" w:space="0"/>
              <w:left w:val="single" w:color="000000" w:sz="8" w:space="0"/>
              <w:bottom w:val="single" w:color="000000" w:sz="8" w:space="0"/>
              <w:right w:val="nil"/>
            </w:tcBorders>
            <w:noWrap/>
            <w:tcMar>
              <w:top w:w="15" w:type="dxa"/>
              <w:left w:w="15" w:type="dxa"/>
              <w:right w:w="15" w:type="dxa"/>
            </w:tcMar>
            <w:vAlign w:val="center"/>
          </w:tcPr>
          <w:p w14:paraId="1A396686">
            <w:pPr>
              <w:widowControl/>
              <w:jc w:val="center"/>
              <w:textAlignment w:val="center"/>
              <w:rPr>
                <w:rFonts w:ascii="Times New Roman" w:hAnsi="Times New Roman" w:cs="Times New Roman"/>
                <w:b/>
                <w:bCs/>
                <w:kern w:val="2"/>
              </w:rPr>
            </w:pPr>
          </w:p>
        </w:tc>
      </w:tr>
      <w:tr w14:paraId="2E61EFCA">
        <w:trPr>
          <w:trHeight w:val="402" w:hRule="atLeast"/>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6501EE97">
            <w:pPr>
              <w:widowControl/>
              <w:jc w:val="center"/>
              <w:textAlignment w:val="center"/>
              <w:rPr>
                <w:b/>
                <w:color w:val="000000"/>
                <w:sz w:val="21"/>
                <w:szCs w:val="21"/>
                <w:lang w:bidi="ar"/>
              </w:rPr>
            </w:pPr>
            <w:r>
              <w:rPr>
                <w:b/>
                <w:color w:val="000000"/>
                <w:sz w:val="21"/>
                <w:szCs w:val="21"/>
                <w:lang w:bidi="ar"/>
              </w:rPr>
              <w:t>住院号</w:t>
            </w:r>
          </w:p>
        </w:tc>
        <w:tc>
          <w:tcPr>
            <w:tcW w:w="951"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162AFC9C">
            <w:pPr>
              <w:widowControl/>
              <w:jc w:val="center"/>
              <w:textAlignment w:val="center"/>
              <w:rPr>
                <w:b/>
                <w:color w:val="000000"/>
                <w:sz w:val="21"/>
                <w:szCs w:val="21"/>
                <w:lang w:bidi="ar"/>
              </w:rPr>
            </w:pPr>
          </w:p>
        </w:tc>
        <w:tc>
          <w:tcPr>
            <w:tcW w:w="764"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0A29B9C7">
            <w:pPr>
              <w:widowControl/>
              <w:jc w:val="center"/>
              <w:textAlignment w:val="center"/>
              <w:rPr>
                <w:b/>
                <w:color w:val="000000"/>
                <w:sz w:val="21"/>
                <w:szCs w:val="21"/>
                <w:lang w:bidi="ar"/>
              </w:rPr>
            </w:pPr>
            <w:r>
              <w:rPr>
                <w:b/>
                <w:color w:val="000000"/>
                <w:sz w:val="21"/>
                <w:szCs w:val="21"/>
                <w:lang w:bidi="ar"/>
              </w:rPr>
              <w:t>床号</w:t>
            </w: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7DC8B73E">
            <w:pPr>
              <w:jc w:val="center"/>
              <w:rPr>
                <w:b/>
                <w:color w:val="000000"/>
                <w:sz w:val="21"/>
                <w:szCs w:val="21"/>
                <w:lang w:bidi="ar"/>
              </w:rPr>
            </w:pPr>
          </w:p>
        </w:tc>
        <w:tc>
          <w:tcPr>
            <w:tcW w:w="779"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182ACF52">
            <w:pPr>
              <w:widowControl/>
              <w:jc w:val="center"/>
              <w:textAlignment w:val="center"/>
              <w:rPr>
                <w:b/>
                <w:color w:val="000000"/>
                <w:sz w:val="21"/>
                <w:szCs w:val="21"/>
                <w:lang w:bidi="ar"/>
              </w:rPr>
            </w:pPr>
            <w:r>
              <w:rPr>
                <w:b/>
                <w:color w:val="000000"/>
                <w:sz w:val="21"/>
                <w:szCs w:val="21"/>
                <w:lang w:bidi="ar"/>
              </w:rPr>
              <w:t>科室</w:t>
            </w:r>
          </w:p>
        </w:tc>
        <w:tc>
          <w:tcPr>
            <w:tcW w:w="4513" w:type="dxa"/>
            <w:gridSpan w:val="3"/>
            <w:tcBorders>
              <w:top w:val="nil"/>
              <w:left w:val="single" w:color="000000" w:sz="8" w:space="0"/>
              <w:bottom w:val="single" w:color="000000" w:sz="8" w:space="0"/>
              <w:right w:val="nil"/>
            </w:tcBorders>
            <w:noWrap/>
            <w:tcMar>
              <w:top w:w="15" w:type="dxa"/>
              <w:left w:w="15" w:type="dxa"/>
              <w:right w:w="15" w:type="dxa"/>
            </w:tcMar>
            <w:vAlign w:val="center"/>
          </w:tcPr>
          <w:p w14:paraId="3D6031C4">
            <w:pPr>
              <w:widowControl/>
              <w:jc w:val="center"/>
              <w:textAlignment w:val="center"/>
              <w:rPr>
                <w:b/>
                <w:color w:val="000000"/>
                <w:sz w:val="21"/>
                <w:szCs w:val="21"/>
                <w:lang w:bidi="ar"/>
              </w:rPr>
            </w:pPr>
          </w:p>
        </w:tc>
      </w:tr>
      <w:tr w14:paraId="77B546ED">
        <w:trPr>
          <w:trHeight w:val="402" w:hRule="atLeast"/>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7E38EC13">
            <w:pPr>
              <w:widowControl/>
              <w:jc w:val="center"/>
              <w:textAlignment w:val="center"/>
              <w:rPr>
                <w:b/>
                <w:color w:val="000000"/>
                <w:sz w:val="21"/>
                <w:szCs w:val="21"/>
                <w:lang w:bidi="ar"/>
              </w:rPr>
            </w:pPr>
            <w:r>
              <w:rPr>
                <w:b/>
                <w:color w:val="000000"/>
                <w:sz w:val="21"/>
                <w:szCs w:val="21"/>
                <w:lang w:bidi="ar"/>
              </w:rPr>
              <w:t>分子病理号</w:t>
            </w:r>
          </w:p>
        </w:tc>
        <w:tc>
          <w:tcPr>
            <w:tcW w:w="1715"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68C590FB">
            <w:pPr>
              <w:widowControl/>
              <w:jc w:val="center"/>
              <w:textAlignment w:val="center"/>
              <w:rPr>
                <w:b/>
                <w:color w:val="000000"/>
                <w:sz w:val="21"/>
                <w:szCs w:val="21"/>
                <w:lang w:bidi="ar"/>
              </w:rPr>
            </w:pP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7E57E597">
            <w:pPr>
              <w:widowControl/>
              <w:jc w:val="center"/>
              <w:textAlignment w:val="center"/>
              <w:rPr>
                <w:b/>
                <w:color w:val="000000"/>
                <w:sz w:val="21"/>
                <w:szCs w:val="21"/>
                <w:lang w:bidi="ar"/>
              </w:rPr>
            </w:pPr>
            <w:r>
              <w:rPr>
                <w:b/>
                <w:color w:val="000000"/>
                <w:sz w:val="21"/>
                <w:szCs w:val="21"/>
                <w:lang w:bidi="ar"/>
              </w:rPr>
              <w:t>病理号</w:t>
            </w:r>
          </w:p>
        </w:tc>
        <w:tc>
          <w:tcPr>
            <w:tcW w:w="211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0D0FCE17">
            <w:pPr>
              <w:widowControl/>
              <w:jc w:val="center"/>
              <w:textAlignment w:val="center"/>
              <w:rPr>
                <w:rFonts w:ascii="Times New Roman" w:hAnsi="Times New Roman" w:cs="Times New Roman"/>
                <w:b/>
                <w:bCs/>
              </w:rPr>
            </w:pPr>
            <w:r>
              <w:rPr>
                <w:rFonts w:ascii="Times New Roman" w:hAnsi="Times New Roman" w:cs="Times New Roman"/>
                <w:b/>
                <w:bCs/>
              </w:rPr>
              <w:t>{{ template_subbarcode }}</w:t>
            </w:r>
          </w:p>
        </w:tc>
        <w:tc>
          <w:tcPr>
            <w:tcW w:w="1395"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32620220">
            <w:pPr>
              <w:widowControl/>
              <w:jc w:val="center"/>
              <w:textAlignment w:val="center"/>
              <w:rPr>
                <w:b/>
                <w:color w:val="000000"/>
                <w:sz w:val="21"/>
                <w:szCs w:val="21"/>
                <w:lang w:bidi="ar"/>
              </w:rPr>
            </w:pPr>
            <w:r>
              <w:rPr>
                <w:b/>
                <w:color w:val="000000"/>
                <w:sz w:val="21"/>
                <w:szCs w:val="21"/>
                <w:lang w:bidi="ar"/>
              </w:rPr>
              <w:t>送检日期</w:t>
            </w:r>
          </w:p>
        </w:tc>
        <w:tc>
          <w:tcPr>
            <w:tcW w:w="1784" w:type="dxa"/>
            <w:tcBorders>
              <w:top w:val="nil"/>
              <w:left w:val="single" w:color="000000" w:sz="8" w:space="0"/>
              <w:bottom w:val="single" w:color="000000" w:sz="8" w:space="0"/>
              <w:right w:val="nil"/>
            </w:tcBorders>
            <w:noWrap/>
            <w:tcMar>
              <w:top w:w="15" w:type="dxa"/>
              <w:left w:w="15" w:type="dxa"/>
              <w:right w:w="15" w:type="dxa"/>
            </w:tcMar>
            <w:vAlign w:val="center"/>
          </w:tcPr>
          <w:p w14:paraId="74F8612F">
            <w:pPr>
              <w:widowControl/>
              <w:jc w:val="center"/>
              <w:textAlignment w:val="center"/>
              <w:rPr>
                <w:rFonts w:ascii="Times New Roman" w:hAnsi="Times New Roman" w:cs="Times New Roman"/>
                <w:b/>
                <w:bCs/>
                <w:kern w:val="2"/>
              </w:rPr>
            </w:pPr>
            <w:r>
              <w:rPr>
                <w:rFonts w:ascii="Times New Roman" w:hAnsi="Times New Roman" w:cs="Times New Roman"/>
                <w:b/>
                <w:bCs/>
                <w:kern w:val="2"/>
              </w:rPr>
              <w:t>{{ commission_date }}</w:t>
            </w:r>
          </w:p>
        </w:tc>
      </w:tr>
    </w:tbl>
    <w:p w14:paraId="006EDFDF">
      <w:pPr>
        <w:rPr>
          <w:rFonts w:ascii="Times New Roman" w:hAnsi="Times New Roman" w:eastAsia="微软雅黑" w:cs="Times New Roman"/>
        </w:rPr>
      </w:pPr>
    </w:p>
    <w:p w14:paraId="39C75028">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cols w:space="720" w:num="1"/>
        </w:sectPr>
      </w:pPr>
      <w:r>
        <w:rPr>
          <w:rFonts w:ascii="Times New Roman" w:hAnsi="Times New Roman" w:eastAsia="微软雅黑" w:cs="Times New Roman"/>
          <w:b/>
          <w:color w:val="00B050"/>
          <w:sz w:val="48"/>
          <w:szCs w:val="48"/>
        </w:rPr>
        <mc:AlternateContent>
          <mc:Choice Requires="wps">
            <w:drawing>
              <wp:anchor distT="0" distB="0" distL="114300" distR="114300" simplePos="0" relativeHeight="251661312" behindDoc="0" locked="0" layoutInCell="1" allowOverlap="1">
                <wp:simplePos x="0" y="0"/>
                <wp:positionH relativeFrom="column">
                  <wp:posOffset>3259455</wp:posOffset>
                </wp:positionH>
                <wp:positionV relativeFrom="paragraph">
                  <wp:posOffset>189230</wp:posOffset>
                </wp:positionV>
                <wp:extent cx="2907030" cy="1955165"/>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2907030" cy="1955165"/>
                        </a:xfrm>
                        <a:prstGeom prst="rect">
                          <a:avLst/>
                        </a:prstGeom>
                        <a:noFill/>
                        <a:ln>
                          <a:noFill/>
                        </a:ln>
                      </wps:spPr>
                      <wps:txbx>
                        <w:txbxContent>
                          <w:p w14:paraId="0F41B3BC">
                            <w:pPr>
                              <w:jc w:val="right"/>
                              <w:rPr>
                                <w:sz w:val="30"/>
                                <w:szCs w:val="30"/>
                              </w:rPr>
                            </w:pPr>
                            <w:r>
                              <w:rPr>
                                <w:rFonts w:ascii="Arial" w:hAnsi="Arial" w:cs="Arial"/>
                                <w:b/>
                                <w:color w:val="00B050"/>
                                <w:sz w:val="30"/>
                                <w:szCs w:val="30"/>
                              </w:rPr>
                              <w:t>CANCER</w:t>
                            </w:r>
                            <w:r>
                              <w:rPr>
                                <w:rFonts w:hint="eastAsia" w:ascii="Arial" w:hAnsi="Arial" w:cs="Arial"/>
                                <w:b/>
                                <w:color w:val="00B050"/>
                                <w:sz w:val="30"/>
                                <w:szCs w:val="30"/>
                              </w:rPr>
                              <w:t xml:space="preserve"> GENE REPORT</w:t>
                            </w: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256.65pt;margin-top:14.9pt;height:153.95pt;width:228.9pt;z-index:251661312;mso-width-relative:page;mso-height-relative:margin;mso-height-percent:200;" filled="f" stroked="f" coordsize="21600,21600" o:gfxdata="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J/BUf2AAAAAoBAAAPAAAAAAAAAAEAIAAAACIAAABkcnMvZG93bnJldi54bWxQSwEC&#10;FAAUAAAACACHTuJAKn3h77sBAABrAwAADgAAAAAAAAABACAAAAAnAQAAZHJzL2Uyb0RvYy54bWxQ&#10;SwUGAAAAAAYABgBZAQAAVAUAAAAA&#10;">
                <v:fill on="f" focussize="0,0"/>
                <v:stroke on="f"/>
                <v:imagedata o:title=""/>
                <o:lock v:ext="edit" aspectratio="f"/>
                <v:textbox style="mso-fit-shape-to-text:t;">
                  <w:txbxContent>
                    <w:p w14:paraId="0F41B3BC">
                      <w:pPr>
                        <w:jc w:val="right"/>
                        <w:rPr>
                          <w:sz w:val="30"/>
                          <w:szCs w:val="30"/>
                        </w:rPr>
                      </w:pPr>
                      <w:r>
                        <w:rPr>
                          <w:rFonts w:ascii="Arial" w:hAnsi="Arial" w:cs="Arial"/>
                          <w:b/>
                          <w:color w:val="00B050"/>
                          <w:sz w:val="30"/>
                          <w:szCs w:val="30"/>
                        </w:rPr>
                        <w:t>CANCER</w:t>
                      </w:r>
                      <w:r>
                        <w:rPr>
                          <w:rFonts w:hint="eastAsia" w:ascii="Arial" w:hAnsi="Arial" w:cs="Arial"/>
                          <w:b/>
                          <w:color w:val="00B050"/>
                          <w:sz w:val="30"/>
                          <w:szCs w:val="30"/>
                        </w:rPr>
                        <w:t xml:space="preserve"> GENE REPORT</w:t>
                      </w:r>
                    </w:p>
                  </w:txbxContent>
                </v:textbox>
              </v:shape>
            </w:pict>
          </mc:Fallback>
        </mc:AlternateContent>
      </w:r>
    </w:p>
    <w:tbl>
      <w:tblPr>
        <w:tblStyle w:val="19"/>
        <w:tblW w:w="9791"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8549"/>
      </w:tblGrid>
      <w:tr w14:paraId="6CFA4234">
        <w:trPr>
          <w:trHeight w:val="413" w:hRule="atLeast"/>
        </w:trPr>
        <w:tc>
          <w:tcPr>
            <w:tcW w:w="1242" w:type="dxa"/>
          </w:tcPr>
          <w:p w14:paraId="669FC319">
            <w:pPr>
              <w:pStyle w:val="17"/>
              <w:rPr>
                <w:rFonts w:asciiTheme="minorEastAsia" w:hAnsiTheme="minorEastAsia" w:eastAsiaTheme="minorEastAsia"/>
                <w:b/>
                <w:sz w:val="21"/>
                <w:szCs w:val="21"/>
              </w:rPr>
            </w:pPr>
            <w:bookmarkStart w:id="0" w:name="_Toc526855031"/>
            <w:bookmarkStart w:id="1" w:name="_Toc527112379"/>
            <w:r>
              <w:rPr>
                <w:rFonts w:hint="eastAsia" w:asciiTheme="minorEastAsia" w:hAnsiTheme="minorEastAsia" w:eastAsiaTheme="minorEastAsia"/>
                <w:b/>
                <w:sz w:val="21"/>
                <w:szCs w:val="21"/>
              </w:rPr>
              <w:t>检测方法</w:t>
            </w:r>
          </w:p>
        </w:tc>
        <w:tc>
          <w:tcPr>
            <w:tcW w:w="8549" w:type="dxa"/>
            <w:vAlign w:val="center"/>
          </w:tcPr>
          <w:p w14:paraId="1A0C8295">
            <w:pPr>
              <w:pStyle w:val="17"/>
              <w:rPr>
                <w:rFonts w:asciiTheme="minorEastAsia" w:hAnsiTheme="minorEastAsia" w:eastAsiaTheme="minorEastAsia"/>
                <w:sz w:val="21"/>
                <w:szCs w:val="21"/>
              </w:rPr>
            </w:pPr>
            <w:r>
              <w:rPr>
                <w:rFonts w:hint="eastAsia" w:asciiTheme="minorEastAsia" w:hAnsiTheme="minorEastAsia" w:eastAsiaTheme="minorEastAsia"/>
                <w:sz w:val="21"/>
                <w:szCs w:val="21"/>
              </w:rPr>
              <w:t>脱氧核糖核酸(DNA)测序</w:t>
            </w:r>
          </w:p>
        </w:tc>
      </w:tr>
      <w:tr w14:paraId="6B7ADCFD">
        <w:trPr>
          <w:trHeight w:val="413" w:hRule="atLeast"/>
        </w:trPr>
        <w:tc>
          <w:tcPr>
            <w:tcW w:w="1242" w:type="dxa"/>
          </w:tcPr>
          <w:p w14:paraId="57CAA7F2">
            <w:pPr>
              <w:pStyle w:val="17"/>
              <w:rPr>
                <w:rFonts w:asciiTheme="minorEastAsia" w:hAnsiTheme="minorEastAsia" w:eastAsiaTheme="minorEastAsia"/>
                <w:b/>
                <w:sz w:val="21"/>
                <w:szCs w:val="21"/>
              </w:rPr>
            </w:pPr>
            <w:r>
              <w:rPr>
                <w:rFonts w:hint="eastAsia" w:asciiTheme="minorEastAsia" w:hAnsiTheme="minorEastAsia" w:eastAsiaTheme="minorEastAsia"/>
                <w:b/>
                <w:sz w:val="21"/>
                <w:szCs w:val="21"/>
              </w:rPr>
              <w:t>标本类型</w:t>
            </w:r>
          </w:p>
        </w:tc>
        <w:tc>
          <w:tcPr>
            <w:tcW w:w="8549" w:type="dxa"/>
            <w:vAlign w:val="center"/>
          </w:tcPr>
          <w:p w14:paraId="1499CDDA">
            <w:pPr>
              <w:pStyle w:val="17"/>
              <w:rPr>
                <w:rFonts w:asciiTheme="minorEastAsia" w:hAnsiTheme="minorEastAsia" w:eastAsiaTheme="minorEastAsia"/>
                <w:sz w:val="21"/>
                <w:szCs w:val="21"/>
              </w:rPr>
            </w:pPr>
            <w:r>
              <w:rPr>
                <w:rFonts w:hint="eastAsia" w:asciiTheme="minorEastAsia" w:hAnsiTheme="minorEastAsia" w:eastAsiaTheme="minorEastAsia"/>
                <w:sz w:val="21"/>
                <w:szCs w:val="21"/>
              </w:rPr>
              <w:t>组织学样本,肿瘤细胞比例&gt;20%</w:t>
            </w:r>
          </w:p>
        </w:tc>
      </w:tr>
      <w:tr w14:paraId="2502F03B">
        <w:trPr>
          <w:trHeight w:val="405" w:hRule="atLeast"/>
        </w:trPr>
        <w:tc>
          <w:tcPr>
            <w:tcW w:w="1242" w:type="dxa"/>
          </w:tcPr>
          <w:p w14:paraId="637CC9F9">
            <w:pPr>
              <w:pStyle w:val="17"/>
              <w:rPr>
                <w:rFonts w:asciiTheme="minorEastAsia" w:hAnsiTheme="minorEastAsia" w:eastAsiaTheme="minorEastAsia"/>
                <w:b/>
                <w:sz w:val="21"/>
                <w:szCs w:val="21"/>
              </w:rPr>
            </w:pPr>
            <w:r>
              <w:rPr>
                <w:rFonts w:hint="eastAsia" w:asciiTheme="minorEastAsia" w:hAnsiTheme="minorEastAsia" w:eastAsiaTheme="minorEastAsia"/>
                <w:b/>
                <w:sz w:val="21"/>
                <w:szCs w:val="21"/>
              </w:rPr>
              <w:t>检测平台</w:t>
            </w:r>
          </w:p>
        </w:tc>
        <w:tc>
          <w:tcPr>
            <w:tcW w:w="8549" w:type="dxa"/>
            <w:vAlign w:val="center"/>
          </w:tcPr>
          <w:p w14:paraId="455D3D3C">
            <w:pPr>
              <w:pStyle w:val="17"/>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Life ion torrent DA8600</w:t>
            </w:r>
          </w:p>
        </w:tc>
      </w:tr>
      <w:tr w14:paraId="1479B70D">
        <w:trPr>
          <w:trHeight w:val="1420" w:hRule="atLeast"/>
        </w:trPr>
        <w:tc>
          <w:tcPr>
            <w:tcW w:w="1242" w:type="dxa"/>
          </w:tcPr>
          <w:p w14:paraId="7CC6BB35">
            <w:pPr>
              <w:pStyle w:val="17"/>
              <w:rPr>
                <w:rFonts w:asciiTheme="minorEastAsia" w:hAnsiTheme="minorEastAsia" w:eastAsiaTheme="minorEastAsia"/>
                <w:b/>
                <w:sz w:val="21"/>
                <w:szCs w:val="21"/>
              </w:rPr>
            </w:pPr>
            <w:r>
              <w:rPr>
                <w:rFonts w:hint="eastAsia" w:asciiTheme="minorEastAsia" w:hAnsiTheme="minorEastAsia" w:eastAsiaTheme="minorEastAsia"/>
                <w:b/>
                <w:sz w:val="21"/>
                <w:szCs w:val="21"/>
              </w:rPr>
              <w:t>检测内容</w:t>
            </w:r>
          </w:p>
        </w:tc>
        <w:tc>
          <w:tcPr>
            <w:tcW w:w="8549" w:type="dxa"/>
          </w:tcPr>
          <w:p w14:paraId="6F08CDCC">
            <w:pPr>
              <w:pStyle w:val="17"/>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基于DNA，RNA水平，用二代测序平台检测肺癌个体化用药相关的16个基因以及附加的44个治疗相关基因的特定变异。</w:t>
            </w:r>
          </w:p>
          <w:p w14:paraId="3FCBFA87">
            <w:pPr>
              <w:pStyle w:val="17"/>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可检测ALK, EGFR, KRAS, BRAF, ERBB2/3/4, RET, MET, ROS1, NRAS, HRAS, PIK3CA, PTEN, TP53, UGT1A1, IDH1/2, JAK1/2/3, FGFR2/3, PDGFRA 等43基因的全外显子或热点区域，提供基因的点突变（SNV）和插入缺失（INDEL）两种变异类型的检出情况。</w:t>
            </w:r>
          </w:p>
          <w:p w14:paraId="0F56EAC8">
            <w:pPr>
              <w:pStyle w:val="17"/>
              <w:spacing w:line="260" w:lineRule="exact"/>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14:textFill>
                  <w14:solidFill>
                    <w14:schemeClr w14:val="tx1"/>
                  </w14:solidFill>
                </w14:textFill>
              </w:rPr>
              <w:t>同时，还能检测ALK、MET、BRAF、CCND1、KRAS、MYC等19个基因的拷贝数变异（CNV）。并包括ALK, ROS1, RET, NTRK1/2/3, FGFR1/2/3, MET, BRAF, RAF1, ERG, ETV1/4/5, ABL1, AKT3, AXL, EGFR, PPARG, ERBB2, PDGFRA共23个基因的融合检测（RNA水平）。</w:t>
            </w:r>
          </w:p>
        </w:tc>
      </w:tr>
      <w:tr w14:paraId="73177A64">
        <w:trPr>
          <w:trHeight w:val="414" w:hRule="atLeast"/>
        </w:trPr>
        <w:tc>
          <w:tcPr>
            <w:tcW w:w="1242" w:type="dxa"/>
          </w:tcPr>
          <w:p w14:paraId="1C7030A3">
            <w:pPr>
              <w:pStyle w:val="17"/>
              <w:rPr>
                <w:rFonts w:asciiTheme="minorEastAsia" w:hAnsiTheme="minorEastAsia" w:eastAsiaTheme="minorEastAsia"/>
                <w:b/>
                <w:sz w:val="21"/>
                <w:szCs w:val="21"/>
              </w:rPr>
            </w:pPr>
            <w:r>
              <w:rPr>
                <w:rFonts w:hint="eastAsia"/>
                <w:b/>
                <w:color w:val="000000"/>
                <w:sz w:val="21"/>
                <w:szCs w:val="21"/>
                <w:lang w:bidi="ar"/>
              </w:rPr>
              <w:t>病理诊断</w:t>
            </w:r>
          </w:p>
        </w:tc>
        <w:tc>
          <w:tcPr>
            <w:tcW w:w="8549" w:type="dxa"/>
            <w:vAlign w:val="center"/>
          </w:tcPr>
          <w:p w14:paraId="17069890">
            <w:pPr>
              <w:pStyle w:val="17"/>
              <w:tabs>
                <w:tab w:val="left" w:pos="1114"/>
              </w:tabs>
              <w:spacing w:before="0" w:beforeAutospacing="0" w:after="0" w:afterAutospacing="0"/>
              <w:jc w:val="both"/>
              <w:rPr>
                <w:rFonts w:asciiTheme="minorEastAsia" w:hAnsiTheme="minorEastAsia" w:eastAsiaTheme="minorEastAsia"/>
                <w:color w:val="000000" w:themeColor="text1"/>
                <w:sz w:val="21"/>
                <w:szCs w:val="21"/>
                <w14:textFill>
                  <w14:solidFill>
                    <w14:schemeClr w14:val="tx1"/>
                  </w14:solidFill>
                </w14:textFill>
              </w:rPr>
            </w:pPr>
          </w:p>
        </w:tc>
      </w:tr>
    </w:tbl>
    <w:p w14:paraId="66BF435D">
      <w:pPr>
        <w:rPr>
          <w:rFonts w:ascii="Times New Roman" w:hAnsi="Times New Roman" w:eastAsia="微软雅黑" w:cs="Times New Roman"/>
          <w:b/>
          <w:bCs/>
          <w:sz w:val="28"/>
          <w:szCs w:val="28"/>
        </w:rPr>
      </w:pPr>
    </w:p>
    <w:p w14:paraId="52883C7F">
      <w:pPr>
        <w:rPr>
          <w:b/>
          <w:bCs/>
          <w:sz w:val="28"/>
          <w:szCs w:val="28"/>
        </w:rPr>
      </w:pPr>
      <w:r>
        <w:rPr>
          <w:b/>
          <w:bCs/>
          <w:sz w:val="28"/>
          <w:szCs w:val="28"/>
        </w:rPr>
        <w:t>本报告涉及样本数据质控情况：</w:t>
      </w:r>
    </w:p>
    <w:tbl>
      <w:tblPr>
        <w:tblStyle w:val="47"/>
        <w:tblW w:w="7054" w:type="dxa"/>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581"/>
        <w:gridCol w:w="3197"/>
        <w:gridCol w:w="1276"/>
      </w:tblGrid>
      <w:tr w14:paraId="4C504697">
        <w:trPr>
          <w:trHeight w:val="436" w:hRule="atLeast"/>
          <w:jc w:val="center"/>
        </w:trPr>
        <w:tc>
          <w:tcPr>
            <w:tcW w:w="2581"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1F497D" w:themeFill="text2"/>
            <w:vAlign w:val="center"/>
          </w:tcPr>
          <w:p w14:paraId="4F85BBB0">
            <w:pPr>
              <w:jc w:val="center"/>
              <w:rPr>
                <w:rFonts w:asciiTheme="minorEastAsia" w:hAnsiTheme="minorEastAsia" w:eastAsiaTheme="minorEastAsia"/>
                <w:b w:val="0"/>
                <w:bCs w:val="0"/>
                <w:color w:val="FFFFFF" w:themeColor="background1"/>
                <w14:textFill>
                  <w14:solidFill>
                    <w14:schemeClr w14:val="bg1"/>
                  </w14:solidFill>
                </w14:textFill>
              </w:rPr>
            </w:pPr>
            <w:r>
              <w:rPr>
                <w:rFonts w:asciiTheme="minorEastAsia" w:hAnsiTheme="minorEastAsia" w:eastAsiaTheme="minorEastAsia"/>
                <w:b/>
                <w:bCs/>
                <w:color w:val="FFFFFF" w:themeColor="background1"/>
                <w14:textFill>
                  <w14:solidFill>
                    <w14:schemeClr w14:val="bg1"/>
                  </w14:solidFill>
                </w14:textFill>
              </w:rPr>
              <w:t>数据质控指标</w:t>
            </w:r>
          </w:p>
        </w:tc>
        <w:tc>
          <w:tcPr>
            <w:tcW w:w="3197" w:type="dxa"/>
            <w:tcBorders>
              <w:top w:val="single" w:color="4F81BD" w:themeColor="accent1" w:sz="4" w:space="0"/>
              <w:bottom w:val="single" w:color="4F81BD" w:themeColor="accent1" w:sz="4" w:space="0"/>
              <w:right w:val="nil"/>
              <w:insideH w:val="single" w:sz="4" w:space="0"/>
              <w:insideV w:val="nil"/>
            </w:tcBorders>
            <w:shd w:val="clear" w:color="auto" w:fill="1F497D" w:themeFill="text2"/>
            <w:vAlign w:val="center"/>
          </w:tcPr>
          <w:p w14:paraId="587E29D3">
            <w:pPr>
              <w:jc w:val="center"/>
              <w:rPr>
                <w:rFonts w:asciiTheme="minorEastAsia" w:hAnsiTheme="minorEastAsia" w:eastAsiaTheme="minorEastAsia"/>
                <w:b w:val="0"/>
                <w:bCs w:val="0"/>
                <w:color w:val="FFFFFF" w:themeColor="background1"/>
                <w14:textFill>
                  <w14:solidFill>
                    <w14:schemeClr w14:val="bg1"/>
                  </w14:solidFill>
                </w14:textFill>
              </w:rPr>
            </w:pPr>
            <w:r>
              <w:rPr>
                <w:rFonts w:asciiTheme="minorEastAsia" w:hAnsiTheme="minorEastAsia" w:eastAsiaTheme="minorEastAsia"/>
                <w:b/>
                <w:bCs/>
                <w:color w:val="FFFFFF" w:themeColor="background1"/>
                <w14:textFill>
                  <w14:solidFill>
                    <w14:schemeClr w14:val="bg1"/>
                  </w14:solidFill>
                </w14:textFill>
              </w:rPr>
              <w:t>实际值</w:t>
            </w:r>
          </w:p>
        </w:tc>
        <w:tc>
          <w:tcPr>
            <w:tcW w:w="1276"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1F497D" w:themeFill="text2"/>
            <w:vAlign w:val="center"/>
          </w:tcPr>
          <w:p w14:paraId="7B176A27">
            <w:pPr>
              <w:jc w:val="center"/>
              <w:rPr>
                <w:rFonts w:asciiTheme="minorEastAsia" w:hAnsiTheme="minorEastAsia" w:eastAsiaTheme="minorEastAsia"/>
                <w:b w:val="0"/>
                <w:bCs w:val="0"/>
                <w:color w:val="FFFFFF" w:themeColor="background1"/>
                <w14:textFill>
                  <w14:solidFill>
                    <w14:schemeClr w14:val="bg1"/>
                  </w14:solidFill>
                </w14:textFill>
              </w:rPr>
            </w:pPr>
            <w:r>
              <w:rPr>
                <w:rFonts w:asciiTheme="minorEastAsia" w:hAnsiTheme="minorEastAsia" w:eastAsiaTheme="minorEastAsia"/>
                <w:b/>
                <w:bCs/>
                <w:color w:val="FFFFFF" w:themeColor="background1"/>
                <w14:textFill>
                  <w14:solidFill>
                    <w14:schemeClr w14:val="bg1"/>
                  </w14:solidFill>
                </w14:textFill>
              </w:rPr>
              <w:t>质控标准</w:t>
            </w:r>
          </w:p>
        </w:tc>
      </w:tr>
      <w:tr w14:paraId="5318860B">
        <w:trPr>
          <w:trHeight w:val="436" w:hRule="atLeast"/>
          <w:jc w:val="center"/>
        </w:trPr>
        <w:tc>
          <w:tcPr>
            <w:tcW w:w="2581" w:type="dxa"/>
            <w:shd w:val="clear" w:color="auto" w:fill="auto"/>
            <w:vAlign w:val="center"/>
          </w:tcPr>
          <w:p w14:paraId="3EB0E267">
            <w:pPr>
              <w:jc w:val="center"/>
              <w:rPr>
                <w:rFonts w:asciiTheme="minorEastAsia" w:hAnsiTheme="minorEastAsia" w:eastAsiaTheme="minorEastAsia"/>
                <w:b w:val="0"/>
                <w:bCs w:val="0"/>
              </w:rPr>
            </w:pPr>
            <w:r>
              <w:rPr>
                <w:rFonts w:asciiTheme="minorEastAsia" w:hAnsiTheme="minorEastAsia" w:eastAsiaTheme="minorEastAsia"/>
                <w:b/>
                <w:bCs/>
              </w:rPr>
              <w:t>目标区域平均测序深度</w:t>
            </w:r>
            <w:r>
              <w:rPr>
                <w:rFonts w:hint="eastAsia" w:asciiTheme="minorEastAsia" w:hAnsiTheme="minorEastAsia" w:eastAsiaTheme="minorEastAsia"/>
                <w:b/>
                <w:bCs/>
              </w:rPr>
              <w:t>*</w:t>
            </w:r>
          </w:p>
        </w:tc>
        <w:tc>
          <w:tcPr>
            <w:tcW w:w="3197" w:type="dxa"/>
            <w:shd w:val="clear" w:color="auto" w:fill="auto"/>
            <w:vAlign w:val="center"/>
          </w:tcPr>
          <w:p w14:paraId="22EA5134">
            <w:pPr>
              <w:jc w:val="center"/>
              <w:rPr>
                <w:rFonts w:ascii="Times New Roman" w:hAnsi="Times New Roman" w:eastAsia="微软雅黑" w:cs="Times New Roman"/>
              </w:rPr>
            </w:pPr>
            <w:r>
              <w:rPr>
                <w:rFonts w:ascii="Times New Roman" w:hAnsi="Times New Roman" w:eastAsia="微软雅黑" w:cs="Times New Roman"/>
                <w:kern w:val="2"/>
                <w:sz w:val="24"/>
                <w:szCs w:val="24"/>
              </w:rPr>
              <w:t>{{ meanSequencingDepth }}</w:t>
            </w:r>
            <w:r>
              <w:rPr>
                <w:rFonts w:ascii="Times New Roman" w:hAnsi="Times New Roman" w:eastAsia="微软雅黑" w:cs="Times New Roman"/>
                <w:color w:val="000000"/>
                <w:kern w:val="2"/>
                <w:sz w:val="24"/>
                <w:szCs w:val="24"/>
              </w:rPr>
              <w:t>X</w:t>
            </w:r>
          </w:p>
        </w:tc>
        <w:tc>
          <w:tcPr>
            <w:tcW w:w="1276" w:type="dxa"/>
            <w:shd w:val="clear" w:color="auto" w:fill="auto"/>
            <w:vAlign w:val="center"/>
          </w:tcPr>
          <w:p w14:paraId="1239EBD2">
            <w:pPr>
              <w:jc w:val="center"/>
              <w:rPr>
                <w:rFonts w:ascii="Times New Roman" w:hAnsi="Times New Roman" w:eastAsia="微软雅黑" w:cs="Times New Roman"/>
              </w:rPr>
            </w:pPr>
            <w:r>
              <w:rPr>
                <w:rFonts w:ascii="Times New Roman" w:hAnsi="Times New Roman" w:eastAsia="微软雅黑" w:cs="Times New Roman"/>
                <w:color w:val="000000"/>
                <w:kern w:val="2"/>
                <w:sz w:val="24"/>
                <w:szCs w:val="24"/>
              </w:rPr>
              <w:t>≥3000X</w:t>
            </w:r>
          </w:p>
        </w:tc>
      </w:tr>
      <w:tr w14:paraId="50233448">
        <w:trPr>
          <w:trHeight w:val="436" w:hRule="atLeast"/>
          <w:jc w:val="center"/>
        </w:trPr>
        <w:tc>
          <w:tcPr>
            <w:tcW w:w="2581" w:type="dxa"/>
            <w:vAlign w:val="center"/>
          </w:tcPr>
          <w:p w14:paraId="6EDB3B05">
            <w:pPr>
              <w:jc w:val="center"/>
              <w:rPr>
                <w:rFonts w:asciiTheme="minorEastAsia" w:hAnsiTheme="minorEastAsia" w:eastAsiaTheme="minorEastAsia"/>
                <w:b w:val="0"/>
                <w:bCs w:val="0"/>
              </w:rPr>
            </w:pPr>
            <w:r>
              <w:rPr>
                <w:rFonts w:asciiTheme="minorEastAsia" w:hAnsiTheme="minorEastAsia" w:eastAsiaTheme="minorEastAsia"/>
                <w:b/>
                <w:bCs/>
              </w:rPr>
              <w:t>覆盖度</w:t>
            </w:r>
          </w:p>
        </w:tc>
        <w:tc>
          <w:tcPr>
            <w:tcW w:w="3197" w:type="dxa"/>
            <w:vAlign w:val="center"/>
          </w:tcPr>
          <w:p w14:paraId="6B7425A6">
            <w:pPr>
              <w:jc w:val="center"/>
              <w:rPr>
                <w:rFonts w:ascii="Times New Roman" w:hAnsi="Times New Roman" w:eastAsia="微软雅黑" w:cs="Times New Roman"/>
              </w:rPr>
            </w:pPr>
            <w:r>
              <w:rPr>
                <w:rFonts w:ascii="Times New Roman" w:hAnsi="Times New Roman" w:eastAsia="微软雅黑" w:cs="Times New Roman"/>
                <w:kern w:val="2"/>
                <w:sz w:val="24"/>
                <w:szCs w:val="24"/>
              </w:rPr>
              <w:t>{{ targetAreaCoverage }}</w:t>
            </w:r>
            <w:r>
              <w:rPr>
                <w:rFonts w:ascii="Times New Roman" w:hAnsi="Times New Roman" w:eastAsia="微软雅黑" w:cs="Times New Roman"/>
                <w:color w:val="000000"/>
                <w:kern w:val="2"/>
                <w:sz w:val="24"/>
                <w:szCs w:val="24"/>
              </w:rPr>
              <w:t>%</w:t>
            </w:r>
          </w:p>
        </w:tc>
        <w:tc>
          <w:tcPr>
            <w:tcW w:w="1276" w:type="dxa"/>
            <w:vAlign w:val="center"/>
          </w:tcPr>
          <w:p w14:paraId="61D554CD">
            <w:pPr>
              <w:jc w:val="center"/>
              <w:rPr>
                <w:rFonts w:ascii="Times New Roman" w:hAnsi="Times New Roman" w:eastAsia="微软雅黑" w:cs="Times New Roman"/>
              </w:rPr>
            </w:pPr>
            <w:r>
              <w:rPr>
                <w:rFonts w:ascii="Times New Roman" w:hAnsi="Times New Roman" w:eastAsia="微软雅黑" w:cs="Times New Roman"/>
                <w:color w:val="000000"/>
                <w:kern w:val="2"/>
                <w:sz w:val="24"/>
                <w:szCs w:val="24"/>
              </w:rPr>
              <w:t>≥95%</w:t>
            </w:r>
          </w:p>
        </w:tc>
      </w:tr>
    </w:tbl>
    <w:p w14:paraId="71999900">
      <w:pPr>
        <w:pStyle w:val="2"/>
        <w:ind w:firstLine="900" w:firstLineChars="500"/>
        <w:jc w:val="left"/>
        <w:rPr>
          <w:rFonts w:ascii="Times New Roman" w:hAnsi="Times New Roman" w:eastAsia="微软雅黑" w:cs="Times New Roman"/>
          <w:b w:val="0"/>
          <w:sz w:val="22"/>
          <w:szCs w:val="22"/>
        </w:rPr>
      </w:pPr>
      <w:bookmarkStart w:id="2" w:name="_Toc534637492"/>
      <w:r>
        <w:rPr>
          <w:rFonts w:hint="eastAsia" w:ascii="宋体" w:hAnsi="宋体" w:eastAsia="宋体" w:cs="Times New Roman"/>
          <w:b w:val="0"/>
          <w:sz w:val="18"/>
          <w:szCs w:val="18"/>
        </w:rPr>
        <w:t>注：结合本平台试剂扩增效率和生物信息学统计结果，建议平均测序深度质控标准不低于</w:t>
      </w:r>
      <w:r>
        <w:rPr>
          <w:rFonts w:hint="eastAsia" w:ascii="Times New Roman" w:hAnsi="Times New Roman" w:eastAsia="微软雅黑" w:cs="Times New Roman"/>
          <w:b w:val="0"/>
          <w:sz w:val="18"/>
          <w:szCs w:val="18"/>
        </w:rPr>
        <w:t>3000X</w:t>
      </w:r>
    </w:p>
    <w:p w14:paraId="2C8F95F4">
      <w:pPr>
        <w:jc w:val="center"/>
        <w:rPr>
          <w:rFonts w:ascii="Times New Roman" w:hAnsi="Times New Roman" w:eastAsia="微软雅黑" w:cs="Times New Roman"/>
          <w:b/>
          <w:color w:val="FFFFFF"/>
          <w:sz w:val="36"/>
          <w:szCs w:val="30"/>
          <w:shd w:val="clear" w:color="auto" w:fill="17365D"/>
        </w:rPr>
      </w:pPr>
    </w:p>
    <w:p w14:paraId="1B787C59">
      <w:pPr>
        <w:pStyle w:val="2"/>
        <w:rPr>
          <w:rFonts w:ascii="Times New Roman" w:hAnsi="Times New Roman" w:eastAsia="微软雅黑" w:cs="Times New Roman"/>
          <w:color w:val="FFFFFF"/>
          <w:szCs w:val="30"/>
          <w:shd w:val="clear" w:color="auto" w:fill="17365D"/>
        </w:rPr>
      </w:pPr>
      <w:r>
        <w:rPr>
          <w:rFonts w:ascii="Times New Roman" w:hAnsi="Times New Roman" w:eastAsia="宋体" w:cs="Times New Roman"/>
          <w:color w:val="FFFFFF"/>
          <w:szCs w:val="30"/>
          <w:shd w:val="clear" w:color="auto" w:fill="17365D"/>
        </w:rPr>
        <w:t>检测结果</w:t>
      </w:r>
      <w:bookmarkEnd w:id="0"/>
      <w:bookmarkEnd w:id="1"/>
      <w:bookmarkEnd w:id="2"/>
    </w:p>
    <w:p w14:paraId="7847197A">
      <w:pPr>
        <w:rPr>
          <w:rFonts w:ascii="Times New Roman" w:hAnsi="Times New Roman" w:eastAsia="微软雅黑" w:cs="Times New Roman"/>
        </w:rPr>
      </w:pPr>
    </w:p>
    <w:tbl>
      <w:tblPr>
        <w:tblStyle w:val="19"/>
        <w:tblpPr w:leftFromText="180" w:rightFromText="180" w:vertAnchor="text" w:horzAnchor="page" w:tblpXSpec="center" w:tblpY="1"/>
        <w:tblOverlap w:val="never"/>
        <w:tblW w:w="506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92"/>
        <w:gridCol w:w="1493"/>
        <w:gridCol w:w="1493"/>
        <w:gridCol w:w="1493"/>
        <w:gridCol w:w="1497"/>
        <w:gridCol w:w="1738"/>
      </w:tblGrid>
      <w:tr w14:paraId="289308AB">
        <w:trPr>
          <w:trHeight w:val="428" w:hRule="atLeast"/>
          <w:jc w:val="center"/>
        </w:trPr>
        <w:tc>
          <w:tcPr>
            <w:tcW w:w="810" w:type="pct"/>
            <w:tcBorders>
              <w:tl2br w:val="nil"/>
              <w:tr2bl w:val="nil"/>
            </w:tcBorders>
            <w:vAlign w:val="center"/>
          </w:tcPr>
          <w:p w14:paraId="5AA95188">
            <w:pPr>
              <w:adjustRightInd w:val="0"/>
              <w:snapToGrid w:val="0"/>
              <w:jc w:val="center"/>
              <w:rPr>
                <w:rFonts w:ascii="Times New Roman" w:hAnsi="Times New Roman"/>
                <w:kern w:val="2"/>
                <w:sz w:val="28"/>
                <w:szCs w:val="28"/>
              </w:rPr>
            </w:pPr>
            <w:r>
              <w:rPr>
                <w:rFonts w:hint="eastAsia" w:ascii="Times New Roman" w:hAnsi="Times New Roman"/>
                <w:kern w:val="2"/>
                <w:sz w:val="28"/>
                <w:szCs w:val="28"/>
              </w:rPr>
              <w:t>变异分级</w:t>
            </w:r>
          </w:p>
        </w:tc>
        <w:tc>
          <w:tcPr>
            <w:tcW w:w="811" w:type="pct"/>
            <w:tcBorders>
              <w:tl2br w:val="nil"/>
              <w:tr2bl w:val="nil"/>
            </w:tcBorders>
            <w:vAlign w:val="center"/>
          </w:tcPr>
          <w:p w14:paraId="2CA9C41F">
            <w:pPr>
              <w:adjustRightInd w:val="0"/>
              <w:snapToGrid w:val="0"/>
              <w:jc w:val="center"/>
              <w:rPr>
                <w:rFonts w:ascii="Times New Roman" w:hAnsi="Times New Roman"/>
                <w:kern w:val="2"/>
                <w:sz w:val="21"/>
                <w:szCs w:val="21"/>
              </w:rPr>
            </w:pPr>
            <w:r>
              <w:rPr>
                <w:rFonts w:hint="eastAsia" w:ascii="Times New Roman" w:hAnsi="Times New Roman"/>
                <w:kern w:val="2"/>
                <w:sz w:val="28"/>
                <w:szCs w:val="28"/>
              </w:rPr>
              <w:t>I</w:t>
            </w:r>
          </w:p>
        </w:tc>
        <w:tc>
          <w:tcPr>
            <w:tcW w:w="3378" w:type="pct"/>
            <w:gridSpan w:val="4"/>
            <w:tcBorders>
              <w:tl2br w:val="nil"/>
              <w:tr2bl w:val="nil"/>
            </w:tcBorders>
            <w:vAlign w:val="center"/>
          </w:tcPr>
          <w:p w14:paraId="07D59A74">
            <w:pPr>
              <w:adjustRightInd w:val="0"/>
              <w:snapToGrid w:val="0"/>
              <w:jc w:val="center"/>
              <w:rPr>
                <w:rFonts w:ascii="Times New Roman" w:hAnsi="Times New Roman"/>
                <w:kern w:val="2"/>
                <w:sz w:val="21"/>
                <w:szCs w:val="21"/>
              </w:rPr>
            </w:pPr>
            <w:r>
              <w:rPr>
                <w:rFonts w:hint="eastAsia" w:ascii="Times New Roman" w:hAnsi="Times New Roman"/>
                <w:kern w:val="2"/>
                <w:sz w:val="28"/>
                <w:szCs w:val="28"/>
              </w:rPr>
              <w:t>有重要的临床意义</w:t>
            </w:r>
          </w:p>
        </w:tc>
      </w:tr>
      <w:tr w14:paraId="4535044A">
        <w:trPr>
          <w:trHeight w:val="438" w:hRule="atLeast"/>
          <w:jc w:val="center"/>
        </w:trPr>
        <w:tc>
          <w:tcPr>
            <w:tcW w:w="810" w:type="pct"/>
            <w:tcBorders>
              <w:tl2br w:val="nil"/>
              <w:tr2bl w:val="nil"/>
            </w:tcBorders>
            <w:shd w:val="clear" w:color="auto" w:fill="1F497D" w:themeFill="text2"/>
            <w:vAlign w:val="center"/>
          </w:tcPr>
          <w:p w14:paraId="2BC04843">
            <w:pPr>
              <w:jc w:val="center"/>
              <w:rPr>
                <w:rFonts w:ascii="Calibri" w:hAnsi="Calibri" w:cs="Times New Roman"/>
                <w:b/>
                <w:bCs/>
                <w:sz w:val="18"/>
                <w:szCs w:val="18"/>
              </w:rPr>
            </w:pPr>
            <w:r>
              <w:rPr>
                <w:rFonts w:ascii="Calibri" w:hAnsi="Calibri" w:cs="Times New Roman"/>
                <w:b/>
                <w:bCs/>
                <w:sz w:val="18"/>
                <w:szCs w:val="18"/>
              </w:rPr>
              <w:t>突变基因</w:t>
            </w:r>
          </w:p>
        </w:tc>
        <w:tc>
          <w:tcPr>
            <w:tcW w:w="811" w:type="pct"/>
            <w:tcBorders>
              <w:tl2br w:val="nil"/>
              <w:tr2bl w:val="nil"/>
            </w:tcBorders>
            <w:shd w:val="clear" w:color="auto" w:fill="1F497D" w:themeFill="text2"/>
            <w:vAlign w:val="center"/>
          </w:tcPr>
          <w:p w14:paraId="0AA0F867">
            <w:pPr>
              <w:jc w:val="center"/>
              <w:rPr>
                <w:rFonts w:ascii="Calibri" w:hAnsi="Calibri" w:cs="Times New Roman"/>
                <w:b/>
                <w:bCs/>
                <w:sz w:val="18"/>
                <w:szCs w:val="18"/>
              </w:rPr>
            </w:pPr>
            <w:r>
              <w:rPr>
                <w:rFonts w:hint="eastAsia" w:ascii="Calibri" w:hAnsi="Calibri" w:cs="Times New Roman"/>
                <w:b/>
                <w:bCs/>
                <w:sz w:val="18"/>
                <w:szCs w:val="18"/>
              </w:rPr>
              <w:t>转录本</w:t>
            </w:r>
          </w:p>
        </w:tc>
        <w:tc>
          <w:tcPr>
            <w:tcW w:w="811" w:type="pct"/>
            <w:tcBorders>
              <w:tl2br w:val="nil"/>
              <w:tr2bl w:val="nil"/>
            </w:tcBorders>
            <w:shd w:val="clear" w:color="auto" w:fill="1F497D" w:themeFill="text2"/>
            <w:vAlign w:val="center"/>
          </w:tcPr>
          <w:p w14:paraId="5C663486">
            <w:pPr>
              <w:jc w:val="center"/>
              <w:rPr>
                <w:rFonts w:ascii="Calibri" w:hAnsi="Calibri" w:cs="Times New Roman"/>
                <w:b/>
                <w:bCs/>
                <w:sz w:val="18"/>
                <w:szCs w:val="18"/>
              </w:rPr>
            </w:pPr>
            <w:r>
              <w:rPr>
                <w:rFonts w:hint="eastAsia" w:ascii="Calibri" w:hAnsi="Calibri" w:cs="Times New Roman"/>
                <w:b/>
                <w:bCs/>
                <w:sz w:val="18"/>
                <w:szCs w:val="18"/>
              </w:rPr>
              <w:t>外显子/内含子</w:t>
            </w:r>
          </w:p>
        </w:tc>
        <w:tc>
          <w:tcPr>
            <w:tcW w:w="811" w:type="pct"/>
            <w:tcBorders>
              <w:tl2br w:val="nil"/>
              <w:tr2bl w:val="nil"/>
            </w:tcBorders>
            <w:shd w:val="clear" w:color="auto" w:fill="1F497D" w:themeFill="text2"/>
            <w:vAlign w:val="center"/>
          </w:tcPr>
          <w:p w14:paraId="57F9DFDB">
            <w:pPr>
              <w:jc w:val="center"/>
              <w:rPr>
                <w:rFonts w:ascii="Calibri" w:hAnsi="Calibri" w:cs="Times New Roman"/>
                <w:b/>
                <w:bCs/>
                <w:sz w:val="18"/>
                <w:szCs w:val="18"/>
              </w:rPr>
            </w:pPr>
            <w:r>
              <w:rPr>
                <w:rFonts w:hint="eastAsia" w:ascii="Calibri" w:hAnsi="Calibri" w:cs="Times New Roman"/>
                <w:b/>
                <w:bCs/>
                <w:sz w:val="18"/>
                <w:szCs w:val="18"/>
              </w:rPr>
              <w:t>核苷酸变化</w:t>
            </w:r>
          </w:p>
        </w:tc>
        <w:tc>
          <w:tcPr>
            <w:tcW w:w="811" w:type="pct"/>
            <w:tcBorders>
              <w:tl2br w:val="nil"/>
              <w:tr2bl w:val="nil"/>
            </w:tcBorders>
            <w:shd w:val="clear" w:color="auto" w:fill="1F497D" w:themeFill="text2"/>
            <w:vAlign w:val="center"/>
          </w:tcPr>
          <w:p w14:paraId="280DB2F8">
            <w:pPr>
              <w:jc w:val="center"/>
              <w:rPr>
                <w:rFonts w:ascii="Calibri" w:hAnsi="Calibri" w:cs="Times New Roman"/>
                <w:b/>
                <w:bCs/>
                <w:sz w:val="18"/>
                <w:szCs w:val="18"/>
              </w:rPr>
            </w:pPr>
            <w:r>
              <w:rPr>
                <w:rFonts w:hint="eastAsia" w:ascii="Calibri" w:hAnsi="Calibri" w:cs="Times New Roman"/>
                <w:b/>
                <w:bCs/>
                <w:sz w:val="18"/>
                <w:szCs w:val="18"/>
              </w:rPr>
              <w:t>氨基酸变化</w:t>
            </w:r>
          </w:p>
        </w:tc>
        <w:tc>
          <w:tcPr>
            <w:tcW w:w="943" w:type="pct"/>
            <w:tcBorders>
              <w:tl2br w:val="nil"/>
              <w:tr2bl w:val="nil"/>
            </w:tcBorders>
            <w:shd w:val="clear" w:color="auto" w:fill="1F497D" w:themeFill="text2"/>
            <w:vAlign w:val="center"/>
          </w:tcPr>
          <w:p w14:paraId="3097A8D7">
            <w:pPr>
              <w:jc w:val="center"/>
              <w:rPr>
                <w:rFonts w:ascii="Calibri" w:hAnsi="Calibri" w:cs="Times New Roman"/>
                <w:b/>
                <w:bCs/>
                <w:sz w:val="18"/>
                <w:szCs w:val="18"/>
              </w:rPr>
            </w:pPr>
            <w:r>
              <w:rPr>
                <w:rFonts w:hint="eastAsia" w:ascii="Calibri" w:hAnsi="Calibri" w:cs="Times New Roman"/>
                <w:b/>
                <w:bCs/>
                <w:sz w:val="18"/>
                <w:szCs w:val="18"/>
              </w:rPr>
              <w:t>变异丰度</w:t>
            </w:r>
            <w:r>
              <w:rPr>
                <w:rFonts w:ascii="Calibri" w:hAnsi="Calibri" w:cs="Times New Roman"/>
                <w:b/>
                <w:bCs/>
                <w:sz w:val="18"/>
                <w:szCs w:val="18"/>
              </w:rPr>
              <w:t>/</w:t>
            </w:r>
            <w:r>
              <w:rPr>
                <w:rFonts w:hint="eastAsia" w:ascii="Calibri" w:hAnsi="Calibri" w:cs="Times New Roman"/>
                <w:b/>
                <w:bCs/>
                <w:sz w:val="18"/>
                <w:szCs w:val="18"/>
              </w:rPr>
              <w:t>拷贝数</w:t>
            </w:r>
          </w:p>
        </w:tc>
      </w:tr>
      <w:tr w14:paraId="78BE0B7A">
        <w:trPr>
          <w:trHeight w:val="288" w:hRule="atLeast"/>
          <w:jc w:val="center"/>
        </w:trPr>
        <w:tc>
          <w:tcPr>
            <w:tcW w:w="5000" w:type="pct"/>
            <w:gridSpan w:val="6"/>
            <w:tcBorders>
              <w:tl2br w:val="nil"/>
              <w:tr2bl w:val="nil"/>
            </w:tcBorders>
            <w:vAlign w:val="center"/>
          </w:tcPr>
          <w:p w14:paraId="1DF26FF7">
            <w:pPr>
              <w:adjustRightInd w:val="0"/>
              <w:snapToGrid w:val="0"/>
              <w:jc w:val="center"/>
              <w:rPr>
                <w:rFonts w:ascii="Times New Roman" w:hAnsi="Times New Roman"/>
                <w:kern w:val="2"/>
                <w:sz w:val="21"/>
                <w:szCs w:val="21"/>
              </w:rPr>
            </w:pPr>
            <w:r>
              <w:rPr>
                <w:rFonts w:ascii="Times New Roman" w:hAnsi="Times New Roman"/>
                <w:kern w:val="2"/>
                <w:sz w:val="18"/>
                <w:szCs w:val="18"/>
              </w:rPr>
              <w:t>{%tr if</w:t>
            </w:r>
            <w:r>
              <w:rPr>
                <w:rFonts w:hint="eastAsia" w:ascii="Times New Roman" w:hAnsi="Times New Roman"/>
                <w:kern w:val="2"/>
                <w:sz w:val="18"/>
                <w:szCs w:val="18"/>
              </w:rPr>
              <w:t xml:space="preserve"> variationGrading.variationGrading1</w:t>
            </w:r>
            <w:r>
              <w:rPr>
                <w:rFonts w:ascii="Times New Roman" w:hAnsi="Times New Roman"/>
                <w:kern w:val="2"/>
                <w:sz w:val="18"/>
                <w:szCs w:val="18"/>
              </w:rPr>
              <w:t xml:space="preserve"> != [] %}</w:t>
            </w:r>
          </w:p>
        </w:tc>
      </w:tr>
      <w:tr w14:paraId="69CBB9B3">
        <w:trPr>
          <w:trHeight w:val="273" w:hRule="atLeast"/>
          <w:jc w:val="center"/>
        </w:trPr>
        <w:tc>
          <w:tcPr>
            <w:tcW w:w="5000" w:type="pct"/>
            <w:gridSpan w:val="6"/>
            <w:tcBorders>
              <w:tl2br w:val="nil"/>
              <w:tr2bl w:val="nil"/>
            </w:tcBorders>
            <w:vAlign w:val="center"/>
          </w:tcPr>
          <w:p w14:paraId="2DCB42BB">
            <w:pPr>
              <w:adjustRightInd w:val="0"/>
              <w:snapToGrid w:val="0"/>
              <w:jc w:val="center"/>
              <w:rPr>
                <w:rFonts w:ascii="Times New Roman" w:hAnsi="Times New Roman"/>
                <w:kern w:val="2"/>
                <w:sz w:val="18"/>
                <w:szCs w:val="18"/>
              </w:rPr>
            </w:pPr>
            <w:r>
              <w:rPr>
                <w:rFonts w:ascii="Times New Roman" w:hAnsi="Times New Roman"/>
                <w:kern w:val="2"/>
                <w:sz w:val="18"/>
                <w:szCs w:val="18"/>
              </w:rPr>
              <w:t>{%tr for</w:t>
            </w:r>
            <w:r>
              <w:rPr>
                <w:rFonts w:hint="eastAsia" w:ascii="Times New Roman" w:hAnsi="Times New Roman"/>
                <w:kern w:val="2"/>
                <w:sz w:val="18"/>
                <w:szCs w:val="18"/>
              </w:rPr>
              <w:t xml:space="preserve"> vg</w:t>
            </w:r>
            <w:r>
              <w:rPr>
                <w:rFonts w:ascii="Times New Roman" w:hAnsi="Times New Roman"/>
                <w:kern w:val="2"/>
                <w:sz w:val="18"/>
                <w:szCs w:val="18"/>
              </w:rPr>
              <w:t xml:space="preserve"> in </w:t>
            </w:r>
            <w:r>
              <w:rPr>
                <w:rFonts w:hint="eastAsia" w:ascii="Times New Roman" w:hAnsi="Times New Roman"/>
                <w:kern w:val="2"/>
                <w:sz w:val="18"/>
                <w:szCs w:val="18"/>
              </w:rPr>
              <w:t>variationGrading.variationGrading1</w:t>
            </w:r>
            <w:r>
              <w:rPr>
                <w:rFonts w:ascii="Times New Roman" w:hAnsi="Times New Roman"/>
                <w:kern w:val="2"/>
                <w:sz w:val="18"/>
                <w:szCs w:val="18"/>
              </w:rPr>
              <w:t xml:space="preserve"> %}</w:t>
            </w:r>
          </w:p>
        </w:tc>
      </w:tr>
      <w:tr w14:paraId="61AAAE21">
        <w:trPr>
          <w:trHeight w:val="568" w:hRule="atLeast"/>
          <w:jc w:val="center"/>
        </w:trPr>
        <w:tc>
          <w:tcPr>
            <w:tcW w:w="5000" w:type="pct"/>
            <w:gridSpan w:val="6"/>
            <w:tcBorders>
              <w:tl2br w:val="nil"/>
              <w:tr2bl w:val="nil"/>
            </w:tcBorders>
            <w:vAlign w:val="center"/>
          </w:tcPr>
          <w:p w14:paraId="47A009F4">
            <w:pPr>
              <w:adjustRightInd w:val="0"/>
              <w:snapToGrid w:val="0"/>
              <w:jc w:val="center"/>
              <w:rPr>
                <w:rFonts w:ascii="Times New Roman" w:hAnsi="Times New Roman"/>
                <w:kern w:val="2"/>
                <w:sz w:val="18"/>
                <w:szCs w:val="18"/>
              </w:rPr>
            </w:pPr>
            <w:r>
              <w:rPr>
                <w:rFonts w:ascii="Times New Roman" w:hAnsi="Times New Roman"/>
                <w:kern w:val="2"/>
                <w:sz w:val="18"/>
                <w:szCs w:val="18"/>
              </w:rPr>
              <w:t>{%tr if</w:t>
            </w:r>
            <w:r>
              <w:rPr>
                <w:rFonts w:hint="eastAsia" w:ascii="Times New Roman" w:hAnsi="Times New Roman"/>
                <w:kern w:val="2"/>
                <w:sz w:val="18"/>
                <w:szCs w:val="18"/>
              </w:rPr>
              <w:t xml:space="preserve"> vg.flag =</w:t>
            </w:r>
            <w:r>
              <w:rPr>
                <w:rFonts w:ascii="Times New Roman" w:hAnsi="Times New Roman"/>
                <w:kern w:val="2"/>
                <w:sz w:val="18"/>
                <w:szCs w:val="18"/>
              </w:rPr>
              <w:t xml:space="preserve">= </w:t>
            </w:r>
            <w:r>
              <w:rPr>
                <w:rFonts w:hint="eastAsia" w:ascii="Times New Roman" w:hAnsi="Times New Roman"/>
                <w:kern w:val="2"/>
                <w:sz w:val="18"/>
                <w:szCs w:val="18"/>
              </w:rPr>
              <w:t>False</w:t>
            </w:r>
            <w:r>
              <w:rPr>
                <w:rFonts w:ascii="Times New Roman" w:hAnsi="Times New Roman"/>
                <w:kern w:val="2"/>
                <w:sz w:val="18"/>
                <w:szCs w:val="18"/>
              </w:rPr>
              <w:t xml:space="preserve"> %}</w:t>
            </w:r>
          </w:p>
        </w:tc>
      </w:tr>
      <w:tr w14:paraId="391E3640">
        <w:trPr>
          <w:trHeight w:val="568" w:hRule="atLeast"/>
          <w:jc w:val="center"/>
        </w:trPr>
        <w:tc>
          <w:tcPr>
            <w:tcW w:w="810" w:type="pct"/>
            <w:tcBorders>
              <w:tl2br w:val="nil"/>
              <w:tr2bl w:val="nil"/>
            </w:tcBorders>
            <w:vAlign w:val="center"/>
          </w:tcPr>
          <w:p w14:paraId="6BE715AE">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.gene }}</w:t>
            </w:r>
          </w:p>
        </w:tc>
        <w:tc>
          <w:tcPr>
            <w:tcW w:w="811" w:type="pct"/>
            <w:tcBorders>
              <w:tl2br w:val="nil"/>
              <w:tr2bl w:val="nil"/>
            </w:tcBorders>
            <w:vAlign w:val="center"/>
          </w:tcPr>
          <w:p w14:paraId="1B37B16B">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w:t>
            </w:r>
            <w:r>
              <w:rPr>
                <w:rFonts w:hint="eastAsia" w:ascii="Times New Roman" w:hAnsi="Times New Roman"/>
                <w:kern w:val="2"/>
                <w:sz w:val="18"/>
                <w:szCs w:val="18"/>
              </w:rPr>
              <w:t xml:space="preserve">Transcript </w:t>
            </w:r>
            <w:r>
              <w:rPr>
                <w:rFonts w:ascii="Times New Roman" w:hAnsi="Times New Roman"/>
                <w:kern w:val="2"/>
                <w:sz w:val="18"/>
                <w:szCs w:val="18"/>
              </w:rPr>
              <w:t>}}</w:t>
            </w:r>
          </w:p>
        </w:tc>
        <w:tc>
          <w:tcPr>
            <w:tcW w:w="811" w:type="pct"/>
            <w:tcBorders>
              <w:tl2br w:val="nil"/>
              <w:tr2bl w:val="nil"/>
            </w:tcBorders>
            <w:vAlign w:val="center"/>
          </w:tcPr>
          <w:p w14:paraId="429E1D6E">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w:t>
            </w:r>
            <w:r>
              <w:rPr>
                <w:rFonts w:hint="eastAsia" w:ascii="Times New Roman" w:hAnsi="Times New Roman"/>
                <w:kern w:val="2"/>
                <w:sz w:val="18"/>
                <w:szCs w:val="18"/>
              </w:rPr>
              <w:t xml:space="preserve">Exon </w:t>
            </w:r>
            <w:r>
              <w:rPr>
                <w:rFonts w:ascii="Times New Roman" w:hAnsi="Times New Roman"/>
                <w:kern w:val="2"/>
                <w:sz w:val="18"/>
                <w:szCs w:val="18"/>
              </w:rPr>
              <w:t>}}</w:t>
            </w:r>
          </w:p>
        </w:tc>
        <w:tc>
          <w:tcPr>
            <w:tcW w:w="811" w:type="pct"/>
            <w:tcBorders>
              <w:tl2br w:val="nil"/>
              <w:tr2bl w:val="nil"/>
            </w:tcBorders>
            <w:vAlign w:val="center"/>
          </w:tcPr>
          <w:p w14:paraId="46DBCA58">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w:t>
            </w:r>
            <w:r>
              <w:rPr>
                <w:rFonts w:hint="eastAsia" w:ascii="Times New Roman" w:hAnsi="Times New Roman"/>
                <w:kern w:val="2"/>
                <w:sz w:val="18"/>
                <w:szCs w:val="18"/>
              </w:rPr>
              <w:t xml:space="preserve">cHGVS </w:t>
            </w:r>
            <w:r>
              <w:rPr>
                <w:rFonts w:ascii="Times New Roman" w:hAnsi="Times New Roman"/>
                <w:kern w:val="2"/>
                <w:sz w:val="18"/>
                <w:szCs w:val="18"/>
              </w:rPr>
              <w:t>}}</w:t>
            </w:r>
          </w:p>
        </w:tc>
        <w:tc>
          <w:tcPr>
            <w:tcW w:w="811" w:type="pct"/>
            <w:tcBorders>
              <w:tl2br w:val="nil"/>
              <w:tr2bl w:val="nil"/>
            </w:tcBorders>
            <w:vAlign w:val="center"/>
          </w:tcPr>
          <w:p w14:paraId="78EE7373">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w:t>
            </w:r>
            <w:r>
              <w:rPr>
                <w:rFonts w:hint="eastAsia" w:ascii="Times New Roman" w:hAnsi="Times New Roman"/>
                <w:kern w:val="2"/>
                <w:sz w:val="18"/>
                <w:szCs w:val="18"/>
              </w:rPr>
              <w:t xml:space="preserve">pHGVS </w:t>
            </w:r>
            <w:r>
              <w:rPr>
                <w:rFonts w:ascii="Times New Roman" w:hAnsi="Times New Roman"/>
                <w:kern w:val="2"/>
                <w:sz w:val="18"/>
                <w:szCs w:val="18"/>
              </w:rPr>
              <w:t>}}</w:t>
            </w:r>
          </w:p>
        </w:tc>
        <w:tc>
          <w:tcPr>
            <w:tcW w:w="943" w:type="pct"/>
            <w:tcBorders>
              <w:tl2br w:val="nil"/>
              <w:tr2bl w:val="nil"/>
            </w:tcBorders>
            <w:vAlign w:val="center"/>
          </w:tcPr>
          <w:p w14:paraId="6ECFE8AD">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.mutFreq }}</w:t>
            </w:r>
          </w:p>
        </w:tc>
      </w:tr>
      <w:tr w14:paraId="35D34B34">
        <w:trPr>
          <w:trHeight w:val="568" w:hRule="atLeast"/>
          <w:jc w:val="center"/>
        </w:trPr>
        <w:tc>
          <w:tcPr>
            <w:tcW w:w="5000" w:type="pct"/>
            <w:gridSpan w:val="6"/>
            <w:tcBorders>
              <w:tl2br w:val="nil"/>
              <w:tr2bl w:val="nil"/>
            </w:tcBorders>
            <w:vAlign w:val="center"/>
          </w:tcPr>
          <w:p w14:paraId="57140366">
            <w:pPr>
              <w:adjustRightInd w:val="0"/>
              <w:snapToGrid w:val="0"/>
              <w:jc w:val="center"/>
              <w:rPr>
                <w:rFonts w:ascii="Times New Roman" w:hAnsi="Times New Roman"/>
                <w:kern w:val="2"/>
                <w:sz w:val="18"/>
                <w:szCs w:val="18"/>
              </w:rPr>
            </w:pPr>
            <w:r>
              <w:rPr>
                <w:rFonts w:ascii="Times New Roman" w:hAnsi="Times New Roman"/>
                <w:kern w:val="2"/>
                <w:sz w:val="18"/>
                <w:szCs w:val="18"/>
              </w:rPr>
              <w:t>{%tr else %}</w:t>
            </w:r>
          </w:p>
        </w:tc>
      </w:tr>
      <w:tr w14:paraId="30540BE5">
        <w:trPr>
          <w:trHeight w:val="568" w:hRule="atLeast"/>
          <w:jc w:val="center"/>
        </w:trPr>
        <w:tc>
          <w:tcPr>
            <w:tcW w:w="810" w:type="pct"/>
            <w:tcBorders>
              <w:tl2br w:val="nil"/>
              <w:tr2bl w:val="nil"/>
            </w:tcBorders>
            <w:vAlign w:val="center"/>
          </w:tcPr>
          <w:p w14:paraId="05F8D9FE">
            <w:pPr>
              <w:adjustRightInd w:val="0"/>
              <w:snapToGrid w:val="0"/>
              <w:jc w:val="center"/>
              <w:rPr>
                <w:rFonts w:ascii="Times New Roman" w:hAnsi="Times New Roman"/>
                <w:kern w:val="2"/>
                <w:sz w:val="18"/>
                <w:szCs w:val="18"/>
              </w:rPr>
            </w:pPr>
            <w:bookmarkStart w:id="17" w:name="_GoBack" w:colFirst="1" w:colLast="4"/>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.gene }}</w:t>
            </w:r>
          </w:p>
        </w:tc>
        <w:tc>
          <w:tcPr>
            <w:tcW w:w="3246" w:type="pct"/>
            <w:gridSpan w:val="4"/>
            <w:tcBorders>
              <w:tl2br w:val="nil"/>
              <w:tr2bl w:val="nil"/>
            </w:tcBorders>
            <w:vAlign w:val="center"/>
          </w:tcPr>
          <w:p w14:paraId="36CF9F6B">
            <w:pPr>
              <w:pStyle w:val="49"/>
              <w:keepNext w:val="0"/>
              <w:keepLines w:val="0"/>
              <w:widowControl/>
              <w:suppressLineNumbers w:val="0"/>
              <w:jc w:val="center"/>
              <w:rPr>
                <w:rFonts w:ascii="Times New Roman" w:hAnsi="Times New Roman"/>
                <w:kern w:val="2"/>
                <w:sz w:val="18"/>
                <w:szCs w:val="18"/>
              </w:rPr>
            </w:pPr>
            <w:r>
              <w:rPr>
                <w:rFonts w:hint="eastAsia" w:ascii="Times New Roman" w:hAnsi="Times New Roman"/>
                <w:kern w:val="2"/>
                <w:sz w:val="18"/>
                <w:szCs w:val="18"/>
                <w:lang w:val="en-US" w:eastAsia="zh-CN"/>
              </w:rPr>
              <w:t>{% if vg.</w:t>
            </w:r>
            <w:r>
              <w:rPr>
                <w:rFonts w:hint="eastAsia" w:ascii="Times New Roman" w:hAnsi="Times New Roman"/>
                <w:kern w:val="2"/>
                <w:sz w:val="18"/>
                <w:szCs w:val="18"/>
                <w:lang w:eastAsia="zh-CN"/>
              </w:rPr>
              <w:t>ori_varia</w:t>
            </w:r>
            <w:r>
              <w:rPr>
                <w:rFonts w:hint="eastAsia" w:ascii="Times New Roman" w:hAnsi="Times New Roman"/>
                <w:kern w:val="2"/>
                <w:sz w:val="18"/>
                <w:szCs w:val="18"/>
                <w:lang w:val="en-US" w:eastAsia="zh-CN"/>
              </w:rPr>
              <w:t xml:space="preserve">nt == </w:t>
            </w:r>
            <w:r>
              <w:rPr>
                <w:rFonts w:hint="default" w:ascii="Times New Roman" w:hAnsi="Times New Roman"/>
                <w:kern w:val="2"/>
                <w:sz w:val="18"/>
                <w:szCs w:val="18"/>
                <w:lang w:val="en-US" w:eastAsia="zh-CN"/>
              </w:rPr>
              <w:t>‘</w:t>
            </w:r>
            <w:r>
              <w:rPr>
                <w:rFonts w:hint="eastAsia" w:ascii="Times New Roman" w:hAnsi="Times New Roman"/>
                <w:kern w:val="2"/>
                <w:sz w:val="18"/>
                <w:szCs w:val="18"/>
                <w:lang w:val="en-US" w:eastAsia="zh-CN"/>
              </w:rPr>
              <w:t>Amplification</w:t>
            </w:r>
            <w:r>
              <w:rPr>
                <w:rFonts w:hint="default" w:ascii="Times New Roman" w:hAnsi="Times New Roman"/>
                <w:kern w:val="2"/>
                <w:sz w:val="18"/>
                <w:szCs w:val="18"/>
                <w:lang w:val="en-US" w:eastAsia="zh-CN"/>
              </w:rPr>
              <w:t>’</w:t>
            </w:r>
            <w:r>
              <w:rPr>
                <w:rFonts w:hint="eastAsia" w:ascii="Times New Roman" w:hAnsi="Times New Roman"/>
                <w:kern w:val="2"/>
                <w:sz w:val="18"/>
                <w:szCs w:val="18"/>
                <w:lang w:val="en-US" w:eastAsia="zh-CN"/>
              </w:rPr>
              <w:t xml:space="preserve"> %}扩增</w:t>
            </w:r>
            <w:r>
              <w:rPr>
                <w:rFonts w:hint="eastAsia" w:ascii="Times New Roman" w:hAnsi="Times New Roman"/>
                <w:kern w:val="2"/>
                <w:sz w:val="18"/>
                <w:szCs w:val="18"/>
                <w:lang w:val="en-US" w:eastAsia="en-US"/>
              </w:rPr>
              <w:t xml:space="preserve">{% </w:t>
            </w:r>
            <w:r>
              <w:rPr>
                <w:rFonts w:ascii="Times New Roman" w:hAnsi="Times New Roman"/>
                <w:kern w:val="2"/>
                <w:sz w:val="18"/>
                <w:szCs w:val="18"/>
              </w:rPr>
              <w:t>else</w:t>
            </w:r>
            <w:r>
              <w:rPr>
                <w:rFonts w:hint="eastAsia" w:ascii="Times New Roman" w:hAnsi="Times New Roman"/>
                <w:kern w:val="2"/>
                <w:sz w:val="18"/>
                <w:szCs w:val="18"/>
                <w:lang w:val="en-US" w:eastAsia="zh-CN"/>
              </w:rPr>
              <w:t xml:space="preserve"> </w:t>
            </w:r>
            <w:r>
              <w:rPr>
                <w:rFonts w:hint="eastAsia" w:ascii="Times New Roman" w:hAnsi="Times New Roman"/>
                <w:kern w:val="2"/>
                <w:sz w:val="18"/>
                <w:szCs w:val="18"/>
                <w:lang w:val="en-US" w:eastAsia="en-US"/>
              </w:rPr>
              <w:t>%}</w:t>
            </w:r>
            <w:r>
              <w:rPr>
                <w:rFonts w:hint="default" w:ascii="Times New Roman" w:hAnsi="Times New Roman"/>
                <w:kern w:val="2"/>
                <w:sz w:val="18"/>
                <w:szCs w:val="18"/>
                <w:lang w:val="en-US" w:eastAsia="en-US"/>
              </w:rPr>
              <w:t xml:space="preserve">{% if </w:t>
            </w:r>
            <w:r>
              <w:rPr>
                <w:rFonts w:hint="eastAsia" w:ascii="Times New Roman" w:hAnsi="Times New Roman"/>
                <w:kern w:val="2"/>
                <w:sz w:val="18"/>
                <w:szCs w:val="18"/>
                <w:lang w:val="en-US" w:eastAsia="zh-CN"/>
              </w:rPr>
              <w:t>vg.ori_variant</w:t>
            </w:r>
            <w:r>
              <w:rPr>
                <w:rFonts w:hint="default" w:ascii="Times New Roman" w:hAnsi="Times New Roman"/>
                <w:kern w:val="2"/>
                <w:sz w:val="18"/>
                <w:szCs w:val="18"/>
                <w:lang w:val="en-US" w:eastAsia="zh-CN"/>
              </w:rPr>
              <w:t xml:space="preserve"> == ‘</w:t>
            </w:r>
            <w:r>
              <w:rPr>
                <w:rFonts w:hint="eastAsia" w:ascii="Times New Roman" w:hAnsi="Times New Roman"/>
                <w:kern w:val="2"/>
                <w:sz w:val="18"/>
                <w:szCs w:val="18"/>
                <w:lang w:val="en-US" w:eastAsia="zh-CN"/>
              </w:rPr>
              <w:t>MET-MET Fusion M13:M15</w:t>
            </w:r>
            <w:r>
              <w:rPr>
                <w:rFonts w:hint="default" w:ascii="Times New Roman" w:hAnsi="Times New Roman"/>
                <w:kern w:val="2"/>
                <w:sz w:val="18"/>
                <w:szCs w:val="18"/>
                <w:lang w:val="en-US" w:eastAsia="zh-CN"/>
              </w:rPr>
              <w:t>’ %</w:t>
            </w:r>
            <w:r>
              <w:rPr>
                <w:rFonts w:hint="default" w:ascii="Times New Roman" w:hAnsi="Times New Roman"/>
                <w:kern w:val="2"/>
                <w:sz w:val="18"/>
                <w:szCs w:val="18"/>
                <w:lang w:val="en-US" w:eastAsia="en-US"/>
              </w:rPr>
              <w:t>}14号外显子跳跃突变{% else %}</w:t>
            </w:r>
            <w:r>
              <w:rPr>
                <w:rFonts w:hint="eastAsia" w:ascii="Times New Roman" w:hAnsi="Times New Roman"/>
                <w:kern w:val="2"/>
                <w:sz w:val="18"/>
                <w:szCs w:val="18"/>
                <w:lang w:val="en-US" w:eastAsia="zh-CN"/>
              </w:rPr>
              <w:t>{{ vg.ori_variant }}</w:t>
            </w:r>
            <w:r>
              <w:rPr>
                <w:rFonts w:hint="default" w:ascii="Times New Roman" w:hAnsi="Times New Roman"/>
                <w:kern w:val="2"/>
                <w:sz w:val="18"/>
                <w:szCs w:val="18"/>
                <w:lang w:val="en-US" w:eastAsia="zh-CN"/>
              </w:rPr>
              <w:t>{% endif %}</w:t>
            </w:r>
            <w:r>
              <w:rPr>
                <w:rFonts w:hint="eastAsia" w:ascii="Times New Roman" w:hAnsi="Times New Roman"/>
                <w:kern w:val="2"/>
                <w:sz w:val="18"/>
                <w:szCs w:val="18"/>
                <w:lang w:val="en-US" w:eastAsia="en-US"/>
              </w:rPr>
              <w:t>{% endif</w:t>
            </w:r>
            <w:r>
              <w:rPr>
                <w:rFonts w:hint="eastAsia" w:ascii="Times New Roman" w:hAnsi="Times New Roman"/>
                <w:kern w:val="2"/>
                <w:sz w:val="18"/>
                <w:szCs w:val="18"/>
                <w:lang w:val="en-US" w:eastAsia="zh-CN"/>
              </w:rPr>
              <w:t xml:space="preserve"> </w:t>
            </w:r>
            <w:r>
              <w:rPr>
                <w:rFonts w:hint="eastAsia" w:ascii="Times New Roman" w:hAnsi="Times New Roman"/>
                <w:kern w:val="2"/>
                <w:sz w:val="18"/>
                <w:szCs w:val="18"/>
                <w:lang w:val="en-US" w:eastAsia="en-US"/>
              </w:rPr>
              <w:t>%}</w:t>
            </w:r>
          </w:p>
        </w:tc>
        <w:tc>
          <w:tcPr>
            <w:tcW w:w="943" w:type="pct"/>
            <w:tcBorders>
              <w:tl2br w:val="nil"/>
              <w:tr2bl w:val="nil"/>
            </w:tcBorders>
            <w:vAlign w:val="center"/>
          </w:tcPr>
          <w:p w14:paraId="5623A3E9">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.mutFreq }}</w:t>
            </w:r>
          </w:p>
        </w:tc>
      </w:tr>
      <w:bookmarkEnd w:id="17"/>
      <w:tr w14:paraId="2C30234A">
        <w:trPr>
          <w:trHeight w:val="568" w:hRule="atLeast"/>
          <w:jc w:val="center"/>
        </w:trPr>
        <w:tc>
          <w:tcPr>
            <w:tcW w:w="5000" w:type="pct"/>
            <w:gridSpan w:val="6"/>
            <w:tcBorders>
              <w:tl2br w:val="nil"/>
              <w:tr2bl w:val="nil"/>
            </w:tcBorders>
            <w:vAlign w:val="center"/>
          </w:tcPr>
          <w:p w14:paraId="23591966">
            <w:pPr>
              <w:adjustRightInd w:val="0"/>
              <w:snapToGrid w:val="0"/>
              <w:jc w:val="center"/>
              <w:rPr>
                <w:rFonts w:ascii="Times New Roman" w:hAnsi="Times New Roman"/>
                <w:kern w:val="2"/>
                <w:sz w:val="18"/>
                <w:szCs w:val="18"/>
              </w:rPr>
            </w:pPr>
            <w:r>
              <w:rPr>
                <w:rFonts w:ascii="Times New Roman" w:hAnsi="Times New Roman"/>
                <w:kern w:val="2"/>
                <w:sz w:val="18"/>
                <w:szCs w:val="18"/>
              </w:rPr>
              <w:t>{%tr endif %}</w:t>
            </w:r>
          </w:p>
        </w:tc>
      </w:tr>
      <w:tr w14:paraId="582BC0BE">
        <w:trPr>
          <w:trHeight w:val="333" w:hRule="atLeast"/>
          <w:jc w:val="center"/>
        </w:trPr>
        <w:tc>
          <w:tcPr>
            <w:tcW w:w="5000" w:type="pct"/>
            <w:gridSpan w:val="6"/>
            <w:tcBorders>
              <w:tl2br w:val="nil"/>
              <w:tr2bl w:val="nil"/>
            </w:tcBorders>
            <w:vAlign w:val="center"/>
          </w:tcPr>
          <w:p w14:paraId="4DC6A16D">
            <w:pPr>
              <w:adjustRightInd w:val="0"/>
              <w:snapToGrid w:val="0"/>
              <w:jc w:val="center"/>
              <w:rPr>
                <w:rFonts w:ascii="Times New Roman" w:hAnsi="Times New Roman"/>
                <w:kern w:val="2"/>
                <w:sz w:val="18"/>
                <w:szCs w:val="18"/>
              </w:rPr>
            </w:pPr>
            <w:r>
              <w:rPr>
                <w:rFonts w:ascii="Times New Roman" w:hAnsi="Times New Roman"/>
                <w:kern w:val="2"/>
                <w:sz w:val="18"/>
                <w:szCs w:val="18"/>
              </w:rPr>
              <w:t>{%tr endfor %}</w:t>
            </w:r>
          </w:p>
        </w:tc>
      </w:tr>
      <w:tr w14:paraId="6287B92E">
        <w:trPr>
          <w:trHeight w:val="303" w:hRule="atLeast"/>
          <w:jc w:val="center"/>
        </w:trPr>
        <w:tc>
          <w:tcPr>
            <w:tcW w:w="5000" w:type="pct"/>
            <w:gridSpan w:val="6"/>
            <w:tcBorders>
              <w:tl2br w:val="nil"/>
              <w:tr2bl w:val="nil"/>
            </w:tcBorders>
            <w:vAlign w:val="center"/>
          </w:tcPr>
          <w:p w14:paraId="218E1350">
            <w:pPr>
              <w:adjustRightInd w:val="0"/>
              <w:snapToGrid w:val="0"/>
              <w:jc w:val="center"/>
              <w:rPr>
                <w:rFonts w:ascii="Times New Roman" w:hAnsi="Times New Roman"/>
                <w:kern w:val="2"/>
                <w:sz w:val="18"/>
                <w:szCs w:val="18"/>
              </w:rPr>
            </w:pPr>
            <w:r>
              <w:rPr>
                <w:rFonts w:ascii="Times New Roman" w:hAnsi="Times New Roman"/>
                <w:kern w:val="2"/>
                <w:sz w:val="18"/>
                <w:szCs w:val="18"/>
              </w:rPr>
              <w:t>{%tr else %}</w:t>
            </w:r>
          </w:p>
        </w:tc>
      </w:tr>
      <w:tr w14:paraId="4F9DCC67">
        <w:trPr>
          <w:trHeight w:val="568" w:hRule="atLeast"/>
          <w:jc w:val="center"/>
        </w:trPr>
        <w:tc>
          <w:tcPr>
            <w:tcW w:w="810" w:type="pct"/>
            <w:tcBorders>
              <w:tl2br w:val="nil"/>
              <w:tr2bl w:val="nil"/>
            </w:tcBorders>
            <w:vAlign w:val="center"/>
          </w:tcPr>
          <w:p w14:paraId="0BD800BE">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811" w:type="pct"/>
            <w:tcBorders>
              <w:tl2br w:val="nil"/>
              <w:tr2bl w:val="nil"/>
            </w:tcBorders>
            <w:vAlign w:val="center"/>
          </w:tcPr>
          <w:p w14:paraId="78A12321">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811" w:type="pct"/>
            <w:tcBorders>
              <w:tl2br w:val="nil"/>
              <w:tr2bl w:val="nil"/>
            </w:tcBorders>
            <w:vAlign w:val="center"/>
          </w:tcPr>
          <w:p w14:paraId="58CDAC56">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811" w:type="pct"/>
            <w:tcBorders>
              <w:tl2br w:val="nil"/>
              <w:tr2bl w:val="nil"/>
            </w:tcBorders>
            <w:vAlign w:val="center"/>
          </w:tcPr>
          <w:p w14:paraId="6559491D">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811" w:type="pct"/>
            <w:tcBorders>
              <w:tl2br w:val="nil"/>
              <w:tr2bl w:val="nil"/>
            </w:tcBorders>
            <w:vAlign w:val="center"/>
          </w:tcPr>
          <w:p w14:paraId="2D56D0A0">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943" w:type="pct"/>
            <w:tcBorders>
              <w:tl2br w:val="nil"/>
              <w:tr2bl w:val="nil"/>
            </w:tcBorders>
            <w:vAlign w:val="center"/>
          </w:tcPr>
          <w:p w14:paraId="768E63F6">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r>
      <w:tr w14:paraId="5DA8E72A">
        <w:trPr>
          <w:trHeight w:val="313" w:hRule="atLeast"/>
          <w:jc w:val="center"/>
        </w:trPr>
        <w:tc>
          <w:tcPr>
            <w:tcW w:w="5000" w:type="pct"/>
            <w:gridSpan w:val="6"/>
            <w:tcBorders>
              <w:tl2br w:val="nil"/>
              <w:tr2bl w:val="nil"/>
            </w:tcBorders>
            <w:vAlign w:val="center"/>
          </w:tcPr>
          <w:p w14:paraId="73B764F4">
            <w:pPr>
              <w:adjustRightInd w:val="0"/>
              <w:snapToGrid w:val="0"/>
              <w:jc w:val="center"/>
              <w:rPr>
                <w:rFonts w:ascii="Times New Roman" w:hAnsi="Times New Roman"/>
                <w:kern w:val="2"/>
                <w:sz w:val="18"/>
                <w:szCs w:val="18"/>
              </w:rPr>
            </w:pPr>
            <w:r>
              <w:rPr>
                <w:rFonts w:ascii="Times New Roman" w:hAnsi="Times New Roman"/>
                <w:kern w:val="2"/>
                <w:sz w:val="18"/>
                <w:szCs w:val="18"/>
              </w:rPr>
              <w:t>{%tr endif %}</w:t>
            </w:r>
          </w:p>
        </w:tc>
      </w:tr>
    </w:tbl>
    <w:p w14:paraId="33B92048">
      <w:pPr>
        <w:rPr>
          <w:sz w:val="13"/>
          <w:szCs w:val="13"/>
        </w:rPr>
      </w:pPr>
    </w:p>
    <w:tbl>
      <w:tblPr>
        <w:tblStyle w:val="19"/>
        <w:tblpPr w:leftFromText="180" w:rightFromText="180" w:vertAnchor="text" w:horzAnchor="page" w:tblpXSpec="center" w:tblpY="1"/>
        <w:tblOverlap w:val="never"/>
        <w:tblW w:w="50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87"/>
        <w:gridCol w:w="1489"/>
        <w:gridCol w:w="1489"/>
        <w:gridCol w:w="1489"/>
        <w:gridCol w:w="1489"/>
        <w:gridCol w:w="1737"/>
      </w:tblGrid>
      <w:tr w14:paraId="4F3A39CF">
        <w:trPr>
          <w:trHeight w:val="428" w:hRule="atLeast"/>
          <w:jc w:val="center"/>
        </w:trPr>
        <w:tc>
          <w:tcPr>
            <w:tcW w:w="810" w:type="pct"/>
            <w:tcBorders>
              <w:tl2br w:val="nil"/>
              <w:tr2bl w:val="nil"/>
            </w:tcBorders>
            <w:vAlign w:val="center"/>
          </w:tcPr>
          <w:p w14:paraId="601844D1">
            <w:pPr>
              <w:adjustRightInd w:val="0"/>
              <w:snapToGrid w:val="0"/>
              <w:jc w:val="center"/>
              <w:rPr>
                <w:rFonts w:ascii="Times New Roman" w:hAnsi="Times New Roman"/>
                <w:kern w:val="2"/>
                <w:sz w:val="28"/>
                <w:szCs w:val="28"/>
              </w:rPr>
            </w:pPr>
            <w:r>
              <w:rPr>
                <w:rFonts w:hint="eastAsia" w:ascii="Times New Roman" w:hAnsi="Times New Roman"/>
                <w:kern w:val="2"/>
                <w:sz w:val="28"/>
                <w:szCs w:val="28"/>
              </w:rPr>
              <w:t>变异分级</w:t>
            </w:r>
          </w:p>
        </w:tc>
        <w:tc>
          <w:tcPr>
            <w:tcW w:w="811" w:type="pct"/>
            <w:tcBorders>
              <w:tl2br w:val="nil"/>
              <w:tr2bl w:val="nil"/>
            </w:tcBorders>
            <w:vAlign w:val="center"/>
          </w:tcPr>
          <w:p w14:paraId="1E14FDE3">
            <w:pPr>
              <w:adjustRightInd w:val="0"/>
              <w:snapToGrid w:val="0"/>
              <w:jc w:val="center"/>
              <w:rPr>
                <w:rFonts w:ascii="Times New Roman" w:hAnsi="Times New Roman"/>
                <w:kern w:val="2"/>
                <w:sz w:val="21"/>
                <w:szCs w:val="21"/>
              </w:rPr>
            </w:pPr>
            <w:r>
              <w:rPr>
                <w:rFonts w:hint="eastAsia" w:ascii="Times New Roman" w:hAnsi="Times New Roman"/>
                <w:kern w:val="2"/>
                <w:sz w:val="28"/>
                <w:szCs w:val="28"/>
              </w:rPr>
              <w:t>II</w:t>
            </w:r>
          </w:p>
        </w:tc>
        <w:tc>
          <w:tcPr>
            <w:tcW w:w="3378" w:type="pct"/>
            <w:gridSpan w:val="4"/>
            <w:tcBorders>
              <w:tl2br w:val="nil"/>
              <w:tr2bl w:val="nil"/>
            </w:tcBorders>
            <w:vAlign w:val="center"/>
          </w:tcPr>
          <w:p w14:paraId="265CBFE3">
            <w:pPr>
              <w:adjustRightInd w:val="0"/>
              <w:snapToGrid w:val="0"/>
              <w:jc w:val="center"/>
              <w:rPr>
                <w:rFonts w:ascii="Times New Roman" w:hAnsi="Times New Roman"/>
                <w:kern w:val="2"/>
                <w:sz w:val="21"/>
                <w:szCs w:val="21"/>
              </w:rPr>
            </w:pPr>
            <w:r>
              <w:rPr>
                <w:rFonts w:hint="eastAsia" w:ascii="Times New Roman" w:hAnsi="Times New Roman"/>
                <w:kern w:val="2"/>
                <w:sz w:val="28"/>
                <w:szCs w:val="28"/>
              </w:rPr>
              <w:t>有潜在的临床意义</w:t>
            </w:r>
          </w:p>
        </w:tc>
      </w:tr>
      <w:tr w14:paraId="26BF0E7F">
        <w:trPr>
          <w:trHeight w:val="438" w:hRule="atLeast"/>
          <w:jc w:val="center"/>
        </w:trPr>
        <w:tc>
          <w:tcPr>
            <w:tcW w:w="810" w:type="pct"/>
            <w:tcBorders>
              <w:tl2br w:val="nil"/>
              <w:tr2bl w:val="nil"/>
            </w:tcBorders>
            <w:shd w:val="clear" w:color="auto" w:fill="1F497D" w:themeFill="text2"/>
            <w:vAlign w:val="center"/>
          </w:tcPr>
          <w:p w14:paraId="07C8ABF2">
            <w:pPr>
              <w:jc w:val="center"/>
              <w:rPr>
                <w:rFonts w:ascii="Calibri" w:hAnsi="Calibri" w:cs="Times New Roman"/>
                <w:b/>
                <w:bCs/>
                <w:sz w:val="18"/>
                <w:szCs w:val="18"/>
              </w:rPr>
            </w:pPr>
            <w:r>
              <w:rPr>
                <w:rFonts w:ascii="Calibri" w:hAnsi="Calibri" w:cs="Times New Roman"/>
                <w:b/>
                <w:bCs/>
                <w:sz w:val="18"/>
                <w:szCs w:val="18"/>
              </w:rPr>
              <w:t>突变基因</w:t>
            </w:r>
          </w:p>
        </w:tc>
        <w:tc>
          <w:tcPr>
            <w:tcW w:w="811" w:type="pct"/>
            <w:tcBorders>
              <w:tl2br w:val="nil"/>
              <w:tr2bl w:val="nil"/>
            </w:tcBorders>
            <w:shd w:val="clear" w:color="auto" w:fill="1F497D" w:themeFill="text2"/>
            <w:vAlign w:val="center"/>
          </w:tcPr>
          <w:p w14:paraId="38790C0D">
            <w:pPr>
              <w:jc w:val="center"/>
              <w:rPr>
                <w:rFonts w:ascii="Calibri" w:hAnsi="Calibri" w:cs="Times New Roman"/>
                <w:b/>
                <w:bCs/>
                <w:sz w:val="18"/>
                <w:szCs w:val="18"/>
              </w:rPr>
            </w:pPr>
            <w:r>
              <w:rPr>
                <w:rFonts w:hint="eastAsia" w:ascii="Calibri" w:hAnsi="Calibri" w:cs="Times New Roman"/>
                <w:b/>
                <w:bCs/>
                <w:sz w:val="18"/>
                <w:szCs w:val="18"/>
              </w:rPr>
              <w:t>转录本</w:t>
            </w:r>
          </w:p>
        </w:tc>
        <w:tc>
          <w:tcPr>
            <w:tcW w:w="811" w:type="pct"/>
            <w:tcBorders>
              <w:tl2br w:val="nil"/>
              <w:tr2bl w:val="nil"/>
            </w:tcBorders>
            <w:shd w:val="clear" w:color="auto" w:fill="1F497D" w:themeFill="text2"/>
            <w:vAlign w:val="center"/>
          </w:tcPr>
          <w:p w14:paraId="16D01DDA">
            <w:pPr>
              <w:jc w:val="center"/>
              <w:rPr>
                <w:rFonts w:ascii="Calibri" w:hAnsi="Calibri" w:cs="Times New Roman"/>
                <w:b/>
                <w:bCs/>
                <w:sz w:val="18"/>
                <w:szCs w:val="18"/>
              </w:rPr>
            </w:pPr>
            <w:r>
              <w:rPr>
                <w:rFonts w:hint="eastAsia" w:ascii="Calibri" w:hAnsi="Calibri" w:cs="Times New Roman"/>
                <w:b/>
                <w:bCs/>
                <w:sz w:val="18"/>
                <w:szCs w:val="18"/>
              </w:rPr>
              <w:t>外显子/内含子</w:t>
            </w:r>
          </w:p>
        </w:tc>
        <w:tc>
          <w:tcPr>
            <w:tcW w:w="811" w:type="pct"/>
            <w:tcBorders>
              <w:tl2br w:val="nil"/>
              <w:tr2bl w:val="nil"/>
            </w:tcBorders>
            <w:shd w:val="clear" w:color="auto" w:fill="1F497D" w:themeFill="text2"/>
            <w:vAlign w:val="center"/>
          </w:tcPr>
          <w:p w14:paraId="4915E07A">
            <w:pPr>
              <w:jc w:val="center"/>
              <w:rPr>
                <w:rFonts w:ascii="Calibri" w:hAnsi="Calibri" w:cs="Times New Roman"/>
                <w:b/>
                <w:bCs/>
                <w:sz w:val="18"/>
                <w:szCs w:val="18"/>
              </w:rPr>
            </w:pPr>
            <w:r>
              <w:rPr>
                <w:rFonts w:hint="eastAsia" w:ascii="Calibri" w:hAnsi="Calibri" w:cs="Times New Roman"/>
                <w:b/>
                <w:bCs/>
                <w:sz w:val="18"/>
                <w:szCs w:val="18"/>
              </w:rPr>
              <w:t>核苷酸变化</w:t>
            </w:r>
          </w:p>
        </w:tc>
        <w:tc>
          <w:tcPr>
            <w:tcW w:w="811" w:type="pct"/>
            <w:tcBorders>
              <w:tl2br w:val="nil"/>
              <w:tr2bl w:val="nil"/>
            </w:tcBorders>
            <w:shd w:val="clear" w:color="auto" w:fill="1F497D" w:themeFill="text2"/>
            <w:vAlign w:val="center"/>
          </w:tcPr>
          <w:p w14:paraId="67518F92">
            <w:pPr>
              <w:jc w:val="center"/>
              <w:rPr>
                <w:rFonts w:ascii="Calibri" w:hAnsi="Calibri" w:cs="Times New Roman"/>
                <w:b/>
                <w:bCs/>
                <w:sz w:val="18"/>
                <w:szCs w:val="18"/>
              </w:rPr>
            </w:pPr>
            <w:r>
              <w:rPr>
                <w:rFonts w:hint="eastAsia" w:ascii="Calibri" w:hAnsi="Calibri" w:cs="Times New Roman"/>
                <w:b/>
                <w:bCs/>
                <w:sz w:val="18"/>
                <w:szCs w:val="18"/>
              </w:rPr>
              <w:t>氨基酸变化</w:t>
            </w:r>
          </w:p>
        </w:tc>
        <w:tc>
          <w:tcPr>
            <w:tcW w:w="942" w:type="pct"/>
            <w:tcBorders>
              <w:tl2br w:val="nil"/>
              <w:tr2bl w:val="nil"/>
            </w:tcBorders>
            <w:shd w:val="clear" w:color="auto" w:fill="1F497D" w:themeFill="text2"/>
            <w:vAlign w:val="center"/>
          </w:tcPr>
          <w:p w14:paraId="3EFDB96B">
            <w:pPr>
              <w:jc w:val="center"/>
              <w:rPr>
                <w:rFonts w:ascii="Calibri" w:hAnsi="Calibri" w:cs="Times New Roman"/>
                <w:b/>
                <w:bCs/>
                <w:sz w:val="18"/>
                <w:szCs w:val="18"/>
              </w:rPr>
            </w:pPr>
            <w:r>
              <w:rPr>
                <w:rFonts w:hint="eastAsia" w:ascii="Calibri" w:hAnsi="Calibri" w:cs="Times New Roman"/>
                <w:b/>
                <w:bCs/>
                <w:sz w:val="18"/>
                <w:szCs w:val="18"/>
              </w:rPr>
              <w:t>变异丰度</w:t>
            </w:r>
            <w:r>
              <w:rPr>
                <w:rFonts w:ascii="Calibri" w:hAnsi="Calibri" w:cs="Times New Roman"/>
                <w:b/>
                <w:bCs/>
                <w:sz w:val="18"/>
                <w:szCs w:val="18"/>
              </w:rPr>
              <w:t>/</w:t>
            </w:r>
            <w:r>
              <w:rPr>
                <w:rFonts w:hint="eastAsia" w:ascii="Calibri" w:hAnsi="Calibri" w:cs="Times New Roman"/>
                <w:b/>
                <w:bCs/>
                <w:sz w:val="18"/>
                <w:szCs w:val="18"/>
              </w:rPr>
              <w:t>拷贝数</w:t>
            </w:r>
          </w:p>
        </w:tc>
      </w:tr>
      <w:tr w14:paraId="1954A839">
        <w:trPr>
          <w:trHeight w:val="288" w:hRule="atLeast"/>
          <w:jc w:val="center"/>
        </w:trPr>
        <w:tc>
          <w:tcPr>
            <w:tcW w:w="5000" w:type="pct"/>
            <w:gridSpan w:val="6"/>
            <w:tcBorders>
              <w:tl2br w:val="nil"/>
              <w:tr2bl w:val="nil"/>
            </w:tcBorders>
            <w:vAlign w:val="center"/>
          </w:tcPr>
          <w:p w14:paraId="0A9BE2B3">
            <w:pPr>
              <w:adjustRightInd w:val="0"/>
              <w:snapToGrid w:val="0"/>
              <w:jc w:val="center"/>
              <w:rPr>
                <w:rFonts w:ascii="Times New Roman" w:hAnsi="Times New Roman"/>
                <w:kern w:val="2"/>
                <w:sz w:val="21"/>
                <w:szCs w:val="21"/>
              </w:rPr>
            </w:pPr>
            <w:r>
              <w:rPr>
                <w:rFonts w:ascii="Times New Roman" w:hAnsi="Times New Roman"/>
                <w:kern w:val="2"/>
                <w:sz w:val="18"/>
                <w:szCs w:val="18"/>
              </w:rPr>
              <w:t>{%tr if</w:t>
            </w:r>
            <w:r>
              <w:rPr>
                <w:rFonts w:hint="eastAsia" w:ascii="Times New Roman" w:hAnsi="Times New Roman"/>
                <w:kern w:val="2"/>
                <w:sz w:val="18"/>
                <w:szCs w:val="18"/>
              </w:rPr>
              <w:t xml:space="preserve"> variationGrading.variationGrading2</w:t>
            </w:r>
            <w:r>
              <w:rPr>
                <w:rFonts w:ascii="Times New Roman" w:hAnsi="Times New Roman"/>
                <w:kern w:val="2"/>
                <w:sz w:val="18"/>
                <w:szCs w:val="18"/>
              </w:rPr>
              <w:t xml:space="preserve"> != [] %}</w:t>
            </w:r>
          </w:p>
        </w:tc>
      </w:tr>
      <w:tr w14:paraId="575969E5">
        <w:trPr>
          <w:trHeight w:val="273" w:hRule="atLeast"/>
          <w:jc w:val="center"/>
        </w:trPr>
        <w:tc>
          <w:tcPr>
            <w:tcW w:w="5000" w:type="pct"/>
            <w:gridSpan w:val="6"/>
            <w:tcBorders>
              <w:tl2br w:val="nil"/>
              <w:tr2bl w:val="nil"/>
            </w:tcBorders>
            <w:vAlign w:val="center"/>
          </w:tcPr>
          <w:p w14:paraId="5FC65937">
            <w:pPr>
              <w:adjustRightInd w:val="0"/>
              <w:snapToGrid w:val="0"/>
              <w:jc w:val="center"/>
              <w:rPr>
                <w:rFonts w:ascii="Times New Roman" w:hAnsi="Times New Roman"/>
                <w:kern w:val="2"/>
                <w:sz w:val="18"/>
                <w:szCs w:val="18"/>
              </w:rPr>
            </w:pPr>
            <w:r>
              <w:rPr>
                <w:rFonts w:ascii="Times New Roman" w:hAnsi="Times New Roman"/>
                <w:kern w:val="2"/>
                <w:sz w:val="18"/>
                <w:szCs w:val="18"/>
              </w:rPr>
              <w:t>{%tr for</w:t>
            </w:r>
            <w:r>
              <w:rPr>
                <w:rFonts w:hint="eastAsia" w:ascii="Times New Roman" w:hAnsi="Times New Roman"/>
                <w:kern w:val="2"/>
                <w:sz w:val="18"/>
                <w:szCs w:val="18"/>
              </w:rPr>
              <w:t xml:space="preserve"> vg</w:t>
            </w:r>
            <w:r>
              <w:rPr>
                <w:rFonts w:ascii="Times New Roman" w:hAnsi="Times New Roman"/>
                <w:kern w:val="2"/>
                <w:sz w:val="18"/>
                <w:szCs w:val="18"/>
              </w:rPr>
              <w:t xml:space="preserve"> in </w:t>
            </w:r>
            <w:r>
              <w:rPr>
                <w:rFonts w:hint="eastAsia" w:ascii="Times New Roman" w:hAnsi="Times New Roman"/>
                <w:kern w:val="2"/>
                <w:sz w:val="18"/>
                <w:szCs w:val="18"/>
              </w:rPr>
              <w:t>variationGrading.variationGrading2</w:t>
            </w:r>
            <w:r>
              <w:rPr>
                <w:rFonts w:ascii="Times New Roman" w:hAnsi="Times New Roman"/>
                <w:kern w:val="2"/>
                <w:sz w:val="18"/>
                <w:szCs w:val="18"/>
              </w:rPr>
              <w:t xml:space="preserve"> %}</w:t>
            </w:r>
          </w:p>
        </w:tc>
      </w:tr>
      <w:tr w14:paraId="6E55E605">
        <w:trPr>
          <w:trHeight w:val="568" w:hRule="atLeast"/>
          <w:jc w:val="center"/>
        </w:trPr>
        <w:tc>
          <w:tcPr>
            <w:tcW w:w="9178" w:type="dxa"/>
            <w:gridSpan w:val="6"/>
            <w:tcBorders>
              <w:tl2br w:val="nil"/>
              <w:tr2bl w:val="nil"/>
            </w:tcBorders>
            <w:vAlign w:val="center"/>
          </w:tcPr>
          <w:p w14:paraId="1C406B02">
            <w:pPr>
              <w:adjustRightInd w:val="0"/>
              <w:snapToGrid w:val="0"/>
              <w:jc w:val="center"/>
              <w:rPr>
                <w:rFonts w:ascii="Times New Roman" w:hAnsi="Times New Roman"/>
                <w:kern w:val="2"/>
                <w:sz w:val="18"/>
                <w:szCs w:val="18"/>
              </w:rPr>
            </w:pPr>
            <w:r>
              <w:rPr>
                <w:rFonts w:ascii="Times New Roman" w:hAnsi="Times New Roman"/>
                <w:kern w:val="2"/>
                <w:sz w:val="18"/>
                <w:szCs w:val="18"/>
              </w:rPr>
              <w:t>{%tr if</w:t>
            </w:r>
            <w:r>
              <w:rPr>
                <w:rFonts w:hint="eastAsia" w:ascii="Times New Roman" w:hAnsi="Times New Roman"/>
                <w:kern w:val="2"/>
                <w:sz w:val="18"/>
                <w:szCs w:val="18"/>
              </w:rPr>
              <w:t xml:space="preserve"> vg.flag =</w:t>
            </w:r>
            <w:r>
              <w:rPr>
                <w:rFonts w:ascii="Times New Roman" w:hAnsi="Times New Roman"/>
                <w:kern w:val="2"/>
                <w:sz w:val="18"/>
                <w:szCs w:val="18"/>
              </w:rPr>
              <w:t xml:space="preserve">= </w:t>
            </w:r>
            <w:r>
              <w:rPr>
                <w:rFonts w:hint="eastAsia" w:ascii="Times New Roman" w:hAnsi="Times New Roman"/>
                <w:kern w:val="2"/>
                <w:sz w:val="18"/>
                <w:szCs w:val="18"/>
              </w:rPr>
              <w:t>False</w:t>
            </w:r>
            <w:r>
              <w:rPr>
                <w:rFonts w:ascii="Times New Roman" w:hAnsi="Times New Roman"/>
                <w:kern w:val="2"/>
                <w:sz w:val="18"/>
                <w:szCs w:val="18"/>
              </w:rPr>
              <w:t xml:space="preserve"> %}</w:t>
            </w:r>
          </w:p>
        </w:tc>
      </w:tr>
      <w:tr w14:paraId="5278FAD2">
        <w:trPr>
          <w:trHeight w:val="568" w:hRule="atLeast"/>
          <w:jc w:val="center"/>
        </w:trPr>
        <w:tc>
          <w:tcPr>
            <w:tcW w:w="1486" w:type="dxa"/>
            <w:tcBorders>
              <w:tl2br w:val="nil"/>
              <w:tr2bl w:val="nil"/>
            </w:tcBorders>
            <w:vAlign w:val="center"/>
          </w:tcPr>
          <w:p w14:paraId="706633CB">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.gene }}</w:t>
            </w:r>
          </w:p>
        </w:tc>
        <w:tc>
          <w:tcPr>
            <w:tcW w:w="1489" w:type="dxa"/>
            <w:tcBorders>
              <w:tl2br w:val="nil"/>
              <w:tr2bl w:val="nil"/>
            </w:tcBorders>
            <w:vAlign w:val="center"/>
          </w:tcPr>
          <w:p w14:paraId="1BDDD4D4">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w:t>
            </w:r>
            <w:r>
              <w:rPr>
                <w:rFonts w:hint="eastAsia" w:ascii="Times New Roman" w:hAnsi="Times New Roman"/>
                <w:kern w:val="2"/>
                <w:sz w:val="18"/>
                <w:szCs w:val="18"/>
              </w:rPr>
              <w:t xml:space="preserve">Transcript </w:t>
            </w:r>
            <w:r>
              <w:rPr>
                <w:rFonts w:ascii="Times New Roman" w:hAnsi="Times New Roman"/>
                <w:kern w:val="2"/>
                <w:sz w:val="18"/>
                <w:szCs w:val="18"/>
              </w:rPr>
              <w:t>}}</w:t>
            </w:r>
          </w:p>
        </w:tc>
        <w:tc>
          <w:tcPr>
            <w:tcW w:w="1490" w:type="dxa"/>
            <w:tcBorders>
              <w:tl2br w:val="nil"/>
              <w:tr2bl w:val="nil"/>
            </w:tcBorders>
            <w:vAlign w:val="center"/>
          </w:tcPr>
          <w:p w14:paraId="283A9A04">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w:t>
            </w:r>
            <w:r>
              <w:rPr>
                <w:rFonts w:hint="eastAsia" w:ascii="Times New Roman" w:hAnsi="Times New Roman"/>
                <w:kern w:val="2"/>
                <w:sz w:val="18"/>
                <w:szCs w:val="18"/>
              </w:rPr>
              <w:t xml:space="preserve">Exon </w:t>
            </w:r>
            <w:r>
              <w:rPr>
                <w:rFonts w:ascii="Times New Roman" w:hAnsi="Times New Roman"/>
                <w:kern w:val="2"/>
                <w:sz w:val="18"/>
                <w:szCs w:val="18"/>
              </w:rPr>
              <w:t>}}</w:t>
            </w:r>
          </w:p>
        </w:tc>
        <w:tc>
          <w:tcPr>
            <w:tcW w:w="1490" w:type="dxa"/>
            <w:tcBorders>
              <w:tl2br w:val="nil"/>
              <w:tr2bl w:val="nil"/>
            </w:tcBorders>
            <w:vAlign w:val="center"/>
          </w:tcPr>
          <w:p w14:paraId="6B334C7D">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w:t>
            </w:r>
            <w:r>
              <w:rPr>
                <w:rFonts w:hint="eastAsia" w:ascii="Times New Roman" w:hAnsi="Times New Roman"/>
                <w:kern w:val="2"/>
                <w:sz w:val="18"/>
                <w:szCs w:val="18"/>
              </w:rPr>
              <w:t xml:space="preserve">cHGVS </w:t>
            </w:r>
            <w:r>
              <w:rPr>
                <w:rFonts w:ascii="Times New Roman" w:hAnsi="Times New Roman"/>
                <w:kern w:val="2"/>
                <w:sz w:val="18"/>
                <w:szCs w:val="18"/>
              </w:rPr>
              <w:t>}}</w:t>
            </w:r>
          </w:p>
        </w:tc>
        <w:tc>
          <w:tcPr>
            <w:tcW w:w="1490" w:type="dxa"/>
            <w:tcBorders>
              <w:tl2br w:val="nil"/>
              <w:tr2bl w:val="nil"/>
            </w:tcBorders>
            <w:vAlign w:val="center"/>
          </w:tcPr>
          <w:p w14:paraId="2A0A4ABA">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w:t>
            </w:r>
            <w:r>
              <w:rPr>
                <w:rFonts w:hint="eastAsia" w:ascii="Times New Roman" w:hAnsi="Times New Roman"/>
                <w:kern w:val="2"/>
                <w:sz w:val="18"/>
                <w:szCs w:val="18"/>
              </w:rPr>
              <w:t xml:space="preserve">pHGVS </w:t>
            </w:r>
            <w:r>
              <w:rPr>
                <w:rFonts w:ascii="Times New Roman" w:hAnsi="Times New Roman"/>
                <w:kern w:val="2"/>
                <w:sz w:val="18"/>
                <w:szCs w:val="18"/>
              </w:rPr>
              <w:t>}}</w:t>
            </w:r>
          </w:p>
        </w:tc>
        <w:tc>
          <w:tcPr>
            <w:tcW w:w="1733" w:type="dxa"/>
            <w:tcBorders>
              <w:tl2br w:val="nil"/>
              <w:tr2bl w:val="nil"/>
            </w:tcBorders>
            <w:vAlign w:val="center"/>
          </w:tcPr>
          <w:p w14:paraId="67E18A06">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.mutFreq }}</w:t>
            </w:r>
          </w:p>
        </w:tc>
      </w:tr>
      <w:tr w14:paraId="25619D9C">
        <w:trPr>
          <w:trHeight w:val="568" w:hRule="atLeast"/>
          <w:jc w:val="center"/>
        </w:trPr>
        <w:tc>
          <w:tcPr>
            <w:tcW w:w="9178" w:type="dxa"/>
            <w:gridSpan w:val="6"/>
            <w:tcBorders>
              <w:tl2br w:val="nil"/>
              <w:tr2bl w:val="nil"/>
            </w:tcBorders>
            <w:vAlign w:val="center"/>
          </w:tcPr>
          <w:p w14:paraId="063B20AF">
            <w:pPr>
              <w:adjustRightInd w:val="0"/>
              <w:snapToGrid w:val="0"/>
              <w:jc w:val="center"/>
              <w:rPr>
                <w:rFonts w:ascii="Times New Roman" w:hAnsi="Times New Roman"/>
                <w:kern w:val="2"/>
                <w:sz w:val="18"/>
                <w:szCs w:val="18"/>
              </w:rPr>
            </w:pPr>
            <w:r>
              <w:rPr>
                <w:rFonts w:ascii="Times New Roman" w:hAnsi="Times New Roman"/>
                <w:kern w:val="2"/>
                <w:sz w:val="18"/>
                <w:szCs w:val="18"/>
              </w:rPr>
              <w:t>{%tr else %}</w:t>
            </w:r>
          </w:p>
        </w:tc>
      </w:tr>
      <w:tr w14:paraId="7DB29DDB">
        <w:trPr>
          <w:trHeight w:val="568" w:hRule="atLeast"/>
          <w:jc w:val="center"/>
        </w:trPr>
        <w:tc>
          <w:tcPr>
            <w:tcW w:w="1486" w:type="dxa"/>
            <w:tcBorders>
              <w:tl2br w:val="nil"/>
              <w:tr2bl w:val="nil"/>
            </w:tcBorders>
            <w:vAlign w:val="center"/>
          </w:tcPr>
          <w:p w14:paraId="2CE840D1">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.gene }}</w:t>
            </w:r>
          </w:p>
        </w:tc>
        <w:tc>
          <w:tcPr>
            <w:tcW w:w="5959" w:type="dxa"/>
            <w:gridSpan w:val="4"/>
            <w:tcBorders>
              <w:tl2br w:val="nil"/>
              <w:tr2bl w:val="nil"/>
            </w:tcBorders>
            <w:vAlign w:val="center"/>
          </w:tcPr>
          <w:p w14:paraId="650B4EEA">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 if vg.</w:t>
            </w:r>
            <w:r>
              <w:rPr>
                <w:rFonts w:hint="eastAsia" w:ascii="Times New Roman" w:hAnsi="Times New Roman"/>
                <w:kern w:val="2"/>
                <w:sz w:val="18"/>
                <w:szCs w:val="18"/>
                <w:lang w:eastAsia="zh-CN"/>
              </w:rPr>
              <w:t>ori_varia</w:t>
            </w:r>
            <w:r>
              <w:rPr>
                <w:rFonts w:hint="eastAsia" w:ascii="Times New Roman" w:hAnsi="Times New Roman"/>
                <w:kern w:val="2"/>
                <w:sz w:val="18"/>
                <w:szCs w:val="18"/>
                <w:lang w:val="en-US" w:eastAsia="zh-CN"/>
              </w:rPr>
              <w:t xml:space="preserve">nt == </w:t>
            </w:r>
            <w:r>
              <w:rPr>
                <w:rFonts w:hint="default" w:ascii="Times New Roman" w:hAnsi="Times New Roman"/>
                <w:kern w:val="2"/>
                <w:sz w:val="18"/>
                <w:szCs w:val="18"/>
                <w:lang w:val="en-US" w:eastAsia="zh-CN"/>
              </w:rPr>
              <w:t>‘</w:t>
            </w:r>
            <w:r>
              <w:rPr>
                <w:rFonts w:hint="eastAsia" w:ascii="Times New Roman" w:hAnsi="Times New Roman"/>
                <w:kern w:val="2"/>
                <w:sz w:val="18"/>
                <w:szCs w:val="18"/>
                <w:lang w:val="en-US" w:eastAsia="zh-CN"/>
              </w:rPr>
              <w:t>Amplification</w:t>
            </w:r>
            <w:r>
              <w:rPr>
                <w:rFonts w:hint="default" w:ascii="Times New Roman" w:hAnsi="Times New Roman"/>
                <w:kern w:val="2"/>
                <w:sz w:val="18"/>
                <w:szCs w:val="18"/>
                <w:lang w:val="en-US" w:eastAsia="zh-CN"/>
              </w:rPr>
              <w:t>’</w:t>
            </w:r>
            <w:r>
              <w:rPr>
                <w:rFonts w:hint="eastAsia" w:ascii="Times New Roman" w:hAnsi="Times New Roman"/>
                <w:kern w:val="2"/>
                <w:sz w:val="18"/>
                <w:szCs w:val="18"/>
                <w:lang w:val="en-US" w:eastAsia="zh-CN"/>
              </w:rPr>
              <w:t xml:space="preserve"> %}扩增</w:t>
            </w:r>
            <w:r>
              <w:rPr>
                <w:rFonts w:hint="eastAsia" w:ascii="Times New Roman" w:hAnsi="Times New Roman"/>
                <w:kern w:val="2"/>
                <w:sz w:val="18"/>
                <w:szCs w:val="18"/>
                <w:lang w:val="en-US" w:eastAsia="en-US"/>
              </w:rPr>
              <w:t xml:space="preserve">{% </w:t>
            </w:r>
            <w:r>
              <w:rPr>
                <w:rFonts w:ascii="Times New Roman" w:hAnsi="Times New Roman"/>
                <w:kern w:val="2"/>
                <w:sz w:val="18"/>
                <w:szCs w:val="18"/>
              </w:rPr>
              <w:t>else</w:t>
            </w:r>
            <w:r>
              <w:rPr>
                <w:rFonts w:hint="eastAsia" w:ascii="Times New Roman" w:hAnsi="Times New Roman"/>
                <w:kern w:val="2"/>
                <w:sz w:val="18"/>
                <w:szCs w:val="18"/>
                <w:lang w:val="en-US" w:eastAsia="zh-CN"/>
              </w:rPr>
              <w:t xml:space="preserve"> </w:t>
            </w:r>
            <w:r>
              <w:rPr>
                <w:rFonts w:hint="eastAsia" w:ascii="Times New Roman" w:hAnsi="Times New Roman"/>
                <w:kern w:val="2"/>
                <w:sz w:val="18"/>
                <w:szCs w:val="18"/>
                <w:lang w:val="en-US" w:eastAsia="en-US"/>
              </w:rPr>
              <w:t>%}</w:t>
            </w:r>
            <w:r>
              <w:rPr>
                <w:rFonts w:hint="eastAsia" w:ascii="Times New Roman" w:hAnsi="Times New Roman"/>
                <w:kern w:val="2"/>
                <w:sz w:val="18"/>
                <w:szCs w:val="18"/>
                <w:lang w:val="en-US" w:eastAsia="zh-CN"/>
              </w:rPr>
              <w:t>{{ vg.ori_variant }}</w:t>
            </w:r>
            <w:r>
              <w:rPr>
                <w:rFonts w:hint="eastAsia" w:ascii="Times New Roman" w:hAnsi="Times New Roman"/>
                <w:kern w:val="2"/>
                <w:sz w:val="18"/>
                <w:szCs w:val="18"/>
                <w:lang w:val="en-US" w:eastAsia="en-US"/>
              </w:rPr>
              <w:t>{% endif</w:t>
            </w:r>
            <w:r>
              <w:rPr>
                <w:rFonts w:hint="eastAsia" w:ascii="Times New Roman" w:hAnsi="Times New Roman"/>
                <w:kern w:val="2"/>
                <w:sz w:val="18"/>
                <w:szCs w:val="18"/>
                <w:lang w:val="en-US" w:eastAsia="zh-CN"/>
              </w:rPr>
              <w:t xml:space="preserve"> </w:t>
            </w:r>
            <w:r>
              <w:rPr>
                <w:rFonts w:hint="eastAsia" w:ascii="Times New Roman" w:hAnsi="Times New Roman"/>
                <w:kern w:val="2"/>
                <w:sz w:val="18"/>
                <w:szCs w:val="18"/>
                <w:lang w:val="en-US" w:eastAsia="en-US"/>
              </w:rPr>
              <w:t>%}</w:t>
            </w:r>
          </w:p>
        </w:tc>
        <w:tc>
          <w:tcPr>
            <w:tcW w:w="1733" w:type="dxa"/>
            <w:tcBorders>
              <w:tl2br w:val="nil"/>
              <w:tr2bl w:val="nil"/>
            </w:tcBorders>
            <w:vAlign w:val="center"/>
          </w:tcPr>
          <w:p w14:paraId="7DDF61A9">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.mutFreq }}</w:t>
            </w:r>
          </w:p>
        </w:tc>
      </w:tr>
      <w:tr w14:paraId="799F40B9">
        <w:trPr>
          <w:trHeight w:val="568" w:hRule="atLeast"/>
          <w:jc w:val="center"/>
        </w:trPr>
        <w:tc>
          <w:tcPr>
            <w:tcW w:w="9178" w:type="dxa"/>
            <w:gridSpan w:val="6"/>
            <w:tcBorders>
              <w:tl2br w:val="nil"/>
              <w:tr2bl w:val="nil"/>
            </w:tcBorders>
            <w:vAlign w:val="center"/>
          </w:tcPr>
          <w:p w14:paraId="485ED85D">
            <w:pPr>
              <w:adjustRightInd w:val="0"/>
              <w:snapToGrid w:val="0"/>
              <w:jc w:val="center"/>
              <w:rPr>
                <w:rFonts w:ascii="Times New Roman" w:hAnsi="Times New Roman"/>
                <w:kern w:val="2"/>
                <w:sz w:val="18"/>
                <w:szCs w:val="18"/>
              </w:rPr>
            </w:pPr>
            <w:r>
              <w:rPr>
                <w:rFonts w:ascii="Times New Roman" w:hAnsi="Times New Roman"/>
                <w:kern w:val="2"/>
                <w:sz w:val="18"/>
                <w:szCs w:val="18"/>
              </w:rPr>
              <w:t>{%tr endif %}</w:t>
            </w:r>
          </w:p>
        </w:tc>
      </w:tr>
      <w:tr w14:paraId="52653CF6">
        <w:trPr>
          <w:trHeight w:val="333" w:hRule="atLeast"/>
          <w:jc w:val="center"/>
        </w:trPr>
        <w:tc>
          <w:tcPr>
            <w:tcW w:w="5000" w:type="pct"/>
            <w:gridSpan w:val="6"/>
            <w:tcBorders>
              <w:tl2br w:val="nil"/>
              <w:tr2bl w:val="nil"/>
            </w:tcBorders>
            <w:vAlign w:val="center"/>
          </w:tcPr>
          <w:p w14:paraId="6D82EA59">
            <w:pPr>
              <w:adjustRightInd w:val="0"/>
              <w:snapToGrid w:val="0"/>
              <w:jc w:val="center"/>
              <w:rPr>
                <w:rFonts w:ascii="Times New Roman" w:hAnsi="Times New Roman"/>
                <w:kern w:val="2"/>
                <w:sz w:val="18"/>
                <w:szCs w:val="18"/>
              </w:rPr>
            </w:pPr>
            <w:r>
              <w:rPr>
                <w:rFonts w:ascii="Times New Roman" w:hAnsi="Times New Roman"/>
                <w:kern w:val="2"/>
                <w:sz w:val="18"/>
                <w:szCs w:val="18"/>
              </w:rPr>
              <w:t>{%tr endfor %}</w:t>
            </w:r>
          </w:p>
        </w:tc>
      </w:tr>
      <w:tr w14:paraId="0FC5DD8D">
        <w:trPr>
          <w:trHeight w:val="303" w:hRule="atLeast"/>
          <w:jc w:val="center"/>
        </w:trPr>
        <w:tc>
          <w:tcPr>
            <w:tcW w:w="5000" w:type="pct"/>
            <w:gridSpan w:val="6"/>
            <w:tcBorders>
              <w:tl2br w:val="nil"/>
              <w:tr2bl w:val="nil"/>
            </w:tcBorders>
            <w:vAlign w:val="center"/>
          </w:tcPr>
          <w:p w14:paraId="10E0811D">
            <w:pPr>
              <w:adjustRightInd w:val="0"/>
              <w:snapToGrid w:val="0"/>
              <w:jc w:val="center"/>
              <w:rPr>
                <w:rFonts w:ascii="Times New Roman" w:hAnsi="Times New Roman"/>
                <w:kern w:val="2"/>
                <w:sz w:val="18"/>
                <w:szCs w:val="18"/>
              </w:rPr>
            </w:pPr>
            <w:r>
              <w:rPr>
                <w:rFonts w:ascii="Times New Roman" w:hAnsi="Times New Roman"/>
                <w:kern w:val="2"/>
                <w:sz w:val="18"/>
                <w:szCs w:val="18"/>
              </w:rPr>
              <w:t>{%tr else %}</w:t>
            </w:r>
          </w:p>
        </w:tc>
      </w:tr>
      <w:tr w14:paraId="34C2B233">
        <w:trPr>
          <w:trHeight w:val="568" w:hRule="atLeast"/>
          <w:jc w:val="center"/>
        </w:trPr>
        <w:tc>
          <w:tcPr>
            <w:tcW w:w="810" w:type="pct"/>
            <w:tcBorders>
              <w:tl2br w:val="nil"/>
              <w:tr2bl w:val="nil"/>
            </w:tcBorders>
            <w:vAlign w:val="center"/>
          </w:tcPr>
          <w:p w14:paraId="34D11D8D">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811" w:type="pct"/>
            <w:tcBorders>
              <w:tl2br w:val="nil"/>
              <w:tr2bl w:val="nil"/>
            </w:tcBorders>
            <w:vAlign w:val="center"/>
          </w:tcPr>
          <w:p w14:paraId="55676DF5">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811" w:type="pct"/>
            <w:tcBorders>
              <w:tl2br w:val="nil"/>
              <w:tr2bl w:val="nil"/>
            </w:tcBorders>
            <w:vAlign w:val="center"/>
          </w:tcPr>
          <w:p w14:paraId="7BF231A2">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811" w:type="pct"/>
            <w:tcBorders>
              <w:tl2br w:val="nil"/>
              <w:tr2bl w:val="nil"/>
            </w:tcBorders>
            <w:vAlign w:val="center"/>
          </w:tcPr>
          <w:p w14:paraId="156707B2">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811" w:type="pct"/>
            <w:tcBorders>
              <w:tl2br w:val="nil"/>
              <w:tr2bl w:val="nil"/>
            </w:tcBorders>
            <w:vAlign w:val="center"/>
          </w:tcPr>
          <w:p w14:paraId="2C9EE43F">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942" w:type="pct"/>
            <w:tcBorders>
              <w:tl2br w:val="nil"/>
              <w:tr2bl w:val="nil"/>
            </w:tcBorders>
            <w:vAlign w:val="center"/>
          </w:tcPr>
          <w:p w14:paraId="66A721A5">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r>
      <w:tr w14:paraId="73605D23">
        <w:trPr>
          <w:trHeight w:val="313" w:hRule="atLeast"/>
          <w:jc w:val="center"/>
        </w:trPr>
        <w:tc>
          <w:tcPr>
            <w:tcW w:w="5000" w:type="pct"/>
            <w:gridSpan w:val="6"/>
            <w:tcBorders>
              <w:tl2br w:val="nil"/>
              <w:tr2bl w:val="nil"/>
            </w:tcBorders>
            <w:vAlign w:val="center"/>
          </w:tcPr>
          <w:p w14:paraId="2C3B20A6">
            <w:pPr>
              <w:adjustRightInd w:val="0"/>
              <w:snapToGrid w:val="0"/>
              <w:jc w:val="center"/>
              <w:rPr>
                <w:rFonts w:ascii="Times New Roman" w:hAnsi="Times New Roman"/>
                <w:kern w:val="2"/>
                <w:sz w:val="18"/>
                <w:szCs w:val="18"/>
              </w:rPr>
            </w:pPr>
            <w:r>
              <w:rPr>
                <w:rFonts w:ascii="Times New Roman" w:hAnsi="Times New Roman"/>
                <w:kern w:val="2"/>
                <w:sz w:val="18"/>
                <w:szCs w:val="18"/>
              </w:rPr>
              <w:t>{%tr endif %}</w:t>
            </w:r>
          </w:p>
        </w:tc>
      </w:tr>
    </w:tbl>
    <w:p w14:paraId="52E209F0">
      <w:pPr>
        <w:kinsoku w:val="0"/>
        <w:overflowPunct w:val="0"/>
        <w:spacing w:before="5" w:line="160" w:lineRule="auto"/>
        <w:rPr>
          <w:rFonts w:ascii="Times New Roman" w:hAnsi="Times New Roman" w:eastAsia="微软雅黑" w:cs="Times New Roman"/>
          <w:sz w:val="20"/>
          <w:szCs w:val="28"/>
        </w:rPr>
      </w:pPr>
    </w:p>
    <w:tbl>
      <w:tblPr>
        <w:tblStyle w:val="19"/>
        <w:tblpPr w:leftFromText="180" w:rightFromText="180" w:vertAnchor="text" w:horzAnchor="page" w:tblpXSpec="center" w:tblpY="1"/>
        <w:tblOverlap w:val="never"/>
        <w:tblW w:w="50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87"/>
        <w:gridCol w:w="1489"/>
        <w:gridCol w:w="1489"/>
        <w:gridCol w:w="1489"/>
        <w:gridCol w:w="1489"/>
        <w:gridCol w:w="1737"/>
      </w:tblGrid>
      <w:tr w14:paraId="707BA9EB">
        <w:trPr>
          <w:trHeight w:val="428" w:hRule="atLeast"/>
          <w:jc w:val="center"/>
        </w:trPr>
        <w:tc>
          <w:tcPr>
            <w:tcW w:w="810" w:type="pct"/>
            <w:tcBorders>
              <w:tl2br w:val="nil"/>
              <w:tr2bl w:val="nil"/>
            </w:tcBorders>
            <w:vAlign w:val="center"/>
          </w:tcPr>
          <w:p w14:paraId="44A430B3">
            <w:pPr>
              <w:adjustRightInd w:val="0"/>
              <w:snapToGrid w:val="0"/>
              <w:jc w:val="center"/>
              <w:rPr>
                <w:rFonts w:ascii="Times New Roman" w:hAnsi="Times New Roman"/>
                <w:kern w:val="2"/>
                <w:sz w:val="28"/>
                <w:szCs w:val="28"/>
              </w:rPr>
            </w:pPr>
            <w:r>
              <w:rPr>
                <w:rFonts w:hint="eastAsia" w:ascii="Times New Roman" w:hAnsi="Times New Roman"/>
                <w:kern w:val="2"/>
                <w:sz w:val="28"/>
                <w:szCs w:val="28"/>
              </w:rPr>
              <w:t>变异分级</w:t>
            </w:r>
          </w:p>
        </w:tc>
        <w:tc>
          <w:tcPr>
            <w:tcW w:w="811" w:type="pct"/>
            <w:tcBorders>
              <w:tl2br w:val="nil"/>
              <w:tr2bl w:val="nil"/>
            </w:tcBorders>
            <w:vAlign w:val="center"/>
          </w:tcPr>
          <w:p w14:paraId="69ED2E2C">
            <w:pPr>
              <w:adjustRightInd w:val="0"/>
              <w:snapToGrid w:val="0"/>
              <w:jc w:val="center"/>
              <w:rPr>
                <w:rFonts w:ascii="Times New Roman" w:hAnsi="Times New Roman"/>
                <w:kern w:val="2"/>
                <w:sz w:val="21"/>
                <w:szCs w:val="21"/>
              </w:rPr>
            </w:pPr>
            <w:r>
              <w:rPr>
                <w:rFonts w:hint="eastAsia" w:ascii="Times New Roman" w:hAnsi="Times New Roman"/>
                <w:kern w:val="2"/>
                <w:sz w:val="28"/>
                <w:szCs w:val="28"/>
              </w:rPr>
              <w:t>III&amp;IV</w:t>
            </w:r>
          </w:p>
        </w:tc>
        <w:tc>
          <w:tcPr>
            <w:tcW w:w="3378" w:type="pct"/>
            <w:gridSpan w:val="4"/>
            <w:tcBorders>
              <w:tl2br w:val="nil"/>
              <w:tr2bl w:val="nil"/>
            </w:tcBorders>
            <w:vAlign w:val="center"/>
          </w:tcPr>
          <w:p w14:paraId="4B114472">
            <w:pPr>
              <w:adjustRightInd w:val="0"/>
              <w:snapToGrid w:val="0"/>
              <w:jc w:val="center"/>
              <w:rPr>
                <w:rFonts w:ascii="Times New Roman" w:hAnsi="Times New Roman"/>
                <w:kern w:val="2"/>
                <w:sz w:val="21"/>
                <w:szCs w:val="21"/>
              </w:rPr>
            </w:pPr>
            <w:r>
              <w:rPr>
                <w:rFonts w:hint="eastAsia" w:ascii="Times New Roman" w:hAnsi="Times New Roman"/>
                <w:kern w:val="2"/>
                <w:sz w:val="28"/>
                <w:szCs w:val="28"/>
              </w:rPr>
              <w:t>临床意义不明或已知无临床意义</w:t>
            </w:r>
          </w:p>
        </w:tc>
      </w:tr>
      <w:tr w14:paraId="25CF01E1">
        <w:trPr>
          <w:trHeight w:val="438" w:hRule="atLeast"/>
          <w:jc w:val="center"/>
        </w:trPr>
        <w:tc>
          <w:tcPr>
            <w:tcW w:w="810" w:type="pct"/>
            <w:tcBorders>
              <w:tl2br w:val="nil"/>
              <w:tr2bl w:val="nil"/>
            </w:tcBorders>
            <w:shd w:val="clear" w:color="auto" w:fill="1F497D" w:themeFill="text2"/>
            <w:vAlign w:val="center"/>
          </w:tcPr>
          <w:p w14:paraId="53329AC6">
            <w:pPr>
              <w:jc w:val="center"/>
              <w:rPr>
                <w:rFonts w:ascii="Calibri" w:hAnsi="Calibri" w:cs="Times New Roman"/>
                <w:b/>
                <w:bCs/>
                <w:sz w:val="18"/>
                <w:szCs w:val="18"/>
              </w:rPr>
            </w:pPr>
            <w:r>
              <w:rPr>
                <w:rFonts w:ascii="Calibri" w:hAnsi="Calibri" w:cs="Times New Roman"/>
                <w:b/>
                <w:bCs/>
                <w:sz w:val="18"/>
                <w:szCs w:val="18"/>
              </w:rPr>
              <w:t>突变基因</w:t>
            </w:r>
          </w:p>
        </w:tc>
        <w:tc>
          <w:tcPr>
            <w:tcW w:w="811" w:type="pct"/>
            <w:tcBorders>
              <w:tl2br w:val="nil"/>
              <w:tr2bl w:val="nil"/>
            </w:tcBorders>
            <w:shd w:val="clear" w:color="auto" w:fill="1F497D" w:themeFill="text2"/>
            <w:vAlign w:val="center"/>
          </w:tcPr>
          <w:p w14:paraId="57688840">
            <w:pPr>
              <w:jc w:val="center"/>
              <w:rPr>
                <w:rFonts w:ascii="Calibri" w:hAnsi="Calibri" w:cs="Times New Roman"/>
                <w:b/>
                <w:bCs/>
                <w:sz w:val="18"/>
                <w:szCs w:val="18"/>
              </w:rPr>
            </w:pPr>
            <w:r>
              <w:rPr>
                <w:rFonts w:hint="eastAsia" w:ascii="Calibri" w:hAnsi="Calibri" w:cs="Times New Roman"/>
                <w:b/>
                <w:bCs/>
                <w:sz w:val="18"/>
                <w:szCs w:val="18"/>
              </w:rPr>
              <w:t>转录本</w:t>
            </w:r>
          </w:p>
        </w:tc>
        <w:tc>
          <w:tcPr>
            <w:tcW w:w="811" w:type="pct"/>
            <w:tcBorders>
              <w:tl2br w:val="nil"/>
              <w:tr2bl w:val="nil"/>
            </w:tcBorders>
            <w:shd w:val="clear" w:color="auto" w:fill="1F497D" w:themeFill="text2"/>
            <w:vAlign w:val="center"/>
          </w:tcPr>
          <w:p w14:paraId="603FF5C9">
            <w:pPr>
              <w:jc w:val="center"/>
              <w:rPr>
                <w:rFonts w:ascii="Calibri" w:hAnsi="Calibri" w:cs="Times New Roman"/>
                <w:b/>
                <w:bCs/>
                <w:sz w:val="18"/>
                <w:szCs w:val="18"/>
              </w:rPr>
            </w:pPr>
            <w:r>
              <w:rPr>
                <w:rFonts w:hint="eastAsia" w:ascii="Calibri" w:hAnsi="Calibri" w:cs="Times New Roman"/>
                <w:b/>
                <w:bCs/>
                <w:sz w:val="18"/>
                <w:szCs w:val="18"/>
              </w:rPr>
              <w:t>外显子/内含子</w:t>
            </w:r>
          </w:p>
        </w:tc>
        <w:tc>
          <w:tcPr>
            <w:tcW w:w="811" w:type="pct"/>
            <w:tcBorders>
              <w:tl2br w:val="nil"/>
              <w:tr2bl w:val="nil"/>
            </w:tcBorders>
            <w:shd w:val="clear" w:color="auto" w:fill="1F497D" w:themeFill="text2"/>
            <w:vAlign w:val="center"/>
          </w:tcPr>
          <w:p w14:paraId="10C50780">
            <w:pPr>
              <w:jc w:val="center"/>
              <w:rPr>
                <w:rFonts w:ascii="Calibri" w:hAnsi="Calibri" w:cs="Times New Roman"/>
                <w:b/>
                <w:bCs/>
                <w:sz w:val="18"/>
                <w:szCs w:val="18"/>
              </w:rPr>
            </w:pPr>
            <w:r>
              <w:rPr>
                <w:rFonts w:hint="eastAsia" w:ascii="Calibri" w:hAnsi="Calibri" w:cs="Times New Roman"/>
                <w:b/>
                <w:bCs/>
                <w:sz w:val="18"/>
                <w:szCs w:val="18"/>
              </w:rPr>
              <w:t>核苷酸变化</w:t>
            </w:r>
          </w:p>
        </w:tc>
        <w:tc>
          <w:tcPr>
            <w:tcW w:w="811" w:type="pct"/>
            <w:tcBorders>
              <w:tl2br w:val="nil"/>
              <w:tr2bl w:val="nil"/>
            </w:tcBorders>
            <w:shd w:val="clear" w:color="auto" w:fill="1F497D" w:themeFill="text2"/>
            <w:vAlign w:val="center"/>
          </w:tcPr>
          <w:p w14:paraId="71BD670E">
            <w:pPr>
              <w:jc w:val="center"/>
              <w:rPr>
                <w:rFonts w:ascii="Calibri" w:hAnsi="Calibri" w:cs="Times New Roman"/>
                <w:b/>
                <w:bCs/>
                <w:sz w:val="18"/>
                <w:szCs w:val="18"/>
              </w:rPr>
            </w:pPr>
            <w:r>
              <w:rPr>
                <w:rFonts w:hint="eastAsia" w:ascii="Calibri" w:hAnsi="Calibri" w:cs="Times New Roman"/>
                <w:b/>
                <w:bCs/>
                <w:sz w:val="18"/>
                <w:szCs w:val="18"/>
              </w:rPr>
              <w:t>氨基酸变化</w:t>
            </w:r>
          </w:p>
        </w:tc>
        <w:tc>
          <w:tcPr>
            <w:tcW w:w="942" w:type="pct"/>
            <w:tcBorders>
              <w:tl2br w:val="nil"/>
              <w:tr2bl w:val="nil"/>
            </w:tcBorders>
            <w:shd w:val="clear" w:color="auto" w:fill="1F497D" w:themeFill="text2"/>
            <w:vAlign w:val="center"/>
          </w:tcPr>
          <w:p w14:paraId="0A276EB6">
            <w:pPr>
              <w:jc w:val="center"/>
              <w:rPr>
                <w:rFonts w:ascii="Calibri" w:hAnsi="Calibri" w:cs="Times New Roman"/>
                <w:b/>
                <w:bCs/>
                <w:sz w:val="18"/>
                <w:szCs w:val="18"/>
              </w:rPr>
            </w:pPr>
            <w:r>
              <w:rPr>
                <w:rFonts w:hint="eastAsia" w:ascii="Calibri" w:hAnsi="Calibri" w:cs="Times New Roman"/>
                <w:b/>
                <w:bCs/>
                <w:sz w:val="18"/>
                <w:szCs w:val="18"/>
              </w:rPr>
              <w:t>变异丰度</w:t>
            </w:r>
            <w:r>
              <w:rPr>
                <w:rFonts w:ascii="Calibri" w:hAnsi="Calibri" w:cs="Times New Roman"/>
                <w:b/>
                <w:bCs/>
                <w:sz w:val="18"/>
                <w:szCs w:val="18"/>
              </w:rPr>
              <w:t>/</w:t>
            </w:r>
            <w:r>
              <w:rPr>
                <w:rFonts w:hint="eastAsia" w:ascii="Calibri" w:hAnsi="Calibri" w:cs="Times New Roman"/>
                <w:b/>
                <w:bCs/>
                <w:sz w:val="18"/>
                <w:szCs w:val="18"/>
              </w:rPr>
              <w:t>拷贝数</w:t>
            </w:r>
          </w:p>
        </w:tc>
      </w:tr>
      <w:tr w14:paraId="21B6D08B">
        <w:trPr>
          <w:trHeight w:val="288" w:hRule="atLeast"/>
          <w:jc w:val="center"/>
        </w:trPr>
        <w:tc>
          <w:tcPr>
            <w:tcW w:w="5000" w:type="pct"/>
            <w:gridSpan w:val="6"/>
            <w:tcBorders>
              <w:tl2br w:val="nil"/>
              <w:tr2bl w:val="nil"/>
            </w:tcBorders>
            <w:vAlign w:val="center"/>
          </w:tcPr>
          <w:p w14:paraId="1187CC57">
            <w:pPr>
              <w:adjustRightInd w:val="0"/>
              <w:snapToGrid w:val="0"/>
              <w:jc w:val="center"/>
              <w:rPr>
                <w:rFonts w:ascii="Times New Roman" w:hAnsi="Times New Roman"/>
                <w:kern w:val="2"/>
                <w:sz w:val="21"/>
                <w:szCs w:val="21"/>
              </w:rPr>
            </w:pPr>
            <w:r>
              <w:rPr>
                <w:rFonts w:ascii="Times New Roman" w:hAnsi="Times New Roman"/>
                <w:kern w:val="2"/>
                <w:sz w:val="18"/>
                <w:szCs w:val="18"/>
              </w:rPr>
              <w:t>{%tr if</w:t>
            </w:r>
            <w:r>
              <w:rPr>
                <w:rFonts w:hint="eastAsia" w:ascii="Times New Roman" w:hAnsi="Times New Roman"/>
                <w:kern w:val="2"/>
                <w:sz w:val="18"/>
                <w:szCs w:val="18"/>
              </w:rPr>
              <w:t xml:space="preserve"> variationGrading.variationGrading3</w:t>
            </w:r>
            <w:r>
              <w:rPr>
                <w:rFonts w:ascii="Times New Roman" w:hAnsi="Times New Roman"/>
                <w:kern w:val="2"/>
                <w:sz w:val="18"/>
                <w:szCs w:val="18"/>
              </w:rPr>
              <w:t xml:space="preserve"> != [] %}</w:t>
            </w:r>
          </w:p>
        </w:tc>
      </w:tr>
      <w:tr w14:paraId="10F957D4">
        <w:trPr>
          <w:trHeight w:val="273" w:hRule="atLeast"/>
          <w:jc w:val="center"/>
        </w:trPr>
        <w:tc>
          <w:tcPr>
            <w:tcW w:w="5000" w:type="pct"/>
            <w:gridSpan w:val="6"/>
            <w:tcBorders>
              <w:tl2br w:val="nil"/>
              <w:tr2bl w:val="nil"/>
            </w:tcBorders>
            <w:vAlign w:val="center"/>
          </w:tcPr>
          <w:p w14:paraId="7D6B1B0A">
            <w:pPr>
              <w:adjustRightInd w:val="0"/>
              <w:snapToGrid w:val="0"/>
              <w:jc w:val="center"/>
              <w:rPr>
                <w:rFonts w:ascii="Times New Roman" w:hAnsi="Times New Roman"/>
                <w:kern w:val="2"/>
                <w:sz w:val="18"/>
                <w:szCs w:val="18"/>
              </w:rPr>
            </w:pPr>
            <w:r>
              <w:rPr>
                <w:rFonts w:ascii="Times New Roman" w:hAnsi="Times New Roman"/>
                <w:kern w:val="2"/>
                <w:sz w:val="18"/>
                <w:szCs w:val="18"/>
              </w:rPr>
              <w:t>{%tr for</w:t>
            </w:r>
            <w:r>
              <w:rPr>
                <w:rFonts w:hint="eastAsia" w:ascii="Times New Roman" w:hAnsi="Times New Roman"/>
                <w:kern w:val="2"/>
                <w:sz w:val="18"/>
                <w:szCs w:val="18"/>
              </w:rPr>
              <w:t xml:space="preserve"> vg</w:t>
            </w:r>
            <w:r>
              <w:rPr>
                <w:rFonts w:ascii="Times New Roman" w:hAnsi="Times New Roman"/>
                <w:kern w:val="2"/>
                <w:sz w:val="18"/>
                <w:szCs w:val="18"/>
              </w:rPr>
              <w:t xml:space="preserve"> in </w:t>
            </w:r>
            <w:r>
              <w:rPr>
                <w:rFonts w:hint="eastAsia" w:ascii="Times New Roman" w:hAnsi="Times New Roman"/>
                <w:kern w:val="2"/>
                <w:sz w:val="18"/>
                <w:szCs w:val="18"/>
              </w:rPr>
              <w:t>variationGrading.variationGrading3</w:t>
            </w:r>
            <w:r>
              <w:rPr>
                <w:rFonts w:ascii="Times New Roman" w:hAnsi="Times New Roman"/>
                <w:kern w:val="2"/>
                <w:sz w:val="18"/>
                <w:szCs w:val="18"/>
              </w:rPr>
              <w:t xml:space="preserve"> %}</w:t>
            </w:r>
          </w:p>
        </w:tc>
      </w:tr>
      <w:tr w14:paraId="6975F3A5">
        <w:trPr>
          <w:trHeight w:val="568" w:hRule="atLeast"/>
          <w:jc w:val="center"/>
        </w:trPr>
        <w:tc>
          <w:tcPr>
            <w:tcW w:w="9178" w:type="dxa"/>
            <w:gridSpan w:val="6"/>
            <w:tcBorders>
              <w:tl2br w:val="nil"/>
              <w:tr2bl w:val="nil"/>
            </w:tcBorders>
            <w:vAlign w:val="center"/>
          </w:tcPr>
          <w:p w14:paraId="48AB29F8">
            <w:pPr>
              <w:adjustRightInd w:val="0"/>
              <w:snapToGrid w:val="0"/>
              <w:jc w:val="center"/>
              <w:rPr>
                <w:rFonts w:ascii="Times New Roman" w:hAnsi="Times New Roman"/>
                <w:kern w:val="2"/>
                <w:sz w:val="18"/>
                <w:szCs w:val="18"/>
              </w:rPr>
            </w:pPr>
            <w:r>
              <w:rPr>
                <w:rFonts w:ascii="Times New Roman" w:hAnsi="Times New Roman"/>
                <w:kern w:val="2"/>
                <w:sz w:val="18"/>
                <w:szCs w:val="18"/>
              </w:rPr>
              <w:t>{%tr if</w:t>
            </w:r>
            <w:r>
              <w:rPr>
                <w:rFonts w:hint="eastAsia" w:ascii="Times New Roman" w:hAnsi="Times New Roman"/>
                <w:kern w:val="2"/>
                <w:sz w:val="18"/>
                <w:szCs w:val="18"/>
              </w:rPr>
              <w:t xml:space="preserve"> vg.flag =</w:t>
            </w:r>
            <w:r>
              <w:rPr>
                <w:rFonts w:ascii="Times New Roman" w:hAnsi="Times New Roman"/>
                <w:kern w:val="2"/>
                <w:sz w:val="18"/>
                <w:szCs w:val="18"/>
              </w:rPr>
              <w:t xml:space="preserve">= </w:t>
            </w:r>
            <w:r>
              <w:rPr>
                <w:rFonts w:hint="eastAsia" w:ascii="Times New Roman" w:hAnsi="Times New Roman"/>
                <w:kern w:val="2"/>
                <w:sz w:val="18"/>
                <w:szCs w:val="18"/>
              </w:rPr>
              <w:t>False</w:t>
            </w:r>
            <w:r>
              <w:rPr>
                <w:rFonts w:ascii="Times New Roman" w:hAnsi="Times New Roman"/>
                <w:kern w:val="2"/>
                <w:sz w:val="18"/>
                <w:szCs w:val="18"/>
              </w:rPr>
              <w:t xml:space="preserve"> %}</w:t>
            </w:r>
          </w:p>
        </w:tc>
      </w:tr>
      <w:tr w14:paraId="0FBFA205">
        <w:trPr>
          <w:trHeight w:val="568" w:hRule="atLeast"/>
          <w:jc w:val="center"/>
        </w:trPr>
        <w:tc>
          <w:tcPr>
            <w:tcW w:w="1486" w:type="dxa"/>
            <w:tcBorders>
              <w:tl2br w:val="nil"/>
              <w:tr2bl w:val="nil"/>
            </w:tcBorders>
            <w:vAlign w:val="center"/>
          </w:tcPr>
          <w:p w14:paraId="6D10F800">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.gene }}</w:t>
            </w:r>
          </w:p>
        </w:tc>
        <w:tc>
          <w:tcPr>
            <w:tcW w:w="1489" w:type="dxa"/>
            <w:tcBorders>
              <w:tl2br w:val="nil"/>
              <w:tr2bl w:val="nil"/>
            </w:tcBorders>
            <w:vAlign w:val="center"/>
          </w:tcPr>
          <w:p w14:paraId="3F0709E4">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w:t>
            </w:r>
            <w:r>
              <w:rPr>
                <w:rFonts w:hint="eastAsia" w:ascii="Times New Roman" w:hAnsi="Times New Roman"/>
                <w:kern w:val="2"/>
                <w:sz w:val="18"/>
                <w:szCs w:val="18"/>
              </w:rPr>
              <w:t xml:space="preserve">Transcript </w:t>
            </w:r>
            <w:r>
              <w:rPr>
                <w:rFonts w:ascii="Times New Roman" w:hAnsi="Times New Roman"/>
                <w:kern w:val="2"/>
                <w:sz w:val="18"/>
                <w:szCs w:val="18"/>
              </w:rPr>
              <w:t>}}</w:t>
            </w:r>
          </w:p>
        </w:tc>
        <w:tc>
          <w:tcPr>
            <w:tcW w:w="1490" w:type="dxa"/>
            <w:tcBorders>
              <w:tl2br w:val="nil"/>
              <w:tr2bl w:val="nil"/>
            </w:tcBorders>
            <w:vAlign w:val="center"/>
          </w:tcPr>
          <w:p w14:paraId="0C134D44">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w:t>
            </w:r>
            <w:r>
              <w:rPr>
                <w:rFonts w:hint="eastAsia" w:ascii="Times New Roman" w:hAnsi="Times New Roman"/>
                <w:kern w:val="2"/>
                <w:sz w:val="18"/>
                <w:szCs w:val="18"/>
              </w:rPr>
              <w:t xml:space="preserve">Exon </w:t>
            </w:r>
            <w:r>
              <w:rPr>
                <w:rFonts w:ascii="Times New Roman" w:hAnsi="Times New Roman"/>
                <w:kern w:val="2"/>
                <w:sz w:val="18"/>
                <w:szCs w:val="18"/>
              </w:rPr>
              <w:t>}}</w:t>
            </w:r>
          </w:p>
        </w:tc>
        <w:tc>
          <w:tcPr>
            <w:tcW w:w="1490" w:type="dxa"/>
            <w:tcBorders>
              <w:tl2br w:val="nil"/>
              <w:tr2bl w:val="nil"/>
            </w:tcBorders>
            <w:vAlign w:val="center"/>
          </w:tcPr>
          <w:p w14:paraId="5B87F095">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w:t>
            </w:r>
            <w:r>
              <w:rPr>
                <w:rFonts w:hint="eastAsia" w:ascii="Times New Roman" w:hAnsi="Times New Roman"/>
                <w:kern w:val="2"/>
                <w:sz w:val="18"/>
                <w:szCs w:val="18"/>
              </w:rPr>
              <w:t xml:space="preserve">cHGVS </w:t>
            </w:r>
            <w:r>
              <w:rPr>
                <w:rFonts w:ascii="Times New Roman" w:hAnsi="Times New Roman"/>
                <w:kern w:val="2"/>
                <w:sz w:val="18"/>
                <w:szCs w:val="18"/>
              </w:rPr>
              <w:t>}}</w:t>
            </w:r>
          </w:p>
        </w:tc>
        <w:tc>
          <w:tcPr>
            <w:tcW w:w="1490" w:type="dxa"/>
            <w:tcBorders>
              <w:tl2br w:val="nil"/>
              <w:tr2bl w:val="nil"/>
            </w:tcBorders>
            <w:vAlign w:val="center"/>
          </w:tcPr>
          <w:p w14:paraId="09257DE4">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w:t>
            </w:r>
            <w:r>
              <w:rPr>
                <w:rFonts w:hint="eastAsia" w:ascii="Times New Roman" w:hAnsi="Times New Roman"/>
                <w:kern w:val="2"/>
                <w:sz w:val="18"/>
                <w:szCs w:val="18"/>
              </w:rPr>
              <w:t xml:space="preserve">pHGVS </w:t>
            </w:r>
            <w:r>
              <w:rPr>
                <w:rFonts w:ascii="Times New Roman" w:hAnsi="Times New Roman"/>
                <w:kern w:val="2"/>
                <w:sz w:val="18"/>
                <w:szCs w:val="18"/>
              </w:rPr>
              <w:t>}}</w:t>
            </w:r>
          </w:p>
        </w:tc>
        <w:tc>
          <w:tcPr>
            <w:tcW w:w="1733" w:type="dxa"/>
            <w:tcBorders>
              <w:tl2br w:val="nil"/>
              <w:tr2bl w:val="nil"/>
            </w:tcBorders>
            <w:vAlign w:val="center"/>
          </w:tcPr>
          <w:p w14:paraId="7E5B4DAB">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.mutFreq }}</w:t>
            </w:r>
          </w:p>
        </w:tc>
      </w:tr>
      <w:tr w14:paraId="234E113B">
        <w:trPr>
          <w:trHeight w:val="568" w:hRule="atLeast"/>
          <w:jc w:val="center"/>
        </w:trPr>
        <w:tc>
          <w:tcPr>
            <w:tcW w:w="9178" w:type="dxa"/>
            <w:gridSpan w:val="6"/>
            <w:tcBorders>
              <w:tl2br w:val="nil"/>
              <w:tr2bl w:val="nil"/>
            </w:tcBorders>
            <w:vAlign w:val="center"/>
          </w:tcPr>
          <w:p w14:paraId="45B747E6">
            <w:pPr>
              <w:adjustRightInd w:val="0"/>
              <w:snapToGrid w:val="0"/>
              <w:jc w:val="center"/>
              <w:rPr>
                <w:rFonts w:ascii="Times New Roman" w:hAnsi="Times New Roman"/>
                <w:kern w:val="2"/>
                <w:sz w:val="18"/>
                <w:szCs w:val="18"/>
              </w:rPr>
            </w:pPr>
            <w:r>
              <w:rPr>
                <w:rFonts w:ascii="Times New Roman" w:hAnsi="Times New Roman"/>
                <w:kern w:val="2"/>
                <w:sz w:val="18"/>
                <w:szCs w:val="18"/>
              </w:rPr>
              <w:t>{%tr else %}</w:t>
            </w:r>
          </w:p>
        </w:tc>
      </w:tr>
      <w:tr w14:paraId="3C08C62D">
        <w:trPr>
          <w:trHeight w:val="568" w:hRule="atLeast"/>
          <w:jc w:val="center"/>
        </w:trPr>
        <w:tc>
          <w:tcPr>
            <w:tcW w:w="1486" w:type="dxa"/>
            <w:tcBorders>
              <w:tl2br w:val="nil"/>
              <w:tr2bl w:val="nil"/>
            </w:tcBorders>
            <w:vAlign w:val="center"/>
          </w:tcPr>
          <w:p w14:paraId="04F7D3A3">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.gene }}</w:t>
            </w:r>
          </w:p>
        </w:tc>
        <w:tc>
          <w:tcPr>
            <w:tcW w:w="5959" w:type="dxa"/>
            <w:gridSpan w:val="4"/>
            <w:tcBorders>
              <w:tl2br w:val="nil"/>
              <w:tr2bl w:val="nil"/>
            </w:tcBorders>
            <w:vAlign w:val="center"/>
          </w:tcPr>
          <w:p w14:paraId="327EC778">
            <w:pPr>
              <w:adjustRightInd w:val="0"/>
              <w:snapToGrid w:val="0"/>
              <w:jc w:val="center"/>
              <w:rPr>
                <w:rFonts w:ascii="Times New Roman" w:hAnsi="Times New Roman"/>
                <w:kern w:val="2"/>
                <w:sz w:val="18"/>
                <w:szCs w:val="18"/>
              </w:rPr>
            </w:pPr>
            <w:r>
              <w:rPr>
                <w:rFonts w:hint="eastAsia" w:ascii="Times New Roman" w:hAnsi="Times New Roman"/>
                <w:kern w:val="2"/>
                <w:sz w:val="18"/>
                <w:szCs w:val="18"/>
                <w:lang w:val="en-US" w:eastAsia="zh-CN"/>
              </w:rPr>
              <w:t>{% if vg.</w:t>
            </w:r>
            <w:r>
              <w:rPr>
                <w:rFonts w:hint="eastAsia" w:ascii="Times New Roman" w:hAnsi="Times New Roman"/>
                <w:kern w:val="2"/>
                <w:sz w:val="18"/>
                <w:szCs w:val="18"/>
                <w:lang w:eastAsia="zh-CN"/>
              </w:rPr>
              <w:t>ori_varia</w:t>
            </w:r>
            <w:r>
              <w:rPr>
                <w:rFonts w:hint="eastAsia" w:ascii="Times New Roman" w:hAnsi="Times New Roman"/>
                <w:kern w:val="2"/>
                <w:sz w:val="18"/>
                <w:szCs w:val="18"/>
                <w:lang w:val="en-US" w:eastAsia="zh-CN"/>
              </w:rPr>
              <w:t xml:space="preserve">nt == </w:t>
            </w:r>
            <w:r>
              <w:rPr>
                <w:rFonts w:hint="default" w:ascii="Times New Roman" w:hAnsi="Times New Roman"/>
                <w:kern w:val="2"/>
                <w:sz w:val="18"/>
                <w:szCs w:val="18"/>
                <w:lang w:val="en-US" w:eastAsia="zh-CN"/>
              </w:rPr>
              <w:t>‘</w:t>
            </w:r>
            <w:r>
              <w:rPr>
                <w:rFonts w:hint="eastAsia" w:ascii="Times New Roman" w:hAnsi="Times New Roman"/>
                <w:kern w:val="2"/>
                <w:sz w:val="18"/>
                <w:szCs w:val="18"/>
                <w:lang w:val="en-US" w:eastAsia="zh-CN"/>
              </w:rPr>
              <w:t>Amplification</w:t>
            </w:r>
            <w:r>
              <w:rPr>
                <w:rFonts w:hint="default" w:ascii="Times New Roman" w:hAnsi="Times New Roman"/>
                <w:kern w:val="2"/>
                <w:sz w:val="18"/>
                <w:szCs w:val="18"/>
                <w:lang w:val="en-US" w:eastAsia="zh-CN"/>
              </w:rPr>
              <w:t>’</w:t>
            </w:r>
            <w:r>
              <w:rPr>
                <w:rFonts w:hint="eastAsia" w:ascii="Times New Roman" w:hAnsi="Times New Roman"/>
                <w:kern w:val="2"/>
                <w:sz w:val="18"/>
                <w:szCs w:val="18"/>
                <w:lang w:val="en-US" w:eastAsia="zh-CN"/>
              </w:rPr>
              <w:t xml:space="preserve"> %}扩增</w:t>
            </w:r>
            <w:r>
              <w:rPr>
                <w:rFonts w:hint="eastAsia" w:ascii="Times New Roman" w:hAnsi="Times New Roman"/>
                <w:kern w:val="2"/>
                <w:sz w:val="18"/>
                <w:szCs w:val="18"/>
                <w:lang w:val="en-US" w:eastAsia="en-US"/>
              </w:rPr>
              <w:t xml:space="preserve">{% </w:t>
            </w:r>
            <w:r>
              <w:rPr>
                <w:rFonts w:ascii="Times New Roman" w:hAnsi="Times New Roman"/>
                <w:kern w:val="2"/>
                <w:sz w:val="18"/>
                <w:szCs w:val="18"/>
              </w:rPr>
              <w:t>else</w:t>
            </w:r>
            <w:r>
              <w:rPr>
                <w:rFonts w:hint="eastAsia" w:ascii="Times New Roman" w:hAnsi="Times New Roman"/>
                <w:kern w:val="2"/>
                <w:sz w:val="18"/>
                <w:szCs w:val="18"/>
                <w:lang w:val="en-US" w:eastAsia="zh-CN"/>
              </w:rPr>
              <w:t xml:space="preserve"> </w:t>
            </w:r>
            <w:r>
              <w:rPr>
                <w:rFonts w:hint="eastAsia" w:ascii="Times New Roman" w:hAnsi="Times New Roman"/>
                <w:kern w:val="2"/>
                <w:sz w:val="18"/>
                <w:szCs w:val="18"/>
                <w:lang w:val="en-US" w:eastAsia="en-US"/>
              </w:rPr>
              <w:t>%}</w:t>
            </w:r>
            <w:r>
              <w:rPr>
                <w:rFonts w:hint="eastAsia" w:ascii="Times New Roman" w:hAnsi="Times New Roman"/>
                <w:kern w:val="2"/>
                <w:sz w:val="18"/>
                <w:szCs w:val="18"/>
                <w:lang w:val="en-US" w:eastAsia="zh-CN"/>
              </w:rPr>
              <w:t>{{ vg.ori_variant }}</w:t>
            </w:r>
            <w:r>
              <w:rPr>
                <w:rFonts w:hint="eastAsia" w:ascii="Times New Roman" w:hAnsi="Times New Roman"/>
                <w:kern w:val="2"/>
                <w:sz w:val="18"/>
                <w:szCs w:val="18"/>
                <w:lang w:val="en-US" w:eastAsia="en-US"/>
              </w:rPr>
              <w:t>{% endif</w:t>
            </w:r>
            <w:r>
              <w:rPr>
                <w:rFonts w:hint="eastAsia" w:ascii="Times New Roman" w:hAnsi="Times New Roman"/>
                <w:kern w:val="2"/>
                <w:sz w:val="18"/>
                <w:szCs w:val="18"/>
                <w:lang w:val="en-US" w:eastAsia="zh-CN"/>
              </w:rPr>
              <w:t xml:space="preserve"> </w:t>
            </w:r>
            <w:r>
              <w:rPr>
                <w:rFonts w:hint="eastAsia" w:ascii="Times New Roman" w:hAnsi="Times New Roman"/>
                <w:kern w:val="2"/>
                <w:sz w:val="18"/>
                <w:szCs w:val="18"/>
                <w:lang w:val="en-US" w:eastAsia="en-US"/>
              </w:rPr>
              <w:t>%}</w:t>
            </w:r>
          </w:p>
        </w:tc>
        <w:tc>
          <w:tcPr>
            <w:tcW w:w="1733" w:type="dxa"/>
            <w:tcBorders>
              <w:tl2br w:val="nil"/>
              <w:tr2bl w:val="nil"/>
            </w:tcBorders>
            <w:vAlign w:val="center"/>
          </w:tcPr>
          <w:p w14:paraId="44B7035C">
            <w:pPr>
              <w:adjustRightInd w:val="0"/>
              <w:snapToGrid w:val="0"/>
              <w:jc w:val="center"/>
              <w:rPr>
                <w:rFonts w:ascii="Times New Roman" w:hAnsi="Times New Roman"/>
                <w:kern w:val="2"/>
                <w:sz w:val="18"/>
                <w:szCs w:val="18"/>
              </w:rPr>
            </w:pPr>
            <w:r>
              <w:rPr>
                <w:rFonts w:ascii="Times New Roman" w:hAnsi="Times New Roman"/>
                <w:kern w:val="2"/>
                <w:sz w:val="18"/>
                <w:szCs w:val="18"/>
              </w:rPr>
              <w:t xml:space="preserve">{{ </w:t>
            </w:r>
            <w:r>
              <w:rPr>
                <w:rFonts w:hint="eastAsia" w:ascii="Times New Roman" w:hAnsi="Times New Roman"/>
                <w:kern w:val="2"/>
                <w:sz w:val="18"/>
                <w:szCs w:val="18"/>
              </w:rPr>
              <w:t>vg</w:t>
            </w:r>
            <w:r>
              <w:rPr>
                <w:rFonts w:ascii="Times New Roman" w:hAnsi="Times New Roman"/>
                <w:kern w:val="2"/>
                <w:sz w:val="18"/>
                <w:szCs w:val="18"/>
              </w:rPr>
              <w:t>.mutFreq }}</w:t>
            </w:r>
          </w:p>
        </w:tc>
      </w:tr>
      <w:tr w14:paraId="2EEB0719">
        <w:trPr>
          <w:trHeight w:val="568" w:hRule="atLeast"/>
          <w:jc w:val="center"/>
        </w:trPr>
        <w:tc>
          <w:tcPr>
            <w:tcW w:w="9178" w:type="dxa"/>
            <w:gridSpan w:val="6"/>
            <w:tcBorders>
              <w:tl2br w:val="nil"/>
              <w:tr2bl w:val="nil"/>
            </w:tcBorders>
            <w:vAlign w:val="center"/>
          </w:tcPr>
          <w:p w14:paraId="37A77973">
            <w:pPr>
              <w:adjustRightInd w:val="0"/>
              <w:snapToGrid w:val="0"/>
              <w:jc w:val="center"/>
              <w:rPr>
                <w:rFonts w:ascii="Times New Roman" w:hAnsi="Times New Roman"/>
                <w:kern w:val="2"/>
                <w:sz w:val="18"/>
                <w:szCs w:val="18"/>
              </w:rPr>
            </w:pPr>
            <w:r>
              <w:rPr>
                <w:rFonts w:ascii="Times New Roman" w:hAnsi="Times New Roman"/>
                <w:kern w:val="2"/>
                <w:sz w:val="18"/>
                <w:szCs w:val="18"/>
              </w:rPr>
              <w:t>{%tr endif %}</w:t>
            </w:r>
          </w:p>
        </w:tc>
      </w:tr>
      <w:tr w14:paraId="762B1810">
        <w:trPr>
          <w:trHeight w:val="333" w:hRule="atLeast"/>
          <w:jc w:val="center"/>
        </w:trPr>
        <w:tc>
          <w:tcPr>
            <w:tcW w:w="5000" w:type="pct"/>
            <w:gridSpan w:val="6"/>
            <w:tcBorders>
              <w:tl2br w:val="nil"/>
              <w:tr2bl w:val="nil"/>
            </w:tcBorders>
            <w:vAlign w:val="center"/>
          </w:tcPr>
          <w:p w14:paraId="097C0727">
            <w:pPr>
              <w:adjustRightInd w:val="0"/>
              <w:snapToGrid w:val="0"/>
              <w:jc w:val="center"/>
              <w:rPr>
                <w:rFonts w:ascii="Times New Roman" w:hAnsi="Times New Roman"/>
                <w:kern w:val="2"/>
                <w:sz w:val="18"/>
                <w:szCs w:val="18"/>
              </w:rPr>
            </w:pPr>
            <w:r>
              <w:rPr>
                <w:rFonts w:ascii="Times New Roman" w:hAnsi="Times New Roman"/>
                <w:kern w:val="2"/>
                <w:sz w:val="18"/>
                <w:szCs w:val="18"/>
              </w:rPr>
              <w:t>{%tr endfor %}</w:t>
            </w:r>
          </w:p>
        </w:tc>
      </w:tr>
      <w:tr w14:paraId="3AB6016C">
        <w:trPr>
          <w:trHeight w:val="303" w:hRule="atLeast"/>
          <w:jc w:val="center"/>
        </w:trPr>
        <w:tc>
          <w:tcPr>
            <w:tcW w:w="5000" w:type="pct"/>
            <w:gridSpan w:val="6"/>
            <w:tcBorders>
              <w:tl2br w:val="nil"/>
              <w:tr2bl w:val="nil"/>
            </w:tcBorders>
            <w:vAlign w:val="center"/>
          </w:tcPr>
          <w:p w14:paraId="6E472727">
            <w:pPr>
              <w:adjustRightInd w:val="0"/>
              <w:snapToGrid w:val="0"/>
              <w:jc w:val="center"/>
              <w:rPr>
                <w:rFonts w:ascii="Times New Roman" w:hAnsi="Times New Roman"/>
                <w:kern w:val="2"/>
                <w:sz w:val="18"/>
                <w:szCs w:val="18"/>
              </w:rPr>
            </w:pPr>
            <w:r>
              <w:rPr>
                <w:rFonts w:ascii="Times New Roman" w:hAnsi="Times New Roman"/>
                <w:kern w:val="2"/>
                <w:sz w:val="18"/>
                <w:szCs w:val="18"/>
              </w:rPr>
              <w:t>{%tr else %}</w:t>
            </w:r>
          </w:p>
        </w:tc>
      </w:tr>
      <w:tr w14:paraId="1EA4BDDB">
        <w:trPr>
          <w:trHeight w:val="568" w:hRule="atLeast"/>
          <w:jc w:val="center"/>
        </w:trPr>
        <w:tc>
          <w:tcPr>
            <w:tcW w:w="810" w:type="pct"/>
            <w:tcBorders>
              <w:tl2br w:val="nil"/>
              <w:tr2bl w:val="nil"/>
            </w:tcBorders>
            <w:vAlign w:val="center"/>
          </w:tcPr>
          <w:p w14:paraId="7361689E">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811" w:type="pct"/>
            <w:tcBorders>
              <w:tl2br w:val="nil"/>
              <w:tr2bl w:val="nil"/>
            </w:tcBorders>
            <w:vAlign w:val="center"/>
          </w:tcPr>
          <w:p w14:paraId="7AF7742D">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811" w:type="pct"/>
            <w:tcBorders>
              <w:tl2br w:val="nil"/>
              <w:tr2bl w:val="nil"/>
            </w:tcBorders>
            <w:vAlign w:val="center"/>
          </w:tcPr>
          <w:p w14:paraId="0230C914">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811" w:type="pct"/>
            <w:tcBorders>
              <w:tl2br w:val="nil"/>
              <w:tr2bl w:val="nil"/>
            </w:tcBorders>
            <w:vAlign w:val="center"/>
          </w:tcPr>
          <w:p w14:paraId="249EB8F1">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811" w:type="pct"/>
            <w:tcBorders>
              <w:tl2br w:val="nil"/>
              <w:tr2bl w:val="nil"/>
            </w:tcBorders>
            <w:vAlign w:val="center"/>
          </w:tcPr>
          <w:p w14:paraId="7829C3A0">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c>
          <w:tcPr>
            <w:tcW w:w="942" w:type="pct"/>
            <w:tcBorders>
              <w:tl2br w:val="nil"/>
              <w:tr2bl w:val="nil"/>
            </w:tcBorders>
            <w:vAlign w:val="center"/>
          </w:tcPr>
          <w:p w14:paraId="7542CC4E">
            <w:pPr>
              <w:adjustRightInd w:val="0"/>
              <w:snapToGrid w:val="0"/>
              <w:jc w:val="center"/>
              <w:rPr>
                <w:rFonts w:ascii="Times New Roman" w:hAnsi="Times New Roman"/>
                <w:kern w:val="2"/>
                <w:sz w:val="18"/>
                <w:szCs w:val="18"/>
              </w:rPr>
            </w:pPr>
            <w:r>
              <w:rPr>
                <w:rFonts w:hint="eastAsia" w:ascii="Times New Roman" w:hAnsi="Times New Roman"/>
                <w:kern w:val="2"/>
                <w:sz w:val="18"/>
                <w:szCs w:val="18"/>
              </w:rPr>
              <w:t>/</w:t>
            </w:r>
          </w:p>
        </w:tc>
      </w:tr>
      <w:tr w14:paraId="6F4AD486">
        <w:trPr>
          <w:trHeight w:val="313" w:hRule="atLeast"/>
          <w:jc w:val="center"/>
        </w:trPr>
        <w:tc>
          <w:tcPr>
            <w:tcW w:w="5000" w:type="pct"/>
            <w:gridSpan w:val="6"/>
            <w:tcBorders>
              <w:tl2br w:val="nil"/>
              <w:tr2bl w:val="nil"/>
            </w:tcBorders>
            <w:vAlign w:val="center"/>
          </w:tcPr>
          <w:p w14:paraId="3114353B">
            <w:pPr>
              <w:adjustRightInd w:val="0"/>
              <w:snapToGrid w:val="0"/>
              <w:jc w:val="center"/>
              <w:rPr>
                <w:rFonts w:ascii="Times New Roman" w:hAnsi="Times New Roman"/>
                <w:kern w:val="2"/>
                <w:sz w:val="18"/>
                <w:szCs w:val="18"/>
              </w:rPr>
            </w:pPr>
            <w:r>
              <w:rPr>
                <w:rFonts w:ascii="Times New Roman" w:hAnsi="Times New Roman"/>
                <w:kern w:val="2"/>
                <w:sz w:val="18"/>
                <w:szCs w:val="18"/>
              </w:rPr>
              <w:t>{%tr endif %}</w:t>
            </w:r>
          </w:p>
        </w:tc>
      </w:tr>
    </w:tbl>
    <w:p w14:paraId="24C80C72">
      <w:pPr>
        <w:pStyle w:val="10"/>
        <w:spacing w:before="7"/>
        <w:rPr>
          <w:rFonts w:ascii="Times New Roman" w:hAnsi="Times New Roman" w:eastAsia="微软雅黑" w:cs="Times New Roman"/>
        </w:rPr>
      </w:pPr>
    </w:p>
    <w:p w14:paraId="29923D51">
      <w:pPr>
        <w:pStyle w:val="8"/>
        <w:spacing w:line="276" w:lineRule="auto"/>
        <w:jc w:val="both"/>
        <w:rPr>
          <w:rFonts w:ascii="Times New Roman" w:hAnsi="Times New Roman" w:cs="Times New Roman"/>
        </w:rPr>
      </w:pPr>
      <w:bookmarkStart w:id="3" w:name="_Toc526855035"/>
      <w:bookmarkStart w:id="4" w:name="_Toc534637496"/>
      <w:bookmarkStart w:id="5" w:name="_Toc527112383"/>
      <w:r>
        <w:rPr>
          <w:rFonts w:ascii="Times New Roman" w:hAnsi="Times New Roman" w:cs="Times New Roman"/>
        </w:rPr>
        <w:t>注：</w:t>
      </w:r>
    </w:p>
    <w:p w14:paraId="6A472656">
      <w:pPr>
        <w:pStyle w:val="41"/>
        <w:numPr>
          <w:ilvl w:val="0"/>
          <w:numId w:val="1"/>
        </w:numPr>
        <w:adjustRightInd w:val="0"/>
        <w:snapToGrid w:val="0"/>
        <w:rPr>
          <w:sz w:val="18"/>
          <w:szCs w:val="18"/>
        </w:rPr>
      </w:pPr>
      <w:r>
        <w:rPr>
          <w:sz w:val="18"/>
          <w:szCs w:val="18"/>
        </w:rPr>
        <w:t>变异丰度：在某位点产生突变的等位基因在该位点全部等位基因中所占比率。本试剂的检测下限为1%变异丰度，对于低于1%丰度的突变位点，验证后报出。</w:t>
      </w:r>
    </w:p>
    <w:p w14:paraId="4696B03F">
      <w:pPr>
        <w:pStyle w:val="41"/>
        <w:numPr>
          <w:ilvl w:val="0"/>
          <w:numId w:val="1"/>
        </w:numPr>
        <w:adjustRightInd w:val="0"/>
        <w:snapToGrid w:val="0"/>
        <w:rPr>
          <w:sz w:val="18"/>
          <w:szCs w:val="18"/>
        </w:rPr>
      </w:pPr>
      <w:r>
        <w:rPr>
          <w:sz w:val="18"/>
          <w:szCs w:val="18"/>
        </w:rPr>
        <w:t>拷贝数：是指某⼀种基因或某⼀段特定的DNA序列在单倍体基因组中出现的数目</w:t>
      </w:r>
      <w:r>
        <w:rPr>
          <w:rFonts w:hint="eastAsia"/>
          <w:sz w:val="18"/>
          <w:szCs w:val="18"/>
        </w:rPr>
        <w:t>；</w:t>
      </w:r>
    </w:p>
    <w:p w14:paraId="1DF43628">
      <w:pPr>
        <w:pStyle w:val="41"/>
        <w:numPr>
          <w:ilvl w:val="0"/>
          <w:numId w:val="1"/>
        </w:numPr>
        <w:adjustRightInd w:val="0"/>
        <w:snapToGrid w:val="0"/>
        <w:rPr>
          <w:sz w:val="18"/>
          <w:szCs w:val="18"/>
        </w:rPr>
      </w:pPr>
      <w:r>
        <w:rPr>
          <w:sz w:val="18"/>
          <w:szCs w:val="18"/>
        </w:rPr>
        <w:t>检测结果与采集的标本病变（靶组织）比例有关，靶组织含量过低可能出现假阴性；</w:t>
      </w:r>
    </w:p>
    <w:p w14:paraId="3CCE6B22">
      <w:pPr>
        <w:pStyle w:val="41"/>
        <w:numPr>
          <w:ilvl w:val="0"/>
          <w:numId w:val="1"/>
        </w:numPr>
        <w:adjustRightInd w:val="0"/>
        <w:snapToGrid w:val="0"/>
        <w:rPr>
          <w:sz w:val="18"/>
          <w:szCs w:val="18"/>
        </w:rPr>
      </w:pPr>
      <w:r>
        <w:rPr>
          <w:sz w:val="18"/>
          <w:szCs w:val="18"/>
        </w:rPr>
        <w:t>本报告仅对所检测标本负责，检测结果的解释及建议基于当前的科学研究水平，仅供临床医师参考，勿作他用；</w:t>
      </w:r>
    </w:p>
    <w:p w14:paraId="55F0BF95">
      <w:pPr>
        <w:pStyle w:val="41"/>
        <w:numPr>
          <w:ilvl w:val="0"/>
          <w:numId w:val="1"/>
        </w:numPr>
        <w:adjustRightInd w:val="0"/>
        <w:snapToGrid w:val="0"/>
        <w:rPr>
          <w:sz w:val="18"/>
          <w:szCs w:val="18"/>
        </w:rPr>
      </w:pPr>
      <w:r>
        <w:rPr>
          <w:sz w:val="18"/>
          <w:szCs w:val="18"/>
        </w:rPr>
        <w:t>本检测只检测60个肺癌个体化基因的特定突变，不排除受检者携带检测列表以外的突变位点；</w:t>
      </w:r>
    </w:p>
    <w:p w14:paraId="0FF294DE">
      <w:pPr>
        <w:pStyle w:val="41"/>
        <w:numPr>
          <w:ilvl w:val="0"/>
          <w:numId w:val="1"/>
        </w:numPr>
        <w:adjustRightInd w:val="0"/>
        <w:snapToGrid w:val="0"/>
        <w:rPr>
          <w:sz w:val="18"/>
          <w:szCs w:val="18"/>
        </w:rPr>
      </w:pPr>
      <w:r>
        <w:rPr>
          <w:sz w:val="18"/>
          <w:szCs w:val="18"/>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合并III类报出）。</w:t>
      </w:r>
    </w:p>
    <w:p w14:paraId="6845C50A">
      <w:pPr>
        <w:pStyle w:val="10"/>
        <w:rPr>
          <w:rFonts w:ascii="Times New Roman" w:hAnsi="Times New Roman" w:eastAsia="微软雅黑" w:cs="Times New Roman"/>
          <w:sz w:val="20"/>
        </w:rPr>
      </w:pPr>
    </w:p>
    <w:p w14:paraId="57A4F9E8">
      <w:pPr>
        <w:pStyle w:val="10"/>
        <w:rPr>
          <w:rFonts w:ascii="Times New Roman" w:hAnsi="Times New Roman" w:eastAsia="微软雅黑" w:cs="Times New Roman"/>
          <w:sz w:val="20"/>
        </w:rPr>
      </w:pPr>
    </w:p>
    <w:p w14:paraId="6F141AFC">
      <w:pPr>
        <w:ind w:right="105" w:firstLine="110" w:firstLineChars="50"/>
        <w:jc w:val="center"/>
        <w:rPr>
          <w:rFonts w:ascii="Times New Roman" w:hAnsi="Times New Roman" w:eastAsia="微软雅黑" w:cs="Times New Roman"/>
        </w:rPr>
      </w:pPr>
      <w:r>
        <w:t>检测师：</w:t>
      </w:r>
      <w:r>
        <w:rPr>
          <w:rFonts w:ascii="Times New Roman" w:hAnsi="Times New Roman" w:eastAsia="微软雅黑" w:cs="Times New Roman"/>
        </w:rPr>
        <w:t xml:space="preserve">   </w:t>
      </w:r>
      <w:r>
        <w:rPr>
          <w:rFonts w:ascii="Times New Roman" w:hAnsi="Times New Roman" w:eastAsia="微软雅黑" w:cs="Times New Roman"/>
          <w:sz w:val="24"/>
          <w:szCs w:val="24"/>
        </w:rPr>
        <w:t xml:space="preserve"> </w:t>
      </w:r>
      <w:r>
        <w:rPr>
          <w:rFonts w:ascii="Times New Roman" w:hAnsi="Times New Roman" w:eastAsia="微软雅黑" w:cs="Times New Roman"/>
        </w:rPr>
        <w:t xml:space="preserve">                     </w:t>
      </w:r>
      <w:r>
        <w:t>报告审核医师：</w:t>
      </w:r>
      <w:r>
        <w:rPr>
          <w:rFonts w:ascii="Times New Roman" w:hAnsi="Times New Roman" w:eastAsia="微软雅黑" w:cs="Times New Roman"/>
        </w:rPr>
        <w:t xml:space="preserve"> </w:t>
      </w:r>
    </w:p>
    <w:p w14:paraId="715C305A">
      <w:pPr>
        <w:ind w:right="105" w:firstLine="110" w:firstLineChars="50"/>
        <w:rPr>
          <w:rFonts w:ascii="Times New Roman" w:hAnsi="Times New Roman" w:eastAsia="微软雅黑" w:cs="Times New Roman"/>
        </w:rPr>
      </w:pPr>
      <w:r>
        <w:rPr>
          <w:rFonts w:ascii="Times New Roman" w:hAnsi="Times New Roman" w:eastAsia="微软雅黑" w:cs="Times New Roman"/>
        </w:rPr>
        <w:t xml:space="preserve">   </w:t>
      </w:r>
    </w:p>
    <w:p w14:paraId="78B7E1CE">
      <w:pPr>
        <w:wordWrap w:val="0"/>
        <w:ind w:right="105" w:firstLine="110" w:firstLineChars="50"/>
        <w:jc w:val="center"/>
        <w:rPr>
          <w:rFonts w:ascii="Times New Roman" w:hAnsi="Times New Roman" w:eastAsia="微软雅黑" w:cs="Times New Roman"/>
        </w:rPr>
      </w:pPr>
      <w:r>
        <w:rPr>
          <w:rFonts w:ascii="Times New Roman" w:hAnsi="Times New Roman" w:eastAsia="微软雅黑" w:cs="Times New Roman"/>
        </w:rPr>
        <w:t xml:space="preserve">                                </w:t>
      </w:r>
      <w:r>
        <w:rPr>
          <w:rFonts w:hint="eastAsia" w:ascii="Times New Roman" w:hAnsi="Times New Roman" w:eastAsia="微软雅黑" w:cs="Times New Roman"/>
        </w:rPr>
        <w:t xml:space="preserve">       </w:t>
      </w:r>
      <w:r>
        <w:rPr>
          <w:rFonts w:ascii="Times New Roman" w:hAnsi="Times New Roman" w:eastAsia="微软雅黑" w:cs="Times New Roman"/>
        </w:rPr>
        <w:t xml:space="preserve">          </w:t>
      </w:r>
      <w:r>
        <w:t>报 告 日 期：</w:t>
      </w:r>
      <w:r>
        <w:rPr>
          <w:rFonts w:ascii="Times New Roman" w:hAnsi="Times New Roman" w:cs="Times New Roman"/>
          <w:kern w:val="2"/>
          <w:sz w:val="24"/>
          <w:szCs w:val="24"/>
        </w:rPr>
        <w:t>{{ reportdate }}</w:t>
      </w:r>
    </w:p>
    <w:p w14:paraId="415E9871">
      <w:pPr>
        <w:widowControl/>
        <w:spacing w:after="160" w:line="259" w:lineRule="auto"/>
        <w:rPr>
          <w:rFonts w:ascii="Times New Roman" w:hAnsi="Times New Roman" w:eastAsia="微软雅黑" w:cs="Times New Roman"/>
          <w:b/>
          <w:bCs/>
          <w:color w:val="0070C0"/>
          <w:sz w:val="28"/>
          <w:szCs w:val="28"/>
        </w:rPr>
      </w:pPr>
      <w:r>
        <w:rPr>
          <w:rFonts w:ascii="Times New Roman" w:hAnsi="Times New Roman" w:eastAsia="微软雅黑" w:cs="Times New Roman"/>
          <w:b/>
          <w:bCs/>
          <w:color w:val="0070C0"/>
          <w:sz w:val="28"/>
          <w:szCs w:val="28"/>
        </w:rPr>
        <w:br w:type="page"/>
      </w:r>
    </w:p>
    <w:p w14:paraId="650B0396">
      <w:pPr>
        <w:keepNext/>
        <w:widowControl/>
        <w:spacing w:before="360" w:beforeLines="150" w:line="260" w:lineRule="auto"/>
        <w:rPr>
          <w:rFonts w:ascii="Times New Roman" w:hAnsi="Times New Roman" w:eastAsia="微软雅黑" w:cs="Times New Roman"/>
          <w:b/>
          <w:color w:val="1F497D"/>
          <w:sz w:val="28"/>
          <w:szCs w:val="28"/>
        </w:rPr>
      </w:pPr>
      <w:r>
        <w:rPr>
          <w:rFonts w:hint="eastAsia" w:ascii="Times New Roman" w:hAnsi="Times New Roman" w:eastAsia="微软雅黑" w:cs="Times New Roman"/>
          <w:b/>
          <w:color w:val="1F497D"/>
          <w:sz w:val="28"/>
          <w:szCs w:val="28"/>
        </w:rPr>
        <w:t>附录1 靶向药物结果解析</w:t>
      </w:r>
    </w:p>
    <w:p w14:paraId="729577D7">
      <w:pPr>
        <w:pStyle w:val="10"/>
        <w:rPr>
          <w:rFonts w:ascii="微软雅黑" w:hAnsi="微软雅黑" w:eastAsia="微软雅黑" w:cs="微软雅黑"/>
          <w:b/>
          <w:bCs/>
          <w:sz w:val="20"/>
          <w:szCs w:val="20"/>
        </w:rPr>
      </w:pPr>
      <w:r>
        <w:rPr>
          <w:rFonts w:hint="eastAsia" w:ascii="微软雅黑" w:hAnsi="微软雅黑" w:eastAsia="微软雅黑" w:cs="微软雅黑"/>
          <w:b/>
          <w:bCs/>
          <w:sz w:val="20"/>
          <w:szCs w:val="20"/>
        </w:rPr>
        <w:t>下述用药信息仅供参考，具体用药方案请遵照临床医生指导</w:t>
      </w:r>
    </w:p>
    <w:bookmarkEnd w:id="3"/>
    <w:bookmarkEnd w:id="4"/>
    <w:bookmarkEnd w:id="5"/>
    <w:p w14:paraId="6B2377F3">
      <w:pPr>
        <w:widowControl/>
        <w:spacing w:after="160" w:line="259" w:lineRule="auto"/>
        <w:rPr>
          <w:rFonts w:ascii="Times New Roman" w:hAnsi="Times New Roman" w:eastAsia="微软雅黑" w:cs="Times New Roman"/>
          <w:bCs/>
          <w:sz w:val="18"/>
          <w:szCs w:val="18"/>
        </w:rPr>
      </w:pPr>
      <w:r>
        <w:rPr>
          <w:rFonts w:ascii="Times New Roman" w:hAnsi="Times New Roman" w:eastAsia="微软雅黑" w:cs="Times New Roman"/>
          <w:bCs/>
          <w:sz w:val="18"/>
          <w:szCs w:val="18"/>
        </w:rPr>
        <w:t>{% if BodyDrugDrugDetectionStr == [] and unknownVarAnalysisStr == []%}</w:t>
      </w:r>
      <w:r>
        <w:rPr>
          <w:color w:val="000000" w:themeColor="text1"/>
          <w:sz w:val="21"/>
          <w:szCs w:val="21"/>
          <w14:textFill>
            <w14:solidFill>
              <w14:schemeClr w14:val="tx1"/>
            </w14:solidFill>
          </w14:textFill>
        </w:rPr>
        <w:t>未检出靶向用药相关的</w:t>
      </w:r>
      <w:r>
        <w:rPr>
          <w:rFonts w:hint="eastAsia"/>
          <w:color w:val="000000" w:themeColor="text1"/>
          <w:sz w:val="21"/>
          <w:szCs w:val="21"/>
          <w14:textFill>
            <w14:solidFill>
              <w14:schemeClr w14:val="tx1"/>
            </w14:solidFill>
          </w14:textFill>
        </w:rPr>
        <w:t>变异位点</w:t>
      </w:r>
      <w:r>
        <w:rPr>
          <w:color w:val="000000" w:themeColor="text1"/>
          <w:sz w:val="21"/>
          <w:szCs w:val="21"/>
          <w14:textFill>
            <w14:solidFill>
              <w14:schemeClr w14:val="tx1"/>
            </w14:solidFill>
          </w14:textFill>
        </w:rPr>
        <w:t>；未检出未知临床意义</w:t>
      </w:r>
      <w:r>
        <w:rPr>
          <w:rFonts w:hint="eastAsia"/>
          <w:color w:val="000000" w:themeColor="text1"/>
          <w:sz w:val="21"/>
          <w:szCs w:val="21"/>
          <w14:textFill>
            <w14:solidFill>
              <w14:schemeClr w14:val="tx1"/>
            </w14:solidFill>
          </w14:textFill>
        </w:rPr>
        <w:t>变异位点</w:t>
      </w:r>
      <w:r>
        <w:rPr>
          <w:color w:val="000000" w:themeColor="text1"/>
          <w:sz w:val="21"/>
          <w:szCs w:val="21"/>
          <w14:textFill>
            <w14:solidFill>
              <w14:schemeClr w14:val="tx1"/>
            </w14:solidFill>
          </w14:textFill>
        </w:rPr>
        <w:t>。</w:t>
      </w:r>
      <w:r>
        <w:rPr>
          <w:rFonts w:ascii="Times New Roman" w:hAnsi="Times New Roman" w:eastAsia="微软雅黑" w:cs="Times New Roman"/>
          <w:bCs/>
          <w:sz w:val="18"/>
          <w:szCs w:val="18"/>
        </w:rPr>
        <w:t>{% endif %}</w:t>
      </w:r>
    </w:p>
    <w:p w14:paraId="4ABDA76D">
      <w:pPr>
        <w:widowControl/>
        <w:spacing w:after="160" w:line="259" w:lineRule="auto"/>
        <w:rPr>
          <w:rFonts w:ascii="Times New Roman" w:hAnsi="Times New Roman" w:eastAsia="微软雅黑" w:cs="Times New Roman"/>
          <w:b/>
          <w:color w:val="1F497D"/>
          <w:sz w:val="24"/>
          <w:szCs w:val="24"/>
        </w:rPr>
      </w:pPr>
      <w:bookmarkStart w:id="6" w:name="_Toc4331_WPSOffice_Level2"/>
      <w:bookmarkStart w:id="7" w:name="_Toc23606"/>
      <w:bookmarkStart w:id="8" w:name="_Toc32443_WPSOffice_Level2"/>
      <w:bookmarkStart w:id="9" w:name="_Toc30582"/>
      <w:r>
        <w:rPr>
          <w:rFonts w:ascii="Times New Roman" w:hAnsi="Times New Roman" w:eastAsia="微软雅黑" w:cs="Times New Roman"/>
          <w:b/>
          <w:color w:val="1F497D"/>
          <w:sz w:val="24"/>
          <w:szCs w:val="24"/>
        </w:rPr>
        <w:t>{%if BodyDrugDrugDetectionStr or unknownVarAnalysisStr %}</w:t>
      </w:r>
      <w:r>
        <w:rPr>
          <w:rFonts w:hint="eastAsia"/>
          <w:b/>
          <w:color w:val="1F497D"/>
          <w:sz w:val="24"/>
          <w:szCs w:val="24"/>
        </w:rPr>
        <w:t>变异位点结果解析</w:t>
      </w:r>
      <w:bookmarkEnd w:id="6"/>
      <w:bookmarkEnd w:id="7"/>
      <w:bookmarkEnd w:id="8"/>
      <w:bookmarkEnd w:id="9"/>
      <w:r>
        <w:rPr>
          <w:rFonts w:ascii="Times New Roman" w:hAnsi="Times New Roman" w:eastAsia="微软雅黑" w:cs="Times New Roman"/>
          <w:b/>
          <w:color w:val="1F497D"/>
          <w:sz w:val="24"/>
          <w:szCs w:val="24"/>
        </w:rPr>
        <w:t xml:space="preserve">{% for tdd in </w:t>
      </w:r>
      <w:r>
        <w:rPr>
          <w:rFonts w:ascii="Times New Roman" w:hAnsi="Times New Roman" w:eastAsia="微软雅黑" w:cs="Times New Roman"/>
          <w:b/>
          <w:color w:val="1F497D" w:themeColor="text2"/>
          <w:sz w:val="24"/>
          <w:szCs w:val="24"/>
          <w14:textFill>
            <w14:solidFill>
              <w14:schemeClr w14:val="tx2"/>
            </w14:solidFill>
          </w14:textFill>
        </w:rPr>
        <w:t xml:space="preserve">BodyDrugNoComplexStr </w:t>
      </w:r>
      <w:r>
        <w:rPr>
          <w:rFonts w:ascii="Times New Roman" w:hAnsi="Times New Roman" w:eastAsia="微软雅黑" w:cs="Times New Roman"/>
          <w:b/>
          <w:color w:val="1F497D"/>
          <w:sz w:val="24"/>
          <w:szCs w:val="24"/>
        </w:rPr>
        <w:t>%}</w:t>
      </w:r>
    </w:p>
    <w:p w14:paraId="68CCEE11">
      <w:pPr>
        <w:keepNext/>
        <w:widowControl/>
        <w:spacing w:before="360" w:beforeLines="150" w:line="260" w:lineRule="auto"/>
        <w:rPr>
          <w:rFonts w:ascii="Times New Roman" w:hAnsi="Times New Roman" w:cs="Times New Roman"/>
          <w:b/>
          <w:color w:val="1F497D"/>
          <w:sz w:val="24"/>
          <w:szCs w:val="24"/>
        </w:rPr>
      </w:pPr>
      <w:r>
        <w:rPr>
          <w:rFonts w:ascii="Times New Roman" w:hAnsi="Times New Roman" w:cs="Times New Roman"/>
          <w:b/>
          <w:color w:val="1F497D"/>
          <w:sz w:val="24"/>
          <w:szCs w:val="24"/>
        </w:rPr>
        <w:t>{{ tdd.gene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73F14EA">
        <w:trPr>
          <w:trHeight w:val="417" w:hRule="atLeast"/>
          <w:jc w:val="center"/>
        </w:trPr>
        <w:tc>
          <w:tcPr>
            <w:tcW w:w="1623" w:type="dxa"/>
            <w:gridSpan w:val="2"/>
            <w:tcBorders>
              <w:top w:val="single" w:color="2666A3" w:sz="18" w:space="0"/>
              <w:left w:val="nil"/>
              <w:bottom w:val="dotted" w:color="2666A3" w:sz="4" w:space="0"/>
              <w:right w:val="dotted" w:color="2666A3" w:sz="4" w:space="0"/>
            </w:tcBorders>
            <w:shd w:val="clear" w:color="auto" w:fill="auto"/>
            <w:vAlign w:val="center"/>
          </w:tcPr>
          <w:p w14:paraId="18D5EA7B">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突变形式</w:t>
            </w:r>
          </w:p>
        </w:tc>
        <w:tc>
          <w:tcPr>
            <w:tcW w:w="8247" w:type="dxa"/>
            <w:tcBorders>
              <w:top w:val="single" w:color="2666A3" w:sz="18" w:space="0"/>
              <w:left w:val="dotted" w:color="2666A3" w:sz="4" w:space="0"/>
              <w:bottom w:val="dotted" w:color="2666A3" w:sz="4" w:space="0"/>
              <w:right w:val="nil"/>
            </w:tcBorders>
            <w:vAlign w:val="center"/>
          </w:tcPr>
          <w:p w14:paraId="61911E2A">
            <w:pPr>
              <w:keepNext/>
              <w:spacing w:before="26"/>
              <w:jc w:val="center"/>
              <w:rPr>
                <w:rFonts w:ascii="Times New Roman" w:hAnsi="Times New Roman" w:cs="Times New Roman"/>
                <w:bCs/>
                <w:sz w:val="18"/>
                <w:szCs w:val="18"/>
              </w:rPr>
            </w:pPr>
            <w:r>
              <w:rPr>
                <w:rFonts w:hint="eastAsia" w:ascii="Times New Roman" w:hAnsi="Times New Roman" w:eastAsia="宋体" w:cs="Times New Roman"/>
                <w:bCs/>
                <w:sz w:val="18"/>
                <w:szCs w:val="18"/>
                <w:lang w:val="en-US" w:eastAsia="zh-CN"/>
              </w:rPr>
              <w:t xml:space="preserve">{% if </w:t>
            </w:r>
            <w:r>
              <w:rPr>
                <w:rFonts w:hint="default" w:ascii="Times New Roman" w:hAnsi="Times New Roman" w:eastAsia="宋体" w:cs="Times New Roman"/>
                <w:bCs/>
                <w:sz w:val="18"/>
                <w:szCs w:val="18"/>
                <w:lang w:eastAsia="zh-CN"/>
              </w:rPr>
              <w:t>tdd.ori_variant</w:t>
            </w:r>
            <w:r>
              <w:rPr>
                <w:rFonts w:hint="eastAsia" w:ascii="Times New Roman" w:hAnsi="Times New Roman" w:eastAsia="宋体" w:cs="Times New Roman"/>
                <w:bCs/>
                <w:sz w:val="18"/>
                <w:szCs w:val="18"/>
                <w:lang w:val="en-US" w:eastAsia="zh-CN"/>
              </w:rPr>
              <w:t xml:space="preserve"> == </w:t>
            </w:r>
            <w:r>
              <w:rPr>
                <w:rFonts w:hint="default" w:ascii="Times New Roman" w:hAnsi="Times New Roman" w:eastAsia="宋体" w:cs="Times New Roman"/>
                <w:bCs/>
                <w:sz w:val="18"/>
                <w:szCs w:val="18"/>
                <w:lang w:val="en-US" w:eastAsia="zh-CN"/>
              </w:rPr>
              <w:t>‘</w:t>
            </w:r>
            <w:r>
              <w:rPr>
                <w:rFonts w:hint="eastAsia" w:ascii="Times New Roman" w:hAnsi="Times New Roman" w:eastAsia="宋体" w:cs="Times New Roman"/>
                <w:bCs/>
                <w:sz w:val="18"/>
                <w:szCs w:val="18"/>
                <w:lang w:val="en-US" w:eastAsia="zh-CN"/>
              </w:rPr>
              <w:t>Amplification</w:t>
            </w:r>
            <w:r>
              <w:rPr>
                <w:rFonts w:hint="default" w:ascii="Times New Roman" w:hAnsi="Times New Roman" w:eastAsia="宋体" w:cs="Times New Roman"/>
                <w:bCs/>
                <w:sz w:val="18"/>
                <w:szCs w:val="18"/>
                <w:lang w:val="en-US" w:eastAsia="zh-CN"/>
              </w:rPr>
              <w:t>’</w:t>
            </w:r>
            <w:r>
              <w:rPr>
                <w:rFonts w:hint="eastAsia" w:ascii="Times New Roman" w:hAnsi="Times New Roman" w:eastAsia="宋体" w:cs="Times New Roman"/>
                <w:bCs/>
                <w:sz w:val="18"/>
                <w:szCs w:val="18"/>
                <w:lang w:val="en-US" w:eastAsia="zh-CN"/>
              </w:rPr>
              <w:t xml:space="preserve"> %}扩增</w:t>
            </w:r>
            <w:r>
              <w:rPr>
                <w:rFonts w:hint="eastAsia" w:ascii="Times New Roman" w:hAnsi="Times New Roman" w:eastAsia="宋体" w:cs="Times New Roman"/>
                <w:bCs/>
                <w:sz w:val="18"/>
                <w:szCs w:val="18"/>
                <w:lang w:val="en-US" w:eastAsia="en-US"/>
              </w:rPr>
              <w:t xml:space="preserve">{% </w:t>
            </w:r>
            <w:r>
              <w:rPr>
                <w:rFonts w:hint="default" w:ascii="Times New Roman" w:hAnsi="Times New Roman" w:eastAsia="宋体" w:cs="Times New Roman"/>
                <w:bCs/>
                <w:sz w:val="18"/>
                <w:szCs w:val="18"/>
                <w:lang w:eastAsia="zh-CN"/>
              </w:rPr>
              <w:t>else</w:t>
            </w:r>
            <w:r>
              <w:rPr>
                <w:rFonts w:hint="eastAsia" w:ascii="Times New Roman" w:hAnsi="Times New Roman" w:eastAsia="宋体" w:cs="Times New Roman"/>
                <w:bCs/>
                <w:sz w:val="18"/>
                <w:szCs w:val="18"/>
                <w:lang w:val="en-US" w:eastAsia="zh-CN"/>
              </w:rPr>
              <w:t xml:space="preserve"> </w:t>
            </w:r>
            <w:r>
              <w:rPr>
                <w:rFonts w:hint="eastAsia" w:ascii="Times New Roman" w:hAnsi="Times New Roman" w:eastAsia="宋体" w:cs="Times New Roman"/>
                <w:bCs/>
                <w:sz w:val="18"/>
                <w:szCs w:val="18"/>
                <w:lang w:val="en-US" w:eastAsia="en-US"/>
              </w:rPr>
              <w:t>%}</w:t>
            </w:r>
            <w:r>
              <w:rPr>
                <w:rFonts w:hint="eastAsia" w:ascii="Times New Roman" w:hAnsi="Times New Roman" w:eastAsia="宋体" w:cs="Times New Roman"/>
                <w:bCs/>
                <w:sz w:val="18"/>
                <w:szCs w:val="18"/>
                <w:lang w:val="en-US" w:eastAsia="zh-CN"/>
              </w:rPr>
              <w:t xml:space="preserve">{{ </w:t>
            </w:r>
            <w:r>
              <w:rPr>
                <w:rFonts w:hint="default" w:ascii="Times New Roman" w:hAnsi="Times New Roman" w:eastAsia="宋体" w:cs="Times New Roman"/>
                <w:bCs/>
                <w:sz w:val="18"/>
                <w:szCs w:val="18"/>
                <w:lang w:eastAsia="zh-CN"/>
              </w:rPr>
              <w:t>tdd</w:t>
            </w:r>
            <w:r>
              <w:rPr>
                <w:rFonts w:hint="eastAsia" w:ascii="Times New Roman" w:hAnsi="Times New Roman" w:eastAsia="宋体" w:cs="Times New Roman"/>
                <w:bCs/>
                <w:sz w:val="18"/>
                <w:szCs w:val="18"/>
                <w:lang w:val="en-US" w:eastAsia="zh-CN"/>
              </w:rPr>
              <w:t>.ori_variant }}</w:t>
            </w:r>
            <w:r>
              <w:rPr>
                <w:rFonts w:hint="eastAsia" w:ascii="Times New Roman" w:hAnsi="Times New Roman" w:eastAsia="宋体" w:cs="Times New Roman"/>
                <w:bCs/>
                <w:sz w:val="18"/>
                <w:szCs w:val="18"/>
                <w:lang w:val="en-US" w:eastAsia="en-US"/>
              </w:rPr>
              <w:t>{% endif</w:t>
            </w:r>
            <w:r>
              <w:rPr>
                <w:rFonts w:hint="eastAsia" w:ascii="Times New Roman" w:hAnsi="Times New Roman" w:eastAsia="宋体" w:cs="Times New Roman"/>
                <w:bCs/>
                <w:sz w:val="18"/>
                <w:szCs w:val="18"/>
                <w:lang w:val="en-US" w:eastAsia="zh-CN"/>
              </w:rPr>
              <w:t xml:space="preserve"> </w:t>
            </w:r>
            <w:r>
              <w:rPr>
                <w:rFonts w:hint="eastAsia" w:ascii="Times New Roman" w:hAnsi="Times New Roman" w:eastAsia="宋体" w:cs="Times New Roman"/>
                <w:bCs/>
                <w:sz w:val="18"/>
                <w:szCs w:val="18"/>
                <w:lang w:val="en-US" w:eastAsia="en-US"/>
              </w:rPr>
              <w:t>%}</w:t>
            </w:r>
          </w:p>
        </w:tc>
      </w:tr>
      <w:tr w14:paraId="0CBC05A7">
        <w:trPr>
          <w:trHeight w:val="494" w:hRule="atLeast"/>
          <w:jc w:val="center"/>
        </w:trPr>
        <w:tc>
          <w:tcPr>
            <w:tcW w:w="1623" w:type="dxa"/>
            <w:gridSpan w:val="2"/>
            <w:tcBorders>
              <w:top w:val="dotted" w:color="2666A3" w:sz="4" w:space="0"/>
              <w:left w:val="nil"/>
              <w:bottom w:val="dotted" w:color="2666A3" w:sz="4" w:space="0"/>
              <w:right w:val="dotted" w:color="2666A3" w:sz="4" w:space="0"/>
            </w:tcBorders>
            <w:shd w:val="clear" w:color="auto" w:fill="auto"/>
            <w:vAlign w:val="center"/>
          </w:tcPr>
          <w:p w14:paraId="6A121ECF">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变异丰度</w:t>
            </w:r>
          </w:p>
        </w:tc>
        <w:tc>
          <w:tcPr>
            <w:tcW w:w="8247" w:type="dxa"/>
            <w:tcBorders>
              <w:top w:val="dotted" w:color="2666A3" w:sz="4" w:space="0"/>
              <w:left w:val="dotted" w:color="2666A3" w:sz="4" w:space="0"/>
              <w:bottom w:val="dotted" w:color="2666A3" w:sz="4" w:space="0"/>
              <w:right w:val="nil"/>
            </w:tcBorders>
            <w:vAlign w:val="center"/>
          </w:tcPr>
          <w:p w14:paraId="5434E82E">
            <w:pPr>
              <w:keepNext/>
              <w:spacing w:before="26"/>
              <w:jc w:val="center"/>
              <w:rPr>
                <w:rFonts w:ascii="Times New Roman" w:hAnsi="Times New Roman" w:cs="Times New Roman"/>
                <w:bCs/>
                <w:sz w:val="18"/>
                <w:szCs w:val="18"/>
              </w:rPr>
            </w:pPr>
            <w:r>
              <w:rPr>
                <w:rFonts w:ascii="Times New Roman" w:hAnsi="Times New Roman" w:cs="Times New Roman"/>
                <w:bCs/>
                <w:sz w:val="18"/>
                <w:szCs w:val="18"/>
              </w:rPr>
              <w:t>{{ tdd.mutFreq }}</w:t>
            </w:r>
          </w:p>
        </w:tc>
      </w:tr>
      <w:tr w14:paraId="2D0E4A62">
        <w:trPr>
          <w:trHeight w:val="474" w:hRule="atLeast"/>
          <w:jc w:val="center"/>
        </w:trPr>
        <w:tc>
          <w:tcPr>
            <w:tcW w:w="432" w:type="dxa"/>
            <w:vMerge w:val="restart"/>
            <w:tcBorders>
              <w:top w:val="dotted" w:color="2666A3" w:sz="4" w:space="0"/>
              <w:left w:val="nil"/>
              <w:bottom w:val="dotted" w:color="2666A3" w:sz="4" w:space="0"/>
              <w:right w:val="dotted" w:color="2666A3" w:sz="4" w:space="0"/>
            </w:tcBorders>
            <w:shd w:val="clear" w:color="auto" w:fill="auto"/>
            <w:vAlign w:val="center"/>
          </w:tcPr>
          <w:p w14:paraId="2431A273">
            <w:pPr>
              <w:spacing w:before="1" w:line="250" w:lineRule="auto"/>
              <w:jc w:val="center"/>
              <w:rPr>
                <w:rFonts w:ascii="Times New Roman" w:hAnsi="Times New Roman" w:cs="Times New Roman"/>
                <w:color w:val="2666A3"/>
                <w:sz w:val="18"/>
                <w:szCs w:val="18"/>
              </w:rPr>
            </w:pPr>
            <w:r>
              <w:rPr>
                <w:rFonts w:ascii="Times New Roman" w:hAnsi="Times New Roman" w:cs="Times New Roman"/>
                <w:b/>
                <w:color w:val="2666A3"/>
                <w:sz w:val="18"/>
                <w:szCs w:val="18"/>
              </w:rPr>
              <w:t>潜在获益药物</w:t>
            </w: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1F31D3E5">
            <w:pPr>
              <w:spacing w:before="1" w:line="250" w:lineRule="auto"/>
              <w:jc w:val="center"/>
              <w:rPr>
                <w:rFonts w:ascii="Times New Roman" w:hAnsi="Times New Roman" w:cs="Times New Roman"/>
                <w:b/>
                <w:color w:val="2666A3"/>
                <w:sz w:val="18"/>
                <w:szCs w:val="18"/>
              </w:rPr>
            </w:pPr>
            <w:r>
              <w:rPr>
                <w:rFonts w:ascii="Times New Roman" w:hAnsi="Times New Roman" w:cs="Times New Roman"/>
                <w:b/>
                <w:color w:val="2666A3"/>
                <w:sz w:val="18"/>
                <w:szCs w:val="18"/>
              </w:rPr>
              <w:t>A级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559AC1EB">
            <w:pPr>
              <w:spacing w:before="1" w:line="250" w:lineRule="auto"/>
              <w:jc w:val="center"/>
              <w:rPr>
                <w:rFonts w:ascii="Times New Roman" w:hAnsi="Times New Roman" w:cs="Times New Roman"/>
                <w:b/>
                <w:color w:val="FFFFFF" w:themeColor="background1"/>
                <w:sz w:val="18"/>
                <w:szCs w:val="18"/>
                <w14:textFill>
                  <w14:solidFill>
                    <w14:schemeClr w14:val="bg1"/>
                  </w14:solidFill>
                </w14:textFill>
              </w:rPr>
            </w:pPr>
            <w:r>
              <w:rPr>
                <w:rFonts w:ascii="Times New Roman" w:hAnsi="Times New Roman" w:cs="Times New Roman"/>
                <w:sz w:val="18"/>
                <w:szCs w:val="18"/>
              </w:rPr>
              <w:t>{% if tdd.drugaStr == [] %}无{% else%}{% for d in tdd.drugaStr %}{%if loop.last%}{{ d.nameLevel }}{%else%}{{ d.nameLevel }}，{%endif%}{% endfor %}{% endif%}</w:t>
            </w:r>
          </w:p>
        </w:tc>
      </w:tr>
      <w:tr w14:paraId="4B7C1587">
        <w:trPr>
          <w:trHeight w:val="474" w:hRule="atLeast"/>
          <w:jc w:val="center"/>
        </w:trPr>
        <w:tc>
          <w:tcPr>
            <w:tcW w:w="432" w:type="dxa"/>
            <w:vMerge w:val="continue"/>
            <w:tcBorders>
              <w:top w:val="dotted" w:color="2666A3" w:sz="4" w:space="0"/>
              <w:left w:val="nil"/>
              <w:bottom w:val="dotted" w:color="2666A3" w:sz="4" w:space="0"/>
              <w:right w:val="dotted" w:color="2666A3" w:sz="4" w:space="0"/>
            </w:tcBorders>
            <w:shd w:val="clear" w:color="auto" w:fill="auto"/>
            <w:vAlign w:val="center"/>
          </w:tcPr>
          <w:p w14:paraId="18486EAA">
            <w:pPr>
              <w:spacing w:before="1" w:line="250" w:lineRule="auto"/>
              <w:jc w:val="center"/>
              <w:rPr>
                <w:rFonts w:ascii="Times New Roman" w:hAnsi="Times New Roman" w:cs="Times New Roman"/>
                <w:b/>
                <w:color w:val="2666A3"/>
                <w:sz w:val="18"/>
                <w:szCs w:val="18"/>
              </w:rPr>
            </w:pP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2DCA3A2A">
            <w:pPr>
              <w:spacing w:before="1" w:line="250" w:lineRule="auto"/>
              <w:jc w:val="center"/>
              <w:rPr>
                <w:rFonts w:ascii="Times New Roman" w:hAnsi="Times New Roman" w:cs="Times New Roman"/>
                <w:b/>
                <w:color w:val="2666A3"/>
                <w:sz w:val="18"/>
                <w:szCs w:val="18"/>
              </w:rPr>
            </w:pPr>
            <w:r>
              <w:rPr>
                <w:rFonts w:ascii="Times New Roman" w:hAnsi="Times New Roman" w:cs="Times New Roman"/>
                <w:b/>
                <w:color w:val="2666A3"/>
                <w:sz w:val="18"/>
                <w:szCs w:val="18"/>
              </w:rPr>
              <w:t>B级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42261EE5">
            <w:pPr>
              <w:keepNext/>
              <w:spacing w:before="26"/>
              <w:jc w:val="center"/>
              <w:rPr>
                <w:rFonts w:ascii="Times New Roman" w:hAnsi="Times New Roman" w:cs="Times New Roman"/>
                <w:b/>
                <w:color w:val="FFFFFF" w:themeColor="background1"/>
                <w:sz w:val="18"/>
                <w:szCs w:val="18"/>
                <w14:textFill>
                  <w14:solidFill>
                    <w14:schemeClr w14:val="bg1"/>
                  </w14:solidFill>
                </w14:textFill>
              </w:rPr>
            </w:pPr>
            <w:r>
              <w:rPr>
                <w:rFonts w:ascii="Times New Roman" w:hAnsi="Times New Roman" w:cs="Times New Roman"/>
                <w:sz w:val="18"/>
                <w:szCs w:val="18"/>
              </w:rPr>
              <w:t>{% if tdd.drugbStr == [] %}无{% else%}{% for d in tdd.drugbStr %}{%if loop.last%}{{ d.nameLevel }}{%else%}{{ d.nameLevel }}，{%endif%}{% endfor %}{% endif%}</w:t>
            </w:r>
          </w:p>
        </w:tc>
      </w:tr>
      <w:tr w14:paraId="1E2DC83E">
        <w:trPr>
          <w:trHeight w:val="474" w:hRule="atLeast"/>
          <w:jc w:val="center"/>
        </w:trPr>
        <w:tc>
          <w:tcPr>
            <w:tcW w:w="432" w:type="dxa"/>
            <w:vMerge w:val="continue"/>
            <w:tcBorders>
              <w:top w:val="dotted" w:color="2666A3" w:sz="4" w:space="0"/>
              <w:left w:val="nil"/>
              <w:bottom w:val="dotted" w:color="2666A3" w:sz="4" w:space="0"/>
              <w:right w:val="dotted" w:color="2666A3" w:sz="4" w:space="0"/>
            </w:tcBorders>
            <w:shd w:val="clear" w:color="auto" w:fill="auto"/>
            <w:vAlign w:val="center"/>
          </w:tcPr>
          <w:p w14:paraId="7252A9D1">
            <w:pPr>
              <w:spacing w:before="1" w:line="250" w:lineRule="auto"/>
              <w:jc w:val="center"/>
              <w:rPr>
                <w:rFonts w:ascii="Times New Roman" w:hAnsi="Times New Roman" w:cs="Times New Roman"/>
                <w:b/>
                <w:color w:val="2666A3"/>
                <w:sz w:val="18"/>
                <w:szCs w:val="18"/>
              </w:rPr>
            </w:pP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6849A598">
            <w:pPr>
              <w:spacing w:before="1" w:line="250" w:lineRule="auto"/>
              <w:jc w:val="center"/>
              <w:rPr>
                <w:rFonts w:ascii="Times New Roman" w:hAnsi="Times New Roman" w:cs="Times New Roman"/>
                <w:b/>
                <w:color w:val="2666A3"/>
                <w:sz w:val="18"/>
                <w:szCs w:val="18"/>
              </w:rPr>
            </w:pPr>
            <w:r>
              <w:rPr>
                <w:rFonts w:ascii="Times New Roman" w:hAnsi="Times New Roman" w:cs="Times New Roman"/>
                <w:b/>
                <w:color w:val="2666A3"/>
                <w:sz w:val="18"/>
                <w:szCs w:val="18"/>
              </w:rPr>
              <w:t>C级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6C629CFF">
            <w:pPr>
              <w:keepNext/>
              <w:spacing w:before="26"/>
              <w:jc w:val="center"/>
              <w:rPr>
                <w:rFonts w:ascii="Times New Roman" w:hAnsi="Times New Roman" w:cs="Times New Roman"/>
                <w:b/>
                <w:color w:val="FFFFFF" w:themeColor="background1"/>
                <w:sz w:val="18"/>
                <w:szCs w:val="18"/>
                <w14:textFill>
                  <w14:solidFill>
                    <w14:schemeClr w14:val="bg1"/>
                  </w14:solidFill>
                </w14:textFill>
              </w:rPr>
            </w:pPr>
            <w:r>
              <w:rPr>
                <w:rFonts w:ascii="Times New Roman" w:hAnsi="Times New Roman" w:cs="Times New Roman"/>
                <w:sz w:val="18"/>
                <w:szCs w:val="18"/>
              </w:rPr>
              <w:t>{% if tdd.drugcStr == [] %}无{% else%}{% for d in tdd.drugcStr %}{%if loop.last%}{{ d.nameLevel }}{%else%}{{ d.nameLevel }}，{%endif%}{% endfor %}{% endif%}</w:t>
            </w:r>
          </w:p>
        </w:tc>
      </w:tr>
      <w:tr w14:paraId="7764594E">
        <w:trPr>
          <w:trHeight w:val="474" w:hRule="atLeast"/>
          <w:jc w:val="center"/>
        </w:trPr>
        <w:tc>
          <w:tcPr>
            <w:tcW w:w="432" w:type="dxa"/>
            <w:vMerge w:val="continue"/>
            <w:tcBorders>
              <w:top w:val="dotted" w:color="2666A3" w:sz="4" w:space="0"/>
              <w:left w:val="nil"/>
              <w:bottom w:val="dotted" w:color="2666A3" w:sz="4" w:space="0"/>
              <w:right w:val="dotted" w:color="2666A3" w:sz="4" w:space="0"/>
            </w:tcBorders>
            <w:shd w:val="clear" w:color="auto" w:fill="auto"/>
            <w:vAlign w:val="center"/>
          </w:tcPr>
          <w:p w14:paraId="5D67B1B0">
            <w:pPr>
              <w:spacing w:before="1" w:line="250" w:lineRule="auto"/>
              <w:jc w:val="center"/>
              <w:rPr>
                <w:rFonts w:ascii="Times New Roman" w:hAnsi="Times New Roman" w:cs="Times New Roman"/>
                <w:b/>
                <w:color w:val="2666A3"/>
                <w:sz w:val="18"/>
                <w:szCs w:val="18"/>
              </w:rPr>
            </w:pP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6E188B7F">
            <w:pPr>
              <w:spacing w:before="1" w:line="250" w:lineRule="auto"/>
              <w:jc w:val="center"/>
              <w:rPr>
                <w:rFonts w:ascii="Times New Roman" w:hAnsi="Times New Roman" w:cs="Times New Roman"/>
                <w:b/>
                <w:color w:val="2666A3"/>
                <w:sz w:val="18"/>
                <w:szCs w:val="18"/>
              </w:rPr>
            </w:pPr>
            <w:r>
              <w:rPr>
                <w:rFonts w:ascii="Times New Roman" w:hAnsi="Times New Roman" w:cs="Times New Roman"/>
                <w:b/>
                <w:color w:val="2666A3"/>
                <w:sz w:val="18"/>
                <w:szCs w:val="18"/>
              </w:rPr>
              <w:t>D级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3EAC69D1">
            <w:pPr>
              <w:keepNext/>
              <w:spacing w:before="26"/>
              <w:jc w:val="center"/>
              <w:rPr>
                <w:rFonts w:ascii="Times New Roman" w:hAnsi="Times New Roman" w:cs="Times New Roman"/>
                <w:b/>
                <w:color w:val="FFFFFF" w:themeColor="background1"/>
                <w:sz w:val="18"/>
                <w:szCs w:val="18"/>
                <w14:textFill>
                  <w14:solidFill>
                    <w14:schemeClr w14:val="bg1"/>
                  </w14:solidFill>
                </w14:textFill>
              </w:rPr>
            </w:pPr>
            <w:r>
              <w:rPr>
                <w:rFonts w:ascii="Times New Roman" w:hAnsi="Times New Roman" w:cs="Times New Roman"/>
                <w:sz w:val="18"/>
                <w:szCs w:val="18"/>
              </w:rPr>
              <w:t>{% if tdd.drugdStr == [] %}无{% else%}{% for d in tdd.drugdStr %}{%if loop.last%}{{ d.nameLevel }}{%else%}{{ d.nameLevel }}，{%endif%}{% endfor %}{% endif%}</w:t>
            </w:r>
          </w:p>
        </w:tc>
      </w:tr>
      <w:tr w14:paraId="43D902C7">
        <w:trPr>
          <w:trHeight w:val="474" w:hRule="atLeast"/>
          <w:jc w:val="center"/>
        </w:trPr>
        <w:tc>
          <w:tcPr>
            <w:tcW w:w="432" w:type="dxa"/>
            <w:vMerge w:val="restart"/>
            <w:tcBorders>
              <w:top w:val="dotted" w:color="2666A3" w:sz="4" w:space="0"/>
              <w:left w:val="nil"/>
              <w:bottom w:val="dotted" w:color="2666A3" w:sz="4" w:space="0"/>
              <w:right w:val="dotted" w:color="2666A3" w:sz="4" w:space="0"/>
            </w:tcBorders>
            <w:shd w:val="clear" w:color="auto" w:fill="auto"/>
            <w:vAlign w:val="center"/>
          </w:tcPr>
          <w:p w14:paraId="5FC2F221">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潜在耐药信息</w:t>
            </w: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54CFD24D">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A级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43C3A68B">
            <w:pPr>
              <w:keepNext/>
              <w:spacing w:before="26"/>
              <w:jc w:val="center"/>
              <w:rPr>
                <w:rFonts w:ascii="Times New Roman" w:hAnsi="Times New Roman" w:cs="Times New Roman"/>
                <w:sz w:val="18"/>
                <w:szCs w:val="18"/>
              </w:rPr>
            </w:pPr>
            <w:r>
              <w:rPr>
                <w:rFonts w:ascii="Times New Roman" w:hAnsi="Times New Roman" w:cs="Times New Roman"/>
                <w:sz w:val="18"/>
                <w:szCs w:val="18"/>
              </w:rPr>
              <w:t>{% if tdd.resistantaStr == [] %}无{% else%}{% for d in tdd.resistantaStr %}{%if loop.last%}{{ d.nameLevel }}{%else%}{{ d.nameLevel }}，{%endif%}{% endfor %}{% endif%}</w:t>
            </w:r>
          </w:p>
        </w:tc>
      </w:tr>
      <w:tr w14:paraId="51CC2483">
        <w:trPr>
          <w:trHeight w:val="474" w:hRule="atLeast"/>
          <w:jc w:val="center"/>
        </w:trPr>
        <w:tc>
          <w:tcPr>
            <w:tcW w:w="432" w:type="dxa"/>
            <w:vMerge w:val="continue"/>
            <w:tcBorders>
              <w:top w:val="dotted" w:color="2666A3" w:sz="4" w:space="0"/>
              <w:left w:val="nil"/>
              <w:bottom w:val="dotted" w:color="2666A3" w:sz="4" w:space="0"/>
              <w:right w:val="dotted" w:color="2666A3" w:sz="4" w:space="0"/>
            </w:tcBorders>
            <w:shd w:val="clear" w:color="auto" w:fill="auto"/>
            <w:vAlign w:val="center"/>
          </w:tcPr>
          <w:p w14:paraId="774C75CA">
            <w:pPr>
              <w:keepNext/>
              <w:spacing w:before="26"/>
              <w:jc w:val="center"/>
              <w:rPr>
                <w:rFonts w:ascii="Times New Roman" w:hAnsi="Times New Roman" w:cs="Times New Roman"/>
                <w:b/>
                <w:color w:val="2666A3"/>
                <w:sz w:val="18"/>
                <w:szCs w:val="18"/>
              </w:rPr>
            </w:pP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4B4FBCFE">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B级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4D124ACB">
            <w:pPr>
              <w:keepNext/>
              <w:spacing w:before="26"/>
              <w:jc w:val="center"/>
              <w:rPr>
                <w:rFonts w:ascii="Times New Roman" w:hAnsi="Times New Roman" w:cs="Times New Roman"/>
                <w:sz w:val="18"/>
                <w:szCs w:val="18"/>
              </w:rPr>
            </w:pPr>
            <w:r>
              <w:rPr>
                <w:rFonts w:ascii="Times New Roman" w:hAnsi="Times New Roman" w:cs="Times New Roman"/>
                <w:sz w:val="18"/>
                <w:szCs w:val="18"/>
              </w:rPr>
              <w:t>{% if tdd.resistantbStr == [] %}无{% else%}{% for d in tdd.resistantbStr %}{%if loop.last%}{{ d.nameLevel }}{%else%}{{ d.nameLevel }}，{%endif%}{% endfor %}{% endif%}</w:t>
            </w:r>
          </w:p>
        </w:tc>
      </w:tr>
      <w:tr w14:paraId="49EB7C08">
        <w:trPr>
          <w:trHeight w:val="474" w:hRule="atLeast"/>
          <w:jc w:val="center"/>
        </w:trPr>
        <w:tc>
          <w:tcPr>
            <w:tcW w:w="432" w:type="dxa"/>
            <w:vMerge w:val="continue"/>
            <w:tcBorders>
              <w:top w:val="dotted" w:color="2666A3" w:sz="4" w:space="0"/>
              <w:left w:val="nil"/>
              <w:bottom w:val="dotted" w:color="2666A3" w:sz="4" w:space="0"/>
              <w:right w:val="dotted" w:color="2666A3" w:sz="4" w:space="0"/>
            </w:tcBorders>
            <w:shd w:val="clear" w:color="auto" w:fill="auto"/>
            <w:vAlign w:val="center"/>
          </w:tcPr>
          <w:p w14:paraId="1FA19C78">
            <w:pPr>
              <w:keepNext/>
              <w:spacing w:before="26"/>
              <w:jc w:val="center"/>
              <w:rPr>
                <w:rFonts w:ascii="Times New Roman" w:hAnsi="Times New Roman" w:cs="Times New Roman"/>
                <w:b/>
                <w:color w:val="2666A3"/>
                <w:sz w:val="18"/>
                <w:szCs w:val="18"/>
              </w:rPr>
            </w:pP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15FC6A22">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C级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0F805938">
            <w:pPr>
              <w:keepNext/>
              <w:spacing w:before="26"/>
              <w:jc w:val="center"/>
              <w:rPr>
                <w:rFonts w:ascii="Times New Roman" w:hAnsi="Times New Roman" w:cs="Times New Roman"/>
                <w:sz w:val="18"/>
                <w:szCs w:val="18"/>
              </w:rPr>
            </w:pPr>
            <w:r>
              <w:rPr>
                <w:rFonts w:ascii="Times New Roman" w:hAnsi="Times New Roman" w:cs="Times New Roman"/>
                <w:sz w:val="18"/>
                <w:szCs w:val="18"/>
              </w:rPr>
              <w:t>{% if tdd.resistantcStr == [] %}无{% else%}{% for d in tdd.resistantcStr %}{%if loop.last%}{{ d.nameLevel }}{%else%}{{ d.nameLevel }}，{%endif%}{% endfor %}{% endif%}</w:t>
            </w:r>
          </w:p>
        </w:tc>
      </w:tr>
      <w:tr w14:paraId="271B6C20">
        <w:trPr>
          <w:trHeight w:val="474" w:hRule="atLeast"/>
          <w:jc w:val="center"/>
        </w:trPr>
        <w:tc>
          <w:tcPr>
            <w:tcW w:w="432" w:type="dxa"/>
            <w:vMerge w:val="continue"/>
            <w:tcBorders>
              <w:top w:val="dotted" w:color="2666A3" w:sz="4" w:space="0"/>
              <w:left w:val="nil"/>
              <w:bottom w:val="dotted" w:color="2666A3" w:sz="4" w:space="0"/>
              <w:right w:val="dotted" w:color="2666A3" w:sz="4" w:space="0"/>
            </w:tcBorders>
            <w:shd w:val="clear" w:color="auto" w:fill="auto"/>
            <w:vAlign w:val="center"/>
          </w:tcPr>
          <w:p w14:paraId="6A020BB5">
            <w:pPr>
              <w:keepNext/>
              <w:spacing w:before="26"/>
              <w:jc w:val="center"/>
              <w:rPr>
                <w:rFonts w:ascii="Times New Roman" w:hAnsi="Times New Roman" w:cs="Times New Roman"/>
                <w:b/>
                <w:color w:val="2666A3"/>
                <w:sz w:val="18"/>
                <w:szCs w:val="18"/>
              </w:rPr>
            </w:pPr>
          </w:p>
        </w:tc>
        <w:tc>
          <w:tcPr>
            <w:tcW w:w="1191" w:type="dxa"/>
            <w:tcBorders>
              <w:top w:val="dotted" w:color="2666A3" w:sz="4" w:space="0"/>
              <w:left w:val="dotted" w:color="2666A3" w:sz="4" w:space="0"/>
              <w:bottom w:val="dotted" w:color="2666A3" w:sz="4" w:space="0"/>
              <w:right w:val="dotted" w:color="2666A3" w:sz="4" w:space="0"/>
            </w:tcBorders>
            <w:shd w:val="clear" w:color="auto" w:fill="auto"/>
            <w:vAlign w:val="center"/>
          </w:tcPr>
          <w:p w14:paraId="6B87FF8F">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D级</w:t>
            </w:r>
          </w:p>
        </w:tc>
        <w:tc>
          <w:tcPr>
            <w:tcW w:w="8247" w:type="dxa"/>
            <w:tcBorders>
              <w:top w:val="dotted" w:color="2666A3" w:sz="4" w:space="0"/>
              <w:left w:val="dotted" w:color="2666A3" w:sz="4" w:space="0"/>
              <w:bottom w:val="dotted" w:color="2666A3" w:sz="4" w:space="0"/>
              <w:right w:val="nil"/>
            </w:tcBorders>
            <w:shd w:val="clear" w:color="auto" w:fill="auto"/>
            <w:vAlign w:val="center"/>
          </w:tcPr>
          <w:p w14:paraId="5B6404DD">
            <w:pPr>
              <w:keepNext/>
              <w:spacing w:before="26"/>
              <w:jc w:val="center"/>
              <w:rPr>
                <w:rFonts w:ascii="Times New Roman" w:hAnsi="Times New Roman" w:cs="Times New Roman"/>
                <w:sz w:val="18"/>
                <w:szCs w:val="18"/>
              </w:rPr>
            </w:pPr>
            <w:r>
              <w:rPr>
                <w:rFonts w:ascii="Times New Roman" w:hAnsi="Times New Roman" w:cs="Times New Roman"/>
                <w:sz w:val="18"/>
                <w:szCs w:val="18"/>
              </w:rPr>
              <w:t>{% if tdd.resistantdStr == [] %}无{% else%}{% for d in tdd.resistantdStr %}{%if loop.last%}{{ d.nameLevel }}{%else%}{{ d.nameLevel }}，{%endif%}{% endfor %}{% endif%}</w:t>
            </w:r>
          </w:p>
        </w:tc>
      </w:tr>
      <w:tr w14:paraId="2A3874D3">
        <w:trPr>
          <w:jc w:val="center"/>
        </w:trPr>
        <w:tc>
          <w:tcPr>
            <w:tcW w:w="1623" w:type="dxa"/>
            <w:gridSpan w:val="2"/>
            <w:tcBorders>
              <w:top w:val="dotted" w:color="2666A3" w:sz="4" w:space="0"/>
              <w:left w:val="nil"/>
              <w:bottom w:val="dotted" w:color="2666A3" w:sz="4" w:space="0"/>
              <w:right w:val="dotted" w:color="2666A3" w:sz="4" w:space="0"/>
            </w:tcBorders>
            <w:shd w:val="clear" w:color="auto" w:fill="auto"/>
            <w:vAlign w:val="center"/>
          </w:tcPr>
          <w:p w14:paraId="620FD94C">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基因突变相关说明</w:t>
            </w:r>
          </w:p>
        </w:tc>
        <w:tc>
          <w:tcPr>
            <w:tcW w:w="8247" w:type="dxa"/>
            <w:tcBorders>
              <w:top w:val="dotted" w:color="2666A3" w:sz="4" w:space="0"/>
              <w:left w:val="dotted" w:color="2666A3" w:sz="4" w:space="0"/>
              <w:bottom w:val="dotted" w:color="2666A3" w:sz="4" w:space="0"/>
              <w:right w:val="nil"/>
            </w:tcBorders>
            <w:vAlign w:val="center"/>
          </w:tcPr>
          <w:p w14:paraId="15101200">
            <w:pPr>
              <w:keepNext/>
              <w:spacing w:before="26"/>
              <w:rPr>
                <w:rFonts w:ascii="Times New Roman" w:hAnsi="Times New Roman" w:cs="Times New Roman"/>
                <w:sz w:val="18"/>
                <w:szCs w:val="18"/>
              </w:rPr>
            </w:pPr>
            <w:r>
              <w:rPr>
                <w:rFonts w:ascii="Times New Roman" w:hAnsi="Times New Roman" w:cs="Times New Roman"/>
                <w:sz w:val="18"/>
                <w:szCs w:val="18"/>
              </w:rPr>
              <w:t>{% for md in tdd.medicationDescription %}{% if md.key == '突变说明:' %}</w:t>
            </w:r>
            <w:r>
              <w:rPr>
                <w:rFonts w:ascii="Times New Roman" w:hAnsi="Times New Roman" w:cs="Times New Roman"/>
                <w:b/>
                <w:bCs/>
                <w:sz w:val="18"/>
                <w:szCs w:val="18"/>
              </w:rPr>
              <w:t>{{md.key}}</w:t>
            </w:r>
            <w:r>
              <w:rPr>
                <w:rFonts w:ascii="Times New Roman" w:hAnsi="Times New Roman" w:cs="Times New Roman"/>
                <w:sz w:val="18"/>
                <w:szCs w:val="18"/>
              </w:rPr>
              <w:t>{{md.value}}{% elif md.value == '' %}{% else%}</w:t>
            </w:r>
            <w:r>
              <w:rPr>
                <w:rFonts w:ascii="Times New Roman" w:hAnsi="Times New Roman" w:cs="Times New Roman"/>
                <w:b/>
                <w:bCs/>
                <w:sz w:val="18"/>
                <w:szCs w:val="18"/>
              </w:rPr>
              <w:t>{{md.key}}</w:t>
            </w:r>
            <w:r>
              <w:rPr>
                <w:rFonts w:ascii="Times New Roman" w:hAnsi="Times New Roman" w:cs="Times New Roman"/>
                <w:sz w:val="18"/>
                <w:szCs w:val="18"/>
              </w:rPr>
              <w:t>{{md.value}}</w:t>
            </w:r>
          </w:p>
          <w:p w14:paraId="248F583A">
            <w:pPr>
              <w:keepNext/>
              <w:spacing w:before="26"/>
              <w:rPr>
                <w:rFonts w:ascii="Times New Roman" w:hAnsi="Times New Roman" w:cs="Times New Roman"/>
                <w:sz w:val="18"/>
                <w:szCs w:val="18"/>
              </w:rPr>
            </w:pPr>
            <w:r>
              <w:rPr>
                <w:rFonts w:ascii="Times New Roman" w:hAnsi="Times New Roman" w:cs="Times New Roman"/>
                <w:sz w:val="18"/>
                <w:szCs w:val="18"/>
              </w:rPr>
              <w:t>{% endif %}{% endfor %}</w:t>
            </w:r>
          </w:p>
        </w:tc>
      </w:tr>
    </w:tbl>
    <w:p w14:paraId="52E68EA1">
      <w:pPr>
        <w:spacing w:before="26"/>
        <w:rPr>
          <w:rFonts w:ascii="Times New Roman" w:hAnsi="Times New Roman" w:cs="Times New Roman"/>
          <w:b/>
          <w:color w:val="2666A3"/>
          <w:sz w:val="24"/>
          <w:szCs w:val="24"/>
        </w:rPr>
      </w:pPr>
      <w:r>
        <w:rPr>
          <w:rFonts w:ascii="Times New Roman" w:hAnsi="Times New Roman" w:cs="Times New Roman"/>
          <w:b/>
          <w:color w:val="2666A3"/>
          <w:sz w:val="24"/>
          <w:szCs w:val="24"/>
        </w:rPr>
        <w:t>{%if tdd.drugResearchList != [] %}</w:t>
      </w:r>
    </w:p>
    <w:p w14:paraId="71FA975E">
      <w:pPr>
        <w:keepNext/>
        <w:spacing w:before="26"/>
        <w:rPr>
          <w:rFonts w:ascii="Times New Roman" w:hAnsi="Times New Roman" w:cs="Times New Roman"/>
          <w:b/>
          <w:color w:val="1F497D"/>
          <w:sz w:val="24"/>
        </w:rPr>
      </w:pPr>
      <w:r>
        <w:rPr>
          <w:rFonts w:ascii="Times New Roman" w:hAnsi="Times New Roman" w:cs="Times New Roman"/>
          <w:b/>
          <w:color w:val="1F497D"/>
          <w:sz w:val="24"/>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6F5D40C">
        <w:trPr>
          <w:trHeight w:val="417" w:hRule="atLeast"/>
          <w:jc w:val="center"/>
        </w:trPr>
        <w:tc>
          <w:tcPr>
            <w:tcW w:w="1526" w:type="dxa"/>
            <w:tcBorders>
              <w:top w:val="single" w:color="2666A3" w:sz="18" w:space="0"/>
              <w:left w:val="nil"/>
              <w:bottom w:val="dotted" w:color="2666A3" w:sz="4" w:space="0"/>
              <w:right w:val="dotted" w:color="2666A3" w:sz="4" w:space="0"/>
            </w:tcBorders>
            <w:shd w:val="clear" w:color="auto" w:fill="auto"/>
            <w:vAlign w:val="center"/>
          </w:tcPr>
          <w:p w14:paraId="358DEC08">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药物名称</w:t>
            </w:r>
          </w:p>
        </w:tc>
        <w:tc>
          <w:tcPr>
            <w:tcW w:w="1417"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20A4C48D">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相关疾病</w:t>
            </w:r>
          </w:p>
        </w:tc>
        <w:tc>
          <w:tcPr>
            <w:tcW w:w="1232"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6C15204C">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证据等级</w:t>
            </w:r>
          </w:p>
        </w:tc>
        <w:tc>
          <w:tcPr>
            <w:tcW w:w="5695" w:type="dxa"/>
            <w:tcBorders>
              <w:top w:val="single" w:color="2666A3" w:sz="18" w:space="0"/>
              <w:left w:val="dotted" w:color="2666A3" w:sz="4" w:space="0"/>
              <w:bottom w:val="dotted" w:color="2666A3" w:sz="4" w:space="0"/>
              <w:right w:val="nil"/>
            </w:tcBorders>
            <w:shd w:val="clear" w:color="auto" w:fill="auto"/>
            <w:vAlign w:val="center"/>
          </w:tcPr>
          <w:p w14:paraId="018503F7">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循证医学信息</w:t>
            </w:r>
          </w:p>
        </w:tc>
      </w:tr>
      <w:tr w14:paraId="220FE46D">
        <w:trPr>
          <w:trHeight w:val="494" w:hRule="atLeast"/>
          <w:jc w:val="center"/>
        </w:trPr>
        <w:tc>
          <w:tcPr>
            <w:tcW w:w="9870" w:type="dxa"/>
            <w:gridSpan w:val="4"/>
            <w:tcBorders>
              <w:top w:val="dotted" w:color="2666A3" w:sz="4" w:space="0"/>
              <w:left w:val="nil"/>
              <w:bottom w:val="dotted" w:color="2666A3" w:sz="4" w:space="0"/>
              <w:right w:val="nil"/>
            </w:tcBorders>
            <w:vAlign w:val="center"/>
          </w:tcPr>
          <w:p w14:paraId="7FD4CED6">
            <w:pPr>
              <w:keepNext/>
              <w:spacing w:before="26"/>
              <w:jc w:val="center"/>
              <w:rPr>
                <w:rFonts w:ascii="Times New Roman" w:hAnsi="Times New Roman" w:cs="Times New Roman"/>
                <w:bCs/>
                <w:sz w:val="18"/>
                <w:szCs w:val="18"/>
                <w:highlight w:val="yellow"/>
              </w:rPr>
            </w:pPr>
            <w:r>
              <w:rPr>
                <w:rFonts w:ascii="Times New Roman" w:hAnsi="Times New Roman" w:cs="Times New Roman"/>
                <w:b/>
                <w:color w:val="2666A3"/>
                <w:sz w:val="18"/>
                <w:szCs w:val="18"/>
              </w:rPr>
              <w:t>{%tr for dis in tdd.drugResearchList %}</w:t>
            </w:r>
          </w:p>
        </w:tc>
      </w:tr>
      <w:tr w14:paraId="62211F70">
        <w:trPr>
          <w:trHeight w:val="494" w:hRule="atLeast"/>
          <w:jc w:val="center"/>
        </w:trPr>
        <w:tc>
          <w:tcPr>
            <w:tcW w:w="1526" w:type="dxa"/>
            <w:tcBorders>
              <w:top w:val="dotted" w:color="2666A3" w:sz="4" w:space="0"/>
              <w:left w:val="nil"/>
              <w:bottom w:val="dotted" w:color="2666A3" w:sz="4" w:space="0"/>
              <w:right w:val="dotted" w:color="2666A3" w:sz="4" w:space="0"/>
            </w:tcBorders>
            <w:vAlign w:val="center"/>
          </w:tcPr>
          <w:p w14:paraId="56BAE6AA">
            <w:pPr>
              <w:spacing w:before="1" w:line="249" w:lineRule="auto"/>
              <w:ind w:right="131"/>
              <w:jc w:val="center"/>
              <w:rPr>
                <w:rFonts w:ascii="Times New Roman" w:hAnsi="Times New Roman" w:cs="Times New Roman"/>
                <w:b/>
                <w:sz w:val="18"/>
                <w:szCs w:val="18"/>
                <w:highlight w:val="yellow"/>
              </w:rPr>
            </w:pPr>
            <w:r>
              <w:rPr>
                <w:rFonts w:ascii="Times New Roman" w:hAnsi="Times New Roman" w:cs="Times New Roman"/>
                <w:sz w:val="18"/>
                <w:szCs w:val="18"/>
              </w:rPr>
              <w:t>{{</w:t>
            </w:r>
            <w:r>
              <w:rPr>
                <w:rFonts w:ascii="Times New Roman" w:hAnsi="Times New Roman" w:cs="Times New Roman"/>
                <w:bCs/>
                <w:sz w:val="18"/>
                <w:szCs w:val="18"/>
              </w:rPr>
              <w:t>dis.drug_name_chinese3</w:t>
            </w:r>
            <w:r>
              <w:rPr>
                <w:rFonts w:ascii="Times New Roman" w:hAnsi="Times New Roman" w:cs="Times New Roman"/>
                <w:sz w:val="18"/>
                <w:szCs w:val="18"/>
              </w:rPr>
              <w:t xml:space="preserve"> }}</w:t>
            </w:r>
          </w:p>
        </w:tc>
        <w:tc>
          <w:tcPr>
            <w:tcW w:w="1417" w:type="dxa"/>
            <w:tcBorders>
              <w:top w:val="dotted" w:color="2666A3" w:sz="4" w:space="0"/>
              <w:left w:val="dotted" w:color="2666A3" w:sz="4" w:space="0"/>
              <w:bottom w:val="dotted" w:color="2666A3" w:sz="4" w:space="0"/>
              <w:right w:val="dotted" w:color="2666A3" w:sz="4" w:space="0"/>
            </w:tcBorders>
            <w:vAlign w:val="center"/>
          </w:tcPr>
          <w:p w14:paraId="5B2FE305">
            <w:pPr>
              <w:keepNext/>
              <w:spacing w:before="26"/>
              <w:jc w:val="center"/>
              <w:rPr>
                <w:rFonts w:ascii="Times New Roman" w:hAnsi="Times New Roman" w:cs="Times New Roman"/>
                <w:bCs/>
                <w:sz w:val="18"/>
                <w:szCs w:val="18"/>
                <w:highlight w:val="yellow"/>
              </w:rPr>
            </w:pPr>
            <w:r>
              <w:rPr>
                <w:rFonts w:ascii="Times New Roman" w:hAnsi="Times New Roman" w:cs="Times New Roman"/>
                <w:sz w:val="18"/>
                <w:szCs w:val="18"/>
              </w:rPr>
              <w:t>{{dis.</w:t>
            </w:r>
            <w:r>
              <w:rPr>
                <w:rFonts w:ascii="Times New Roman" w:hAnsi="Times New Roman" w:cs="Times New Roman"/>
                <w:bCs/>
                <w:sz w:val="18"/>
                <w:szCs w:val="18"/>
              </w:rPr>
              <w:t>disease_name_chinese</w:t>
            </w:r>
            <w:r>
              <w:rPr>
                <w:rFonts w:ascii="Times New Roman" w:hAnsi="Times New Roman" w:cs="Times New Roman"/>
                <w:sz w:val="18"/>
                <w:szCs w:val="18"/>
              </w:rPr>
              <w:t>}}</w:t>
            </w:r>
          </w:p>
        </w:tc>
        <w:tc>
          <w:tcPr>
            <w:tcW w:w="1232" w:type="dxa"/>
            <w:tcBorders>
              <w:top w:val="dotted" w:color="2666A3" w:sz="4" w:space="0"/>
              <w:left w:val="dotted" w:color="2666A3" w:sz="4" w:space="0"/>
              <w:bottom w:val="dotted" w:color="2666A3" w:sz="4" w:space="0"/>
              <w:right w:val="dotted" w:color="2666A3" w:sz="4" w:space="0"/>
            </w:tcBorders>
            <w:vAlign w:val="center"/>
          </w:tcPr>
          <w:p w14:paraId="572519CC">
            <w:pPr>
              <w:keepNext/>
              <w:spacing w:before="26"/>
              <w:jc w:val="center"/>
              <w:rPr>
                <w:rFonts w:ascii="Times New Roman" w:hAnsi="Times New Roman" w:cs="Times New Roman"/>
                <w:bCs/>
                <w:sz w:val="18"/>
                <w:szCs w:val="18"/>
                <w:highlight w:val="yellow"/>
              </w:rPr>
            </w:pPr>
            <w:r>
              <w:rPr>
                <w:rFonts w:ascii="Times New Roman" w:hAnsi="Times New Roman" w:cs="Times New Roman"/>
                <w:sz w:val="18"/>
                <w:szCs w:val="18"/>
              </w:rPr>
              <w:t>{{</w:t>
            </w:r>
            <w:r>
              <w:rPr>
                <w:rFonts w:ascii="Times New Roman" w:hAnsi="Times New Roman" w:cs="Times New Roman"/>
                <w:bCs/>
                <w:sz w:val="18"/>
                <w:szCs w:val="18"/>
              </w:rPr>
              <w:t>dis.evidence_phase_chinese</w:t>
            </w:r>
            <w:r>
              <w:rPr>
                <w:rFonts w:ascii="Times New Roman" w:hAnsi="Times New Roman" w:cs="Times New Roman"/>
                <w:sz w:val="18"/>
                <w:szCs w:val="18"/>
              </w:rPr>
              <w:t>}}</w:t>
            </w:r>
          </w:p>
        </w:tc>
        <w:tc>
          <w:tcPr>
            <w:tcW w:w="5695" w:type="dxa"/>
            <w:tcBorders>
              <w:top w:val="dotted" w:color="2666A3" w:sz="4" w:space="0"/>
              <w:left w:val="dotted" w:color="2666A3" w:sz="4" w:space="0"/>
              <w:bottom w:val="dotted" w:color="2666A3" w:sz="4" w:space="0"/>
              <w:right w:val="nil"/>
            </w:tcBorders>
            <w:vAlign w:val="center"/>
          </w:tcPr>
          <w:p w14:paraId="455B7EED">
            <w:pPr>
              <w:keepNext/>
              <w:spacing w:before="26"/>
              <w:jc w:val="center"/>
              <w:rPr>
                <w:rFonts w:ascii="Times New Roman" w:hAnsi="Times New Roman" w:cs="Times New Roman"/>
                <w:bCs/>
                <w:sz w:val="18"/>
                <w:szCs w:val="18"/>
                <w:highlight w:val="yellow"/>
              </w:rPr>
            </w:pPr>
            <w:r>
              <w:rPr>
                <w:rFonts w:ascii="Times New Roman" w:hAnsi="Times New Roman" w:cs="Times New Roman"/>
                <w:sz w:val="18"/>
                <w:szCs w:val="18"/>
              </w:rPr>
              <w:t>{{</w:t>
            </w:r>
            <w:r>
              <w:rPr>
                <w:rFonts w:ascii="Times New Roman" w:hAnsi="Times New Roman" w:cs="Times New Roman"/>
                <w:bCs/>
                <w:sz w:val="18"/>
                <w:szCs w:val="18"/>
              </w:rPr>
              <w:t>dis.annotation_chinese</w:t>
            </w:r>
            <w:r>
              <w:rPr>
                <w:rFonts w:ascii="Times New Roman" w:hAnsi="Times New Roman" w:cs="Times New Roman"/>
                <w:sz w:val="18"/>
                <w:szCs w:val="18"/>
              </w:rPr>
              <w:t>}}</w:t>
            </w:r>
          </w:p>
        </w:tc>
      </w:tr>
      <w:tr w14:paraId="00F122E0">
        <w:trPr>
          <w:trHeight w:val="494" w:hRule="atLeast"/>
          <w:jc w:val="center"/>
        </w:trPr>
        <w:tc>
          <w:tcPr>
            <w:tcW w:w="9870" w:type="dxa"/>
            <w:gridSpan w:val="4"/>
            <w:tcBorders>
              <w:top w:val="dotted" w:color="2666A3" w:sz="4" w:space="0"/>
              <w:left w:val="nil"/>
              <w:bottom w:val="dotted" w:color="2666A3" w:sz="4" w:space="0"/>
              <w:right w:val="nil"/>
            </w:tcBorders>
            <w:vAlign w:val="center"/>
          </w:tcPr>
          <w:p w14:paraId="2BC0079F">
            <w:pPr>
              <w:keepNext/>
              <w:spacing w:before="26"/>
              <w:jc w:val="center"/>
              <w:rPr>
                <w:rFonts w:ascii="Times New Roman" w:hAnsi="Times New Roman" w:cs="Times New Roman"/>
                <w:bCs/>
                <w:sz w:val="18"/>
                <w:szCs w:val="18"/>
              </w:rPr>
            </w:pPr>
            <w:r>
              <w:rPr>
                <w:rFonts w:ascii="Times New Roman" w:hAnsi="Times New Roman" w:cs="Times New Roman"/>
                <w:b/>
                <w:color w:val="2666A3"/>
                <w:sz w:val="18"/>
                <w:szCs w:val="18"/>
              </w:rPr>
              <w:t>{%tr endfor %}</w:t>
            </w:r>
          </w:p>
        </w:tc>
      </w:tr>
    </w:tbl>
    <w:p w14:paraId="3DD3A31F">
      <w:pPr>
        <w:spacing w:before="26"/>
        <w:rPr>
          <w:rFonts w:ascii="Times New Roman" w:hAnsi="Times New Roman" w:cs="Times New Roman"/>
          <w:b/>
          <w:color w:val="2666A3"/>
          <w:sz w:val="24"/>
          <w:szCs w:val="24"/>
        </w:rPr>
      </w:pPr>
      <w:r>
        <w:rPr>
          <w:rFonts w:ascii="Times New Roman" w:hAnsi="Times New Roman" w:cs="Times New Roman"/>
          <w:b/>
          <w:color w:val="2666A3"/>
          <w:sz w:val="24"/>
          <w:szCs w:val="24"/>
        </w:rPr>
        <w:t>{% endif %}{%if tdd.potentialDrugList != [] %}</w:t>
      </w:r>
    </w:p>
    <w:p w14:paraId="7B25BB7E">
      <w:pPr>
        <w:keepNext/>
        <w:spacing w:before="26"/>
        <w:rPr>
          <w:rFonts w:ascii="Times New Roman" w:hAnsi="Times New Roman" w:cs="Times New Roman"/>
          <w:b/>
          <w:color w:val="1F497D"/>
          <w:sz w:val="24"/>
        </w:rPr>
      </w:pPr>
      <w:r>
        <w:rPr>
          <w:rFonts w:ascii="Times New Roman" w:hAnsi="Times New Roman" w:cs="Times New Roman"/>
          <w:b/>
          <w:color w:val="1F497D"/>
          <w:sz w:val="24"/>
        </w:rPr>
        <w:t>潜在耐药研究信息：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522E5E4">
        <w:trPr>
          <w:trHeight w:val="417" w:hRule="atLeast"/>
          <w:jc w:val="center"/>
        </w:trPr>
        <w:tc>
          <w:tcPr>
            <w:tcW w:w="1526" w:type="dxa"/>
            <w:tcBorders>
              <w:top w:val="single" w:color="2666A3" w:sz="18" w:space="0"/>
              <w:left w:val="nil"/>
              <w:bottom w:val="dotted" w:color="2666A3" w:sz="4" w:space="0"/>
              <w:right w:val="dotted" w:color="2666A3" w:sz="4" w:space="0"/>
            </w:tcBorders>
            <w:shd w:val="clear" w:color="auto" w:fill="auto"/>
            <w:vAlign w:val="center"/>
          </w:tcPr>
          <w:p w14:paraId="7196D744">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药物名称</w:t>
            </w:r>
          </w:p>
        </w:tc>
        <w:tc>
          <w:tcPr>
            <w:tcW w:w="1417"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42CD4DB4">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相关疾病</w:t>
            </w:r>
          </w:p>
        </w:tc>
        <w:tc>
          <w:tcPr>
            <w:tcW w:w="1261"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592AD1EC">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证据等级</w:t>
            </w:r>
          </w:p>
        </w:tc>
        <w:tc>
          <w:tcPr>
            <w:tcW w:w="5666" w:type="dxa"/>
            <w:tcBorders>
              <w:top w:val="single" w:color="2666A3" w:sz="18" w:space="0"/>
              <w:left w:val="dotted" w:color="2666A3" w:sz="4" w:space="0"/>
              <w:bottom w:val="dotted" w:color="2666A3" w:sz="4" w:space="0"/>
              <w:right w:val="nil"/>
            </w:tcBorders>
            <w:shd w:val="clear" w:color="auto" w:fill="auto"/>
            <w:vAlign w:val="center"/>
          </w:tcPr>
          <w:p w14:paraId="5AC43B46">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循证医学信息</w:t>
            </w:r>
          </w:p>
        </w:tc>
      </w:tr>
      <w:tr w14:paraId="4910B7E9">
        <w:trPr>
          <w:trHeight w:val="494" w:hRule="atLeast"/>
          <w:jc w:val="center"/>
        </w:trPr>
        <w:tc>
          <w:tcPr>
            <w:tcW w:w="9870" w:type="dxa"/>
            <w:gridSpan w:val="4"/>
            <w:tcBorders>
              <w:top w:val="dotted" w:color="2666A3" w:sz="4" w:space="0"/>
              <w:left w:val="nil"/>
              <w:bottom w:val="dotted" w:color="2666A3" w:sz="4" w:space="0"/>
              <w:right w:val="nil"/>
            </w:tcBorders>
            <w:vAlign w:val="center"/>
          </w:tcPr>
          <w:p w14:paraId="16DA202A">
            <w:pPr>
              <w:keepNext/>
              <w:spacing w:before="26"/>
              <w:jc w:val="center"/>
              <w:rPr>
                <w:rFonts w:ascii="Times New Roman" w:hAnsi="Times New Roman" w:cs="Times New Roman"/>
                <w:bCs/>
                <w:sz w:val="18"/>
                <w:szCs w:val="18"/>
                <w:highlight w:val="yellow"/>
              </w:rPr>
            </w:pPr>
            <w:r>
              <w:rPr>
                <w:rFonts w:ascii="Times New Roman" w:hAnsi="Times New Roman" w:cs="Times New Roman"/>
                <w:b/>
                <w:color w:val="2666A3"/>
                <w:sz w:val="18"/>
                <w:szCs w:val="18"/>
              </w:rPr>
              <w:t>{%tr for dis in tdd.potentialDrugList %}</w:t>
            </w:r>
          </w:p>
        </w:tc>
      </w:tr>
      <w:tr w14:paraId="5C50C99D">
        <w:trPr>
          <w:trHeight w:val="494" w:hRule="atLeast"/>
          <w:jc w:val="center"/>
        </w:trPr>
        <w:tc>
          <w:tcPr>
            <w:tcW w:w="1526" w:type="dxa"/>
            <w:tcBorders>
              <w:top w:val="dotted" w:color="2666A3" w:sz="4" w:space="0"/>
              <w:left w:val="nil"/>
              <w:bottom w:val="dotted" w:color="2666A3" w:sz="4" w:space="0"/>
              <w:right w:val="dotted" w:color="2666A3" w:sz="4" w:space="0"/>
            </w:tcBorders>
            <w:vAlign w:val="center"/>
          </w:tcPr>
          <w:p w14:paraId="216C3884">
            <w:pPr>
              <w:spacing w:before="1" w:line="249" w:lineRule="auto"/>
              <w:ind w:right="131"/>
              <w:jc w:val="center"/>
              <w:rPr>
                <w:rFonts w:ascii="Times New Roman" w:hAnsi="Times New Roman" w:cs="Times New Roman"/>
                <w:b/>
                <w:sz w:val="18"/>
                <w:szCs w:val="18"/>
                <w:highlight w:val="yellow"/>
              </w:rPr>
            </w:pPr>
            <w:r>
              <w:rPr>
                <w:rFonts w:ascii="Times New Roman" w:hAnsi="Times New Roman" w:cs="Times New Roman"/>
                <w:sz w:val="18"/>
                <w:szCs w:val="18"/>
              </w:rPr>
              <w:t>{{</w:t>
            </w:r>
            <w:r>
              <w:rPr>
                <w:rFonts w:ascii="Times New Roman" w:hAnsi="Times New Roman" w:cs="Times New Roman"/>
                <w:bCs/>
                <w:sz w:val="18"/>
                <w:szCs w:val="18"/>
              </w:rPr>
              <w:t>dis.drug_name_chinese3</w:t>
            </w:r>
            <w:r>
              <w:rPr>
                <w:rFonts w:ascii="Times New Roman" w:hAnsi="Times New Roman" w:cs="Times New Roman"/>
                <w:sz w:val="18"/>
                <w:szCs w:val="18"/>
              </w:rPr>
              <w:t xml:space="preserve"> }}</w:t>
            </w:r>
          </w:p>
        </w:tc>
        <w:tc>
          <w:tcPr>
            <w:tcW w:w="1417" w:type="dxa"/>
            <w:tcBorders>
              <w:top w:val="dotted" w:color="2666A3" w:sz="4" w:space="0"/>
              <w:left w:val="dotted" w:color="2666A3" w:sz="4" w:space="0"/>
              <w:bottom w:val="dotted" w:color="2666A3" w:sz="4" w:space="0"/>
              <w:right w:val="dotted" w:color="2666A3" w:sz="4" w:space="0"/>
            </w:tcBorders>
            <w:vAlign w:val="center"/>
          </w:tcPr>
          <w:p w14:paraId="4FC0F5BF">
            <w:pPr>
              <w:keepNext/>
              <w:spacing w:before="26"/>
              <w:jc w:val="center"/>
              <w:rPr>
                <w:rFonts w:ascii="Times New Roman" w:hAnsi="Times New Roman" w:cs="Times New Roman"/>
                <w:bCs/>
                <w:sz w:val="18"/>
                <w:szCs w:val="18"/>
                <w:highlight w:val="yellow"/>
              </w:rPr>
            </w:pPr>
            <w:r>
              <w:rPr>
                <w:rFonts w:ascii="Times New Roman" w:hAnsi="Times New Roman" w:cs="Times New Roman"/>
                <w:sz w:val="18"/>
                <w:szCs w:val="18"/>
              </w:rPr>
              <w:t>{{dis.</w:t>
            </w:r>
            <w:r>
              <w:rPr>
                <w:rFonts w:ascii="Times New Roman" w:hAnsi="Times New Roman" w:cs="Times New Roman"/>
                <w:bCs/>
                <w:sz w:val="18"/>
                <w:szCs w:val="18"/>
              </w:rPr>
              <w:t>disease_name_chinese</w:t>
            </w:r>
            <w:r>
              <w:rPr>
                <w:rFonts w:ascii="Times New Roman" w:hAnsi="Times New Roman" w:cs="Times New Roman"/>
                <w:sz w:val="18"/>
                <w:szCs w:val="18"/>
              </w:rPr>
              <w:t>}}</w:t>
            </w:r>
          </w:p>
        </w:tc>
        <w:tc>
          <w:tcPr>
            <w:tcW w:w="1261" w:type="dxa"/>
            <w:tcBorders>
              <w:top w:val="dotted" w:color="2666A3" w:sz="4" w:space="0"/>
              <w:left w:val="dotted" w:color="2666A3" w:sz="4" w:space="0"/>
              <w:bottom w:val="dotted" w:color="2666A3" w:sz="4" w:space="0"/>
              <w:right w:val="dotted" w:color="2666A3" w:sz="4" w:space="0"/>
            </w:tcBorders>
            <w:vAlign w:val="center"/>
          </w:tcPr>
          <w:p w14:paraId="38A07967">
            <w:pPr>
              <w:keepNext/>
              <w:spacing w:before="26"/>
              <w:jc w:val="center"/>
              <w:rPr>
                <w:rFonts w:ascii="Times New Roman" w:hAnsi="Times New Roman" w:cs="Times New Roman"/>
                <w:bCs/>
                <w:sz w:val="18"/>
                <w:szCs w:val="18"/>
                <w:highlight w:val="yellow"/>
              </w:rPr>
            </w:pPr>
            <w:r>
              <w:rPr>
                <w:rFonts w:ascii="Times New Roman" w:hAnsi="Times New Roman" w:cs="Times New Roman"/>
                <w:sz w:val="18"/>
                <w:szCs w:val="18"/>
              </w:rPr>
              <w:t>{{</w:t>
            </w:r>
            <w:r>
              <w:rPr>
                <w:rFonts w:ascii="Times New Roman" w:hAnsi="Times New Roman" w:cs="Times New Roman"/>
                <w:bCs/>
                <w:sz w:val="18"/>
                <w:szCs w:val="18"/>
              </w:rPr>
              <w:t>dis.evidence_phase_chinese</w:t>
            </w:r>
            <w:r>
              <w:rPr>
                <w:rFonts w:ascii="Times New Roman" w:hAnsi="Times New Roman" w:cs="Times New Roman"/>
                <w:sz w:val="18"/>
                <w:szCs w:val="18"/>
              </w:rPr>
              <w:t>}}</w:t>
            </w:r>
          </w:p>
        </w:tc>
        <w:tc>
          <w:tcPr>
            <w:tcW w:w="5666" w:type="dxa"/>
            <w:tcBorders>
              <w:top w:val="dotted" w:color="2666A3" w:sz="4" w:space="0"/>
              <w:left w:val="dotted" w:color="2666A3" w:sz="4" w:space="0"/>
              <w:bottom w:val="dotted" w:color="2666A3" w:sz="4" w:space="0"/>
              <w:right w:val="nil"/>
            </w:tcBorders>
            <w:vAlign w:val="center"/>
          </w:tcPr>
          <w:p w14:paraId="7F5E3629">
            <w:pPr>
              <w:keepNext/>
              <w:spacing w:before="26"/>
              <w:jc w:val="center"/>
              <w:rPr>
                <w:rFonts w:ascii="Times New Roman" w:hAnsi="Times New Roman" w:cs="Times New Roman"/>
                <w:bCs/>
                <w:sz w:val="18"/>
                <w:szCs w:val="18"/>
                <w:highlight w:val="yellow"/>
              </w:rPr>
            </w:pPr>
            <w:r>
              <w:rPr>
                <w:rFonts w:ascii="Times New Roman" w:hAnsi="Times New Roman" w:cs="Times New Roman"/>
                <w:sz w:val="18"/>
                <w:szCs w:val="18"/>
              </w:rPr>
              <w:t>{{</w:t>
            </w:r>
            <w:r>
              <w:rPr>
                <w:rFonts w:ascii="Times New Roman" w:hAnsi="Times New Roman" w:cs="Times New Roman"/>
                <w:bCs/>
                <w:sz w:val="18"/>
                <w:szCs w:val="18"/>
              </w:rPr>
              <w:t>dis.annotation_chinese</w:t>
            </w:r>
            <w:r>
              <w:rPr>
                <w:rFonts w:ascii="Times New Roman" w:hAnsi="Times New Roman" w:cs="Times New Roman"/>
                <w:sz w:val="18"/>
                <w:szCs w:val="18"/>
              </w:rPr>
              <w:t>}}</w:t>
            </w:r>
          </w:p>
        </w:tc>
      </w:tr>
      <w:tr w14:paraId="77E1ECBB">
        <w:trPr>
          <w:trHeight w:val="494" w:hRule="atLeast"/>
          <w:jc w:val="center"/>
        </w:trPr>
        <w:tc>
          <w:tcPr>
            <w:tcW w:w="9870" w:type="dxa"/>
            <w:gridSpan w:val="4"/>
            <w:tcBorders>
              <w:top w:val="dotted" w:color="2666A3" w:sz="4" w:space="0"/>
              <w:left w:val="nil"/>
              <w:bottom w:val="dotted" w:color="2666A3" w:sz="4" w:space="0"/>
              <w:right w:val="nil"/>
            </w:tcBorders>
            <w:vAlign w:val="center"/>
          </w:tcPr>
          <w:p w14:paraId="22537CA8">
            <w:pPr>
              <w:keepNext/>
              <w:spacing w:before="26"/>
              <w:jc w:val="center"/>
              <w:rPr>
                <w:rFonts w:ascii="Times New Roman" w:hAnsi="Times New Roman" w:cs="Times New Roman"/>
                <w:bCs/>
                <w:sz w:val="18"/>
                <w:szCs w:val="18"/>
              </w:rPr>
            </w:pPr>
            <w:r>
              <w:rPr>
                <w:rFonts w:ascii="Times New Roman" w:hAnsi="Times New Roman" w:cs="Times New Roman"/>
                <w:b/>
                <w:color w:val="2666A3"/>
                <w:sz w:val="18"/>
                <w:szCs w:val="18"/>
              </w:rPr>
              <w:t>{%tr endfor %}</w:t>
            </w:r>
          </w:p>
        </w:tc>
      </w:tr>
    </w:tbl>
    <w:p w14:paraId="3143A883">
      <w:pPr>
        <w:spacing w:before="26"/>
        <w:rPr>
          <w:rFonts w:ascii="Times New Roman" w:hAnsi="Times New Roman" w:cs="Times New Roman"/>
          <w:b/>
          <w:color w:val="2666A3"/>
          <w:sz w:val="24"/>
          <w:szCs w:val="24"/>
        </w:rPr>
      </w:pPr>
      <w:r>
        <w:rPr>
          <w:rFonts w:ascii="Times New Roman" w:hAnsi="Times New Roman" w:cs="Times New Roman"/>
          <w:b/>
          <w:color w:val="2666A3"/>
          <w:sz w:val="24"/>
          <w:szCs w:val="24"/>
        </w:rPr>
        <w:t>{% endif %}{%if tdd.clinicalTrialInformationStr!= [] %}</w:t>
      </w:r>
    </w:p>
    <w:p w14:paraId="0BA476B2">
      <w:pPr>
        <w:keepNext/>
        <w:spacing w:before="26"/>
        <w:rPr>
          <w:rFonts w:ascii="Times New Roman" w:hAnsi="Times New Roman" w:cs="Times New Roman"/>
          <w:b/>
          <w:color w:val="1F497D"/>
          <w:sz w:val="24"/>
        </w:rPr>
      </w:pPr>
      <w:r>
        <w:rPr>
          <w:rFonts w:ascii="Times New Roman" w:hAnsi="Times New Roman" w:cs="Times New Roman"/>
          <w:b/>
          <w:color w:val="1F497D"/>
          <w:sz w:val="24"/>
        </w:rPr>
        <w:t>临床试验信息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F951281">
        <w:trPr>
          <w:trHeight w:val="420" w:hRule="atLeast"/>
          <w:jc w:val="center"/>
        </w:trPr>
        <w:tc>
          <w:tcPr>
            <w:tcW w:w="1645" w:type="dxa"/>
            <w:tcBorders>
              <w:top w:val="single" w:color="2666A3" w:sz="18" w:space="0"/>
              <w:left w:val="nil"/>
              <w:bottom w:val="dotted" w:color="2666A3" w:sz="4" w:space="0"/>
              <w:right w:val="dotted" w:color="2666A3" w:sz="4" w:space="0"/>
            </w:tcBorders>
            <w:shd w:val="clear" w:color="auto" w:fill="auto"/>
            <w:vAlign w:val="center"/>
          </w:tcPr>
          <w:p w14:paraId="3F6A3A9E">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ID</w:t>
            </w:r>
          </w:p>
        </w:tc>
        <w:tc>
          <w:tcPr>
            <w:tcW w:w="3884"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6957A2D3">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临床试验名称</w:t>
            </w:r>
          </w:p>
        </w:tc>
        <w:tc>
          <w:tcPr>
            <w:tcW w:w="1246"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620E7A47">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肿瘤类型</w:t>
            </w:r>
          </w:p>
        </w:tc>
        <w:tc>
          <w:tcPr>
            <w:tcW w:w="1035"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6075D8C6">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阶段</w:t>
            </w:r>
          </w:p>
        </w:tc>
        <w:tc>
          <w:tcPr>
            <w:tcW w:w="1204"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2409FBBF">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药物</w:t>
            </w:r>
          </w:p>
        </w:tc>
        <w:tc>
          <w:tcPr>
            <w:tcW w:w="856" w:type="dxa"/>
            <w:tcBorders>
              <w:top w:val="single" w:color="2666A3" w:sz="18" w:space="0"/>
              <w:left w:val="dotted" w:color="2666A3" w:sz="4" w:space="0"/>
              <w:bottom w:val="dotted" w:color="2666A3" w:sz="4" w:space="0"/>
              <w:right w:val="nil"/>
            </w:tcBorders>
            <w:shd w:val="clear" w:color="auto" w:fill="auto"/>
            <w:vAlign w:val="center"/>
          </w:tcPr>
          <w:p w14:paraId="2E0BA3BB">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地点</w:t>
            </w:r>
          </w:p>
        </w:tc>
      </w:tr>
      <w:tr w14:paraId="71C00890">
        <w:trPr>
          <w:jc w:val="center"/>
        </w:trPr>
        <w:tc>
          <w:tcPr>
            <w:tcW w:w="9870" w:type="dxa"/>
            <w:gridSpan w:val="6"/>
            <w:tcBorders>
              <w:top w:val="dotted" w:color="2666A3" w:sz="4" w:space="0"/>
              <w:bottom w:val="dotted" w:color="2666A3" w:sz="4" w:space="0"/>
            </w:tcBorders>
            <w:vAlign w:val="center"/>
          </w:tcPr>
          <w:p w14:paraId="64F3A2F9">
            <w:pPr>
              <w:keepNext/>
              <w:spacing w:before="26"/>
              <w:jc w:val="center"/>
              <w:rPr>
                <w:rFonts w:ascii="Times New Roman" w:hAnsi="Times New Roman" w:cs="Times New Roman"/>
                <w:bCs/>
                <w:sz w:val="18"/>
                <w:szCs w:val="18"/>
              </w:rPr>
            </w:pPr>
            <w:r>
              <w:rPr>
                <w:rFonts w:ascii="Times New Roman" w:hAnsi="Times New Roman" w:cs="Times New Roman"/>
                <w:b/>
                <w:color w:val="2666A3"/>
                <w:sz w:val="18"/>
                <w:szCs w:val="18"/>
              </w:rPr>
              <w:t>{%tr for cti in tdd.clinicalTrialInformationStr %}</w:t>
            </w:r>
          </w:p>
        </w:tc>
      </w:tr>
      <w:tr w14:paraId="4C4D0F85">
        <w:trPr>
          <w:jc w:val="center"/>
        </w:trPr>
        <w:tc>
          <w:tcPr>
            <w:tcW w:w="1645" w:type="dxa"/>
            <w:tcBorders>
              <w:top w:val="dotted" w:color="2666A3" w:sz="4" w:space="0"/>
              <w:bottom w:val="dotted" w:color="2666A3" w:sz="4" w:space="0"/>
              <w:right w:val="dotted" w:color="2666A3" w:sz="4" w:space="0"/>
            </w:tcBorders>
            <w:vAlign w:val="center"/>
          </w:tcPr>
          <w:p w14:paraId="6F1581E8">
            <w:pPr>
              <w:keepNext/>
              <w:spacing w:before="26"/>
              <w:jc w:val="center"/>
              <w:rPr>
                <w:rFonts w:ascii="Times New Roman" w:hAnsi="Times New Roman" w:cs="Times New Roman"/>
                <w:bCs/>
                <w:sz w:val="18"/>
                <w:szCs w:val="18"/>
              </w:rPr>
            </w:pPr>
            <w:r>
              <w:rPr>
                <w:rFonts w:ascii="Times New Roman" w:hAnsi="Times New Roman" w:cs="Times New Roman"/>
                <w:bCs/>
                <w:sz w:val="18"/>
                <w:szCs w:val="18"/>
              </w:rPr>
              <w:t>{{ cti.clinical_trial_id }}</w:t>
            </w:r>
          </w:p>
        </w:tc>
        <w:tc>
          <w:tcPr>
            <w:tcW w:w="3884" w:type="dxa"/>
            <w:tcBorders>
              <w:top w:val="dotted" w:color="2666A3" w:sz="4" w:space="0"/>
              <w:left w:val="dotted" w:color="2666A3" w:sz="4" w:space="0"/>
              <w:bottom w:val="dotted" w:color="2666A3" w:sz="4" w:space="0"/>
              <w:right w:val="dotted" w:color="2666A3" w:sz="4" w:space="0"/>
            </w:tcBorders>
            <w:vAlign w:val="center"/>
          </w:tcPr>
          <w:p w14:paraId="27259C64">
            <w:pPr>
              <w:keepNext/>
              <w:jc w:val="center"/>
              <w:rPr>
                <w:rFonts w:ascii="Times New Roman" w:hAnsi="Times New Roman" w:cs="Times New Roman"/>
                <w:bCs/>
                <w:sz w:val="18"/>
                <w:szCs w:val="18"/>
              </w:rPr>
            </w:pPr>
            <w:r>
              <w:rPr>
                <w:rFonts w:ascii="Times New Roman" w:hAnsi="Times New Roman" w:cs="Times New Roman"/>
                <w:bCs/>
                <w:sz w:val="18"/>
                <w:szCs w:val="18"/>
              </w:rPr>
              <w:t>{{ cti.title_chinese }}</w:t>
            </w:r>
          </w:p>
        </w:tc>
        <w:tc>
          <w:tcPr>
            <w:tcW w:w="1246" w:type="dxa"/>
            <w:tcBorders>
              <w:top w:val="dotted" w:color="2666A3" w:sz="4" w:space="0"/>
              <w:left w:val="dotted" w:color="2666A3" w:sz="4" w:space="0"/>
              <w:bottom w:val="dotted" w:color="2666A3" w:sz="4" w:space="0"/>
              <w:right w:val="dotted" w:color="2666A3" w:sz="4" w:space="0"/>
            </w:tcBorders>
            <w:vAlign w:val="center"/>
          </w:tcPr>
          <w:p w14:paraId="68ED6C96">
            <w:pPr>
              <w:keepNext/>
              <w:spacing w:before="26"/>
              <w:jc w:val="center"/>
              <w:rPr>
                <w:rFonts w:ascii="Times New Roman" w:hAnsi="Times New Roman" w:cs="Times New Roman"/>
                <w:bCs/>
                <w:sz w:val="18"/>
                <w:szCs w:val="18"/>
              </w:rPr>
            </w:pPr>
            <w:r>
              <w:rPr>
                <w:rFonts w:ascii="Times New Roman" w:hAnsi="Times New Roman" w:cs="Times New Roman"/>
                <w:bCs/>
                <w:sz w:val="18"/>
                <w:szCs w:val="18"/>
              </w:rPr>
              <w:t>{{ cti.condition_chinese }}</w:t>
            </w:r>
          </w:p>
        </w:tc>
        <w:tc>
          <w:tcPr>
            <w:tcW w:w="1035" w:type="dxa"/>
            <w:tcBorders>
              <w:top w:val="dotted" w:color="2666A3" w:sz="4" w:space="0"/>
              <w:left w:val="dotted" w:color="2666A3" w:sz="4" w:space="0"/>
              <w:bottom w:val="dotted" w:color="2666A3" w:sz="4" w:space="0"/>
              <w:right w:val="dotted" w:color="2666A3" w:sz="4" w:space="0"/>
            </w:tcBorders>
            <w:vAlign w:val="center"/>
          </w:tcPr>
          <w:p w14:paraId="776BA289">
            <w:pPr>
              <w:keepNext/>
              <w:spacing w:before="26"/>
              <w:jc w:val="center"/>
              <w:rPr>
                <w:rFonts w:ascii="Times New Roman" w:hAnsi="Times New Roman" w:cs="Times New Roman"/>
                <w:bCs/>
                <w:sz w:val="18"/>
                <w:szCs w:val="18"/>
              </w:rPr>
            </w:pPr>
            <w:r>
              <w:rPr>
                <w:rFonts w:ascii="Times New Roman" w:hAnsi="Times New Roman" w:cs="Times New Roman"/>
                <w:bCs/>
                <w:sz w:val="18"/>
                <w:szCs w:val="18"/>
              </w:rPr>
              <w:t>{{ cti.phase }}</w:t>
            </w:r>
          </w:p>
        </w:tc>
        <w:tc>
          <w:tcPr>
            <w:tcW w:w="1204" w:type="dxa"/>
            <w:tcBorders>
              <w:top w:val="dotted" w:color="2666A3" w:sz="4" w:space="0"/>
              <w:left w:val="dotted" w:color="2666A3" w:sz="4" w:space="0"/>
              <w:bottom w:val="dotted" w:color="2666A3" w:sz="4" w:space="0"/>
              <w:right w:val="dotted" w:color="2666A3" w:sz="4" w:space="0"/>
            </w:tcBorders>
            <w:vAlign w:val="center"/>
          </w:tcPr>
          <w:p w14:paraId="77475F1F">
            <w:pPr>
              <w:spacing w:before="1" w:line="249" w:lineRule="auto"/>
              <w:ind w:right="131"/>
              <w:jc w:val="center"/>
              <w:rPr>
                <w:rFonts w:ascii="Times New Roman" w:hAnsi="Times New Roman" w:cs="Times New Roman"/>
                <w:sz w:val="18"/>
                <w:szCs w:val="18"/>
              </w:rPr>
            </w:pPr>
            <w:r>
              <w:rPr>
                <w:rFonts w:ascii="Times New Roman" w:hAnsi="Times New Roman" w:cs="Times New Roman"/>
                <w:sz w:val="18"/>
                <w:szCs w:val="18"/>
              </w:rPr>
              <w:t xml:space="preserve">{% for d in </w:t>
            </w:r>
            <w:r>
              <w:rPr>
                <w:rFonts w:ascii="Times New Roman" w:hAnsi="Times New Roman" w:cs="Times New Roman"/>
                <w:bCs/>
                <w:sz w:val="18"/>
                <w:szCs w:val="18"/>
              </w:rPr>
              <w:t>cti.drug_name_chinese</w:t>
            </w:r>
            <w:r>
              <w:rPr>
                <w:rFonts w:ascii="Times New Roman" w:hAnsi="Times New Roman" w:cs="Times New Roman"/>
                <w:sz w:val="18"/>
                <w:szCs w:val="18"/>
              </w:rPr>
              <w:t xml:space="preserve"> %}{%if loop.last%}{{ d.name }}{%else%}{{ d.name }}</w:t>
            </w:r>
          </w:p>
          <w:p w14:paraId="0819241F">
            <w:pPr>
              <w:keepNext/>
              <w:jc w:val="center"/>
              <w:rPr>
                <w:rFonts w:ascii="Times New Roman" w:hAnsi="Times New Roman" w:cs="Times New Roman"/>
                <w:sz w:val="18"/>
                <w:szCs w:val="18"/>
              </w:rPr>
            </w:pPr>
            <w:r>
              <w:rPr>
                <w:rFonts w:ascii="Times New Roman" w:hAnsi="Times New Roman" w:cs="Times New Roman"/>
                <w:sz w:val="18"/>
                <w:szCs w:val="18"/>
              </w:rPr>
              <w:t>{%endif%}{% endfor %}</w:t>
            </w:r>
          </w:p>
        </w:tc>
        <w:tc>
          <w:tcPr>
            <w:tcW w:w="856" w:type="dxa"/>
            <w:tcBorders>
              <w:top w:val="dotted" w:color="2666A3" w:sz="4" w:space="0"/>
              <w:left w:val="dotted" w:color="2666A3" w:sz="4" w:space="0"/>
              <w:bottom w:val="dotted" w:color="2666A3" w:sz="4" w:space="0"/>
            </w:tcBorders>
            <w:vAlign w:val="center"/>
          </w:tcPr>
          <w:p w14:paraId="478B767A">
            <w:pPr>
              <w:keepNext/>
              <w:spacing w:before="26"/>
              <w:jc w:val="center"/>
              <w:rPr>
                <w:rFonts w:ascii="Times New Roman" w:hAnsi="Times New Roman" w:cs="Times New Roman"/>
                <w:bCs/>
                <w:sz w:val="18"/>
                <w:szCs w:val="18"/>
              </w:rPr>
            </w:pPr>
            <w:r>
              <w:rPr>
                <w:rFonts w:ascii="Times New Roman" w:hAnsi="Times New Roman" w:cs="Times New Roman"/>
                <w:bCs/>
                <w:sz w:val="18"/>
                <w:szCs w:val="18"/>
              </w:rPr>
              <w:t>{{ cti.location_chinese }}</w:t>
            </w:r>
          </w:p>
        </w:tc>
      </w:tr>
      <w:tr w14:paraId="5161BDA7">
        <w:trPr>
          <w:jc w:val="center"/>
        </w:trPr>
        <w:tc>
          <w:tcPr>
            <w:tcW w:w="9870" w:type="dxa"/>
            <w:gridSpan w:val="6"/>
            <w:tcBorders>
              <w:top w:val="dotted" w:color="2666A3" w:sz="4" w:space="0"/>
              <w:bottom w:val="dotted" w:color="2666A3" w:sz="4" w:space="0"/>
            </w:tcBorders>
            <w:vAlign w:val="center"/>
          </w:tcPr>
          <w:p w14:paraId="43593C0E">
            <w:pPr>
              <w:keepNext/>
              <w:spacing w:before="26"/>
              <w:jc w:val="center"/>
              <w:rPr>
                <w:rFonts w:ascii="Times New Roman" w:hAnsi="Times New Roman" w:cs="Times New Roman"/>
                <w:bCs/>
                <w:sz w:val="18"/>
                <w:szCs w:val="18"/>
              </w:rPr>
            </w:pPr>
            <w:r>
              <w:rPr>
                <w:rFonts w:ascii="Times New Roman" w:hAnsi="Times New Roman" w:cs="Times New Roman"/>
                <w:bCs/>
                <w:color w:val="2666A3"/>
                <w:sz w:val="18"/>
                <w:szCs w:val="18"/>
              </w:rPr>
              <w:t>{%tr endfor %}</w:t>
            </w:r>
          </w:p>
        </w:tc>
      </w:tr>
    </w:tbl>
    <w:p w14:paraId="2DB57DF8">
      <w:pPr>
        <w:pStyle w:val="48"/>
        <w:rPr>
          <w:rFonts w:eastAsia="宋体"/>
          <w:color w:val="2666A3"/>
        </w:rPr>
      </w:pPr>
      <w:r>
        <w:rPr>
          <w:rFonts w:eastAsia="宋体"/>
          <w:color w:val="2666A3"/>
        </w:rPr>
        <w:t>{% endif %}{% endfor %}{% for vus in unknownVarAnalysisStr %}</w:t>
      </w:r>
    </w:p>
    <w:p w14:paraId="26AE65D1">
      <w:pPr>
        <w:keepNext/>
        <w:widowControl/>
        <w:spacing w:before="240" w:beforeLines="100" w:line="260" w:lineRule="auto"/>
        <w:rPr>
          <w:rFonts w:ascii="Times New Roman" w:hAnsi="Times New Roman" w:cs="Times New Roman"/>
          <w:b/>
          <w:color w:val="1F497D"/>
          <w:sz w:val="24"/>
          <w:szCs w:val="24"/>
        </w:rPr>
      </w:pPr>
      <w:r>
        <w:rPr>
          <w:rFonts w:ascii="Times New Roman" w:hAnsi="Times New Roman" w:cs="Times New Roman"/>
          <w:b/>
          <w:color w:val="1F497D"/>
          <w:sz w:val="24"/>
          <w:szCs w:val="24"/>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05B5102">
        <w:trPr>
          <w:trHeight w:val="340" w:hRule="atLeast"/>
        </w:trPr>
        <w:tc>
          <w:tcPr>
            <w:tcW w:w="1843" w:type="dxa"/>
            <w:tcBorders>
              <w:top w:val="single" w:color="2666A3" w:sz="18" w:space="0"/>
              <w:left w:val="nil"/>
              <w:bottom w:val="dotted" w:color="2666A3" w:sz="4" w:space="0"/>
              <w:right w:val="dotted" w:color="2666A3" w:sz="4" w:space="0"/>
            </w:tcBorders>
            <w:shd w:val="clear" w:color="auto" w:fill="auto"/>
            <w:vAlign w:val="center"/>
          </w:tcPr>
          <w:p w14:paraId="0B84CAC9">
            <w:pPr>
              <w:keepNext/>
              <w:rPr>
                <w:rFonts w:ascii="Times New Roman" w:hAnsi="Times New Roman" w:cs="Times New Roman"/>
                <w:b/>
                <w:color w:val="2666A3"/>
                <w:sz w:val="18"/>
                <w:szCs w:val="18"/>
              </w:rPr>
            </w:pPr>
            <w:r>
              <w:rPr>
                <w:rFonts w:ascii="Times New Roman" w:hAnsi="Times New Roman" w:cs="Times New Roman"/>
                <w:b/>
                <w:color w:val="2666A3"/>
                <w:sz w:val="18"/>
                <w:szCs w:val="18"/>
              </w:rPr>
              <w:t>突变形式</w:t>
            </w:r>
          </w:p>
        </w:tc>
        <w:tc>
          <w:tcPr>
            <w:tcW w:w="8027" w:type="dxa"/>
            <w:tcBorders>
              <w:top w:val="single" w:color="2666A3" w:sz="18" w:space="0"/>
              <w:left w:val="dotted" w:color="2666A3" w:sz="4" w:space="0"/>
              <w:bottom w:val="dotted" w:color="2666A3" w:sz="4" w:space="0"/>
              <w:right w:val="nil"/>
            </w:tcBorders>
            <w:vAlign w:val="center"/>
          </w:tcPr>
          <w:p w14:paraId="00643BEB">
            <w:pPr>
              <w:keepNext/>
              <w:rPr>
                <w:rFonts w:ascii="Times New Roman" w:hAnsi="Times New Roman" w:cs="Times New Roman"/>
                <w:sz w:val="18"/>
                <w:szCs w:val="18"/>
              </w:rPr>
            </w:pPr>
            <w:r>
              <w:rPr>
                <w:rFonts w:hint="eastAsia" w:ascii="Times New Roman" w:hAnsi="Times New Roman" w:eastAsia="宋体" w:cs="Times New Roman"/>
                <w:color w:val="000000"/>
                <w:sz w:val="18"/>
                <w:szCs w:val="18"/>
                <w:lang w:val="en-US" w:eastAsia="zh-CN"/>
              </w:rPr>
              <w:t xml:space="preserve">{% if </w:t>
            </w:r>
            <w:r>
              <w:rPr>
                <w:rFonts w:hint="default" w:ascii="Times New Roman" w:hAnsi="Times New Roman" w:eastAsia="宋体" w:cs="Times New Roman"/>
                <w:color w:val="000000"/>
                <w:sz w:val="18"/>
                <w:szCs w:val="18"/>
                <w:lang w:eastAsia="zh-CN"/>
              </w:rPr>
              <w:t>vus.ori_variant</w:t>
            </w:r>
            <w:r>
              <w:rPr>
                <w:rFonts w:hint="eastAsia" w:ascii="Times New Roman" w:hAnsi="Times New Roman" w:eastAsia="宋体" w:cs="Times New Roman"/>
                <w:color w:val="000000"/>
                <w:sz w:val="18"/>
                <w:szCs w:val="18"/>
                <w:lang w:val="en-US" w:eastAsia="zh-CN"/>
              </w:rPr>
              <w:t xml:space="preserve"> == </w:t>
            </w:r>
            <w:r>
              <w:rPr>
                <w:rFonts w:hint="default" w:ascii="Times New Roman" w:hAnsi="Times New Roman" w:eastAsia="宋体" w:cs="Times New Roman"/>
                <w:color w:val="000000"/>
                <w:sz w:val="18"/>
                <w:szCs w:val="18"/>
                <w:lang w:val="en-US" w:eastAsia="zh-CN"/>
              </w:rPr>
              <w:t>‘</w:t>
            </w:r>
            <w:r>
              <w:rPr>
                <w:rFonts w:hint="eastAsia" w:ascii="Times New Roman" w:hAnsi="Times New Roman" w:eastAsia="宋体" w:cs="Times New Roman"/>
                <w:color w:val="000000"/>
                <w:sz w:val="18"/>
                <w:szCs w:val="18"/>
                <w:lang w:val="en-US" w:eastAsia="zh-CN"/>
              </w:rPr>
              <w:t>Amplification</w:t>
            </w:r>
            <w:r>
              <w:rPr>
                <w:rFonts w:hint="default" w:ascii="Times New Roman" w:hAnsi="Times New Roman" w:eastAsia="宋体" w:cs="Times New Roman"/>
                <w:color w:val="000000"/>
                <w:sz w:val="18"/>
                <w:szCs w:val="18"/>
                <w:lang w:val="en-US" w:eastAsia="zh-CN"/>
              </w:rPr>
              <w:t>’</w:t>
            </w:r>
            <w:r>
              <w:rPr>
                <w:rFonts w:hint="eastAsia" w:ascii="Times New Roman" w:hAnsi="Times New Roman" w:eastAsia="宋体" w:cs="Times New Roman"/>
                <w:color w:val="000000"/>
                <w:sz w:val="18"/>
                <w:szCs w:val="18"/>
                <w:lang w:val="en-US" w:eastAsia="zh-CN"/>
              </w:rPr>
              <w:t xml:space="preserve"> %}扩增</w:t>
            </w:r>
            <w:r>
              <w:rPr>
                <w:rFonts w:hint="eastAsia" w:ascii="Times New Roman" w:hAnsi="Times New Roman" w:eastAsia="宋体" w:cs="Times New Roman"/>
                <w:color w:val="000000"/>
                <w:sz w:val="18"/>
                <w:szCs w:val="18"/>
                <w:lang w:val="en-US" w:eastAsia="en-US"/>
              </w:rPr>
              <w:t xml:space="preserve">{% </w:t>
            </w:r>
            <w:r>
              <w:rPr>
                <w:rFonts w:hint="default" w:ascii="Times New Roman" w:hAnsi="Times New Roman" w:eastAsia="宋体" w:cs="Times New Roman"/>
                <w:color w:val="000000"/>
                <w:sz w:val="18"/>
                <w:szCs w:val="18"/>
                <w:lang w:eastAsia="zh-CN"/>
              </w:rPr>
              <w:t>else</w:t>
            </w:r>
            <w:r>
              <w:rPr>
                <w:rFonts w:hint="eastAsia" w:ascii="Times New Roman" w:hAnsi="Times New Roman" w:eastAsia="宋体" w:cs="Times New Roman"/>
                <w:color w:val="000000"/>
                <w:sz w:val="18"/>
                <w:szCs w:val="18"/>
                <w:lang w:val="en-US" w:eastAsia="zh-CN"/>
              </w:rPr>
              <w:t xml:space="preserve"> </w:t>
            </w:r>
            <w:r>
              <w:rPr>
                <w:rFonts w:hint="eastAsia" w:ascii="Times New Roman" w:hAnsi="Times New Roman" w:eastAsia="宋体" w:cs="Times New Roman"/>
                <w:color w:val="000000"/>
                <w:sz w:val="18"/>
                <w:szCs w:val="18"/>
                <w:lang w:val="en-US" w:eastAsia="en-US"/>
              </w:rPr>
              <w:t>%}</w:t>
            </w:r>
            <w:r>
              <w:rPr>
                <w:rFonts w:hint="eastAsia" w:ascii="Times New Roman" w:hAnsi="Times New Roman" w:eastAsia="宋体" w:cs="Times New Roman"/>
                <w:color w:val="000000"/>
                <w:sz w:val="18"/>
                <w:szCs w:val="18"/>
                <w:lang w:val="en-US" w:eastAsia="zh-CN"/>
              </w:rPr>
              <w:t xml:space="preserve">{{ </w:t>
            </w:r>
            <w:r>
              <w:rPr>
                <w:rFonts w:hint="default" w:ascii="Times New Roman" w:hAnsi="Times New Roman" w:eastAsia="宋体" w:cs="Times New Roman"/>
                <w:color w:val="000000"/>
                <w:sz w:val="18"/>
                <w:szCs w:val="18"/>
                <w:lang w:eastAsia="zh-CN"/>
              </w:rPr>
              <w:t>vus</w:t>
            </w:r>
            <w:r>
              <w:rPr>
                <w:rFonts w:hint="eastAsia" w:ascii="Times New Roman" w:hAnsi="Times New Roman" w:eastAsia="宋体" w:cs="Times New Roman"/>
                <w:color w:val="000000"/>
                <w:sz w:val="18"/>
                <w:szCs w:val="18"/>
                <w:lang w:val="en-US" w:eastAsia="zh-CN"/>
              </w:rPr>
              <w:t>.ori_variant }}</w:t>
            </w:r>
            <w:r>
              <w:rPr>
                <w:rFonts w:hint="eastAsia" w:ascii="Times New Roman" w:hAnsi="Times New Roman" w:eastAsia="宋体" w:cs="Times New Roman"/>
                <w:color w:val="000000"/>
                <w:sz w:val="18"/>
                <w:szCs w:val="18"/>
                <w:lang w:val="en-US" w:eastAsia="en-US"/>
              </w:rPr>
              <w:t>{% endif</w:t>
            </w:r>
            <w:r>
              <w:rPr>
                <w:rFonts w:hint="eastAsia" w:ascii="Times New Roman" w:hAnsi="Times New Roman" w:eastAsia="宋体" w:cs="Times New Roman"/>
                <w:color w:val="000000"/>
                <w:sz w:val="18"/>
                <w:szCs w:val="18"/>
                <w:lang w:val="en-US" w:eastAsia="zh-CN"/>
              </w:rPr>
              <w:t xml:space="preserve"> </w:t>
            </w:r>
            <w:r>
              <w:rPr>
                <w:rFonts w:hint="eastAsia" w:ascii="Times New Roman" w:hAnsi="Times New Roman" w:eastAsia="宋体" w:cs="Times New Roman"/>
                <w:color w:val="000000"/>
                <w:sz w:val="18"/>
                <w:szCs w:val="18"/>
                <w:lang w:val="en-US" w:eastAsia="en-US"/>
              </w:rPr>
              <w:t>%}</w:t>
            </w:r>
          </w:p>
        </w:tc>
      </w:tr>
      <w:tr w14:paraId="0CFD7416">
        <w:trPr>
          <w:trHeight w:val="340" w:hRule="atLeast"/>
        </w:trPr>
        <w:tc>
          <w:tcPr>
            <w:tcW w:w="1843" w:type="dxa"/>
            <w:tcBorders>
              <w:top w:val="dotted" w:color="2666A3" w:sz="4" w:space="0"/>
              <w:left w:val="nil"/>
              <w:bottom w:val="dotted" w:color="2666A3" w:sz="4" w:space="0"/>
              <w:right w:val="dotted" w:color="2666A3" w:sz="4" w:space="0"/>
            </w:tcBorders>
            <w:shd w:val="clear" w:color="auto" w:fill="auto"/>
            <w:vAlign w:val="center"/>
          </w:tcPr>
          <w:p w14:paraId="6A3F7AC3">
            <w:pPr>
              <w:keepNext/>
              <w:rPr>
                <w:rFonts w:ascii="Times New Roman" w:hAnsi="Times New Roman" w:cs="Times New Roman"/>
                <w:b/>
                <w:color w:val="2666A3"/>
                <w:sz w:val="18"/>
                <w:szCs w:val="18"/>
              </w:rPr>
            </w:pPr>
            <w:r>
              <w:rPr>
                <w:rFonts w:ascii="Times New Roman" w:hAnsi="Times New Roman" w:cs="Times New Roman"/>
                <w:b/>
                <w:color w:val="2666A3"/>
                <w:sz w:val="18"/>
                <w:szCs w:val="18"/>
              </w:rPr>
              <w:t>突变说明</w:t>
            </w:r>
          </w:p>
        </w:tc>
        <w:tc>
          <w:tcPr>
            <w:tcW w:w="8027" w:type="dxa"/>
            <w:tcBorders>
              <w:top w:val="dotted" w:color="2666A3" w:sz="4" w:space="0"/>
              <w:left w:val="dotted" w:color="2666A3" w:sz="4" w:space="0"/>
              <w:bottom w:val="dotted" w:color="2666A3" w:sz="4" w:space="0"/>
              <w:right w:val="nil"/>
            </w:tcBorders>
            <w:vAlign w:val="center"/>
          </w:tcPr>
          <w:p w14:paraId="20558C8B">
            <w:pPr>
              <w:keepNext/>
              <w:rPr>
                <w:rFonts w:ascii="Times New Roman" w:hAnsi="Times New Roman" w:cs="Times New Roman"/>
                <w:sz w:val="18"/>
                <w:szCs w:val="18"/>
              </w:rPr>
            </w:pPr>
            <w:r>
              <w:rPr>
                <w:rFonts w:ascii="Times New Roman" w:hAnsi="Times New Roman" w:cs="Times New Roman"/>
                <w:color w:val="000000"/>
                <w:sz w:val="18"/>
                <w:szCs w:val="18"/>
              </w:rPr>
              <w:t>{{ vus.mutDesc }}</w:t>
            </w:r>
          </w:p>
        </w:tc>
      </w:tr>
      <w:tr w14:paraId="648D130E">
        <w:trPr>
          <w:trHeight w:val="340" w:hRule="atLeast"/>
        </w:trPr>
        <w:tc>
          <w:tcPr>
            <w:tcW w:w="1843" w:type="dxa"/>
            <w:tcBorders>
              <w:top w:val="dotted" w:color="2666A3" w:sz="4" w:space="0"/>
              <w:left w:val="nil"/>
              <w:bottom w:val="dotted" w:color="2666A3" w:sz="4" w:space="0"/>
              <w:right w:val="dotted" w:color="2666A3" w:sz="4" w:space="0"/>
            </w:tcBorders>
            <w:shd w:val="clear" w:color="auto" w:fill="auto"/>
            <w:vAlign w:val="center"/>
          </w:tcPr>
          <w:p w14:paraId="725B1D52">
            <w:pPr>
              <w:keepNext/>
              <w:rPr>
                <w:rFonts w:ascii="Times New Roman" w:hAnsi="Times New Roman" w:cs="Times New Roman"/>
                <w:b/>
                <w:color w:val="2666A3"/>
                <w:sz w:val="18"/>
                <w:szCs w:val="18"/>
              </w:rPr>
            </w:pPr>
            <w:r>
              <w:rPr>
                <w:rFonts w:ascii="Times New Roman" w:hAnsi="Times New Roman" w:cs="Times New Roman"/>
                <w:b/>
                <w:color w:val="2666A3"/>
                <w:sz w:val="18"/>
                <w:szCs w:val="18"/>
              </w:rPr>
              <w:t>基因说明</w:t>
            </w:r>
          </w:p>
        </w:tc>
        <w:tc>
          <w:tcPr>
            <w:tcW w:w="8027" w:type="dxa"/>
            <w:tcBorders>
              <w:top w:val="dotted" w:color="2666A3" w:sz="4" w:space="0"/>
              <w:left w:val="dotted" w:color="2666A3" w:sz="4" w:space="0"/>
              <w:bottom w:val="dotted" w:color="2666A3" w:sz="4" w:space="0"/>
              <w:right w:val="nil"/>
            </w:tcBorders>
            <w:vAlign w:val="center"/>
          </w:tcPr>
          <w:p w14:paraId="2C80CEDF">
            <w:pPr>
              <w:keepNext/>
              <w:rPr>
                <w:rFonts w:ascii="Times New Roman" w:hAnsi="Times New Roman" w:cs="Times New Roman"/>
                <w:sz w:val="18"/>
                <w:szCs w:val="18"/>
              </w:rPr>
            </w:pPr>
            <w:r>
              <w:rPr>
                <w:rFonts w:ascii="Times New Roman" w:hAnsi="Times New Roman" w:cs="Times New Roman"/>
                <w:sz w:val="18"/>
                <w:szCs w:val="18"/>
              </w:rPr>
              <w:t>{{ vus.gene_description_chinese }}</w:t>
            </w:r>
          </w:p>
        </w:tc>
      </w:tr>
    </w:tbl>
    <w:p w14:paraId="1320FC52">
      <w:pPr>
        <w:rPr>
          <w:rFonts w:ascii="Times New Roman" w:hAnsi="Times New Roman" w:cs="Times New Roman"/>
          <w:b/>
          <w:color w:val="2666A3"/>
          <w:sz w:val="24"/>
          <w:szCs w:val="24"/>
        </w:rPr>
      </w:pPr>
      <w:r>
        <w:rPr>
          <w:rFonts w:ascii="Times New Roman" w:hAnsi="Times New Roman" w:cs="Times New Roman"/>
          <w:b/>
          <w:color w:val="2666A3"/>
          <w:sz w:val="24"/>
          <w:szCs w:val="24"/>
        </w:rPr>
        <w:t>{% endfor %}{% for tdd in ComplexDrugStr %}</w:t>
      </w:r>
    </w:p>
    <w:p w14:paraId="737C8F68">
      <w:pPr>
        <w:keepNext/>
        <w:widowControl/>
        <w:spacing w:before="240" w:beforeLines="100" w:line="260" w:lineRule="auto"/>
        <w:rPr>
          <w:rFonts w:ascii="Times New Roman" w:hAnsi="Times New Roman" w:cs="Times New Roman"/>
          <w:b/>
          <w:color w:val="1F497D"/>
          <w:sz w:val="24"/>
          <w:szCs w:val="24"/>
        </w:rPr>
      </w:pPr>
      <w:r>
        <w:rPr>
          <w:rFonts w:ascii="Times New Roman" w:hAnsi="Times New Roman" w:cs="Times New Roman"/>
          <w:b/>
          <w:color w:val="1F497D"/>
          <w:sz w:val="24"/>
          <w:szCs w:val="24"/>
        </w:rPr>
        <w:t>{{ tdd.comutation }}</w:t>
      </w:r>
    </w:p>
    <w:tbl>
      <w:tblPr>
        <w:tblStyle w:val="19"/>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432"/>
        <w:gridCol w:w="1191"/>
        <w:gridCol w:w="8247"/>
      </w:tblGrid>
      <w:tr w14:paraId="4456BA8E">
        <w:trPr>
          <w:trHeight w:val="417" w:hRule="atLeast"/>
          <w:jc w:val="center"/>
        </w:trPr>
        <w:tc>
          <w:tcPr>
            <w:tcW w:w="1623" w:type="dxa"/>
            <w:gridSpan w:val="2"/>
            <w:tcBorders>
              <w:tl2br w:val="nil"/>
              <w:tr2bl w:val="nil"/>
            </w:tcBorders>
            <w:shd w:val="clear" w:color="auto" w:fill="auto"/>
            <w:vAlign w:val="center"/>
          </w:tcPr>
          <w:p w14:paraId="0C967CC6">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突变形式</w:t>
            </w:r>
          </w:p>
        </w:tc>
        <w:tc>
          <w:tcPr>
            <w:tcW w:w="8247" w:type="dxa"/>
            <w:tcBorders>
              <w:tl2br w:val="nil"/>
              <w:tr2bl w:val="nil"/>
            </w:tcBorders>
            <w:vAlign w:val="center"/>
          </w:tcPr>
          <w:p w14:paraId="043D724E">
            <w:pPr>
              <w:keepNext/>
              <w:spacing w:before="26"/>
              <w:jc w:val="center"/>
              <w:rPr>
                <w:rFonts w:ascii="Times New Roman" w:hAnsi="Times New Roman" w:cs="Times New Roman"/>
                <w:bCs/>
                <w:sz w:val="18"/>
                <w:szCs w:val="18"/>
              </w:rPr>
            </w:pPr>
            <w:r>
              <w:rPr>
                <w:rFonts w:ascii="Times New Roman" w:hAnsi="Times New Roman" w:cs="Times New Roman"/>
                <w:bCs/>
                <w:sz w:val="18"/>
                <w:szCs w:val="18"/>
              </w:rPr>
              <w:t>-</w:t>
            </w:r>
          </w:p>
        </w:tc>
      </w:tr>
      <w:tr w14:paraId="0F7D3C8E">
        <w:trPr>
          <w:trHeight w:val="494" w:hRule="atLeast"/>
          <w:jc w:val="center"/>
        </w:trPr>
        <w:tc>
          <w:tcPr>
            <w:tcW w:w="1623" w:type="dxa"/>
            <w:gridSpan w:val="2"/>
            <w:tcBorders>
              <w:tl2br w:val="nil"/>
              <w:tr2bl w:val="nil"/>
            </w:tcBorders>
            <w:shd w:val="clear" w:color="auto" w:fill="auto"/>
            <w:vAlign w:val="center"/>
          </w:tcPr>
          <w:p w14:paraId="4E3FB778">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变异丰度</w:t>
            </w:r>
          </w:p>
        </w:tc>
        <w:tc>
          <w:tcPr>
            <w:tcW w:w="8247" w:type="dxa"/>
            <w:tcBorders>
              <w:tl2br w:val="nil"/>
              <w:tr2bl w:val="nil"/>
            </w:tcBorders>
            <w:vAlign w:val="center"/>
          </w:tcPr>
          <w:p w14:paraId="7D6E6748">
            <w:pPr>
              <w:keepNext/>
              <w:spacing w:before="26"/>
              <w:jc w:val="center"/>
              <w:rPr>
                <w:rFonts w:ascii="Times New Roman" w:hAnsi="Times New Roman" w:cs="Times New Roman"/>
                <w:bCs/>
                <w:sz w:val="18"/>
                <w:szCs w:val="18"/>
              </w:rPr>
            </w:pPr>
            <w:r>
              <w:rPr>
                <w:rFonts w:ascii="Times New Roman" w:hAnsi="Times New Roman" w:cs="Times New Roman"/>
                <w:bCs/>
                <w:sz w:val="18"/>
                <w:szCs w:val="18"/>
              </w:rPr>
              <w:t>{{ tdd.mutFreq }}</w:t>
            </w:r>
          </w:p>
        </w:tc>
      </w:tr>
      <w:tr w14:paraId="1F21F670">
        <w:trPr>
          <w:trHeight w:val="474" w:hRule="atLeast"/>
          <w:jc w:val="center"/>
        </w:trPr>
        <w:tc>
          <w:tcPr>
            <w:tcW w:w="432" w:type="dxa"/>
            <w:vMerge w:val="restart"/>
            <w:tcBorders>
              <w:tl2br w:val="nil"/>
              <w:tr2bl w:val="nil"/>
            </w:tcBorders>
            <w:shd w:val="clear" w:color="auto" w:fill="auto"/>
            <w:vAlign w:val="center"/>
          </w:tcPr>
          <w:p w14:paraId="5288CFC1">
            <w:pPr>
              <w:spacing w:before="1" w:line="250" w:lineRule="auto"/>
              <w:jc w:val="center"/>
              <w:rPr>
                <w:rFonts w:ascii="Times New Roman" w:hAnsi="Times New Roman" w:cs="Times New Roman"/>
                <w:color w:val="2666A3"/>
                <w:sz w:val="18"/>
                <w:szCs w:val="18"/>
              </w:rPr>
            </w:pPr>
            <w:r>
              <w:rPr>
                <w:rFonts w:ascii="Times New Roman" w:hAnsi="Times New Roman" w:cs="Times New Roman"/>
                <w:b/>
                <w:color w:val="2666A3"/>
                <w:sz w:val="18"/>
                <w:szCs w:val="18"/>
              </w:rPr>
              <w:t>潜在获益药物</w:t>
            </w:r>
          </w:p>
        </w:tc>
        <w:tc>
          <w:tcPr>
            <w:tcW w:w="1191" w:type="dxa"/>
            <w:tcBorders>
              <w:tl2br w:val="nil"/>
              <w:tr2bl w:val="nil"/>
            </w:tcBorders>
            <w:shd w:val="clear" w:color="auto" w:fill="auto"/>
            <w:vAlign w:val="center"/>
          </w:tcPr>
          <w:p w14:paraId="6596F37B">
            <w:pPr>
              <w:spacing w:before="1" w:line="250" w:lineRule="auto"/>
              <w:jc w:val="center"/>
              <w:rPr>
                <w:rFonts w:ascii="Times New Roman" w:hAnsi="Times New Roman" w:cs="Times New Roman"/>
                <w:b/>
                <w:color w:val="2666A3"/>
                <w:sz w:val="18"/>
                <w:szCs w:val="18"/>
              </w:rPr>
            </w:pPr>
            <w:r>
              <w:rPr>
                <w:rFonts w:ascii="Times New Roman" w:hAnsi="Times New Roman" w:cs="Times New Roman"/>
                <w:b/>
                <w:color w:val="2666A3"/>
                <w:sz w:val="18"/>
                <w:szCs w:val="18"/>
              </w:rPr>
              <w:t>A级</w:t>
            </w:r>
          </w:p>
        </w:tc>
        <w:tc>
          <w:tcPr>
            <w:tcW w:w="8247" w:type="dxa"/>
            <w:tcBorders>
              <w:tl2br w:val="nil"/>
              <w:tr2bl w:val="nil"/>
            </w:tcBorders>
            <w:shd w:val="clear" w:color="auto" w:fill="auto"/>
            <w:vAlign w:val="center"/>
          </w:tcPr>
          <w:p w14:paraId="6B07A3C0">
            <w:pPr>
              <w:spacing w:before="1" w:line="250" w:lineRule="auto"/>
              <w:jc w:val="center"/>
              <w:rPr>
                <w:rFonts w:ascii="Times New Roman" w:hAnsi="Times New Roman" w:cs="Times New Roman"/>
                <w:b/>
                <w:color w:val="FFFFFF" w:themeColor="background1"/>
                <w:sz w:val="18"/>
                <w:szCs w:val="18"/>
                <w14:textFill>
                  <w14:solidFill>
                    <w14:schemeClr w14:val="bg1"/>
                  </w14:solidFill>
                </w14:textFill>
              </w:rPr>
            </w:pPr>
            <w:r>
              <w:rPr>
                <w:rFonts w:ascii="Times New Roman" w:hAnsi="Times New Roman" w:cs="Times New Roman"/>
                <w:sz w:val="18"/>
                <w:szCs w:val="18"/>
              </w:rPr>
              <w:t>{% if tdd.drugaStr == [] %}无{% else%}{% for d in tdd.drugaStr %}{%if loop.last%}{{ d.nameLevel }}{%else%}{{ d.nameLevel }}，{%endif%}{% endfor %}{% endif%}</w:t>
            </w:r>
          </w:p>
        </w:tc>
      </w:tr>
      <w:tr w14:paraId="6FB68C89">
        <w:trPr>
          <w:trHeight w:val="474" w:hRule="atLeast"/>
          <w:jc w:val="center"/>
        </w:trPr>
        <w:tc>
          <w:tcPr>
            <w:tcW w:w="432" w:type="dxa"/>
            <w:vMerge w:val="continue"/>
            <w:tcBorders>
              <w:tl2br w:val="nil"/>
              <w:tr2bl w:val="nil"/>
            </w:tcBorders>
            <w:shd w:val="clear" w:color="auto" w:fill="auto"/>
            <w:vAlign w:val="center"/>
          </w:tcPr>
          <w:p w14:paraId="74F7D990">
            <w:pPr>
              <w:spacing w:before="1" w:line="250" w:lineRule="auto"/>
              <w:jc w:val="center"/>
              <w:rPr>
                <w:rFonts w:ascii="Times New Roman" w:hAnsi="Times New Roman" w:cs="Times New Roman"/>
                <w:b/>
                <w:color w:val="2666A3"/>
                <w:sz w:val="18"/>
                <w:szCs w:val="18"/>
              </w:rPr>
            </w:pPr>
          </w:p>
        </w:tc>
        <w:tc>
          <w:tcPr>
            <w:tcW w:w="1191" w:type="dxa"/>
            <w:tcBorders>
              <w:tl2br w:val="nil"/>
              <w:tr2bl w:val="nil"/>
            </w:tcBorders>
            <w:shd w:val="clear" w:color="auto" w:fill="auto"/>
            <w:vAlign w:val="center"/>
          </w:tcPr>
          <w:p w14:paraId="63624FF6">
            <w:pPr>
              <w:spacing w:before="1" w:line="250" w:lineRule="auto"/>
              <w:jc w:val="center"/>
              <w:rPr>
                <w:rFonts w:ascii="Times New Roman" w:hAnsi="Times New Roman" w:cs="Times New Roman"/>
                <w:b/>
                <w:color w:val="2666A3"/>
                <w:sz w:val="18"/>
                <w:szCs w:val="18"/>
              </w:rPr>
            </w:pPr>
            <w:r>
              <w:rPr>
                <w:rFonts w:ascii="Times New Roman" w:hAnsi="Times New Roman" w:cs="Times New Roman"/>
                <w:b/>
                <w:color w:val="2666A3"/>
                <w:sz w:val="18"/>
                <w:szCs w:val="18"/>
              </w:rPr>
              <w:t>B级</w:t>
            </w:r>
          </w:p>
        </w:tc>
        <w:tc>
          <w:tcPr>
            <w:tcW w:w="8247" w:type="dxa"/>
            <w:tcBorders>
              <w:tl2br w:val="nil"/>
              <w:tr2bl w:val="nil"/>
            </w:tcBorders>
            <w:shd w:val="clear" w:color="auto" w:fill="auto"/>
            <w:vAlign w:val="center"/>
          </w:tcPr>
          <w:p w14:paraId="4DA28AE0">
            <w:pPr>
              <w:keepNext/>
              <w:spacing w:before="26"/>
              <w:jc w:val="center"/>
              <w:rPr>
                <w:rFonts w:ascii="Times New Roman" w:hAnsi="Times New Roman" w:cs="Times New Roman"/>
                <w:b/>
                <w:color w:val="FFFFFF" w:themeColor="background1"/>
                <w:sz w:val="18"/>
                <w:szCs w:val="18"/>
                <w14:textFill>
                  <w14:solidFill>
                    <w14:schemeClr w14:val="bg1"/>
                  </w14:solidFill>
                </w14:textFill>
              </w:rPr>
            </w:pPr>
            <w:r>
              <w:rPr>
                <w:rFonts w:ascii="Times New Roman" w:hAnsi="Times New Roman" w:cs="Times New Roman"/>
                <w:sz w:val="18"/>
                <w:szCs w:val="18"/>
              </w:rPr>
              <w:t>{% if tdd.drugbStr == [] %}无{% else%}{% for d in tdd.drugbStr %}{%if loop.last%}{{ d.nameLevel }}{%else%}{{ d.nameLevel }}，{%endif%}{% endfor %}{% endif%}</w:t>
            </w:r>
          </w:p>
        </w:tc>
      </w:tr>
      <w:tr w14:paraId="642D912B">
        <w:trPr>
          <w:trHeight w:val="474" w:hRule="atLeast"/>
          <w:jc w:val="center"/>
        </w:trPr>
        <w:tc>
          <w:tcPr>
            <w:tcW w:w="432" w:type="dxa"/>
            <w:vMerge w:val="continue"/>
            <w:tcBorders>
              <w:tl2br w:val="nil"/>
              <w:tr2bl w:val="nil"/>
            </w:tcBorders>
            <w:shd w:val="clear" w:color="auto" w:fill="auto"/>
            <w:vAlign w:val="center"/>
          </w:tcPr>
          <w:p w14:paraId="493A69D1">
            <w:pPr>
              <w:spacing w:before="1" w:line="250" w:lineRule="auto"/>
              <w:jc w:val="center"/>
              <w:rPr>
                <w:rFonts w:ascii="Times New Roman" w:hAnsi="Times New Roman" w:cs="Times New Roman"/>
                <w:b/>
                <w:color w:val="2666A3"/>
                <w:sz w:val="18"/>
                <w:szCs w:val="18"/>
              </w:rPr>
            </w:pPr>
          </w:p>
        </w:tc>
        <w:tc>
          <w:tcPr>
            <w:tcW w:w="1191" w:type="dxa"/>
            <w:tcBorders>
              <w:tl2br w:val="nil"/>
              <w:tr2bl w:val="nil"/>
            </w:tcBorders>
            <w:shd w:val="clear" w:color="auto" w:fill="auto"/>
            <w:vAlign w:val="center"/>
          </w:tcPr>
          <w:p w14:paraId="60FA4F1D">
            <w:pPr>
              <w:spacing w:before="1" w:line="250" w:lineRule="auto"/>
              <w:jc w:val="center"/>
              <w:rPr>
                <w:rFonts w:ascii="Times New Roman" w:hAnsi="Times New Roman" w:cs="Times New Roman"/>
                <w:b/>
                <w:color w:val="2666A3"/>
                <w:sz w:val="18"/>
                <w:szCs w:val="18"/>
              </w:rPr>
            </w:pPr>
            <w:r>
              <w:rPr>
                <w:rFonts w:ascii="Times New Roman" w:hAnsi="Times New Roman" w:cs="Times New Roman"/>
                <w:b/>
                <w:color w:val="2666A3"/>
                <w:sz w:val="18"/>
                <w:szCs w:val="18"/>
              </w:rPr>
              <w:t>C级</w:t>
            </w:r>
          </w:p>
        </w:tc>
        <w:tc>
          <w:tcPr>
            <w:tcW w:w="8247" w:type="dxa"/>
            <w:tcBorders>
              <w:tl2br w:val="nil"/>
              <w:tr2bl w:val="nil"/>
            </w:tcBorders>
            <w:shd w:val="clear" w:color="auto" w:fill="auto"/>
            <w:vAlign w:val="center"/>
          </w:tcPr>
          <w:p w14:paraId="7DBA03B7">
            <w:pPr>
              <w:keepNext/>
              <w:spacing w:before="26"/>
              <w:jc w:val="center"/>
              <w:rPr>
                <w:rFonts w:ascii="Times New Roman" w:hAnsi="Times New Roman" w:cs="Times New Roman"/>
                <w:b/>
                <w:color w:val="FFFFFF" w:themeColor="background1"/>
                <w:sz w:val="18"/>
                <w:szCs w:val="18"/>
                <w14:textFill>
                  <w14:solidFill>
                    <w14:schemeClr w14:val="bg1"/>
                  </w14:solidFill>
                </w14:textFill>
              </w:rPr>
            </w:pPr>
            <w:r>
              <w:rPr>
                <w:rFonts w:ascii="Times New Roman" w:hAnsi="Times New Roman" w:cs="Times New Roman"/>
                <w:sz w:val="18"/>
                <w:szCs w:val="18"/>
              </w:rPr>
              <w:t>{% if tdd.drugcStr == [] %}无{% else%}{% for d in tdd.drugcStr %}{%if loop.last%}{{ d.nameLevel }}{%else%}{{ d.nameLevel }}，{%endif%}{% endfor %}{% endif%}</w:t>
            </w:r>
          </w:p>
        </w:tc>
      </w:tr>
      <w:tr w14:paraId="1B3BF832">
        <w:trPr>
          <w:trHeight w:val="474" w:hRule="atLeast"/>
          <w:jc w:val="center"/>
        </w:trPr>
        <w:tc>
          <w:tcPr>
            <w:tcW w:w="432" w:type="dxa"/>
            <w:vMerge w:val="continue"/>
            <w:tcBorders>
              <w:tl2br w:val="nil"/>
              <w:tr2bl w:val="nil"/>
            </w:tcBorders>
            <w:shd w:val="clear" w:color="auto" w:fill="auto"/>
            <w:vAlign w:val="center"/>
          </w:tcPr>
          <w:p w14:paraId="43270B0B">
            <w:pPr>
              <w:spacing w:before="1" w:line="250" w:lineRule="auto"/>
              <w:jc w:val="center"/>
              <w:rPr>
                <w:rFonts w:ascii="Times New Roman" w:hAnsi="Times New Roman" w:cs="Times New Roman"/>
                <w:b/>
                <w:color w:val="2666A3"/>
                <w:sz w:val="18"/>
                <w:szCs w:val="18"/>
              </w:rPr>
            </w:pPr>
          </w:p>
        </w:tc>
        <w:tc>
          <w:tcPr>
            <w:tcW w:w="1191" w:type="dxa"/>
            <w:tcBorders>
              <w:tl2br w:val="nil"/>
              <w:tr2bl w:val="nil"/>
            </w:tcBorders>
            <w:shd w:val="clear" w:color="auto" w:fill="auto"/>
            <w:vAlign w:val="center"/>
          </w:tcPr>
          <w:p w14:paraId="4BDF7877">
            <w:pPr>
              <w:spacing w:before="1" w:line="250" w:lineRule="auto"/>
              <w:jc w:val="center"/>
              <w:rPr>
                <w:rFonts w:ascii="Times New Roman" w:hAnsi="Times New Roman" w:cs="Times New Roman"/>
                <w:b/>
                <w:color w:val="2666A3"/>
                <w:sz w:val="18"/>
                <w:szCs w:val="18"/>
              </w:rPr>
            </w:pPr>
            <w:r>
              <w:rPr>
                <w:rFonts w:ascii="Times New Roman" w:hAnsi="Times New Roman" w:cs="Times New Roman"/>
                <w:b/>
                <w:color w:val="2666A3"/>
                <w:sz w:val="18"/>
                <w:szCs w:val="18"/>
              </w:rPr>
              <w:t>D级</w:t>
            </w:r>
          </w:p>
        </w:tc>
        <w:tc>
          <w:tcPr>
            <w:tcW w:w="8247" w:type="dxa"/>
            <w:tcBorders>
              <w:tl2br w:val="nil"/>
              <w:tr2bl w:val="nil"/>
            </w:tcBorders>
            <w:shd w:val="clear" w:color="auto" w:fill="auto"/>
            <w:vAlign w:val="center"/>
          </w:tcPr>
          <w:p w14:paraId="571D5468">
            <w:pPr>
              <w:keepNext/>
              <w:spacing w:before="26"/>
              <w:jc w:val="center"/>
              <w:rPr>
                <w:rFonts w:ascii="Times New Roman" w:hAnsi="Times New Roman" w:cs="Times New Roman"/>
                <w:b/>
                <w:color w:val="FFFFFF" w:themeColor="background1"/>
                <w:sz w:val="18"/>
                <w:szCs w:val="18"/>
                <w14:textFill>
                  <w14:solidFill>
                    <w14:schemeClr w14:val="bg1"/>
                  </w14:solidFill>
                </w14:textFill>
              </w:rPr>
            </w:pPr>
            <w:r>
              <w:rPr>
                <w:rFonts w:ascii="Times New Roman" w:hAnsi="Times New Roman" w:cs="Times New Roman"/>
                <w:sz w:val="18"/>
                <w:szCs w:val="18"/>
              </w:rPr>
              <w:t>{% if tdd.drugdStr == [] %}无{% else%}{% for d in tdd.drugdStr %}{%if loop.last%}{{ d.nameLevel }}{%else%}{{ d.nameLevel }}，{%endif%}{% endfor %}{% endif%}</w:t>
            </w:r>
          </w:p>
        </w:tc>
      </w:tr>
      <w:tr w14:paraId="3AFE7E04">
        <w:trPr>
          <w:trHeight w:val="474" w:hRule="atLeast"/>
          <w:jc w:val="center"/>
        </w:trPr>
        <w:tc>
          <w:tcPr>
            <w:tcW w:w="432" w:type="dxa"/>
            <w:vMerge w:val="restart"/>
            <w:tcBorders>
              <w:tl2br w:val="nil"/>
              <w:tr2bl w:val="nil"/>
            </w:tcBorders>
            <w:shd w:val="clear" w:color="auto" w:fill="auto"/>
            <w:vAlign w:val="center"/>
          </w:tcPr>
          <w:p w14:paraId="66AD448B">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潜在耐药信息</w:t>
            </w:r>
          </w:p>
        </w:tc>
        <w:tc>
          <w:tcPr>
            <w:tcW w:w="1191" w:type="dxa"/>
            <w:tcBorders>
              <w:tl2br w:val="nil"/>
              <w:tr2bl w:val="nil"/>
            </w:tcBorders>
            <w:shd w:val="clear" w:color="auto" w:fill="auto"/>
            <w:vAlign w:val="center"/>
          </w:tcPr>
          <w:p w14:paraId="202B730C">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A级</w:t>
            </w:r>
          </w:p>
        </w:tc>
        <w:tc>
          <w:tcPr>
            <w:tcW w:w="8247" w:type="dxa"/>
            <w:tcBorders>
              <w:tl2br w:val="nil"/>
              <w:tr2bl w:val="nil"/>
            </w:tcBorders>
            <w:shd w:val="clear" w:color="auto" w:fill="auto"/>
            <w:vAlign w:val="center"/>
          </w:tcPr>
          <w:p w14:paraId="3DE95213">
            <w:pPr>
              <w:keepNext/>
              <w:spacing w:before="26"/>
              <w:jc w:val="center"/>
              <w:rPr>
                <w:rFonts w:ascii="Times New Roman" w:hAnsi="Times New Roman" w:cs="Times New Roman"/>
                <w:sz w:val="18"/>
                <w:szCs w:val="18"/>
              </w:rPr>
            </w:pPr>
            <w:r>
              <w:rPr>
                <w:rFonts w:ascii="Times New Roman" w:hAnsi="Times New Roman" w:cs="Times New Roman"/>
                <w:sz w:val="18"/>
                <w:szCs w:val="18"/>
              </w:rPr>
              <w:t>{% if tdd.resistantaStr == [] %}无{% else%}{% for d in tdd.resistantaStr %}{%if loop.last%}{{ d.nameLevel }}{%else%}{{ d.nameLevel }}，{%endif%}{% endfor %}{% endif%}</w:t>
            </w:r>
          </w:p>
        </w:tc>
      </w:tr>
      <w:tr w14:paraId="65B6E516">
        <w:trPr>
          <w:trHeight w:val="474" w:hRule="atLeast"/>
          <w:jc w:val="center"/>
        </w:trPr>
        <w:tc>
          <w:tcPr>
            <w:tcW w:w="432" w:type="dxa"/>
            <w:vMerge w:val="continue"/>
            <w:tcBorders>
              <w:tl2br w:val="nil"/>
              <w:tr2bl w:val="nil"/>
            </w:tcBorders>
            <w:shd w:val="clear" w:color="auto" w:fill="auto"/>
            <w:vAlign w:val="center"/>
          </w:tcPr>
          <w:p w14:paraId="5035347F">
            <w:pPr>
              <w:keepNext/>
              <w:spacing w:before="26"/>
              <w:jc w:val="center"/>
              <w:rPr>
                <w:rFonts w:ascii="Times New Roman" w:hAnsi="Times New Roman" w:cs="Times New Roman"/>
                <w:b/>
                <w:color w:val="2666A3"/>
                <w:sz w:val="18"/>
                <w:szCs w:val="18"/>
              </w:rPr>
            </w:pPr>
          </w:p>
        </w:tc>
        <w:tc>
          <w:tcPr>
            <w:tcW w:w="1191" w:type="dxa"/>
            <w:tcBorders>
              <w:tl2br w:val="nil"/>
              <w:tr2bl w:val="nil"/>
            </w:tcBorders>
            <w:shd w:val="clear" w:color="auto" w:fill="auto"/>
            <w:vAlign w:val="center"/>
          </w:tcPr>
          <w:p w14:paraId="242BCC32">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B级</w:t>
            </w:r>
          </w:p>
        </w:tc>
        <w:tc>
          <w:tcPr>
            <w:tcW w:w="8247" w:type="dxa"/>
            <w:tcBorders>
              <w:tl2br w:val="nil"/>
              <w:tr2bl w:val="nil"/>
            </w:tcBorders>
            <w:shd w:val="clear" w:color="auto" w:fill="auto"/>
            <w:vAlign w:val="center"/>
          </w:tcPr>
          <w:p w14:paraId="3F456EC2">
            <w:pPr>
              <w:keepNext/>
              <w:spacing w:before="26"/>
              <w:jc w:val="center"/>
              <w:rPr>
                <w:rFonts w:ascii="Times New Roman" w:hAnsi="Times New Roman" w:cs="Times New Roman"/>
                <w:sz w:val="18"/>
                <w:szCs w:val="18"/>
              </w:rPr>
            </w:pPr>
            <w:r>
              <w:rPr>
                <w:rFonts w:ascii="Times New Roman" w:hAnsi="Times New Roman" w:cs="Times New Roman"/>
                <w:sz w:val="18"/>
                <w:szCs w:val="18"/>
              </w:rPr>
              <w:t>{% if tdd.resistantbStr == [] %}无{% else%}{% for d in tdd.resistantbStr %}{%if loop.last%}{{ d.nameLevel }}{%else%}{{ d.nameLevel }}，{%endif%}{% endfor %}{% endif%}</w:t>
            </w:r>
          </w:p>
        </w:tc>
      </w:tr>
      <w:tr w14:paraId="3F90CA7B">
        <w:trPr>
          <w:trHeight w:val="474" w:hRule="atLeast"/>
          <w:jc w:val="center"/>
        </w:trPr>
        <w:tc>
          <w:tcPr>
            <w:tcW w:w="432" w:type="dxa"/>
            <w:vMerge w:val="continue"/>
            <w:tcBorders>
              <w:tl2br w:val="nil"/>
              <w:tr2bl w:val="nil"/>
            </w:tcBorders>
            <w:shd w:val="clear" w:color="auto" w:fill="auto"/>
            <w:vAlign w:val="center"/>
          </w:tcPr>
          <w:p w14:paraId="347F6A50">
            <w:pPr>
              <w:keepNext/>
              <w:spacing w:before="26"/>
              <w:jc w:val="center"/>
              <w:rPr>
                <w:rFonts w:ascii="Times New Roman" w:hAnsi="Times New Roman" w:cs="Times New Roman"/>
                <w:b/>
                <w:color w:val="2666A3"/>
                <w:sz w:val="18"/>
                <w:szCs w:val="18"/>
              </w:rPr>
            </w:pPr>
          </w:p>
        </w:tc>
        <w:tc>
          <w:tcPr>
            <w:tcW w:w="1191" w:type="dxa"/>
            <w:tcBorders>
              <w:tl2br w:val="nil"/>
              <w:tr2bl w:val="nil"/>
            </w:tcBorders>
            <w:shd w:val="clear" w:color="auto" w:fill="auto"/>
            <w:vAlign w:val="center"/>
          </w:tcPr>
          <w:p w14:paraId="171E596E">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C级</w:t>
            </w:r>
          </w:p>
        </w:tc>
        <w:tc>
          <w:tcPr>
            <w:tcW w:w="8247" w:type="dxa"/>
            <w:tcBorders>
              <w:tl2br w:val="nil"/>
              <w:tr2bl w:val="nil"/>
            </w:tcBorders>
            <w:shd w:val="clear" w:color="auto" w:fill="auto"/>
            <w:vAlign w:val="center"/>
          </w:tcPr>
          <w:p w14:paraId="025986B0">
            <w:pPr>
              <w:keepNext/>
              <w:spacing w:before="26"/>
              <w:jc w:val="center"/>
              <w:rPr>
                <w:rFonts w:ascii="Times New Roman" w:hAnsi="Times New Roman" w:cs="Times New Roman"/>
                <w:sz w:val="18"/>
                <w:szCs w:val="18"/>
              </w:rPr>
            </w:pPr>
            <w:r>
              <w:rPr>
                <w:rFonts w:ascii="Times New Roman" w:hAnsi="Times New Roman" w:cs="Times New Roman"/>
                <w:sz w:val="18"/>
                <w:szCs w:val="18"/>
              </w:rPr>
              <w:t>{% if tdd.resistantcStr == [] %}无{% else%}{% for d in tdd.resistantcStr %}{%if loop.last%}{{ d.nameLevel }}{%else%}{{ d.nameLevel }}，{%endif%}{% endfor %}{% endif%}</w:t>
            </w:r>
          </w:p>
        </w:tc>
      </w:tr>
      <w:tr w14:paraId="760AA451">
        <w:trPr>
          <w:trHeight w:val="474" w:hRule="atLeast"/>
          <w:jc w:val="center"/>
        </w:trPr>
        <w:tc>
          <w:tcPr>
            <w:tcW w:w="432" w:type="dxa"/>
            <w:vMerge w:val="continue"/>
            <w:tcBorders>
              <w:tl2br w:val="nil"/>
              <w:tr2bl w:val="nil"/>
            </w:tcBorders>
            <w:shd w:val="clear" w:color="auto" w:fill="auto"/>
            <w:vAlign w:val="center"/>
          </w:tcPr>
          <w:p w14:paraId="30B4A189">
            <w:pPr>
              <w:keepNext/>
              <w:spacing w:before="26"/>
              <w:jc w:val="center"/>
              <w:rPr>
                <w:rFonts w:ascii="Times New Roman" w:hAnsi="Times New Roman" w:cs="Times New Roman"/>
                <w:b/>
                <w:color w:val="2666A3"/>
                <w:sz w:val="18"/>
                <w:szCs w:val="18"/>
              </w:rPr>
            </w:pPr>
          </w:p>
        </w:tc>
        <w:tc>
          <w:tcPr>
            <w:tcW w:w="1191" w:type="dxa"/>
            <w:tcBorders>
              <w:tl2br w:val="nil"/>
              <w:tr2bl w:val="nil"/>
            </w:tcBorders>
            <w:shd w:val="clear" w:color="auto" w:fill="auto"/>
            <w:vAlign w:val="center"/>
          </w:tcPr>
          <w:p w14:paraId="1CA5CEE0">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D级</w:t>
            </w:r>
          </w:p>
        </w:tc>
        <w:tc>
          <w:tcPr>
            <w:tcW w:w="8247" w:type="dxa"/>
            <w:tcBorders>
              <w:tl2br w:val="nil"/>
              <w:tr2bl w:val="nil"/>
            </w:tcBorders>
            <w:shd w:val="clear" w:color="auto" w:fill="auto"/>
            <w:vAlign w:val="center"/>
          </w:tcPr>
          <w:p w14:paraId="1FFE3381">
            <w:pPr>
              <w:keepNext/>
              <w:spacing w:before="26"/>
              <w:jc w:val="center"/>
              <w:rPr>
                <w:rFonts w:ascii="Times New Roman" w:hAnsi="Times New Roman" w:cs="Times New Roman"/>
                <w:sz w:val="18"/>
                <w:szCs w:val="18"/>
              </w:rPr>
            </w:pPr>
            <w:r>
              <w:rPr>
                <w:rFonts w:ascii="Times New Roman" w:hAnsi="Times New Roman" w:cs="Times New Roman"/>
                <w:sz w:val="18"/>
                <w:szCs w:val="18"/>
              </w:rPr>
              <w:t>{% if tdd.resistantdStr == [] %}无{% else%}{% for d in tdd.resistantdStr %}{%if loop.last%}{{ d.nameLevel }}{%else%}{{ d.nameLevel }}，{%endif%}{% endfor %}{% endif%}</w:t>
            </w:r>
          </w:p>
        </w:tc>
      </w:tr>
      <w:tr w14:paraId="1977B8D4">
        <w:trPr>
          <w:jc w:val="center"/>
        </w:trPr>
        <w:tc>
          <w:tcPr>
            <w:tcW w:w="1623" w:type="dxa"/>
            <w:gridSpan w:val="2"/>
            <w:tcBorders>
              <w:tl2br w:val="nil"/>
              <w:tr2bl w:val="nil"/>
            </w:tcBorders>
            <w:shd w:val="clear" w:color="auto" w:fill="auto"/>
            <w:vAlign w:val="center"/>
          </w:tcPr>
          <w:p w14:paraId="114EAA12">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基因突变相关说明</w:t>
            </w:r>
          </w:p>
        </w:tc>
        <w:tc>
          <w:tcPr>
            <w:tcW w:w="8247" w:type="dxa"/>
            <w:tcBorders>
              <w:tl2br w:val="nil"/>
              <w:tr2bl w:val="nil"/>
            </w:tcBorders>
            <w:vAlign w:val="center"/>
          </w:tcPr>
          <w:p w14:paraId="11DF24B9">
            <w:pPr>
              <w:keepNext/>
              <w:spacing w:before="26"/>
              <w:rPr>
                <w:rFonts w:ascii="Times New Roman" w:hAnsi="Times New Roman" w:cs="Times New Roman"/>
                <w:sz w:val="18"/>
                <w:szCs w:val="18"/>
              </w:rPr>
            </w:pPr>
            <w:r>
              <w:rPr>
                <w:rFonts w:ascii="Times New Roman" w:hAnsi="Times New Roman" w:cs="Times New Roman"/>
                <w:sz w:val="18"/>
                <w:szCs w:val="18"/>
              </w:rPr>
              <w:t>{% for md in tdd.medicationDescription %}{% if md.key == '突变说明:' %}</w:t>
            </w:r>
            <w:r>
              <w:rPr>
                <w:rFonts w:ascii="Times New Roman" w:hAnsi="Times New Roman" w:cs="Times New Roman"/>
                <w:b/>
                <w:bCs/>
                <w:sz w:val="18"/>
                <w:szCs w:val="18"/>
              </w:rPr>
              <w:t>{{md.key}}</w:t>
            </w:r>
            <w:r>
              <w:rPr>
                <w:rFonts w:ascii="Times New Roman" w:hAnsi="Times New Roman" w:cs="Times New Roman"/>
                <w:sz w:val="18"/>
                <w:szCs w:val="18"/>
              </w:rPr>
              <w:t>{{md.value}}{% elif md.value == '' %}{% else%}</w:t>
            </w:r>
            <w:r>
              <w:rPr>
                <w:rFonts w:ascii="Times New Roman" w:hAnsi="Times New Roman" w:cs="Times New Roman"/>
                <w:b/>
                <w:bCs/>
                <w:sz w:val="18"/>
                <w:szCs w:val="18"/>
              </w:rPr>
              <w:t>{{md.key}}</w:t>
            </w:r>
            <w:r>
              <w:rPr>
                <w:rFonts w:ascii="Times New Roman" w:hAnsi="Times New Roman" w:cs="Times New Roman"/>
                <w:sz w:val="18"/>
                <w:szCs w:val="18"/>
              </w:rPr>
              <w:t>{{md.value}}</w:t>
            </w:r>
          </w:p>
          <w:p w14:paraId="389078D1">
            <w:pPr>
              <w:keepNext/>
              <w:spacing w:before="26"/>
              <w:rPr>
                <w:rFonts w:ascii="Times New Roman" w:hAnsi="Times New Roman" w:cs="Times New Roman"/>
                <w:sz w:val="18"/>
                <w:szCs w:val="18"/>
              </w:rPr>
            </w:pPr>
            <w:r>
              <w:rPr>
                <w:rFonts w:ascii="Times New Roman" w:hAnsi="Times New Roman" w:cs="Times New Roman"/>
                <w:sz w:val="18"/>
                <w:szCs w:val="18"/>
              </w:rPr>
              <w:t>{% endif %}{% endfor %}</w:t>
            </w:r>
          </w:p>
        </w:tc>
      </w:tr>
    </w:tbl>
    <w:p w14:paraId="20FA5AC2">
      <w:pPr>
        <w:spacing w:before="26"/>
        <w:rPr>
          <w:rFonts w:ascii="Times New Roman" w:hAnsi="Times New Roman" w:cs="Times New Roman"/>
          <w:b/>
          <w:color w:val="2666A3"/>
          <w:sz w:val="24"/>
          <w:szCs w:val="24"/>
        </w:rPr>
      </w:pPr>
      <w:r>
        <w:rPr>
          <w:rFonts w:ascii="Times New Roman" w:hAnsi="Times New Roman" w:cs="Times New Roman"/>
          <w:b/>
          <w:color w:val="2666A3"/>
          <w:sz w:val="24"/>
          <w:szCs w:val="24"/>
        </w:rPr>
        <w:t>{%if tdd.drugResearchList != [] %}</w:t>
      </w:r>
    </w:p>
    <w:p w14:paraId="3F7891BA">
      <w:pPr>
        <w:keepNext/>
        <w:spacing w:before="26"/>
        <w:rPr>
          <w:rFonts w:ascii="Times New Roman" w:hAnsi="Times New Roman" w:cs="Times New Roman"/>
          <w:b/>
          <w:color w:val="1F497D"/>
          <w:sz w:val="24"/>
        </w:rPr>
      </w:pPr>
      <w:r>
        <w:rPr>
          <w:rFonts w:ascii="Times New Roman" w:hAnsi="Times New Roman" w:cs="Times New Roman"/>
          <w:b/>
          <w:color w:val="1F497D"/>
          <w:sz w:val="24"/>
        </w:rPr>
        <w:t>潜在受益药物研究信息：</w:t>
      </w:r>
    </w:p>
    <w:tbl>
      <w:tblPr>
        <w:tblStyle w:val="19"/>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526"/>
        <w:gridCol w:w="1417"/>
        <w:gridCol w:w="1232"/>
        <w:gridCol w:w="5695"/>
      </w:tblGrid>
      <w:tr w14:paraId="5D3C19C9">
        <w:trPr>
          <w:trHeight w:val="417" w:hRule="atLeast"/>
          <w:jc w:val="center"/>
        </w:trPr>
        <w:tc>
          <w:tcPr>
            <w:tcW w:w="1526" w:type="dxa"/>
            <w:tcBorders>
              <w:tl2br w:val="nil"/>
              <w:tr2bl w:val="nil"/>
            </w:tcBorders>
            <w:shd w:val="clear" w:color="auto" w:fill="auto"/>
            <w:vAlign w:val="center"/>
          </w:tcPr>
          <w:p w14:paraId="0F7B70D4">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药物名称</w:t>
            </w:r>
          </w:p>
        </w:tc>
        <w:tc>
          <w:tcPr>
            <w:tcW w:w="1417" w:type="dxa"/>
            <w:tcBorders>
              <w:tl2br w:val="nil"/>
              <w:tr2bl w:val="nil"/>
            </w:tcBorders>
            <w:shd w:val="clear" w:color="auto" w:fill="auto"/>
            <w:vAlign w:val="center"/>
          </w:tcPr>
          <w:p w14:paraId="0DA429D8">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相关疾病</w:t>
            </w:r>
          </w:p>
        </w:tc>
        <w:tc>
          <w:tcPr>
            <w:tcW w:w="1232" w:type="dxa"/>
            <w:tcBorders>
              <w:tl2br w:val="nil"/>
              <w:tr2bl w:val="nil"/>
            </w:tcBorders>
            <w:shd w:val="clear" w:color="auto" w:fill="auto"/>
            <w:vAlign w:val="center"/>
          </w:tcPr>
          <w:p w14:paraId="6DE5F91D">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证据等级</w:t>
            </w:r>
          </w:p>
        </w:tc>
        <w:tc>
          <w:tcPr>
            <w:tcW w:w="5695" w:type="dxa"/>
            <w:tcBorders>
              <w:tl2br w:val="nil"/>
              <w:tr2bl w:val="nil"/>
            </w:tcBorders>
            <w:shd w:val="clear" w:color="auto" w:fill="auto"/>
            <w:vAlign w:val="center"/>
          </w:tcPr>
          <w:p w14:paraId="2A92CFD6">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循证医学信息</w:t>
            </w:r>
          </w:p>
        </w:tc>
      </w:tr>
      <w:tr w14:paraId="152D17DD">
        <w:trPr>
          <w:trHeight w:val="494" w:hRule="atLeast"/>
          <w:jc w:val="center"/>
        </w:trPr>
        <w:tc>
          <w:tcPr>
            <w:tcW w:w="9870" w:type="dxa"/>
            <w:gridSpan w:val="4"/>
            <w:tcBorders>
              <w:tl2br w:val="nil"/>
              <w:tr2bl w:val="nil"/>
            </w:tcBorders>
            <w:vAlign w:val="center"/>
          </w:tcPr>
          <w:p w14:paraId="65B61413">
            <w:pPr>
              <w:keepNext/>
              <w:spacing w:before="26"/>
              <w:jc w:val="center"/>
              <w:rPr>
                <w:rFonts w:ascii="Times New Roman" w:hAnsi="Times New Roman" w:cs="Times New Roman"/>
                <w:bCs/>
                <w:sz w:val="18"/>
                <w:szCs w:val="18"/>
                <w:highlight w:val="yellow"/>
              </w:rPr>
            </w:pPr>
            <w:r>
              <w:rPr>
                <w:rFonts w:ascii="Times New Roman" w:hAnsi="Times New Roman" w:cs="Times New Roman"/>
                <w:b/>
                <w:color w:val="2666A3"/>
                <w:sz w:val="18"/>
                <w:szCs w:val="18"/>
              </w:rPr>
              <w:t>{%tr for dis in tdd.drugResearchList %}</w:t>
            </w:r>
          </w:p>
        </w:tc>
      </w:tr>
      <w:tr w14:paraId="5F29D970">
        <w:trPr>
          <w:trHeight w:val="494" w:hRule="atLeast"/>
          <w:jc w:val="center"/>
        </w:trPr>
        <w:tc>
          <w:tcPr>
            <w:tcW w:w="1526" w:type="dxa"/>
            <w:tcBorders>
              <w:tl2br w:val="nil"/>
              <w:tr2bl w:val="nil"/>
            </w:tcBorders>
            <w:vAlign w:val="center"/>
          </w:tcPr>
          <w:p w14:paraId="7DF92F88">
            <w:pPr>
              <w:spacing w:before="1" w:line="249" w:lineRule="auto"/>
              <w:ind w:right="131"/>
              <w:jc w:val="center"/>
              <w:rPr>
                <w:rFonts w:ascii="Times New Roman" w:hAnsi="Times New Roman" w:cs="Times New Roman"/>
                <w:b/>
                <w:sz w:val="18"/>
                <w:szCs w:val="18"/>
                <w:highlight w:val="yellow"/>
              </w:rPr>
            </w:pPr>
            <w:r>
              <w:rPr>
                <w:rFonts w:ascii="Times New Roman" w:hAnsi="Times New Roman" w:cs="Times New Roman"/>
                <w:sz w:val="18"/>
                <w:szCs w:val="18"/>
              </w:rPr>
              <w:t>{{</w:t>
            </w:r>
            <w:r>
              <w:rPr>
                <w:rFonts w:ascii="Times New Roman" w:hAnsi="Times New Roman" w:cs="Times New Roman"/>
                <w:bCs/>
                <w:sz w:val="18"/>
                <w:szCs w:val="18"/>
              </w:rPr>
              <w:t>dis.drug_name_chinese3</w:t>
            </w:r>
            <w:r>
              <w:rPr>
                <w:rFonts w:ascii="Times New Roman" w:hAnsi="Times New Roman" w:cs="Times New Roman"/>
                <w:sz w:val="18"/>
                <w:szCs w:val="18"/>
              </w:rPr>
              <w:t xml:space="preserve"> }}</w:t>
            </w:r>
          </w:p>
        </w:tc>
        <w:tc>
          <w:tcPr>
            <w:tcW w:w="1417" w:type="dxa"/>
            <w:tcBorders>
              <w:tl2br w:val="nil"/>
              <w:tr2bl w:val="nil"/>
            </w:tcBorders>
            <w:vAlign w:val="center"/>
          </w:tcPr>
          <w:p w14:paraId="5BA161BA">
            <w:pPr>
              <w:keepNext/>
              <w:spacing w:before="26"/>
              <w:jc w:val="center"/>
              <w:rPr>
                <w:rFonts w:ascii="Times New Roman" w:hAnsi="Times New Roman" w:cs="Times New Roman"/>
                <w:bCs/>
                <w:sz w:val="18"/>
                <w:szCs w:val="18"/>
                <w:highlight w:val="yellow"/>
              </w:rPr>
            </w:pPr>
            <w:r>
              <w:rPr>
                <w:rFonts w:ascii="Times New Roman" w:hAnsi="Times New Roman" w:cs="Times New Roman"/>
                <w:sz w:val="18"/>
                <w:szCs w:val="18"/>
              </w:rPr>
              <w:t>{{dis.</w:t>
            </w:r>
            <w:r>
              <w:rPr>
                <w:rFonts w:ascii="Times New Roman" w:hAnsi="Times New Roman" w:cs="Times New Roman"/>
                <w:bCs/>
                <w:sz w:val="18"/>
                <w:szCs w:val="18"/>
              </w:rPr>
              <w:t>disease_name_chinese</w:t>
            </w:r>
            <w:r>
              <w:rPr>
                <w:rFonts w:ascii="Times New Roman" w:hAnsi="Times New Roman" w:cs="Times New Roman"/>
                <w:sz w:val="18"/>
                <w:szCs w:val="18"/>
              </w:rPr>
              <w:t>}}</w:t>
            </w:r>
          </w:p>
        </w:tc>
        <w:tc>
          <w:tcPr>
            <w:tcW w:w="1232" w:type="dxa"/>
            <w:tcBorders>
              <w:tl2br w:val="nil"/>
              <w:tr2bl w:val="nil"/>
            </w:tcBorders>
            <w:vAlign w:val="center"/>
          </w:tcPr>
          <w:p w14:paraId="592EF702">
            <w:pPr>
              <w:keepNext/>
              <w:spacing w:before="26"/>
              <w:jc w:val="center"/>
              <w:rPr>
                <w:rFonts w:ascii="Times New Roman" w:hAnsi="Times New Roman" w:cs="Times New Roman"/>
                <w:bCs/>
                <w:sz w:val="18"/>
                <w:szCs w:val="18"/>
                <w:highlight w:val="yellow"/>
              </w:rPr>
            </w:pPr>
            <w:r>
              <w:rPr>
                <w:rFonts w:ascii="Times New Roman" w:hAnsi="Times New Roman" w:cs="Times New Roman"/>
                <w:sz w:val="18"/>
                <w:szCs w:val="18"/>
              </w:rPr>
              <w:t>{{</w:t>
            </w:r>
            <w:r>
              <w:rPr>
                <w:rFonts w:ascii="Times New Roman" w:hAnsi="Times New Roman" w:cs="Times New Roman"/>
                <w:bCs/>
                <w:sz w:val="18"/>
                <w:szCs w:val="18"/>
              </w:rPr>
              <w:t>dis.evidence_phase_chinese</w:t>
            </w:r>
            <w:r>
              <w:rPr>
                <w:rFonts w:ascii="Times New Roman" w:hAnsi="Times New Roman" w:cs="Times New Roman"/>
                <w:sz w:val="18"/>
                <w:szCs w:val="18"/>
              </w:rPr>
              <w:t>}}</w:t>
            </w:r>
          </w:p>
        </w:tc>
        <w:tc>
          <w:tcPr>
            <w:tcW w:w="5695" w:type="dxa"/>
            <w:tcBorders>
              <w:tl2br w:val="nil"/>
              <w:tr2bl w:val="nil"/>
            </w:tcBorders>
            <w:vAlign w:val="center"/>
          </w:tcPr>
          <w:p w14:paraId="79C6EAC7">
            <w:pPr>
              <w:keepNext/>
              <w:spacing w:before="26"/>
              <w:jc w:val="center"/>
              <w:rPr>
                <w:rFonts w:ascii="Times New Roman" w:hAnsi="Times New Roman" w:cs="Times New Roman"/>
                <w:bCs/>
                <w:sz w:val="18"/>
                <w:szCs w:val="18"/>
                <w:highlight w:val="yellow"/>
              </w:rPr>
            </w:pPr>
            <w:r>
              <w:rPr>
                <w:rFonts w:ascii="Times New Roman" w:hAnsi="Times New Roman" w:cs="Times New Roman"/>
                <w:sz w:val="18"/>
                <w:szCs w:val="18"/>
              </w:rPr>
              <w:t>{{</w:t>
            </w:r>
            <w:r>
              <w:rPr>
                <w:rFonts w:ascii="Times New Roman" w:hAnsi="Times New Roman" w:cs="Times New Roman"/>
                <w:bCs/>
                <w:sz w:val="18"/>
                <w:szCs w:val="18"/>
              </w:rPr>
              <w:t>dis.annotation_chinese</w:t>
            </w:r>
            <w:r>
              <w:rPr>
                <w:rFonts w:ascii="Times New Roman" w:hAnsi="Times New Roman" w:cs="Times New Roman"/>
                <w:sz w:val="18"/>
                <w:szCs w:val="18"/>
              </w:rPr>
              <w:t>}}</w:t>
            </w:r>
          </w:p>
        </w:tc>
      </w:tr>
      <w:tr w14:paraId="6379543E">
        <w:trPr>
          <w:trHeight w:val="494" w:hRule="atLeast"/>
          <w:jc w:val="center"/>
        </w:trPr>
        <w:tc>
          <w:tcPr>
            <w:tcW w:w="9870" w:type="dxa"/>
            <w:gridSpan w:val="4"/>
            <w:tcBorders>
              <w:tl2br w:val="nil"/>
              <w:tr2bl w:val="nil"/>
            </w:tcBorders>
            <w:vAlign w:val="center"/>
          </w:tcPr>
          <w:p w14:paraId="63879559">
            <w:pPr>
              <w:keepNext/>
              <w:spacing w:before="26"/>
              <w:jc w:val="center"/>
              <w:rPr>
                <w:rFonts w:ascii="Times New Roman" w:hAnsi="Times New Roman" w:cs="Times New Roman"/>
                <w:bCs/>
                <w:sz w:val="18"/>
                <w:szCs w:val="18"/>
              </w:rPr>
            </w:pPr>
            <w:r>
              <w:rPr>
                <w:rFonts w:ascii="Times New Roman" w:hAnsi="Times New Roman" w:cs="Times New Roman"/>
                <w:b/>
                <w:color w:val="2666A3"/>
                <w:sz w:val="18"/>
                <w:szCs w:val="18"/>
              </w:rPr>
              <w:t>{%tr endfor %}</w:t>
            </w:r>
          </w:p>
        </w:tc>
      </w:tr>
    </w:tbl>
    <w:p w14:paraId="40A1B15B">
      <w:pPr>
        <w:spacing w:before="26"/>
        <w:rPr>
          <w:rFonts w:ascii="Times New Roman" w:hAnsi="Times New Roman" w:cs="Times New Roman"/>
          <w:b/>
          <w:color w:val="2666A3"/>
          <w:sz w:val="24"/>
          <w:szCs w:val="24"/>
        </w:rPr>
      </w:pPr>
      <w:r>
        <w:rPr>
          <w:rFonts w:ascii="Times New Roman" w:hAnsi="Times New Roman" w:cs="Times New Roman"/>
          <w:b/>
          <w:color w:val="2666A3"/>
          <w:sz w:val="24"/>
          <w:szCs w:val="24"/>
        </w:rPr>
        <w:t>{% endif %}{%if tdd.potentialDrugList != [] %}</w:t>
      </w:r>
    </w:p>
    <w:p w14:paraId="161DB9F1">
      <w:pPr>
        <w:keepNext/>
        <w:spacing w:before="26"/>
        <w:rPr>
          <w:rFonts w:ascii="Times New Roman" w:hAnsi="Times New Roman" w:cs="Times New Roman"/>
          <w:b/>
          <w:color w:val="1F497D"/>
          <w:sz w:val="24"/>
        </w:rPr>
      </w:pPr>
      <w:r>
        <w:rPr>
          <w:rFonts w:ascii="Times New Roman" w:hAnsi="Times New Roman" w:cs="Times New Roman"/>
          <w:b/>
          <w:color w:val="1F497D"/>
          <w:sz w:val="24"/>
        </w:rPr>
        <w:t>潜在耐药研究信息：</w:t>
      </w:r>
    </w:p>
    <w:tbl>
      <w:tblPr>
        <w:tblStyle w:val="19"/>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526"/>
        <w:gridCol w:w="1417"/>
        <w:gridCol w:w="1261"/>
        <w:gridCol w:w="5666"/>
      </w:tblGrid>
      <w:tr w14:paraId="1A731C04">
        <w:trPr>
          <w:trHeight w:val="417" w:hRule="atLeast"/>
          <w:jc w:val="center"/>
        </w:trPr>
        <w:tc>
          <w:tcPr>
            <w:tcW w:w="1526" w:type="dxa"/>
            <w:tcBorders>
              <w:tl2br w:val="nil"/>
              <w:tr2bl w:val="nil"/>
            </w:tcBorders>
            <w:shd w:val="clear" w:color="auto" w:fill="auto"/>
            <w:vAlign w:val="center"/>
          </w:tcPr>
          <w:p w14:paraId="0D7309C7">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药物名称</w:t>
            </w:r>
          </w:p>
        </w:tc>
        <w:tc>
          <w:tcPr>
            <w:tcW w:w="1417" w:type="dxa"/>
            <w:tcBorders>
              <w:tl2br w:val="nil"/>
              <w:tr2bl w:val="nil"/>
            </w:tcBorders>
            <w:shd w:val="clear" w:color="auto" w:fill="auto"/>
            <w:vAlign w:val="center"/>
          </w:tcPr>
          <w:p w14:paraId="114AC5C0">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相关疾病</w:t>
            </w:r>
          </w:p>
        </w:tc>
        <w:tc>
          <w:tcPr>
            <w:tcW w:w="1261" w:type="dxa"/>
            <w:tcBorders>
              <w:tl2br w:val="nil"/>
              <w:tr2bl w:val="nil"/>
            </w:tcBorders>
            <w:shd w:val="clear" w:color="auto" w:fill="auto"/>
            <w:vAlign w:val="center"/>
          </w:tcPr>
          <w:p w14:paraId="7C9121E6">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证据等级</w:t>
            </w:r>
          </w:p>
        </w:tc>
        <w:tc>
          <w:tcPr>
            <w:tcW w:w="5666" w:type="dxa"/>
            <w:tcBorders>
              <w:tl2br w:val="nil"/>
              <w:tr2bl w:val="nil"/>
            </w:tcBorders>
            <w:shd w:val="clear" w:color="auto" w:fill="auto"/>
            <w:vAlign w:val="center"/>
          </w:tcPr>
          <w:p w14:paraId="66CE7BE0">
            <w:pPr>
              <w:keepNext/>
              <w:jc w:val="center"/>
              <w:rPr>
                <w:rFonts w:ascii="Times New Roman" w:hAnsi="Times New Roman" w:cs="Times New Roman"/>
                <w:b/>
                <w:color w:val="2666A3"/>
                <w:sz w:val="18"/>
                <w:szCs w:val="18"/>
              </w:rPr>
            </w:pPr>
            <w:r>
              <w:rPr>
                <w:rFonts w:ascii="Times New Roman" w:hAnsi="Times New Roman" w:cs="Times New Roman"/>
                <w:b/>
                <w:color w:val="2666A3"/>
                <w:sz w:val="18"/>
                <w:szCs w:val="18"/>
              </w:rPr>
              <w:t>循证医学信息</w:t>
            </w:r>
          </w:p>
        </w:tc>
      </w:tr>
      <w:tr w14:paraId="0D31AA70">
        <w:trPr>
          <w:trHeight w:val="494" w:hRule="atLeast"/>
          <w:jc w:val="center"/>
        </w:trPr>
        <w:tc>
          <w:tcPr>
            <w:tcW w:w="9870" w:type="dxa"/>
            <w:gridSpan w:val="4"/>
            <w:tcBorders>
              <w:tl2br w:val="nil"/>
              <w:tr2bl w:val="nil"/>
            </w:tcBorders>
            <w:vAlign w:val="center"/>
          </w:tcPr>
          <w:p w14:paraId="4D067E8C">
            <w:pPr>
              <w:keepNext/>
              <w:spacing w:before="26"/>
              <w:jc w:val="center"/>
              <w:rPr>
                <w:rFonts w:ascii="Times New Roman" w:hAnsi="Times New Roman" w:cs="Times New Roman"/>
                <w:bCs/>
                <w:sz w:val="18"/>
                <w:szCs w:val="18"/>
                <w:highlight w:val="yellow"/>
              </w:rPr>
            </w:pPr>
            <w:r>
              <w:rPr>
                <w:rFonts w:ascii="Times New Roman" w:hAnsi="Times New Roman" w:cs="Times New Roman"/>
                <w:b/>
                <w:color w:val="2666A3"/>
                <w:sz w:val="18"/>
                <w:szCs w:val="18"/>
              </w:rPr>
              <w:t>{%tr for dis in tdd.potentialDrugList %}</w:t>
            </w:r>
          </w:p>
        </w:tc>
      </w:tr>
      <w:tr w14:paraId="7E708325">
        <w:trPr>
          <w:trHeight w:val="494" w:hRule="atLeast"/>
          <w:jc w:val="center"/>
        </w:trPr>
        <w:tc>
          <w:tcPr>
            <w:tcW w:w="1526" w:type="dxa"/>
            <w:tcBorders>
              <w:tl2br w:val="nil"/>
              <w:tr2bl w:val="nil"/>
            </w:tcBorders>
            <w:vAlign w:val="center"/>
          </w:tcPr>
          <w:p w14:paraId="45643B8A">
            <w:pPr>
              <w:spacing w:before="1" w:line="249" w:lineRule="auto"/>
              <w:ind w:right="131"/>
              <w:jc w:val="center"/>
              <w:rPr>
                <w:rFonts w:ascii="Times New Roman" w:hAnsi="Times New Roman" w:cs="Times New Roman"/>
                <w:b/>
                <w:sz w:val="18"/>
                <w:szCs w:val="18"/>
                <w:highlight w:val="yellow"/>
              </w:rPr>
            </w:pPr>
            <w:r>
              <w:rPr>
                <w:rFonts w:ascii="Times New Roman" w:hAnsi="Times New Roman" w:cs="Times New Roman"/>
                <w:sz w:val="18"/>
                <w:szCs w:val="18"/>
              </w:rPr>
              <w:t>{{</w:t>
            </w:r>
            <w:r>
              <w:rPr>
                <w:rFonts w:ascii="Times New Roman" w:hAnsi="Times New Roman" w:cs="Times New Roman"/>
                <w:bCs/>
                <w:sz w:val="18"/>
                <w:szCs w:val="18"/>
              </w:rPr>
              <w:t>dis.drug_name_chinese3</w:t>
            </w:r>
            <w:r>
              <w:rPr>
                <w:rFonts w:ascii="Times New Roman" w:hAnsi="Times New Roman" w:cs="Times New Roman"/>
                <w:sz w:val="18"/>
                <w:szCs w:val="18"/>
              </w:rPr>
              <w:t xml:space="preserve"> }}</w:t>
            </w:r>
          </w:p>
        </w:tc>
        <w:tc>
          <w:tcPr>
            <w:tcW w:w="1417" w:type="dxa"/>
            <w:tcBorders>
              <w:tl2br w:val="nil"/>
              <w:tr2bl w:val="nil"/>
            </w:tcBorders>
            <w:vAlign w:val="center"/>
          </w:tcPr>
          <w:p w14:paraId="314D0775">
            <w:pPr>
              <w:keepNext/>
              <w:spacing w:before="26"/>
              <w:jc w:val="center"/>
              <w:rPr>
                <w:rFonts w:ascii="Times New Roman" w:hAnsi="Times New Roman" w:cs="Times New Roman"/>
                <w:bCs/>
                <w:sz w:val="18"/>
                <w:szCs w:val="18"/>
                <w:highlight w:val="yellow"/>
              </w:rPr>
            </w:pPr>
            <w:r>
              <w:rPr>
                <w:rFonts w:ascii="Times New Roman" w:hAnsi="Times New Roman" w:cs="Times New Roman"/>
                <w:sz w:val="18"/>
                <w:szCs w:val="18"/>
              </w:rPr>
              <w:t>{{dis.</w:t>
            </w:r>
            <w:r>
              <w:rPr>
                <w:rFonts w:ascii="Times New Roman" w:hAnsi="Times New Roman" w:cs="Times New Roman"/>
                <w:bCs/>
                <w:sz w:val="18"/>
                <w:szCs w:val="18"/>
              </w:rPr>
              <w:t>disease_name_chinese</w:t>
            </w:r>
            <w:r>
              <w:rPr>
                <w:rFonts w:ascii="Times New Roman" w:hAnsi="Times New Roman" w:cs="Times New Roman"/>
                <w:sz w:val="18"/>
                <w:szCs w:val="18"/>
              </w:rPr>
              <w:t>}}</w:t>
            </w:r>
          </w:p>
        </w:tc>
        <w:tc>
          <w:tcPr>
            <w:tcW w:w="1261" w:type="dxa"/>
            <w:tcBorders>
              <w:tl2br w:val="nil"/>
              <w:tr2bl w:val="nil"/>
            </w:tcBorders>
            <w:vAlign w:val="center"/>
          </w:tcPr>
          <w:p w14:paraId="7323E3AD">
            <w:pPr>
              <w:keepNext/>
              <w:spacing w:before="26"/>
              <w:jc w:val="center"/>
              <w:rPr>
                <w:rFonts w:ascii="Times New Roman" w:hAnsi="Times New Roman" w:cs="Times New Roman"/>
                <w:bCs/>
                <w:sz w:val="18"/>
                <w:szCs w:val="18"/>
                <w:highlight w:val="yellow"/>
              </w:rPr>
            </w:pPr>
            <w:r>
              <w:rPr>
                <w:rFonts w:ascii="Times New Roman" w:hAnsi="Times New Roman" w:cs="Times New Roman"/>
                <w:sz w:val="18"/>
                <w:szCs w:val="18"/>
              </w:rPr>
              <w:t>{{</w:t>
            </w:r>
            <w:r>
              <w:rPr>
                <w:rFonts w:ascii="Times New Roman" w:hAnsi="Times New Roman" w:cs="Times New Roman"/>
                <w:bCs/>
                <w:sz w:val="18"/>
                <w:szCs w:val="18"/>
              </w:rPr>
              <w:t>dis.evidence_phase_chinese</w:t>
            </w:r>
            <w:r>
              <w:rPr>
                <w:rFonts w:ascii="Times New Roman" w:hAnsi="Times New Roman" w:cs="Times New Roman"/>
                <w:sz w:val="18"/>
                <w:szCs w:val="18"/>
              </w:rPr>
              <w:t>}}</w:t>
            </w:r>
          </w:p>
        </w:tc>
        <w:tc>
          <w:tcPr>
            <w:tcW w:w="5666" w:type="dxa"/>
            <w:tcBorders>
              <w:tl2br w:val="nil"/>
              <w:tr2bl w:val="nil"/>
            </w:tcBorders>
            <w:vAlign w:val="center"/>
          </w:tcPr>
          <w:p w14:paraId="42E24B53">
            <w:pPr>
              <w:keepNext/>
              <w:spacing w:before="26"/>
              <w:jc w:val="center"/>
              <w:rPr>
                <w:rFonts w:ascii="Times New Roman" w:hAnsi="Times New Roman" w:cs="Times New Roman"/>
                <w:bCs/>
                <w:sz w:val="18"/>
                <w:szCs w:val="18"/>
                <w:highlight w:val="yellow"/>
              </w:rPr>
            </w:pPr>
            <w:r>
              <w:rPr>
                <w:rFonts w:ascii="Times New Roman" w:hAnsi="Times New Roman" w:cs="Times New Roman"/>
                <w:sz w:val="18"/>
                <w:szCs w:val="18"/>
              </w:rPr>
              <w:t>{{</w:t>
            </w:r>
            <w:r>
              <w:rPr>
                <w:rFonts w:ascii="Times New Roman" w:hAnsi="Times New Roman" w:cs="Times New Roman"/>
                <w:bCs/>
                <w:sz w:val="18"/>
                <w:szCs w:val="18"/>
              </w:rPr>
              <w:t>dis.annotation_chinese</w:t>
            </w:r>
            <w:r>
              <w:rPr>
                <w:rFonts w:ascii="Times New Roman" w:hAnsi="Times New Roman" w:cs="Times New Roman"/>
                <w:sz w:val="18"/>
                <w:szCs w:val="18"/>
              </w:rPr>
              <w:t>}}</w:t>
            </w:r>
          </w:p>
        </w:tc>
      </w:tr>
      <w:tr w14:paraId="43615ED5">
        <w:trPr>
          <w:trHeight w:val="494" w:hRule="atLeast"/>
          <w:jc w:val="center"/>
        </w:trPr>
        <w:tc>
          <w:tcPr>
            <w:tcW w:w="9870" w:type="dxa"/>
            <w:gridSpan w:val="4"/>
            <w:tcBorders>
              <w:tl2br w:val="nil"/>
              <w:tr2bl w:val="nil"/>
            </w:tcBorders>
            <w:vAlign w:val="center"/>
          </w:tcPr>
          <w:p w14:paraId="3D641408">
            <w:pPr>
              <w:keepNext/>
              <w:spacing w:before="26"/>
              <w:jc w:val="center"/>
              <w:rPr>
                <w:rFonts w:ascii="Times New Roman" w:hAnsi="Times New Roman" w:cs="Times New Roman"/>
                <w:bCs/>
                <w:sz w:val="18"/>
                <w:szCs w:val="18"/>
              </w:rPr>
            </w:pPr>
            <w:r>
              <w:rPr>
                <w:rFonts w:ascii="Times New Roman" w:hAnsi="Times New Roman" w:cs="Times New Roman"/>
                <w:b/>
                <w:color w:val="2666A3"/>
                <w:sz w:val="18"/>
                <w:szCs w:val="18"/>
              </w:rPr>
              <w:t>{%tr endfor %}</w:t>
            </w:r>
          </w:p>
        </w:tc>
      </w:tr>
    </w:tbl>
    <w:p w14:paraId="097FE8C0">
      <w:pPr>
        <w:spacing w:before="26"/>
        <w:rPr>
          <w:rFonts w:ascii="Times New Roman" w:hAnsi="Times New Roman" w:cs="Times New Roman"/>
          <w:b/>
          <w:color w:val="2666A3"/>
          <w:sz w:val="24"/>
          <w:szCs w:val="24"/>
        </w:rPr>
      </w:pPr>
      <w:r>
        <w:rPr>
          <w:rFonts w:ascii="Times New Roman" w:hAnsi="Times New Roman" w:cs="Times New Roman"/>
          <w:b/>
          <w:color w:val="2666A3"/>
          <w:sz w:val="24"/>
          <w:szCs w:val="24"/>
        </w:rPr>
        <w:t>{% endif %}{%if tdd.clinicalTrialInformationStr!= [] %}</w:t>
      </w:r>
    </w:p>
    <w:p w14:paraId="0B10B949">
      <w:pPr>
        <w:keepNext/>
        <w:spacing w:before="26"/>
        <w:rPr>
          <w:rFonts w:ascii="Times New Roman" w:hAnsi="Times New Roman" w:cs="Times New Roman"/>
          <w:b/>
          <w:color w:val="1F497D"/>
          <w:sz w:val="24"/>
        </w:rPr>
      </w:pPr>
      <w:r>
        <w:rPr>
          <w:rFonts w:ascii="Times New Roman" w:hAnsi="Times New Roman" w:cs="Times New Roman"/>
          <w:b/>
          <w:color w:val="1F497D"/>
          <w:sz w:val="24"/>
        </w:rPr>
        <w:t>临床试验信息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735364">
        <w:trPr>
          <w:trHeight w:val="420" w:hRule="atLeast"/>
          <w:jc w:val="center"/>
        </w:trPr>
        <w:tc>
          <w:tcPr>
            <w:tcW w:w="1645" w:type="dxa"/>
            <w:tcBorders>
              <w:top w:val="single" w:color="2666A3" w:sz="18" w:space="0"/>
              <w:left w:val="nil"/>
              <w:bottom w:val="dotted" w:color="2666A3" w:sz="4" w:space="0"/>
              <w:right w:val="dotted" w:color="2666A3" w:sz="4" w:space="0"/>
            </w:tcBorders>
            <w:shd w:val="clear" w:color="auto" w:fill="auto"/>
            <w:vAlign w:val="center"/>
          </w:tcPr>
          <w:p w14:paraId="1BA0ED74">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ID</w:t>
            </w:r>
          </w:p>
        </w:tc>
        <w:tc>
          <w:tcPr>
            <w:tcW w:w="3884"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07C23D02">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临床试验名称</w:t>
            </w:r>
          </w:p>
        </w:tc>
        <w:tc>
          <w:tcPr>
            <w:tcW w:w="1246"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41AB1C3D">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肿瘤类型</w:t>
            </w:r>
          </w:p>
        </w:tc>
        <w:tc>
          <w:tcPr>
            <w:tcW w:w="1035"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5C6737EF">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阶段</w:t>
            </w:r>
          </w:p>
        </w:tc>
        <w:tc>
          <w:tcPr>
            <w:tcW w:w="1204" w:type="dxa"/>
            <w:tcBorders>
              <w:top w:val="single" w:color="2666A3" w:sz="18" w:space="0"/>
              <w:left w:val="dotted" w:color="2666A3" w:sz="4" w:space="0"/>
              <w:bottom w:val="dotted" w:color="2666A3" w:sz="4" w:space="0"/>
              <w:right w:val="dotted" w:color="2666A3" w:sz="4" w:space="0"/>
            </w:tcBorders>
            <w:shd w:val="clear" w:color="auto" w:fill="auto"/>
            <w:vAlign w:val="center"/>
          </w:tcPr>
          <w:p w14:paraId="7ED9BB9D">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药物</w:t>
            </w:r>
          </w:p>
        </w:tc>
        <w:tc>
          <w:tcPr>
            <w:tcW w:w="856" w:type="dxa"/>
            <w:tcBorders>
              <w:top w:val="single" w:color="2666A3" w:sz="18" w:space="0"/>
              <w:left w:val="dotted" w:color="2666A3" w:sz="4" w:space="0"/>
              <w:bottom w:val="dotted" w:color="2666A3" w:sz="4" w:space="0"/>
              <w:right w:val="nil"/>
            </w:tcBorders>
            <w:shd w:val="clear" w:color="auto" w:fill="auto"/>
            <w:vAlign w:val="center"/>
          </w:tcPr>
          <w:p w14:paraId="01FF768B">
            <w:pPr>
              <w:keepNext/>
              <w:spacing w:before="26"/>
              <w:jc w:val="center"/>
              <w:rPr>
                <w:rFonts w:ascii="Times New Roman" w:hAnsi="Times New Roman" w:cs="Times New Roman"/>
                <w:b/>
                <w:color w:val="2666A3"/>
                <w:sz w:val="18"/>
                <w:szCs w:val="18"/>
              </w:rPr>
            </w:pPr>
            <w:r>
              <w:rPr>
                <w:rFonts w:ascii="Times New Roman" w:hAnsi="Times New Roman" w:cs="Times New Roman"/>
                <w:b/>
                <w:color w:val="2666A3"/>
                <w:sz w:val="18"/>
                <w:szCs w:val="18"/>
              </w:rPr>
              <w:t>地点</w:t>
            </w:r>
          </w:p>
        </w:tc>
      </w:tr>
      <w:tr w14:paraId="4048F47F">
        <w:trPr>
          <w:jc w:val="center"/>
        </w:trPr>
        <w:tc>
          <w:tcPr>
            <w:tcW w:w="9870" w:type="dxa"/>
            <w:gridSpan w:val="6"/>
            <w:tcBorders>
              <w:top w:val="dotted" w:color="2666A3" w:sz="4" w:space="0"/>
              <w:bottom w:val="dotted" w:color="2666A3" w:sz="4" w:space="0"/>
            </w:tcBorders>
            <w:vAlign w:val="center"/>
          </w:tcPr>
          <w:p w14:paraId="2352F335">
            <w:pPr>
              <w:keepNext/>
              <w:spacing w:before="26"/>
              <w:jc w:val="center"/>
              <w:rPr>
                <w:rFonts w:ascii="Times New Roman" w:hAnsi="Times New Roman" w:cs="Times New Roman"/>
                <w:bCs/>
                <w:sz w:val="18"/>
                <w:szCs w:val="18"/>
              </w:rPr>
            </w:pPr>
            <w:r>
              <w:rPr>
                <w:rFonts w:ascii="Times New Roman" w:hAnsi="Times New Roman" w:cs="Times New Roman"/>
                <w:b/>
                <w:sz w:val="18"/>
                <w:szCs w:val="18"/>
              </w:rPr>
              <w:t>{%tr for cti in tdd.clinicalTrialInformationStr %}</w:t>
            </w:r>
          </w:p>
        </w:tc>
      </w:tr>
      <w:tr w14:paraId="1E44D374">
        <w:trPr>
          <w:jc w:val="center"/>
        </w:trPr>
        <w:tc>
          <w:tcPr>
            <w:tcW w:w="1645" w:type="dxa"/>
            <w:tcBorders>
              <w:top w:val="dotted" w:color="2666A3" w:sz="4" w:space="0"/>
              <w:bottom w:val="dotted" w:color="2666A3" w:sz="4" w:space="0"/>
              <w:right w:val="dotted" w:color="2666A3" w:sz="4" w:space="0"/>
            </w:tcBorders>
            <w:vAlign w:val="center"/>
          </w:tcPr>
          <w:p w14:paraId="49D88779">
            <w:pPr>
              <w:keepNext/>
              <w:spacing w:before="26"/>
              <w:jc w:val="center"/>
              <w:rPr>
                <w:rFonts w:ascii="Times New Roman" w:hAnsi="Times New Roman" w:cs="Times New Roman"/>
                <w:bCs/>
                <w:sz w:val="18"/>
                <w:szCs w:val="18"/>
              </w:rPr>
            </w:pPr>
            <w:r>
              <w:rPr>
                <w:rFonts w:ascii="Times New Roman" w:hAnsi="Times New Roman" w:cs="Times New Roman"/>
                <w:bCs/>
                <w:sz w:val="18"/>
                <w:szCs w:val="18"/>
              </w:rPr>
              <w:t>{{ cti.clinical_trial_id }}</w:t>
            </w:r>
          </w:p>
        </w:tc>
        <w:tc>
          <w:tcPr>
            <w:tcW w:w="3884" w:type="dxa"/>
            <w:tcBorders>
              <w:top w:val="dotted" w:color="2666A3" w:sz="4" w:space="0"/>
              <w:left w:val="dotted" w:color="2666A3" w:sz="4" w:space="0"/>
              <w:bottom w:val="dotted" w:color="2666A3" w:sz="4" w:space="0"/>
              <w:right w:val="dotted" w:color="2666A3" w:sz="4" w:space="0"/>
            </w:tcBorders>
            <w:vAlign w:val="center"/>
          </w:tcPr>
          <w:p w14:paraId="12D216E9">
            <w:pPr>
              <w:keepNext/>
              <w:jc w:val="center"/>
              <w:rPr>
                <w:rFonts w:ascii="Times New Roman" w:hAnsi="Times New Roman" w:cs="Times New Roman"/>
                <w:bCs/>
                <w:sz w:val="18"/>
                <w:szCs w:val="18"/>
              </w:rPr>
            </w:pPr>
            <w:r>
              <w:rPr>
                <w:rFonts w:ascii="Times New Roman" w:hAnsi="Times New Roman" w:cs="Times New Roman"/>
                <w:bCs/>
                <w:sz w:val="18"/>
                <w:szCs w:val="18"/>
              </w:rPr>
              <w:t>{{ cti.title_chinese }}</w:t>
            </w:r>
          </w:p>
        </w:tc>
        <w:tc>
          <w:tcPr>
            <w:tcW w:w="1246" w:type="dxa"/>
            <w:tcBorders>
              <w:top w:val="dotted" w:color="2666A3" w:sz="4" w:space="0"/>
              <w:left w:val="dotted" w:color="2666A3" w:sz="4" w:space="0"/>
              <w:bottom w:val="dotted" w:color="2666A3" w:sz="4" w:space="0"/>
              <w:right w:val="dotted" w:color="2666A3" w:sz="4" w:space="0"/>
            </w:tcBorders>
            <w:vAlign w:val="center"/>
          </w:tcPr>
          <w:p w14:paraId="20C595FA">
            <w:pPr>
              <w:keepNext/>
              <w:spacing w:before="26"/>
              <w:jc w:val="center"/>
              <w:rPr>
                <w:rFonts w:ascii="Times New Roman" w:hAnsi="Times New Roman" w:cs="Times New Roman"/>
                <w:bCs/>
                <w:sz w:val="18"/>
                <w:szCs w:val="18"/>
              </w:rPr>
            </w:pPr>
            <w:r>
              <w:rPr>
                <w:rFonts w:ascii="Times New Roman" w:hAnsi="Times New Roman" w:cs="Times New Roman"/>
                <w:bCs/>
                <w:sz w:val="18"/>
                <w:szCs w:val="18"/>
              </w:rPr>
              <w:t>{{ cti.condition_chinese }}</w:t>
            </w:r>
          </w:p>
        </w:tc>
        <w:tc>
          <w:tcPr>
            <w:tcW w:w="1035" w:type="dxa"/>
            <w:tcBorders>
              <w:top w:val="dotted" w:color="2666A3" w:sz="4" w:space="0"/>
              <w:left w:val="dotted" w:color="2666A3" w:sz="4" w:space="0"/>
              <w:bottom w:val="dotted" w:color="2666A3" w:sz="4" w:space="0"/>
              <w:right w:val="dotted" w:color="2666A3" w:sz="4" w:space="0"/>
            </w:tcBorders>
            <w:vAlign w:val="center"/>
          </w:tcPr>
          <w:p w14:paraId="57176D8A">
            <w:pPr>
              <w:keepNext/>
              <w:spacing w:before="26"/>
              <w:jc w:val="center"/>
              <w:rPr>
                <w:rFonts w:ascii="Times New Roman" w:hAnsi="Times New Roman" w:cs="Times New Roman"/>
                <w:bCs/>
                <w:sz w:val="18"/>
                <w:szCs w:val="18"/>
              </w:rPr>
            </w:pPr>
            <w:r>
              <w:rPr>
                <w:rFonts w:ascii="Times New Roman" w:hAnsi="Times New Roman" w:cs="Times New Roman"/>
                <w:bCs/>
                <w:sz w:val="18"/>
                <w:szCs w:val="18"/>
              </w:rPr>
              <w:t>{{ cti.phase }}</w:t>
            </w:r>
          </w:p>
        </w:tc>
        <w:tc>
          <w:tcPr>
            <w:tcW w:w="1204" w:type="dxa"/>
            <w:tcBorders>
              <w:top w:val="dotted" w:color="2666A3" w:sz="4" w:space="0"/>
              <w:left w:val="dotted" w:color="2666A3" w:sz="4" w:space="0"/>
              <w:bottom w:val="dotted" w:color="2666A3" w:sz="4" w:space="0"/>
              <w:right w:val="dotted" w:color="2666A3" w:sz="4" w:space="0"/>
            </w:tcBorders>
            <w:vAlign w:val="center"/>
          </w:tcPr>
          <w:p w14:paraId="38D2192E">
            <w:pPr>
              <w:spacing w:before="1" w:line="249" w:lineRule="auto"/>
              <w:ind w:right="131"/>
              <w:jc w:val="center"/>
              <w:rPr>
                <w:rFonts w:ascii="Times New Roman" w:hAnsi="Times New Roman" w:cs="Times New Roman"/>
                <w:sz w:val="18"/>
                <w:szCs w:val="18"/>
              </w:rPr>
            </w:pPr>
            <w:r>
              <w:rPr>
                <w:rFonts w:ascii="Times New Roman" w:hAnsi="Times New Roman" w:cs="Times New Roman"/>
                <w:sz w:val="18"/>
                <w:szCs w:val="18"/>
              </w:rPr>
              <w:t xml:space="preserve">{% for d in </w:t>
            </w:r>
            <w:r>
              <w:rPr>
                <w:rFonts w:ascii="Times New Roman" w:hAnsi="Times New Roman" w:cs="Times New Roman"/>
                <w:bCs/>
                <w:sz w:val="18"/>
                <w:szCs w:val="18"/>
              </w:rPr>
              <w:t>cti.drug_name_chinese</w:t>
            </w:r>
            <w:r>
              <w:rPr>
                <w:rFonts w:ascii="Times New Roman" w:hAnsi="Times New Roman" w:cs="Times New Roman"/>
                <w:sz w:val="18"/>
                <w:szCs w:val="18"/>
              </w:rPr>
              <w:t xml:space="preserve"> %}{%if loop.last%}{{ d.name }}{%else%}{{ d.name }}</w:t>
            </w:r>
          </w:p>
          <w:p w14:paraId="6F1CCF94">
            <w:pPr>
              <w:keepNext/>
              <w:jc w:val="center"/>
              <w:rPr>
                <w:rFonts w:ascii="Times New Roman" w:hAnsi="Times New Roman" w:cs="Times New Roman"/>
                <w:sz w:val="18"/>
                <w:szCs w:val="18"/>
              </w:rPr>
            </w:pPr>
            <w:r>
              <w:rPr>
                <w:rFonts w:ascii="Times New Roman" w:hAnsi="Times New Roman" w:cs="Times New Roman"/>
                <w:sz w:val="18"/>
                <w:szCs w:val="18"/>
              </w:rPr>
              <w:t>{%endif%}{% endfor %}</w:t>
            </w:r>
          </w:p>
        </w:tc>
        <w:tc>
          <w:tcPr>
            <w:tcW w:w="856" w:type="dxa"/>
            <w:tcBorders>
              <w:top w:val="dotted" w:color="2666A3" w:sz="4" w:space="0"/>
              <w:left w:val="dotted" w:color="2666A3" w:sz="4" w:space="0"/>
              <w:bottom w:val="dotted" w:color="2666A3" w:sz="4" w:space="0"/>
            </w:tcBorders>
            <w:vAlign w:val="center"/>
          </w:tcPr>
          <w:p w14:paraId="3F5440C0">
            <w:pPr>
              <w:keepNext/>
              <w:spacing w:before="26"/>
              <w:jc w:val="center"/>
              <w:rPr>
                <w:rFonts w:ascii="Times New Roman" w:hAnsi="Times New Roman" w:cs="Times New Roman"/>
                <w:bCs/>
                <w:sz w:val="18"/>
                <w:szCs w:val="18"/>
              </w:rPr>
            </w:pPr>
            <w:r>
              <w:rPr>
                <w:rFonts w:ascii="Times New Roman" w:hAnsi="Times New Roman" w:cs="Times New Roman"/>
                <w:bCs/>
                <w:sz w:val="18"/>
                <w:szCs w:val="18"/>
              </w:rPr>
              <w:t>{{ cti.location_chinese }}</w:t>
            </w:r>
          </w:p>
        </w:tc>
      </w:tr>
      <w:tr w14:paraId="6F149324">
        <w:trPr>
          <w:jc w:val="center"/>
        </w:trPr>
        <w:tc>
          <w:tcPr>
            <w:tcW w:w="9870" w:type="dxa"/>
            <w:gridSpan w:val="6"/>
            <w:tcBorders>
              <w:top w:val="dotted" w:color="2666A3" w:sz="4" w:space="0"/>
              <w:bottom w:val="dotted" w:color="2666A3" w:sz="4" w:space="0"/>
            </w:tcBorders>
            <w:vAlign w:val="center"/>
          </w:tcPr>
          <w:p w14:paraId="5170CA7A">
            <w:pPr>
              <w:keepNext/>
              <w:spacing w:before="26"/>
              <w:jc w:val="center"/>
              <w:rPr>
                <w:rFonts w:ascii="Times New Roman" w:hAnsi="Times New Roman" w:cs="Times New Roman"/>
                <w:bCs/>
                <w:sz w:val="18"/>
                <w:szCs w:val="18"/>
              </w:rPr>
            </w:pPr>
            <w:r>
              <w:rPr>
                <w:rFonts w:ascii="Times New Roman" w:hAnsi="Times New Roman" w:cs="Times New Roman"/>
                <w:bCs/>
                <w:sz w:val="18"/>
                <w:szCs w:val="18"/>
              </w:rPr>
              <w:t>{%tr endfor %}</w:t>
            </w:r>
          </w:p>
        </w:tc>
      </w:tr>
    </w:tbl>
    <w:p w14:paraId="035DD0B5">
      <w:pPr>
        <w:rPr>
          <w:rFonts w:ascii="Times New Roman" w:hAnsi="Times New Roman" w:cs="Times New Roman"/>
          <w:b/>
          <w:color w:val="2666A3"/>
          <w:sz w:val="24"/>
          <w:szCs w:val="24"/>
        </w:rPr>
      </w:pPr>
      <w:r>
        <w:rPr>
          <w:rFonts w:ascii="Times New Roman" w:hAnsi="Times New Roman" w:cs="Times New Roman"/>
          <w:b/>
          <w:color w:val="2666A3"/>
          <w:sz w:val="24"/>
          <w:szCs w:val="24"/>
        </w:rPr>
        <w:t>{% endif %}{% endfor %}</w:t>
      </w:r>
    </w:p>
    <w:p w14:paraId="411C5059">
      <w:pPr>
        <w:rPr>
          <w:rFonts w:ascii="Times New Roman" w:hAnsi="Times New Roman" w:cs="Times New Roman"/>
          <w:b/>
          <w:sz w:val="18"/>
        </w:rPr>
      </w:pPr>
      <w:r>
        <w:rPr>
          <w:rFonts w:ascii="Times New Roman" w:hAnsi="Times New Roman" w:cs="Times New Roman"/>
          <w:b/>
          <w:sz w:val="18"/>
        </w:rPr>
        <w:t>注：</w:t>
      </w:r>
    </w:p>
    <w:p w14:paraId="764340B1">
      <w:pPr>
        <w:pStyle w:val="41"/>
        <w:numPr>
          <w:ilvl w:val="0"/>
          <w:numId w:val="2"/>
        </w:numPr>
        <w:adjustRightInd w:val="0"/>
        <w:snapToGrid w:val="0"/>
        <w:rPr>
          <w:sz w:val="18"/>
          <w:szCs w:val="18"/>
        </w:rPr>
      </w:pPr>
      <w:r>
        <w:rPr>
          <w:sz w:val="18"/>
          <w:szCs w:val="18"/>
        </w:rPr>
        <w:t>获批上市指靶向药物已被批准用于表格中对应的相关疾病，包含FDA或NMPA获批上市，在“基因变异信息及用药指导”表格中标注* 的靶向药物为NMPA 批准的药物。获批上市药物的循证医学证据为该靶向药物的批文等相关信息。</w:t>
      </w:r>
    </w:p>
    <w:p w14:paraId="0D15C8C1">
      <w:pPr>
        <w:pStyle w:val="41"/>
        <w:numPr>
          <w:ilvl w:val="0"/>
          <w:numId w:val="2"/>
        </w:numPr>
        <w:adjustRightInd w:val="0"/>
        <w:snapToGrid w:val="0"/>
        <w:rPr>
          <w:sz w:val="18"/>
          <w:szCs w:val="18"/>
        </w:rPr>
      </w:pPr>
      <w:r>
        <w:rPr>
          <w:sz w:val="18"/>
          <w:szCs w:val="18"/>
        </w:rPr>
        <w:t>指南推荐指在NCCN\CSCO\ASCO\ESMO指南中有明确的表格或文字说明，有本癌种该位点突变可获益的靶向药。</w:t>
      </w:r>
    </w:p>
    <w:p w14:paraId="17C350BC">
      <w:pPr>
        <w:pStyle w:val="41"/>
        <w:numPr>
          <w:ilvl w:val="0"/>
          <w:numId w:val="2"/>
        </w:numPr>
        <w:adjustRightInd w:val="0"/>
        <w:snapToGrid w:val="0"/>
        <w:rPr>
          <w:sz w:val="18"/>
          <w:szCs w:val="18"/>
        </w:rPr>
      </w:pPr>
      <w:r>
        <w:rPr>
          <w:sz w:val="18"/>
          <w:szCs w:val="18"/>
        </w:rPr>
        <w:t>正在开放招募的临床试验药物信息来自www.clinicaltrials.gov 和www.chinadrugtrials.org.cn。临床试验信息实时更新，使用相关结果时，请务必确认其最新状态。</w:t>
      </w:r>
    </w:p>
    <w:p w14:paraId="3AFCEDC0">
      <w:pPr>
        <w:pStyle w:val="41"/>
        <w:numPr>
          <w:ilvl w:val="0"/>
          <w:numId w:val="2"/>
        </w:numPr>
        <w:adjustRightInd w:val="0"/>
        <w:snapToGrid w:val="0"/>
        <w:rPr>
          <w:sz w:val="18"/>
          <w:szCs w:val="18"/>
        </w:rPr>
      </w:pPr>
      <w:r>
        <w:rPr>
          <w:sz w:val="18"/>
          <w:szCs w:val="18"/>
        </w:rPr>
        <w:t>潜在受益药物：根据AMP/ASCO/CAP相关指南[PMID: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439B419">
      <w:pPr>
        <w:pStyle w:val="41"/>
        <w:numPr>
          <w:ilvl w:val="0"/>
          <w:numId w:val="2"/>
        </w:numPr>
        <w:adjustRightInd w:val="0"/>
        <w:snapToGrid w:val="0"/>
        <w:rPr>
          <w:sz w:val="18"/>
          <w:szCs w:val="18"/>
        </w:rPr>
      </w:pPr>
      <w:r>
        <w:rPr>
          <w:sz w:val="18"/>
          <w:szCs w:val="18"/>
        </w:rPr>
        <w:t>潜在耐药信息：FDA/NMPA已经批准的、NCCN指南推荐的、临床试验或者临床研究有明确结果的、药物敏感性可能降低或产生耐药的靶向药物。</w:t>
      </w:r>
    </w:p>
    <w:p w14:paraId="04BED24A">
      <w:pPr>
        <w:pStyle w:val="41"/>
        <w:numPr>
          <w:ilvl w:val="0"/>
          <w:numId w:val="2"/>
        </w:numPr>
        <w:adjustRightInd w:val="0"/>
        <w:snapToGrid w:val="0"/>
        <w:rPr>
          <w:sz w:val="18"/>
          <w:szCs w:val="18"/>
        </w:rPr>
      </w:pPr>
      <w:r>
        <w:rPr>
          <w:sz w:val="18"/>
          <w:szCs w:val="18"/>
        </w:rPr>
        <w:t>* 标注的药物：NMPA批准的靶向药物。</w:t>
      </w:r>
    </w:p>
    <w:p w14:paraId="279624FF">
      <w:pPr>
        <w:widowControl/>
        <w:spacing w:after="160" w:line="259" w:lineRule="auto"/>
        <w:rPr>
          <w:rFonts w:ascii="Times New Roman" w:hAnsi="Times New Roman" w:eastAsia="微软雅黑" w:cs="Times New Roman"/>
          <w:b/>
          <w:bCs/>
          <w:color w:val="0070C0"/>
          <w:sz w:val="28"/>
          <w:szCs w:val="28"/>
        </w:rPr>
      </w:pPr>
      <w:r>
        <w:rPr>
          <w:rFonts w:ascii="Times New Roman" w:hAnsi="Times New Roman" w:eastAsia="微软雅黑" w:cs="Times New Roman"/>
          <w:b/>
          <w:bCs/>
          <w:color w:val="0070C0"/>
          <w:sz w:val="28"/>
          <w:szCs w:val="28"/>
        </w:rPr>
        <w:br w:type="page"/>
      </w:r>
    </w:p>
    <w:p w14:paraId="46160262">
      <w:pPr>
        <w:wordWrap w:val="0"/>
        <w:ind w:right="105"/>
        <w:jc w:val="both"/>
        <w:rPr>
          <w:rFonts w:ascii="Times New Roman" w:hAnsi="Times New Roman" w:eastAsia="微软雅黑" w:cs="Times New Roman"/>
          <w:b/>
          <w:color w:val="1F497D"/>
          <w:sz w:val="28"/>
          <w:szCs w:val="28"/>
        </w:rPr>
      </w:pPr>
      <w:bookmarkStart w:id="10" w:name="_Toc527112386"/>
      <w:bookmarkStart w:id="11" w:name="_Toc534637499"/>
      <w:bookmarkStart w:id="12" w:name="_Toc526855038"/>
      <w:r>
        <w:rPr>
          <w:rFonts w:ascii="Times New Roman" w:hAnsi="Times New Roman" w:eastAsia="微软雅黑" w:cs="Times New Roman"/>
          <w:b/>
          <w:color w:val="1F497D"/>
          <w:sz w:val="24"/>
          <w:szCs w:val="24"/>
        </w:rPr>
        <w:t>{% endif %}</w:t>
      </w:r>
      <w:r>
        <w:rPr>
          <w:rFonts w:hint="eastAsia" w:ascii="Times New Roman" w:hAnsi="Times New Roman" w:eastAsia="微软雅黑" w:cs="Times New Roman"/>
          <w:b/>
          <w:color w:val="1F497D"/>
          <w:sz w:val="28"/>
          <w:szCs w:val="28"/>
        </w:rPr>
        <w:t>附录2 结果附图</w:t>
      </w:r>
    </w:p>
    <w:p w14:paraId="556648D6">
      <w:pPr>
        <w:jc w:val="center"/>
        <w:rPr>
          <w:rFonts w:ascii="Times New Roman" w:hAnsi="Times New Roman" w:eastAsia="微软雅黑" w:cs="Times New Roman"/>
        </w:rPr>
      </w:pPr>
    </w:p>
    <w:p w14:paraId="50050E69">
      <w:pPr>
        <w:jc w:val="center"/>
        <w:rPr>
          <w:rFonts w:ascii="Times New Roman" w:hAnsi="Times New Roman" w:eastAsia="微软雅黑" w:cs="Times New Roman"/>
        </w:rPr>
      </w:pPr>
    </w:p>
    <w:p w14:paraId="6D06B5B9">
      <w:pPr>
        <w:jc w:val="center"/>
        <w:rPr>
          <w:rFonts w:ascii="Times New Roman" w:hAnsi="Times New Roman" w:eastAsia="微软雅黑" w:cs="Times New Roman"/>
        </w:rPr>
      </w:pPr>
    </w:p>
    <w:p w14:paraId="35766368">
      <w:pPr>
        <w:jc w:val="center"/>
        <w:rPr>
          <w:rFonts w:ascii="Times New Roman" w:hAnsi="Times New Roman" w:eastAsia="微软雅黑" w:cs="Times New Roman"/>
        </w:rPr>
      </w:pPr>
    </w:p>
    <w:p w14:paraId="19D06786">
      <w:pPr>
        <w:jc w:val="center"/>
        <w:rPr>
          <w:rFonts w:ascii="Times New Roman" w:hAnsi="Times New Roman" w:eastAsia="微软雅黑" w:cs="Times New Roman"/>
        </w:rPr>
      </w:pPr>
    </w:p>
    <w:p w14:paraId="6B2031E1">
      <w:pPr>
        <w:jc w:val="center"/>
        <w:rPr>
          <w:rFonts w:ascii="Times New Roman" w:hAnsi="Times New Roman" w:eastAsia="微软雅黑" w:cs="Times New Roman"/>
        </w:rPr>
      </w:pPr>
    </w:p>
    <w:p w14:paraId="4D267967">
      <w:pPr>
        <w:jc w:val="center"/>
        <w:rPr>
          <w:rFonts w:ascii="Times New Roman" w:hAnsi="Times New Roman" w:eastAsia="微软雅黑" w:cs="Times New Roman"/>
        </w:rPr>
      </w:pPr>
    </w:p>
    <w:p w14:paraId="580C3736">
      <w:pPr>
        <w:jc w:val="center"/>
        <w:rPr>
          <w:rFonts w:ascii="Times New Roman" w:hAnsi="Times New Roman" w:eastAsia="微软雅黑" w:cs="Times New Roman"/>
        </w:rPr>
      </w:pPr>
    </w:p>
    <w:p w14:paraId="67AF07CE">
      <w:pPr>
        <w:jc w:val="center"/>
        <w:rPr>
          <w:rFonts w:ascii="Times New Roman" w:hAnsi="Times New Roman" w:eastAsia="微软雅黑" w:cs="Times New Roman"/>
        </w:rPr>
      </w:pPr>
    </w:p>
    <w:p w14:paraId="40CB46F9">
      <w:pPr>
        <w:jc w:val="center"/>
        <w:rPr>
          <w:rFonts w:ascii="Times New Roman" w:hAnsi="Times New Roman" w:eastAsia="微软雅黑" w:cs="Times New Roman"/>
        </w:rPr>
      </w:pPr>
    </w:p>
    <w:p w14:paraId="516E8FD4">
      <w:pPr>
        <w:jc w:val="center"/>
        <w:rPr>
          <w:rFonts w:ascii="Times New Roman" w:hAnsi="Times New Roman" w:eastAsia="微软雅黑" w:cs="Times New Roman"/>
        </w:rPr>
      </w:pPr>
    </w:p>
    <w:p w14:paraId="19909BE6">
      <w:pPr>
        <w:jc w:val="center"/>
        <w:rPr>
          <w:rFonts w:ascii="Times New Roman" w:hAnsi="Times New Roman" w:eastAsia="微软雅黑" w:cs="Times New Roman"/>
        </w:rPr>
      </w:pPr>
    </w:p>
    <w:p w14:paraId="5BB97EE6">
      <w:pPr>
        <w:jc w:val="center"/>
        <w:rPr>
          <w:rFonts w:ascii="Times New Roman" w:hAnsi="Times New Roman" w:eastAsia="微软雅黑" w:cs="Times New Roman"/>
        </w:rPr>
      </w:pPr>
    </w:p>
    <w:p w14:paraId="76462E2B">
      <w:pPr>
        <w:jc w:val="center"/>
        <w:rPr>
          <w:rFonts w:ascii="Times New Roman" w:hAnsi="Times New Roman" w:eastAsia="微软雅黑" w:cs="Times New Roman"/>
        </w:rPr>
      </w:pPr>
    </w:p>
    <w:p w14:paraId="7D66280B">
      <w:pPr>
        <w:jc w:val="center"/>
        <w:rPr>
          <w:rFonts w:ascii="Times New Roman" w:hAnsi="Times New Roman" w:eastAsia="微软雅黑" w:cs="Times New Roman"/>
        </w:rPr>
      </w:pPr>
    </w:p>
    <w:p w14:paraId="531B3B16">
      <w:pPr>
        <w:jc w:val="center"/>
        <w:rPr>
          <w:rFonts w:ascii="Times New Roman" w:hAnsi="Times New Roman" w:eastAsia="微软雅黑" w:cs="Times New Roman"/>
        </w:rPr>
      </w:pPr>
    </w:p>
    <w:p w14:paraId="56B69607">
      <w:pPr>
        <w:jc w:val="center"/>
        <w:rPr>
          <w:rFonts w:ascii="Times New Roman" w:hAnsi="Times New Roman" w:eastAsia="微软雅黑" w:cs="Times New Roman"/>
        </w:rPr>
      </w:pPr>
    </w:p>
    <w:p w14:paraId="35A67EFC">
      <w:pPr>
        <w:keepNext/>
        <w:widowControl/>
        <w:spacing w:before="360" w:beforeLines="150" w:line="260" w:lineRule="auto"/>
        <w:rPr>
          <w:rFonts w:ascii="Times New Roman" w:hAnsi="Times New Roman" w:eastAsia="微软雅黑" w:cs="Times New Roman"/>
          <w:b/>
          <w:color w:val="1F497D"/>
          <w:sz w:val="28"/>
          <w:szCs w:val="28"/>
        </w:rPr>
      </w:pPr>
      <w:r>
        <w:rPr>
          <w:rFonts w:hint="eastAsia" w:ascii="Times New Roman" w:hAnsi="Times New Roman" w:eastAsia="微软雅黑" w:cs="Times New Roman"/>
          <w:b/>
          <w:color w:val="1F497D"/>
          <w:sz w:val="28"/>
          <w:szCs w:val="28"/>
        </w:rPr>
        <w:t>附录3 检测基因总表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3"/>
        <w:gridCol w:w="1033"/>
        <w:gridCol w:w="1032"/>
        <w:gridCol w:w="1032"/>
        <w:gridCol w:w="1032"/>
        <w:gridCol w:w="1032"/>
        <w:gridCol w:w="1032"/>
        <w:gridCol w:w="1032"/>
        <w:gridCol w:w="1032"/>
      </w:tblGrid>
      <w:tr w14:paraId="08588F02">
        <w:trPr>
          <w:trHeight w:val="1038" w:hRule="atLeast"/>
        </w:trPr>
        <w:tc>
          <w:tcPr>
            <w:tcW w:w="9290" w:type="dxa"/>
            <w:gridSpan w:val="9"/>
          </w:tcPr>
          <w:p w14:paraId="4F62475D">
            <w:pPr>
              <w:widowControl/>
              <w:jc w:val="center"/>
              <w:textAlignment w:val="top"/>
              <w:rPr>
                <w:rFonts w:ascii="Times New Roman" w:hAnsi="Times New Roman" w:eastAsia="微软雅黑" w:cs="Times New Roman"/>
              </w:rPr>
            </w:pPr>
            <w:r>
              <w:rPr>
                <w:rFonts w:hint="eastAsia" w:ascii="Times New Roman" w:hAnsi="Times New Roman" w:eastAsia="微软雅黑" w:cs="Times New Roman"/>
                <w:sz w:val="18"/>
                <w:szCs w:val="18"/>
              </w:rPr>
              <w:t xml:space="preserve">{%tr for Gene in </w:t>
            </w:r>
            <w:r>
              <w:rPr>
                <w:rFonts w:ascii="Times New Roman" w:hAnsi="Times New Roman" w:eastAsia="微软雅黑" w:cs="Times New Roman"/>
                <w:sz w:val="18"/>
                <w:szCs w:val="18"/>
              </w:rPr>
              <w:t>“ABL1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AKT1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AKT3</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ALK</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AR</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AXL</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BRAF</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CCND1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CDK4</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CDK6</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CTNNB1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DDR2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EGFR</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ERBB2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ERBB3</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ERBB4</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ERG</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ESR1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ETV1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ETV4</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ETV5</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FBXW7</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FGFR1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FGFR2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FGFR3</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FGFR4</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GNA11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GNAQ</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HRAS</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IDH1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IDH2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JAK1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JAK2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JAK3</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KIT</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KRAS</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MAP2K1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MAP2K2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MET</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MTOR</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MYC</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MYCN</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NOTCH1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NRAS</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NTRK1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NTRK2</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NTRK3</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PDGFRA</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PIK3CA</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PPARG</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PTEN</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RAF1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RB1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RET</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ROS1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SMAD4</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SMO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STK11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TP53</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UGT1A1”</w:t>
            </w:r>
            <w:r>
              <w:rPr>
                <w:rFonts w:hint="eastAsia" w:ascii="Times New Roman" w:hAnsi="Times New Roman" w:eastAsia="微软雅黑" w:cs="Times New Roman"/>
                <w:sz w:val="18"/>
                <w:szCs w:val="18"/>
              </w:rPr>
              <w:t xml:space="preserve"> | red(9,22,false) %}</w:t>
            </w:r>
          </w:p>
        </w:tc>
      </w:tr>
      <w:tr w14:paraId="7C15CD27">
        <w:tc>
          <w:tcPr>
            <w:tcW w:w="1033" w:type="dxa"/>
            <w:vAlign w:val="center"/>
          </w:tcPr>
          <w:p w14:paraId="4872F97F">
            <w:pPr>
              <w:widowControl/>
              <w:jc w:val="center"/>
              <w:rPr>
                <w:rFonts w:ascii="Times New Roman" w:hAnsi="Times New Roman" w:eastAsia="微软雅黑" w:cs="Times New Roman"/>
                <w:sz w:val="18"/>
                <w:szCs w:val="18"/>
              </w:rPr>
            </w:pPr>
            <w:bookmarkStart w:id="13" w:name="OLE_LINK2" w:colFirst="0" w:colLast="5"/>
            <w:r>
              <w:rPr>
                <w:rFonts w:hint="eastAsia" w:ascii="Times New Roman" w:hAnsi="Times New Roman" w:eastAsia="微软雅黑" w:cs="Times New Roman"/>
                <w:sz w:val="18"/>
                <w:szCs w:val="18"/>
              </w:rPr>
              <w:t>{{r Gene[0] }}</w:t>
            </w:r>
          </w:p>
        </w:tc>
        <w:tc>
          <w:tcPr>
            <w:tcW w:w="1033" w:type="dxa"/>
            <w:vAlign w:val="center"/>
          </w:tcPr>
          <w:p w14:paraId="7DDA58B2">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Gene[1] }}</w:t>
            </w:r>
          </w:p>
        </w:tc>
        <w:tc>
          <w:tcPr>
            <w:tcW w:w="1032" w:type="dxa"/>
            <w:vAlign w:val="center"/>
          </w:tcPr>
          <w:p w14:paraId="3C89A385">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Gene[2] }}</w:t>
            </w:r>
          </w:p>
        </w:tc>
        <w:tc>
          <w:tcPr>
            <w:tcW w:w="1032" w:type="dxa"/>
            <w:vAlign w:val="center"/>
          </w:tcPr>
          <w:p w14:paraId="0752ECBA">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Gene[3] }}</w:t>
            </w:r>
          </w:p>
        </w:tc>
        <w:tc>
          <w:tcPr>
            <w:tcW w:w="1032" w:type="dxa"/>
            <w:vAlign w:val="center"/>
          </w:tcPr>
          <w:p w14:paraId="13505305">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Gene[4] }}</w:t>
            </w:r>
          </w:p>
        </w:tc>
        <w:tc>
          <w:tcPr>
            <w:tcW w:w="1032" w:type="dxa"/>
            <w:vAlign w:val="center"/>
          </w:tcPr>
          <w:p w14:paraId="0B8DAA2E">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Gene[5] }}</w:t>
            </w:r>
          </w:p>
        </w:tc>
        <w:tc>
          <w:tcPr>
            <w:tcW w:w="1032" w:type="dxa"/>
            <w:vAlign w:val="center"/>
          </w:tcPr>
          <w:p w14:paraId="54C66580">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Gene[6] }}</w:t>
            </w:r>
          </w:p>
        </w:tc>
        <w:tc>
          <w:tcPr>
            <w:tcW w:w="1032" w:type="dxa"/>
            <w:vAlign w:val="center"/>
          </w:tcPr>
          <w:p w14:paraId="5A30C194">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Gene[7] }}</w:t>
            </w:r>
          </w:p>
        </w:tc>
        <w:tc>
          <w:tcPr>
            <w:tcW w:w="1032" w:type="dxa"/>
            <w:vAlign w:val="center"/>
          </w:tcPr>
          <w:p w14:paraId="1B7F420E">
            <w:pPr>
              <w:widowControl/>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{{r Gene[8] }}</w:t>
            </w:r>
          </w:p>
        </w:tc>
      </w:tr>
      <w:tr w14:paraId="342A2A77">
        <w:tc>
          <w:tcPr>
            <w:tcW w:w="9290" w:type="dxa"/>
            <w:gridSpan w:val="9"/>
          </w:tcPr>
          <w:p w14:paraId="6B6C489A">
            <w:pPr>
              <w:jc w:val="center"/>
              <w:rPr>
                <w:rFonts w:ascii="Times New Roman" w:hAnsi="Times New Roman" w:eastAsia="微软雅黑" w:cs="Times New Roman"/>
              </w:rPr>
            </w:pPr>
            <w:r>
              <w:rPr>
                <w:rFonts w:hint="eastAsia" w:ascii="Times New Roman" w:hAnsi="Times New Roman" w:eastAsia="微软雅黑" w:cs="Times New Roman"/>
                <w:sz w:val="18"/>
                <w:szCs w:val="18"/>
              </w:rPr>
              <w:t>{%tr endfor%}</w:t>
            </w:r>
          </w:p>
        </w:tc>
      </w:tr>
      <w:bookmarkEnd w:id="13"/>
    </w:tbl>
    <w:p w14:paraId="50ABEE12">
      <w:pPr>
        <w:widowControl/>
        <w:rPr>
          <w:rFonts w:ascii="Times New Roman" w:hAnsi="Times New Roman" w:eastAsia="微软雅黑" w:cs="Times New Roman"/>
        </w:rPr>
      </w:pPr>
      <w:r>
        <w:rPr>
          <w:rFonts w:ascii="Times New Roman" w:hAnsi="Times New Roman" w:eastAsia="微软雅黑" w:cs="Times New Roman"/>
        </w:rPr>
        <w:br w:type="page"/>
      </w:r>
    </w:p>
    <w:bookmarkEnd w:id="10"/>
    <w:bookmarkEnd w:id="11"/>
    <w:bookmarkEnd w:id="12"/>
    <w:p w14:paraId="6ED91662">
      <w:pPr>
        <w:keepNext/>
        <w:widowControl/>
        <w:spacing w:before="360" w:beforeLines="150" w:line="260" w:lineRule="auto"/>
        <w:rPr>
          <w:rFonts w:ascii="Times New Roman" w:hAnsi="Times New Roman" w:eastAsia="微软雅黑" w:cs="Times New Roman"/>
          <w:b/>
          <w:color w:val="1F497D"/>
          <w:sz w:val="28"/>
          <w:szCs w:val="28"/>
        </w:rPr>
      </w:pPr>
      <w:r>
        <w:rPr>
          <w:rFonts w:hint="eastAsia" w:ascii="Times New Roman" w:hAnsi="Times New Roman" w:eastAsia="微软雅黑" w:cs="Times New Roman"/>
          <w:b/>
          <w:color w:val="1F497D"/>
          <w:sz w:val="28"/>
          <w:szCs w:val="28"/>
        </w:rPr>
        <w:t>附录4 常见靶向药物相关基因检测列表</w:t>
      </w:r>
    </w:p>
    <w:p w14:paraId="193C9262">
      <w:pPr>
        <w:spacing w:line="276" w:lineRule="auto"/>
        <w:rPr>
          <w:rFonts w:ascii="Times New Roman" w:hAnsi="Times New Roman" w:cs="Times New Roman"/>
        </w:rPr>
      </w:pPr>
    </w:p>
    <w:p w14:paraId="43C878EB">
      <w:pPr>
        <w:spacing w:line="276" w:lineRule="auto"/>
        <w:rPr>
          <w:rFonts w:ascii="Times New Roman" w:hAnsi="Times New Roman" w:cs="Times New Roman"/>
          <w:b/>
          <w:u w:val="thick" w:color="1F3864"/>
        </w:rPr>
      </w:pPr>
      <w:r>
        <w:rPr>
          <w:rFonts w:ascii="Times New Roman" w:hAnsi="Times New Roman" w:cs="Times New Roman"/>
          <w:b/>
          <w:u w:val="thick" w:color="1F3864"/>
        </w:rPr>
        <w:t xml:space="preserve"> </w:t>
      </w:r>
      <w:r>
        <w:rPr>
          <w:rFonts w:hint="eastAsia" w:ascii="Times New Roman" w:hAnsi="Times New Roman" w:cs="Times New Roman"/>
          <w:b/>
          <w:u w:val="thick" w:color="1F3864"/>
        </w:rPr>
        <w:t xml:space="preserve">ALK  </w:t>
      </w:r>
      <w:r>
        <w:rPr>
          <w:rFonts w:ascii="Times New Roman" w:hAnsi="Times New Roman" w:cs="Times New Roman"/>
          <w:b/>
          <w:u w:val="thick" w:color="1F3864"/>
        </w:rPr>
        <w:t xml:space="preserve">                                                                                                                                                                    </w:t>
      </w:r>
    </w:p>
    <w:p w14:paraId="7CD39580">
      <w:pPr>
        <w:spacing w:line="276" w:lineRule="auto"/>
        <w:rPr>
          <w:rFonts w:ascii="Times New Roman" w:hAnsi="Times New Roman" w:cs="Times New Roman"/>
          <w:b/>
          <w:u w:val="thick" w:color="1F3864"/>
        </w:rPr>
      </w:pPr>
    </w:p>
    <w:tbl>
      <w:tblPr>
        <w:tblStyle w:val="19"/>
        <w:tblW w:w="90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59"/>
        <w:gridCol w:w="6650"/>
      </w:tblGrid>
      <w:tr w14:paraId="3EA03433">
        <w:trPr>
          <w:trHeight w:val="90" w:hRule="atLeast"/>
          <w:jc w:val="center"/>
        </w:trPr>
        <w:tc>
          <w:tcPr>
            <w:tcW w:w="2359"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5C1B504D">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基因说明</w:t>
            </w:r>
          </w:p>
        </w:tc>
        <w:tc>
          <w:tcPr>
            <w:tcW w:w="6650" w:type="dxa"/>
            <w:tcBorders>
              <w:top w:val="single" w:color="000000" w:sz="4" w:space="0"/>
              <w:left w:val="nil"/>
              <w:bottom w:val="single" w:color="000000" w:sz="4" w:space="0"/>
              <w:right w:val="single" w:color="000000" w:sz="4" w:space="0"/>
            </w:tcBorders>
            <w:shd w:val="clear" w:color="auto" w:fill="auto"/>
            <w:vAlign w:val="center"/>
          </w:tcPr>
          <w:p w14:paraId="1EE47D1B">
            <w:pPr>
              <w:widowControl/>
              <w:spacing w:before="100" w:beforeAutospacing="1" w:line="273" w:lineRule="auto"/>
              <w:rPr>
                <w:rFonts w:ascii="Times New Roman" w:hAnsi="Times New Roman" w:cs="Times New Roman"/>
                <w:color w:val="000000"/>
                <w:sz w:val="18"/>
                <w:szCs w:val="18"/>
              </w:rPr>
            </w:pPr>
            <w:r>
              <w:rPr>
                <w:rFonts w:ascii="Times New Roman" w:hAnsi="Times New Roman" w:cs="Times New Roman"/>
                <w:color w:val="000000"/>
                <w:sz w:val="18"/>
                <w:szCs w:val="18"/>
              </w:rPr>
              <w:t>ALK位于染色体2p23，是致癌驱动基因，该基因编码的蛋白是受体酪氨酸激酶家族的一部分，该蛋白为一种跨膜受体酪氨酸激酶，是胰岛素受体超家族的一员，受体</w:t>
            </w:r>
            <w:r>
              <w:rPr>
                <w:rFonts w:hint="eastAsia" w:ascii="Times New Roman" w:hAnsi="Times New Roman" w:cs="Times New Roman"/>
                <w:color w:val="000000"/>
                <w:sz w:val="18"/>
                <w:szCs w:val="18"/>
              </w:rPr>
              <w:t>酪</w:t>
            </w:r>
            <w:r>
              <w:rPr>
                <w:rFonts w:ascii="Times New Roman" w:hAnsi="Times New Roman" w:cs="Times New Roman"/>
                <w:color w:val="000000"/>
                <w:sz w:val="18"/>
                <w:szCs w:val="18"/>
              </w:rPr>
              <w:t>氨酸激酶通过信号传导将信号从细胞表面传导到细胞内，并通过激活MAPK和PI3K信号通路促进细胞增殖。ALK基因与EML4或其他基因（TFG，KIF5B 等）的融合是非小细胞肺癌中仅次于EGFR突变的第二个分子亚型，约占 7％，在无吸烟史，年轻，及肺腺癌患者人群中占比更高。ALK激活突变、融合、扩增已经在各种癌症中被报道过，包括非小细胞肺癌、结直肠癌、卵巢癌、横纹肌肉瘤等。</w:t>
            </w:r>
          </w:p>
        </w:tc>
      </w:tr>
      <w:tr w14:paraId="5B57DD44">
        <w:trPr>
          <w:trHeight w:val="392" w:hRule="atLeast"/>
          <w:jc w:val="center"/>
        </w:trPr>
        <w:tc>
          <w:tcPr>
            <w:tcW w:w="2359"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22FF55A1">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靶向药物</w:t>
            </w:r>
          </w:p>
        </w:tc>
        <w:tc>
          <w:tcPr>
            <w:tcW w:w="6650" w:type="dxa"/>
            <w:tcBorders>
              <w:top w:val="single" w:color="000000" w:sz="4" w:space="0"/>
              <w:left w:val="nil"/>
              <w:bottom w:val="single" w:color="000000" w:sz="4" w:space="0"/>
              <w:right w:val="single" w:color="000000" w:sz="4" w:space="0"/>
            </w:tcBorders>
            <w:shd w:val="clear" w:color="auto" w:fill="auto"/>
            <w:vAlign w:val="center"/>
          </w:tcPr>
          <w:p w14:paraId="3884D7CE">
            <w:pPr>
              <w:spacing w:before="100" w:beforeAutospacing="1" w:line="256" w:lineRule="auto"/>
              <w:rPr>
                <w:rFonts w:ascii="Times New Roman" w:hAnsi="Times New Roman" w:cs="Times New Roman"/>
                <w:sz w:val="18"/>
                <w:szCs w:val="18"/>
              </w:rPr>
            </w:pPr>
            <w:r>
              <w:rPr>
                <w:rFonts w:ascii="Times New Roman" w:hAnsi="Times New Roman" w:cs="Times New Roman"/>
                <w:b/>
                <w:sz w:val="18"/>
                <w:szCs w:val="18"/>
              </w:rPr>
              <w:t>克唑替尼*</w:t>
            </w:r>
            <w:r>
              <w:rPr>
                <w:rFonts w:ascii="Times New Roman" w:hAnsi="Times New Roman" w:cs="Times New Roman"/>
                <w:sz w:val="18"/>
                <w:szCs w:val="18"/>
              </w:rPr>
              <w:t>、</w:t>
            </w:r>
            <w:r>
              <w:rPr>
                <w:rFonts w:ascii="Times New Roman" w:hAnsi="Times New Roman" w:cs="Times New Roman"/>
                <w:b/>
                <w:sz w:val="18"/>
                <w:szCs w:val="18"/>
              </w:rPr>
              <w:t>塞瑞替尼*</w:t>
            </w:r>
            <w:r>
              <w:rPr>
                <w:rFonts w:ascii="Times New Roman" w:hAnsi="Times New Roman" w:cs="Times New Roman"/>
                <w:sz w:val="18"/>
                <w:szCs w:val="18"/>
              </w:rPr>
              <w:t>、</w:t>
            </w:r>
            <w:r>
              <w:rPr>
                <w:rFonts w:ascii="Times New Roman" w:hAnsi="Times New Roman" w:cs="Times New Roman"/>
                <w:b/>
                <w:sz w:val="18"/>
                <w:szCs w:val="18"/>
              </w:rPr>
              <w:t>布吉他滨</w:t>
            </w:r>
            <w:r>
              <w:rPr>
                <w:rFonts w:ascii="Times New Roman" w:hAnsi="Times New Roman" w:cs="Times New Roman"/>
                <w:sz w:val="18"/>
                <w:szCs w:val="18"/>
              </w:rPr>
              <w:t>、</w:t>
            </w:r>
            <w:r>
              <w:rPr>
                <w:rFonts w:ascii="Times New Roman" w:hAnsi="Times New Roman" w:cs="Times New Roman"/>
                <w:b/>
                <w:sz w:val="18"/>
                <w:szCs w:val="18"/>
              </w:rPr>
              <w:t>阿来替尼*</w:t>
            </w:r>
            <w:r>
              <w:rPr>
                <w:rFonts w:ascii="Times New Roman" w:hAnsi="Times New Roman" w:cs="Times New Roman"/>
                <w:sz w:val="18"/>
                <w:szCs w:val="18"/>
              </w:rPr>
              <w:t>、</w:t>
            </w:r>
            <w:r>
              <w:rPr>
                <w:rFonts w:ascii="Times New Roman" w:hAnsi="Times New Roman" w:cs="Times New Roman"/>
                <w:b/>
                <w:sz w:val="18"/>
                <w:szCs w:val="18"/>
              </w:rPr>
              <w:t>劳拉替尼、</w:t>
            </w:r>
            <w:r>
              <w:rPr>
                <w:rFonts w:hint="eastAsia" w:ascii="Times New Roman" w:hAnsi="Times New Roman" w:cs="Times New Roman"/>
                <w:b/>
                <w:sz w:val="18"/>
                <w:szCs w:val="18"/>
              </w:rPr>
              <w:t>恩沙替尼</w:t>
            </w:r>
            <w:r>
              <w:rPr>
                <w:rFonts w:ascii="Times New Roman" w:hAnsi="Times New Roman" w:cs="Times New Roman"/>
                <w:b/>
                <w:sz w:val="18"/>
                <w:szCs w:val="18"/>
              </w:rPr>
              <w:t>*</w:t>
            </w:r>
          </w:p>
        </w:tc>
      </w:tr>
      <w:tr w14:paraId="5DBE692B">
        <w:trPr>
          <w:trHeight w:val="3449" w:hRule="atLeast"/>
          <w:jc w:val="center"/>
        </w:trPr>
        <w:tc>
          <w:tcPr>
            <w:tcW w:w="2359"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54D054F7">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用药提示</w:t>
            </w:r>
          </w:p>
          <w:p w14:paraId="57586AB6">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（仅供参考）</w:t>
            </w:r>
          </w:p>
        </w:tc>
        <w:tc>
          <w:tcPr>
            <w:tcW w:w="6650" w:type="dxa"/>
            <w:tcBorders>
              <w:top w:val="single" w:color="000000" w:sz="4" w:space="0"/>
              <w:left w:val="nil"/>
              <w:bottom w:val="single" w:color="000000" w:sz="4" w:space="0"/>
              <w:right w:val="single" w:color="000000" w:sz="4" w:space="0"/>
            </w:tcBorders>
            <w:shd w:val="clear" w:color="auto" w:fill="auto"/>
            <w:vAlign w:val="center"/>
          </w:tcPr>
          <w:p w14:paraId="76029FEE">
            <w:pPr>
              <w:widowControl/>
              <w:spacing w:before="100" w:beforeAutospacing="1" w:line="273" w:lineRule="auto"/>
              <w:rPr>
                <w:rFonts w:ascii="Times New Roman" w:hAnsi="Times New Roman" w:cs="Times New Roman"/>
                <w:color w:val="000000"/>
                <w:sz w:val="18"/>
                <w:szCs w:val="18"/>
              </w:rPr>
            </w:pPr>
            <w:r>
              <w:rPr>
                <w:rFonts w:hint="eastAsia" w:ascii="Times New Roman" w:hAnsi="Times New Roman" w:cs="Times New Roman"/>
                <w:color w:val="000000"/>
                <w:sz w:val="18"/>
                <w:szCs w:val="18"/>
              </w:rPr>
              <w:t>F</w:t>
            </w:r>
            <w:r>
              <w:rPr>
                <w:rFonts w:ascii="Times New Roman" w:hAnsi="Times New Roman" w:cs="Times New Roman"/>
                <w:color w:val="000000"/>
                <w:sz w:val="18"/>
                <w:szCs w:val="18"/>
              </w:rPr>
              <w:t>DA</w:t>
            </w:r>
            <w:r>
              <w:rPr>
                <w:rFonts w:hint="eastAsia" w:ascii="Times New Roman" w:hAnsi="Times New Roman" w:cs="Times New Roman"/>
                <w:color w:val="000000"/>
                <w:sz w:val="18"/>
                <w:szCs w:val="18"/>
              </w:rPr>
              <w:t>批准克唑替尼、塞瑞替尼、阿来替尼、劳拉替尼和布吉他滨用于A</w:t>
            </w:r>
            <w:r>
              <w:rPr>
                <w:rFonts w:ascii="Times New Roman" w:hAnsi="Times New Roman" w:cs="Times New Roman"/>
                <w:color w:val="000000"/>
                <w:sz w:val="18"/>
                <w:szCs w:val="18"/>
              </w:rPr>
              <w:t>LK</w:t>
            </w:r>
            <w:r>
              <w:rPr>
                <w:rFonts w:hint="eastAsia" w:ascii="Times New Roman" w:hAnsi="Times New Roman" w:cs="Times New Roman"/>
                <w:color w:val="000000"/>
                <w:sz w:val="18"/>
                <w:szCs w:val="18"/>
              </w:rPr>
              <w:t>阳性非小细胞肺癌患者的治疗。N</w:t>
            </w:r>
            <w:r>
              <w:rPr>
                <w:rFonts w:ascii="Times New Roman" w:hAnsi="Times New Roman" w:cs="Times New Roman"/>
                <w:color w:val="000000"/>
                <w:sz w:val="18"/>
                <w:szCs w:val="18"/>
              </w:rPr>
              <w:t>MPA</w:t>
            </w:r>
            <w:r>
              <w:rPr>
                <w:rFonts w:hint="eastAsia" w:ascii="Times New Roman" w:hAnsi="Times New Roman" w:cs="Times New Roman"/>
                <w:color w:val="000000"/>
                <w:sz w:val="18"/>
                <w:szCs w:val="18"/>
              </w:rPr>
              <w:t>批准恩沙替尼用于克唑替尼治疗后进展或克唑替尼不耐受的A</w:t>
            </w:r>
            <w:r>
              <w:rPr>
                <w:rFonts w:ascii="Times New Roman" w:hAnsi="Times New Roman" w:cs="Times New Roman"/>
                <w:color w:val="000000"/>
                <w:sz w:val="18"/>
                <w:szCs w:val="18"/>
              </w:rPr>
              <w:t>LK</w:t>
            </w:r>
            <w:r>
              <w:rPr>
                <w:rFonts w:hint="eastAsia" w:ascii="Times New Roman" w:hAnsi="Times New Roman" w:cs="Times New Roman"/>
                <w:color w:val="000000"/>
                <w:sz w:val="18"/>
                <w:szCs w:val="18"/>
              </w:rPr>
              <w:t>阳性非小细胞肺癌患者；批准克唑替尼、阿来替尼和塞瑞替尼用于A</w:t>
            </w:r>
            <w:r>
              <w:rPr>
                <w:rFonts w:ascii="Times New Roman" w:hAnsi="Times New Roman" w:cs="Times New Roman"/>
                <w:color w:val="000000"/>
                <w:sz w:val="18"/>
                <w:szCs w:val="18"/>
              </w:rPr>
              <w:t>LK</w:t>
            </w:r>
            <w:r>
              <w:rPr>
                <w:rFonts w:hint="eastAsia" w:ascii="Times New Roman" w:hAnsi="Times New Roman" w:cs="Times New Roman"/>
                <w:color w:val="000000"/>
                <w:sz w:val="18"/>
                <w:szCs w:val="18"/>
              </w:rPr>
              <w:t>阳性非小细胞肺癌患者的治疗；批准塞瑞替尼用于A</w:t>
            </w:r>
            <w:r>
              <w:rPr>
                <w:rFonts w:ascii="Times New Roman" w:hAnsi="Times New Roman" w:cs="Times New Roman"/>
                <w:color w:val="000000"/>
                <w:sz w:val="18"/>
                <w:szCs w:val="18"/>
              </w:rPr>
              <w:t>LK</w:t>
            </w:r>
            <w:r>
              <w:rPr>
                <w:rFonts w:hint="eastAsia" w:ascii="Times New Roman" w:hAnsi="Times New Roman" w:cs="Times New Roman"/>
                <w:color w:val="000000"/>
                <w:sz w:val="18"/>
                <w:szCs w:val="18"/>
              </w:rPr>
              <w:t>阳性非小细胞肺癌患者的一线治疗或者克唑替尼治疗后进展或克唑替尼不耐受的A</w:t>
            </w:r>
            <w:r>
              <w:rPr>
                <w:rFonts w:ascii="Times New Roman" w:hAnsi="Times New Roman" w:cs="Times New Roman"/>
                <w:color w:val="000000"/>
                <w:sz w:val="18"/>
                <w:szCs w:val="18"/>
              </w:rPr>
              <w:t>LK</w:t>
            </w:r>
            <w:r>
              <w:rPr>
                <w:rFonts w:hint="eastAsia" w:ascii="Times New Roman" w:hAnsi="Times New Roman" w:cs="Times New Roman"/>
                <w:color w:val="000000"/>
                <w:sz w:val="18"/>
                <w:szCs w:val="18"/>
              </w:rPr>
              <w:t>阳性非小细胞肺癌患者的二线治疗。在非小细胞肺癌中，</w:t>
            </w:r>
            <w:r>
              <w:rPr>
                <w:rFonts w:ascii="Times New Roman" w:hAnsi="Times New Roman" w:cs="Times New Roman"/>
                <w:color w:val="000000"/>
                <w:sz w:val="18"/>
                <w:szCs w:val="18"/>
              </w:rPr>
              <w:t>ALK融合对ALK TKIs药物克唑替尼[PMID: 25470694]、塞瑞替尼[PMID: 28126333]、阿来替尼[PMID: 28586279]、布吉他滨[PMID: 30280657]、劳拉替尼[PMID: 33207094]、恩沙替尼敏感[PMID: 29563138]；对EGFR TKIs药物埃克替尼、厄洛替尼、吉非替尼、阿法替尼、奥希替尼、达可替尼产生耐药性[PMID: 19667264]；ALK酪氨酸激酶结构域关键位点（包含1151Tins、L1152R、C1156Y</w:t>
            </w:r>
            <w:r>
              <w:rPr>
                <w:rFonts w:hint="eastAsia" w:ascii="Times New Roman" w:hAnsi="Times New Roman" w:cs="Times New Roman"/>
                <w:color w:val="000000"/>
                <w:sz w:val="18"/>
                <w:szCs w:val="18"/>
              </w:rPr>
              <w:t>、</w:t>
            </w:r>
            <w:r>
              <w:rPr>
                <w:rFonts w:ascii="Times New Roman" w:hAnsi="Times New Roman" w:cs="Times New Roman"/>
                <w:color w:val="000000"/>
                <w:sz w:val="18"/>
                <w:szCs w:val="18"/>
              </w:rPr>
              <w:t>F1174L、L1196M、G1202R、S1206Y、G1269A、F1174V、F1245C）发生突变会导致对一代ALK抑制剂克唑替尼产生耐药性[PMID: 22277784]，L1196M、G1269A、I1171T、S1206Y位点突变对二代ALK抑制剂塞瑞替尼敏感[PMID: 24675041]，L1196M、G1269A、C1156Y、F1174L、1151Tins、L1152R位点突变对二代ALK抑制剂阿来替尼敏感[PMID: 26579422]。ALK拷贝数变异还与结直肠癌的发生及预后有关[PMID: 24129244]。</w:t>
            </w:r>
          </w:p>
        </w:tc>
      </w:tr>
    </w:tbl>
    <w:p w14:paraId="6CD56C43">
      <w:pPr>
        <w:spacing w:line="276" w:lineRule="auto"/>
        <w:rPr>
          <w:rFonts w:ascii="Times New Roman" w:hAnsi="Times New Roman" w:cs="Times New Roman"/>
        </w:rPr>
      </w:pPr>
    </w:p>
    <w:p w14:paraId="52A737C8">
      <w:pPr>
        <w:spacing w:line="276" w:lineRule="auto"/>
        <w:rPr>
          <w:rFonts w:ascii="Times New Roman" w:hAnsi="Times New Roman" w:cs="Times New Roman"/>
          <w:u w:val="thick" w:color="2DB8B5"/>
        </w:rPr>
      </w:pPr>
    </w:p>
    <w:p w14:paraId="7413CDCB">
      <w:pPr>
        <w:spacing w:line="276" w:lineRule="auto"/>
        <w:rPr>
          <w:rFonts w:ascii="Times New Roman" w:hAnsi="Times New Roman" w:cs="Times New Roman"/>
          <w:b/>
        </w:rPr>
      </w:pPr>
      <w:r>
        <w:rPr>
          <w:rFonts w:hint="eastAsia" w:ascii="Times New Roman" w:hAnsi="Times New Roman" w:cs="Times New Roman"/>
          <w:b/>
          <w:u w:val="thick" w:color="1F3864"/>
        </w:rPr>
        <w:t xml:space="preserve">EGFR          </w:t>
      </w:r>
      <w:r>
        <w:rPr>
          <w:rFonts w:ascii="Times New Roman" w:hAnsi="Times New Roman" w:cs="Times New Roman"/>
          <w:b/>
          <w:u w:val="thick" w:color="1F3864"/>
        </w:rPr>
        <w:t xml:space="preserve">                                                                                                                                                          </w:t>
      </w:r>
      <w:r>
        <w:rPr>
          <w:rFonts w:ascii="Times New Roman" w:hAnsi="Times New Roman" w:cs="Times New Roman"/>
          <w:b/>
        </w:rPr>
        <w:t xml:space="preserve">       </w:t>
      </w:r>
    </w:p>
    <w:p w14:paraId="36CAD24B">
      <w:pPr>
        <w:spacing w:line="276" w:lineRule="auto"/>
        <w:rPr>
          <w:rFonts w:ascii="Times New Roman" w:hAnsi="Times New Roman" w:cs="Times New Roman"/>
          <w:b/>
          <w:u w:val="single" w:color="538135"/>
        </w:rPr>
      </w:pPr>
    </w:p>
    <w:tbl>
      <w:tblPr>
        <w:tblStyle w:val="19"/>
        <w:tblW w:w="90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82"/>
        <w:gridCol w:w="6627"/>
      </w:tblGrid>
      <w:tr w14:paraId="2A9D5DA4">
        <w:trPr>
          <w:trHeight w:val="1980" w:hRule="atLeast"/>
          <w:jc w:val="center"/>
        </w:trPr>
        <w:tc>
          <w:tcPr>
            <w:tcW w:w="2382"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1DF2504E">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基因说明</w:t>
            </w:r>
          </w:p>
        </w:tc>
        <w:tc>
          <w:tcPr>
            <w:tcW w:w="6627" w:type="dxa"/>
            <w:tcBorders>
              <w:top w:val="single" w:color="000000" w:sz="4" w:space="0"/>
              <w:left w:val="nil"/>
              <w:bottom w:val="single" w:color="000000" w:sz="4" w:space="0"/>
              <w:right w:val="single" w:color="000000" w:sz="4" w:space="0"/>
            </w:tcBorders>
            <w:shd w:val="clear" w:color="auto" w:fill="auto"/>
            <w:vAlign w:val="center"/>
          </w:tcPr>
          <w:p w14:paraId="73FF77A1">
            <w:pPr>
              <w:widowControl/>
              <w:adjustRightInd w:val="0"/>
              <w:snapToGrid w:val="0"/>
              <w:spacing w:before="100" w:beforeAutospacing="1" w:line="273" w:lineRule="auto"/>
              <w:jc w:val="both"/>
              <w:rPr>
                <w:rFonts w:ascii="Times New Roman" w:hAnsi="Times New Roman" w:cs="Times New Roman"/>
                <w:color w:val="000000"/>
                <w:sz w:val="18"/>
                <w:szCs w:val="18"/>
              </w:rPr>
            </w:pPr>
            <w:r>
              <w:rPr>
                <w:rFonts w:ascii="Times New Roman" w:hAnsi="Times New Roman" w:cs="Times New Roman"/>
                <w:color w:val="000000"/>
                <w:sz w:val="18"/>
                <w:szCs w:val="18"/>
              </w:rPr>
              <w:t>EGFR基因位于7p11，是原癌基因c-erbB1的表达产物，表皮生长因子受体（HER）家族的跨膜受体酪氨酸激酶之一。该蛋白由胞外的结合区、跨膜区及胞内区（包含酪氨酸激酶结构域）组成，通过与多种表皮生长因子结合，其自身发生二聚化并磷酸化，进而引发细胞内信号通路，影响细胞增殖等生物学过程。EGFR基因突变、扩增或过表达会导致EGFR蛋白的表达量过高或活性过强，引起细胞的异常增殖、分化以及血管增生，并能抑制肿瘤细胞的凋亡。数据显示，EGFR突变占西方NSCLC的10-20%，这一比例在东亚、女性、无吸烟史的肺腺癌患者中尤其高，中国肺腺癌患者EGFR突变率高达50%，EGFR热点突变集中于激酶结构域18~21号外显子，与EGFR相关的疾病还包括头颈部实体瘤、鳞状细胞癌、结直肠癌、鼻咽癌等。</w:t>
            </w:r>
          </w:p>
        </w:tc>
      </w:tr>
      <w:tr w14:paraId="3DCBDD38">
        <w:trPr>
          <w:trHeight w:val="419" w:hRule="atLeast"/>
          <w:jc w:val="center"/>
        </w:trPr>
        <w:tc>
          <w:tcPr>
            <w:tcW w:w="2382"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721E23AF">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靶向药物</w:t>
            </w:r>
          </w:p>
        </w:tc>
        <w:tc>
          <w:tcPr>
            <w:tcW w:w="6627" w:type="dxa"/>
            <w:tcBorders>
              <w:top w:val="single" w:color="000000" w:sz="4" w:space="0"/>
              <w:left w:val="nil"/>
              <w:bottom w:val="single" w:color="000000" w:sz="4" w:space="0"/>
              <w:right w:val="single" w:color="000000" w:sz="4" w:space="0"/>
            </w:tcBorders>
            <w:shd w:val="clear" w:color="auto" w:fill="auto"/>
            <w:vAlign w:val="center"/>
          </w:tcPr>
          <w:p w14:paraId="094BD8E1">
            <w:pPr>
              <w:spacing w:before="100" w:beforeAutospacing="1" w:line="256" w:lineRule="auto"/>
              <w:rPr>
                <w:rFonts w:ascii="Times New Roman" w:hAnsi="Times New Roman" w:cs="Times New Roman"/>
                <w:sz w:val="18"/>
                <w:szCs w:val="18"/>
              </w:rPr>
            </w:pPr>
            <w:r>
              <w:rPr>
                <w:rFonts w:ascii="Times New Roman" w:hAnsi="Times New Roman" w:cs="Times New Roman"/>
                <w:b/>
                <w:sz w:val="18"/>
                <w:szCs w:val="18"/>
              </w:rPr>
              <w:t>厄洛替尼*</w:t>
            </w:r>
            <w:r>
              <w:rPr>
                <w:rFonts w:ascii="Times New Roman" w:hAnsi="Times New Roman" w:cs="Times New Roman"/>
                <w:sz w:val="18"/>
                <w:szCs w:val="18"/>
              </w:rPr>
              <w:t>、</w:t>
            </w:r>
            <w:r>
              <w:rPr>
                <w:rFonts w:ascii="Times New Roman" w:hAnsi="Times New Roman" w:cs="Times New Roman"/>
                <w:b/>
                <w:sz w:val="18"/>
                <w:szCs w:val="18"/>
              </w:rPr>
              <w:t>吉非替尼*</w:t>
            </w:r>
            <w:r>
              <w:rPr>
                <w:rFonts w:ascii="Times New Roman" w:hAnsi="Times New Roman" w:cs="Times New Roman"/>
                <w:sz w:val="18"/>
                <w:szCs w:val="18"/>
              </w:rPr>
              <w:t>、</w:t>
            </w:r>
            <w:r>
              <w:rPr>
                <w:rFonts w:ascii="Times New Roman" w:hAnsi="Times New Roman" w:cs="Times New Roman"/>
                <w:b/>
                <w:sz w:val="18"/>
                <w:szCs w:val="18"/>
              </w:rPr>
              <w:t>阿法替尼*</w:t>
            </w:r>
            <w:r>
              <w:rPr>
                <w:rFonts w:ascii="Times New Roman" w:hAnsi="Times New Roman" w:cs="Times New Roman"/>
                <w:sz w:val="18"/>
                <w:szCs w:val="18"/>
              </w:rPr>
              <w:t>、</w:t>
            </w:r>
            <w:r>
              <w:rPr>
                <w:rFonts w:ascii="Times New Roman" w:hAnsi="Times New Roman" w:cs="Times New Roman"/>
                <w:b/>
                <w:sz w:val="18"/>
                <w:szCs w:val="18"/>
              </w:rPr>
              <w:t>达可替尼*</w:t>
            </w:r>
            <w:r>
              <w:rPr>
                <w:rFonts w:ascii="Times New Roman" w:hAnsi="Times New Roman" w:cs="Times New Roman"/>
                <w:sz w:val="18"/>
                <w:szCs w:val="18"/>
              </w:rPr>
              <w:t>、</w:t>
            </w:r>
            <w:r>
              <w:rPr>
                <w:rFonts w:ascii="Times New Roman" w:hAnsi="Times New Roman" w:cs="Times New Roman"/>
                <w:b/>
                <w:sz w:val="18"/>
                <w:szCs w:val="18"/>
              </w:rPr>
              <w:t>奥希替尼*</w:t>
            </w:r>
            <w:r>
              <w:rPr>
                <w:rFonts w:ascii="Times New Roman" w:hAnsi="Times New Roman" w:cs="Times New Roman"/>
                <w:sz w:val="18"/>
                <w:szCs w:val="18"/>
              </w:rPr>
              <w:t>、</w:t>
            </w:r>
            <w:r>
              <w:rPr>
                <w:rFonts w:ascii="Times New Roman" w:hAnsi="Times New Roman" w:cs="Times New Roman"/>
                <w:b/>
                <w:sz w:val="18"/>
                <w:szCs w:val="18"/>
              </w:rPr>
              <w:t>埃克替尼*、阿美替尼*、西妥昔单抗*、帕尼单抗、</w:t>
            </w:r>
            <w:r>
              <w:rPr>
                <w:rFonts w:hint="eastAsia" w:ascii="Times New Roman" w:hAnsi="Times New Roman" w:cs="Times New Roman"/>
                <w:b/>
                <w:sz w:val="18"/>
                <w:szCs w:val="18"/>
              </w:rPr>
              <w:t>伏美替尼</w:t>
            </w:r>
            <w:r>
              <w:rPr>
                <w:rFonts w:ascii="Times New Roman" w:hAnsi="Times New Roman" w:cs="Times New Roman"/>
                <w:b/>
                <w:sz w:val="18"/>
                <w:szCs w:val="18"/>
              </w:rPr>
              <w:t>*</w:t>
            </w:r>
            <w:r>
              <w:rPr>
                <w:rFonts w:hint="eastAsia" w:ascii="Times New Roman" w:hAnsi="Times New Roman" w:cs="Times New Roman"/>
                <w:b/>
                <w:sz w:val="18"/>
                <w:szCs w:val="18"/>
              </w:rPr>
              <w:t>、奈西单抗</w:t>
            </w:r>
            <w:r>
              <w:rPr>
                <w:rFonts w:ascii="Times New Roman" w:hAnsi="Times New Roman" w:cs="Times New Roman"/>
                <w:b/>
                <w:sz w:val="18"/>
                <w:szCs w:val="18"/>
              </w:rPr>
              <w:t>+吉西他滨+顺铂</w:t>
            </w:r>
            <w:r>
              <w:rPr>
                <w:rFonts w:hint="eastAsia" w:ascii="Times New Roman" w:hAnsi="Times New Roman" w:cs="Times New Roman"/>
                <w:b/>
                <w:sz w:val="18"/>
                <w:szCs w:val="18"/>
              </w:rPr>
              <w:t>、厄洛替尼</w:t>
            </w:r>
            <w:r>
              <w:rPr>
                <w:rFonts w:ascii="Times New Roman" w:hAnsi="Times New Roman" w:cs="Times New Roman"/>
                <w:b/>
                <w:sz w:val="18"/>
                <w:szCs w:val="18"/>
              </w:rPr>
              <w:t>+雷莫芦单抗</w:t>
            </w:r>
            <w:r>
              <w:rPr>
                <w:rFonts w:hint="eastAsia" w:ascii="Times New Roman" w:hAnsi="Times New Roman" w:cs="Times New Roman"/>
                <w:b/>
                <w:sz w:val="18"/>
                <w:szCs w:val="18"/>
              </w:rPr>
              <w:t>、</w:t>
            </w:r>
            <w:r>
              <w:rPr>
                <w:rFonts w:hint="eastAsia" w:ascii="Times New Roman" w:hAnsi="Times New Roman" w:cs="Times New Roman"/>
                <w:sz w:val="18"/>
                <w:szCs w:val="18"/>
              </w:rPr>
              <w:t>厄洛替尼</w:t>
            </w:r>
            <w:r>
              <w:rPr>
                <w:rFonts w:ascii="Times New Roman" w:hAnsi="Times New Roman" w:cs="Times New Roman"/>
                <w:sz w:val="18"/>
                <w:szCs w:val="18"/>
              </w:rPr>
              <w:t>+贝伐珠单抗</w:t>
            </w:r>
            <w:r>
              <w:rPr>
                <w:rFonts w:hint="eastAsia" w:ascii="Times New Roman" w:hAnsi="Times New Roman" w:cs="Times New Roman"/>
                <w:sz w:val="18"/>
                <w:szCs w:val="18"/>
              </w:rPr>
              <w:t>、</w:t>
            </w:r>
            <w:r>
              <w:rPr>
                <w:rFonts w:ascii="Times New Roman" w:hAnsi="Times New Roman" w:cs="Times New Roman"/>
                <w:sz w:val="18"/>
                <w:szCs w:val="18"/>
              </w:rPr>
              <w:t>凡德他尼+多西他赛</w:t>
            </w:r>
            <w:r>
              <w:rPr>
                <w:rFonts w:hint="eastAsia" w:ascii="Times New Roman" w:hAnsi="Times New Roman" w:cs="Times New Roman"/>
                <w:sz w:val="18"/>
                <w:szCs w:val="18"/>
              </w:rPr>
              <w:t>、</w:t>
            </w:r>
            <w:r>
              <w:rPr>
                <w:rFonts w:ascii="Times New Roman" w:hAnsi="Times New Roman" w:cs="Times New Roman"/>
                <w:sz w:val="18"/>
                <w:szCs w:val="18"/>
              </w:rPr>
              <w:t>Poziotinib</w:t>
            </w:r>
          </w:p>
        </w:tc>
      </w:tr>
      <w:tr w14:paraId="3450A215">
        <w:trPr>
          <w:trHeight w:val="2964" w:hRule="atLeast"/>
          <w:jc w:val="center"/>
        </w:trPr>
        <w:tc>
          <w:tcPr>
            <w:tcW w:w="2382"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50F290FF">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用药提示</w:t>
            </w:r>
          </w:p>
          <w:p w14:paraId="04B176CF">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（仅供参考）</w:t>
            </w:r>
          </w:p>
        </w:tc>
        <w:tc>
          <w:tcPr>
            <w:tcW w:w="6627" w:type="dxa"/>
            <w:tcBorders>
              <w:top w:val="single" w:color="000000" w:sz="4" w:space="0"/>
              <w:left w:val="nil"/>
              <w:bottom w:val="single" w:color="000000" w:sz="4" w:space="0"/>
              <w:right w:val="single" w:color="000000" w:sz="4" w:space="0"/>
            </w:tcBorders>
            <w:shd w:val="clear" w:color="auto" w:fill="auto"/>
            <w:vAlign w:val="center"/>
          </w:tcPr>
          <w:p w14:paraId="27279374">
            <w:pPr>
              <w:widowControl/>
              <w:spacing w:before="100" w:beforeAutospacing="1" w:line="273" w:lineRule="auto"/>
              <w:rPr>
                <w:rFonts w:ascii="Times New Roman" w:hAnsi="Times New Roman" w:cs="Times New Roman"/>
                <w:sz w:val="18"/>
                <w:szCs w:val="18"/>
              </w:rPr>
            </w:pPr>
            <w:r>
              <w:rPr>
                <w:rFonts w:ascii="Times New Roman" w:hAnsi="Times New Roman" w:cs="Times New Roman"/>
                <w:sz w:val="18"/>
                <w:szCs w:val="18"/>
              </w:rPr>
              <w:t>EGFR 基因是非小细胞肺癌</w:t>
            </w:r>
            <w:r>
              <w:rPr>
                <w:rFonts w:hint="eastAsia" w:ascii="Times New Roman" w:hAnsi="Times New Roman" w:cs="Times New Roman"/>
                <w:sz w:val="18"/>
                <w:szCs w:val="18"/>
              </w:rPr>
              <w:t>（</w:t>
            </w:r>
            <w:r>
              <w:rPr>
                <w:rFonts w:ascii="Times New Roman" w:hAnsi="Times New Roman" w:cs="Times New Roman"/>
                <w:sz w:val="18"/>
                <w:szCs w:val="18"/>
              </w:rPr>
              <w:t>NSCLC</w:t>
            </w:r>
            <w:r>
              <w:rPr>
                <w:rFonts w:hint="eastAsia" w:ascii="Times New Roman" w:hAnsi="Times New Roman" w:cs="Times New Roman"/>
                <w:sz w:val="18"/>
                <w:szCs w:val="18"/>
              </w:rPr>
              <w:t>）</w:t>
            </w:r>
            <w:r>
              <w:rPr>
                <w:rFonts w:ascii="Times New Roman" w:hAnsi="Times New Roman" w:cs="Times New Roman"/>
                <w:sz w:val="18"/>
                <w:szCs w:val="18"/>
              </w:rPr>
              <w:t>中最常见的驱动基因之一。EGFR基因中exon19 del，exon19 ins，exon21（L858R，L861Q），exon 18（G719X），exon20（S768I） 的突变与EGFR TKI [ PMID: 16531062]</w:t>
            </w:r>
            <w:r>
              <w:rPr>
                <w:rFonts w:hint="eastAsia" w:ascii="Times New Roman" w:hAnsi="Times New Roman" w:cs="Times New Roman"/>
                <w:sz w:val="18"/>
                <w:szCs w:val="18"/>
              </w:rPr>
              <w:t>、</w:t>
            </w:r>
            <w:r>
              <w:rPr>
                <w:rFonts w:ascii="Times New Roman" w:hAnsi="Times New Roman" w:cs="Times New Roman"/>
                <w:sz w:val="18"/>
                <w:szCs w:val="18"/>
              </w:rPr>
              <w:t>厄洛替尼+雷莫芦单抗[PMID: 31591063]的敏感性相关。EGFR exon20的插入突变通常与EGFR TKI的耐药预后相关[PMID: 19418618; PMID: 16299703]。研究发现，EGFR TKI 的原发耐药通常与KRAS 的突变相关；获得性耐药通常与EGFR 基因的次</w:t>
            </w:r>
            <w:r>
              <w:rPr>
                <w:rFonts w:hint="eastAsia" w:ascii="Times New Roman" w:hAnsi="Times New Roman" w:cs="Times New Roman"/>
                <w:sz w:val="18"/>
                <w:szCs w:val="18"/>
              </w:rPr>
              <w:t>级</w:t>
            </w:r>
            <w:r>
              <w:rPr>
                <w:rFonts w:ascii="Times New Roman" w:hAnsi="Times New Roman" w:cs="Times New Roman"/>
                <w:sz w:val="18"/>
                <w:szCs w:val="18"/>
              </w:rPr>
              <w:t>突变（如T790M）、旁路激酶的扩增（如MET 基因）、从非小细胞肺癌向小细胞肺癌的组织学转变以及上皮细胞-间充质转化（EMT）相关。</w:t>
            </w:r>
            <w:r>
              <w:rPr>
                <w:rFonts w:hint="eastAsia" w:ascii="Times New Roman" w:hAnsi="Times New Roman" w:cs="Times New Roman"/>
                <w:sz w:val="18"/>
                <w:szCs w:val="18"/>
              </w:rPr>
              <w:t>在非小细胞肺癌中，</w:t>
            </w:r>
            <w:r>
              <w:rPr>
                <w:rFonts w:ascii="Times New Roman" w:hAnsi="Times New Roman" w:cs="Times New Roman"/>
                <w:sz w:val="18"/>
                <w:szCs w:val="18"/>
              </w:rPr>
              <w:t>EGFR T790M对EGFR TKIs产生耐药性，但EGFR T790M对EGFR TKIs（奥希替尼[PMID: 29151359]、阿美替尼[PMID: 32916310]、伏美替尼[J Clin Oncol. 2020; 38(suppl 15): abstr 9602]）</w:t>
            </w:r>
            <w:r>
              <w:rPr>
                <w:rFonts w:hint="eastAsia" w:ascii="Times New Roman" w:hAnsi="Times New Roman" w:cs="Times New Roman"/>
                <w:sz w:val="18"/>
                <w:szCs w:val="18"/>
              </w:rPr>
              <w:t>敏感，携带</w:t>
            </w:r>
            <w:r>
              <w:rPr>
                <w:rFonts w:ascii="Times New Roman" w:hAnsi="Times New Roman" w:cs="Times New Roman"/>
                <w:sz w:val="18"/>
                <w:szCs w:val="18"/>
              </w:rPr>
              <w:t>EGFR 20号外显子插入突变的患者对Poziotinib敏感[PMID: 29686424; PMID: 29162564]，EGFR扩增的患者对凡德他尼+多西他赛[PMID: 25057173]敏感；在非鳞非小细胞肺癌中，EGFR敏感突变对厄洛替尼+贝伐珠单抗敏感[PMID: 30975627]</w:t>
            </w:r>
            <w:r>
              <w:rPr>
                <w:rFonts w:hint="eastAsia" w:ascii="Times New Roman" w:hAnsi="Times New Roman" w:cs="Times New Roman"/>
                <w:sz w:val="18"/>
                <w:szCs w:val="18"/>
              </w:rPr>
              <w:t>。</w:t>
            </w:r>
            <w:r>
              <w:rPr>
                <w:rFonts w:ascii="Times New Roman" w:hAnsi="Times New Roman" w:cs="Times New Roman"/>
                <w:sz w:val="18"/>
                <w:szCs w:val="18"/>
              </w:rPr>
              <w:t>在肺鳞癌中，EGFR扩增的患者对奈西单抗+吉西他滨+顺铂敏感[PMID: 29158193]。在结肠癌中，EGFR扩增与抗EGFR抗体如西妥昔单抗的疗效正相关，而部分EGFR突变特别是胞外域点突变与抗 EGFR 抗体如西妥昔单抗耐药相关。FDA批准西妥昔单抗用于KRAS突变阴性（野生型），EGFR表达阳性的转移性结直肠癌患者；NMPA批准西妥昔单抗单药用于表皮生长因子受体过度表达的，对以伊立替康为基础的化疗方案耐药的转移性结直肠癌的治疗。在结直肠癌中，EGFR扩增的患者对帕尼单抗敏感[PMID: 17664472]</w:t>
            </w:r>
            <w:r>
              <w:rPr>
                <w:rFonts w:hint="eastAsia" w:ascii="Times New Roman" w:hAnsi="Times New Roman" w:cs="Times New Roman"/>
                <w:sz w:val="18"/>
                <w:szCs w:val="18"/>
              </w:rPr>
              <w:t>。</w:t>
            </w:r>
            <w:r>
              <w:rPr>
                <w:rFonts w:ascii="Times New Roman" w:hAnsi="Times New Roman" w:cs="Times New Roman"/>
                <w:sz w:val="18"/>
                <w:szCs w:val="18"/>
              </w:rPr>
              <w:t>另外，凡德他尼是一种多靶点（EGFR, RET, VEGFR2 等）激酶抑制剂；尼妥珠单抗、西妥昔单抗等EGFR 的单克隆抗体[ PMID: 24493829</w:t>
            </w:r>
            <w:r>
              <w:rPr>
                <w:rFonts w:hint="eastAsia" w:ascii="Times New Roman" w:hAnsi="Times New Roman" w:cs="Times New Roman"/>
                <w:sz w:val="18"/>
                <w:szCs w:val="18"/>
              </w:rPr>
              <w:t>; PMID: 23359171; PMID: 22215752; PMID: 22588155</w:t>
            </w:r>
            <w:r>
              <w:rPr>
                <w:rFonts w:ascii="Times New Roman" w:hAnsi="Times New Roman" w:cs="Times New Roman"/>
                <w:sz w:val="18"/>
                <w:szCs w:val="18"/>
              </w:rPr>
              <w:t>]，联合其他靶向药、单抗以及化疗药用于肺癌的治疗的临床试验正在开展。</w:t>
            </w:r>
          </w:p>
        </w:tc>
      </w:tr>
    </w:tbl>
    <w:p w14:paraId="1466CA69">
      <w:pPr>
        <w:spacing w:line="276" w:lineRule="auto"/>
        <w:rPr>
          <w:rFonts w:ascii="Times New Roman" w:hAnsi="Times New Roman" w:cs="Times New Roman"/>
          <w:u w:val="thick" w:color="2DB8B5"/>
        </w:rPr>
      </w:pPr>
    </w:p>
    <w:p w14:paraId="466FDC43">
      <w:pPr>
        <w:spacing w:line="276" w:lineRule="auto"/>
        <w:rPr>
          <w:rFonts w:ascii="Times New Roman" w:hAnsi="Times New Roman" w:cs="Times New Roman"/>
          <w:u w:val="thick" w:color="2DB8B5"/>
        </w:rPr>
      </w:pPr>
    </w:p>
    <w:p w14:paraId="4C61C012">
      <w:pPr>
        <w:spacing w:line="276" w:lineRule="auto"/>
        <w:rPr>
          <w:rFonts w:ascii="Times New Roman" w:hAnsi="Times New Roman" w:cs="Times New Roman"/>
          <w:b/>
          <w:u w:val="thick" w:color="538135"/>
        </w:rPr>
      </w:pPr>
      <w:r>
        <w:rPr>
          <w:rFonts w:ascii="Times New Roman" w:hAnsi="Times New Roman" w:cs="Times New Roman"/>
          <w:b/>
          <w:u w:val="thick" w:color="1F3864"/>
        </w:rPr>
        <w:t xml:space="preserve"> </w:t>
      </w:r>
      <w:r>
        <w:rPr>
          <w:rFonts w:hint="eastAsia" w:ascii="Times New Roman" w:hAnsi="Times New Roman" w:cs="Times New Roman"/>
          <w:b/>
          <w:u w:val="thick" w:color="1F3864"/>
        </w:rPr>
        <w:t xml:space="preserve">KRAS </w:t>
      </w:r>
      <w:r>
        <w:rPr>
          <w:rFonts w:ascii="Times New Roman" w:hAnsi="Times New Roman" w:cs="Times New Roman"/>
          <w:b/>
          <w:u w:val="thick" w:color="1F3864"/>
        </w:rPr>
        <w:t xml:space="preserve">                                                                                                                                                         </w:t>
      </w:r>
      <w:r>
        <w:rPr>
          <w:rFonts w:ascii="Times New Roman" w:hAnsi="Times New Roman" w:cs="Times New Roman"/>
          <w:b/>
          <w:sz w:val="24"/>
          <w:u w:val="thick" w:color="538135"/>
        </w:rPr>
        <w:t xml:space="preserve">              </w:t>
      </w:r>
    </w:p>
    <w:p w14:paraId="5D124230">
      <w:pPr>
        <w:spacing w:line="276" w:lineRule="auto"/>
        <w:rPr>
          <w:rFonts w:ascii="Times New Roman" w:hAnsi="Times New Roman" w:cs="Times New Roman"/>
          <w:b/>
          <w:u w:val="single" w:color="2DB8B5"/>
        </w:rPr>
      </w:pPr>
    </w:p>
    <w:tbl>
      <w:tblPr>
        <w:tblStyle w:val="19"/>
        <w:tblW w:w="90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59"/>
        <w:gridCol w:w="6650"/>
      </w:tblGrid>
      <w:tr w14:paraId="329CE5EB">
        <w:trPr>
          <w:trHeight w:val="1557" w:hRule="atLeast"/>
          <w:jc w:val="center"/>
        </w:trPr>
        <w:tc>
          <w:tcPr>
            <w:tcW w:w="2359"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20820880">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基因说明</w:t>
            </w:r>
          </w:p>
        </w:tc>
        <w:tc>
          <w:tcPr>
            <w:tcW w:w="6650" w:type="dxa"/>
            <w:tcBorders>
              <w:top w:val="single" w:color="000000" w:sz="4" w:space="0"/>
              <w:left w:val="nil"/>
              <w:bottom w:val="single" w:color="000000" w:sz="4" w:space="0"/>
              <w:right w:val="single" w:color="000000" w:sz="4" w:space="0"/>
            </w:tcBorders>
            <w:shd w:val="clear" w:color="auto" w:fill="auto"/>
            <w:vAlign w:val="center"/>
          </w:tcPr>
          <w:p w14:paraId="378CE0E8">
            <w:pPr>
              <w:widowControl/>
              <w:spacing w:before="100" w:beforeAutospacing="1" w:line="273" w:lineRule="auto"/>
              <w:rPr>
                <w:rFonts w:ascii="Times New Roman" w:hAnsi="Times New Roman" w:cs="Times New Roman"/>
                <w:color w:val="000000"/>
                <w:sz w:val="18"/>
                <w:szCs w:val="18"/>
              </w:rPr>
            </w:pPr>
            <w:r>
              <w:rPr>
                <w:rFonts w:hint="eastAsia" w:ascii="Times New Roman" w:hAnsi="Times New Roman" w:cs="Times New Roman"/>
                <w:sz w:val="18"/>
                <w:szCs w:val="18"/>
              </w:rPr>
              <w:t>KRAS基因位于12p12，是一种原癌基因，编码K-Ras蛋白质，它是信号传导通路中EGFR下游的关键调节因子，发生突变后导致自身的持续活化，进而持续激活下游Ras/Raf/MEK/ERK和PI3K/Akt信号通路。因此KRAS突变后将不受上游EGFR信号的调控，使EGFR靶向药物无效。KRAS突变常发生在密码子12, 13, 61, 117和146。在人类恶性肿瘤中KRAS基因是最常见的突变基因，在胰腺癌、结直肠癌和肺癌中突变频率很高，约6.7%的亚洲肺癌患者有KRAS基因突变。NCCN 指南指出，K</w:t>
            </w:r>
            <w:r>
              <w:rPr>
                <w:rFonts w:ascii="Times New Roman" w:hAnsi="Times New Roman" w:cs="Times New Roman"/>
                <w:sz w:val="18"/>
                <w:szCs w:val="18"/>
              </w:rPr>
              <w:t>RAS</w:t>
            </w:r>
            <w:r>
              <w:rPr>
                <w:rFonts w:hint="eastAsia" w:ascii="Times New Roman" w:hAnsi="Times New Roman" w:cs="Times New Roman"/>
                <w:sz w:val="18"/>
                <w:szCs w:val="18"/>
              </w:rPr>
              <w:t>突变更容易出现在非亚裔、吸烟、和粘液型肺腺癌患者中[PMID:19767090</w:t>
            </w:r>
            <w:r>
              <w:rPr>
                <w:rFonts w:ascii="Times New Roman" w:hAnsi="Times New Roman" w:cs="Times New Roman"/>
                <w:sz w:val="18"/>
                <w:szCs w:val="18"/>
              </w:rPr>
              <w:t xml:space="preserve">; </w:t>
            </w:r>
            <w:r>
              <w:rPr>
                <w:rFonts w:hint="eastAsia" w:ascii="Times New Roman" w:hAnsi="Times New Roman" w:cs="Times New Roman"/>
                <w:sz w:val="18"/>
                <w:szCs w:val="18"/>
              </w:rPr>
              <w:t>PMID:</w:t>
            </w:r>
            <w:r>
              <w:rPr>
                <w:rFonts w:ascii="Times New Roman" w:hAnsi="Times New Roman" w:cs="Times New Roman"/>
                <w:sz w:val="18"/>
                <w:szCs w:val="18"/>
              </w:rPr>
              <w:t xml:space="preserve"> </w:t>
            </w:r>
            <w:r>
              <w:rPr>
                <w:rFonts w:hint="eastAsia" w:ascii="Times New Roman" w:hAnsi="Times New Roman" w:cs="Times New Roman"/>
                <w:sz w:val="18"/>
                <w:szCs w:val="18"/>
              </w:rPr>
              <w:t>2072410]。在结直肠癌中KRAS突变频率约为36-40%。</w:t>
            </w:r>
          </w:p>
        </w:tc>
      </w:tr>
      <w:tr w14:paraId="380A38B6">
        <w:trPr>
          <w:trHeight w:val="692" w:hRule="atLeast"/>
          <w:jc w:val="center"/>
        </w:trPr>
        <w:tc>
          <w:tcPr>
            <w:tcW w:w="2359"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482D46B5">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靶向药物</w:t>
            </w:r>
          </w:p>
        </w:tc>
        <w:tc>
          <w:tcPr>
            <w:tcW w:w="6650" w:type="dxa"/>
            <w:tcBorders>
              <w:top w:val="single" w:color="000000" w:sz="4" w:space="0"/>
              <w:left w:val="nil"/>
              <w:bottom w:val="single" w:color="000000" w:sz="4" w:space="0"/>
              <w:right w:val="single" w:color="000000" w:sz="4" w:space="0"/>
            </w:tcBorders>
            <w:shd w:val="clear" w:color="auto" w:fill="auto"/>
            <w:vAlign w:val="center"/>
          </w:tcPr>
          <w:p w14:paraId="0BFE5B88">
            <w:pPr>
              <w:widowControl/>
              <w:spacing w:before="100" w:beforeAutospacing="1" w:line="273" w:lineRule="auto"/>
              <w:rPr>
                <w:rFonts w:ascii="Times New Roman" w:hAnsi="Times New Roman" w:cs="Times New Roman"/>
                <w:sz w:val="18"/>
                <w:szCs w:val="18"/>
              </w:rPr>
            </w:pPr>
            <w:r>
              <w:rPr>
                <w:rFonts w:ascii="Times New Roman" w:hAnsi="Times New Roman" w:cs="Times New Roman"/>
                <w:b/>
                <w:sz w:val="18"/>
                <w:szCs w:val="18"/>
              </w:rPr>
              <w:t>Sotorasib</w:t>
            </w:r>
            <w:r>
              <w:rPr>
                <w:rFonts w:hint="eastAsia" w:ascii="Times New Roman" w:hAnsi="Times New Roman" w:cs="Times New Roman"/>
                <w:b/>
                <w:sz w:val="18"/>
                <w:szCs w:val="18"/>
              </w:rPr>
              <w:t>、</w:t>
            </w:r>
            <w:r>
              <w:rPr>
                <w:rFonts w:ascii="Times New Roman" w:hAnsi="Times New Roman" w:cs="Times New Roman"/>
                <w:sz w:val="18"/>
                <w:szCs w:val="18"/>
              </w:rPr>
              <w:t>Adagrasib</w:t>
            </w:r>
            <w:r>
              <w:rPr>
                <w:rFonts w:hint="eastAsia" w:ascii="Times New Roman" w:hAnsi="Times New Roman" w:cs="Times New Roman"/>
                <w:sz w:val="18"/>
                <w:szCs w:val="18"/>
              </w:rPr>
              <w:t>、</w:t>
            </w:r>
            <w:r>
              <w:rPr>
                <w:rFonts w:ascii="Times New Roman" w:hAnsi="Times New Roman" w:cs="Times New Roman"/>
                <w:sz w:val="18"/>
                <w:szCs w:val="18"/>
              </w:rPr>
              <w:t>Defactinib + RO5126766</w:t>
            </w:r>
            <w:r>
              <w:rPr>
                <w:rFonts w:hint="eastAsia" w:ascii="Times New Roman" w:hAnsi="Times New Roman" w:cs="Times New Roman"/>
                <w:sz w:val="18"/>
                <w:szCs w:val="18"/>
              </w:rPr>
              <w:t>、吉非替尼+依维莫司、Belvarafenib</w:t>
            </w:r>
          </w:p>
        </w:tc>
      </w:tr>
      <w:tr w14:paraId="44F848A8">
        <w:trPr>
          <w:trHeight w:val="841" w:hRule="atLeast"/>
          <w:jc w:val="center"/>
        </w:trPr>
        <w:tc>
          <w:tcPr>
            <w:tcW w:w="2359"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7B2E82D1">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用药提示</w:t>
            </w:r>
          </w:p>
          <w:p w14:paraId="425D90EC">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（仅供参考）</w:t>
            </w:r>
          </w:p>
        </w:tc>
        <w:tc>
          <w:tcPr>
            <w:tcW w:w="6650" w:type="dxa"/>
            <w:tcBorders>
              <w:top w:val="single" w:color="000000" w:sz="4" w:space="0"/>
              <w:left w:val="nil"/>
              <w:bottom w:val="single" w:color="000000" w:sz="4" w:space="0"/>
              <w:right w:val="single" w:color="000000" w:sz="4" w:space="0"/>
            </w:tcBorders>
            <w:shd w:val="clear" w:color="auto" w:fill="auto"/>
            <w:vAlign w:val="center"/>
          </w:tcPr>
          <w:p w14:paraId="1A8D9776">
            <w:pPr>
              <w:widowControl/>
              <w:adjustRightInd w:val="0"/>
              <w:snapToGrid w:val="0"/>
              <w:spacing w:before="100" w:beforeAutospacing="1" w:line="273" w:lineRule="auto"/>
              <w:jc w:val="both"/>
              <w:rPr>
                <w:rFonts w:ascii="Times New Roman" w:hAnsi="Times New Roman" w:cs="Times New Roman"/>
                <w:sz w:val="18"/>
                <w:szCs w:val="18"/>
              </w:rPr>
            </w:pPr>
            <w:r>
              <w:rPr>
                <w:rFonts w:ascii="Times New Roman" w:hAnsi="Times New Roman" w:cs="Times New Roman"/>
                <w:sz w:val="18"/>
                <w:szCs w:val="18"/>
              </w:rPr>
              <w:t>在结直肠癌患者中，KRAS发生突变将会对西妥昔单抗、帕尼替尼产生耐药。因此NCCN 指南建议，所有转移性结直肠癌患者都该进行肿瘤组织RAS基因（KARS、NRAS）分型，RAS突变状态是EGFR/ERBB2抑制剂疗效的负向预测因素。</w:t>
            </w:r>
            <w:r>
              <w:rPr>
                <w:rFonts w:hint="eastAsia" w:ascii="Times New Roman" w:hAnsi="Times New Roman" w:cs="Times New Roman"/>
                <w:sz w:val="18"/>
                <w:szCs w:val="18"/>
              </w:rPr>
              <w:t>结直肠癌中，</w:t>
            </w:r>
            <w:r>
              <w:rPr>
                <w:rFonts w:ascii="Times New Roman" w:hAnsi="Times New Roman" w:cs="Times New Roman"/>
                <w:sz w:val="18"/>
                <w:szCs w:val="18"/>
              </w:rPr>
              <w:t>KRAS野生型对EGFR抗体类药物西妥昔单抗和帕尼单抗敏感[PMID: 18202412; PMID: 18316791]，12、13、61密码子突变导致KRAS信号通路持续激活，可能无法从EGFR抗体类药物获益</w:t>
            </w:r>
            <w:r>
              <w:rPr>
                <w:rFonts w:hint="eastAsia" w:ascii="Times New Roman" w:hAnsi="Times New Roman" w:cs="Times New Roman"/>
                <w:sz w:val="18"/>
                <w:szCs w:val="18"/>
              </w:rPr>
              <w:t>。</w:t>
            </w:r>
            <w:r>
              <w:rPr>
                <w:rFonts w:ascii="Times New Roman" w:hAnsi="Times New Roman" w:cs="Times New Roman"/>
                <w:sz w:val="18"/>
                <w:szCs w:val="18"/>
              </w:rPr>
              <w:t>肺癌中，12、13、61密码子突变对EGFR TKI（吉非替尼、厄洛替尼、埃克替尼、阿法替尼</w:t>
            </w:r>
            <w:r>
              <w:rPr>
                <w:rFonts w:hint="eastAsia" w:ascii="Times New Roman" w:hAnsi="Times New Roman" w:cs="Times New Roman"/>
                <w:sz w:val="18"/>
                <w:szCs w:val="18"/>
              </w:rPr>
              <w:t>、奥希替尼</w:t>
            </w:r>
            <w:r>
              <w:rPr>
                <w:rFonts w:ascii="Times New Roman" w:hAnsi="Times New Roman" w:cs="Times New Roman"/>
                <w:sz w:val="18"/>
                <w:szCs w:val="18"/>
              </w:rPr>
              <w:t>等）的敏感性降低[PMID: 18349398; PMID: 23401440; PMID: 18024870]</w:t>
            </w:r>
            <w:r>
              <w:rPr>
                <w:rFonts w:hint="eastAsia" w:ascii="Times New Roman" w:hAnsi="Times New Roman" w:cs="Times New Roman"/>
                <w:sz w:val="18"/>
                <w:szCs w:val="18"/>
              </w:rPr>
              <w:t>。F</w:t>
            </w:r>
            <w:r>
              <w:rPr>
                <w:rFonts w:ascii="Times New Roman" w:hAnsi="Times New Roman" w:cs="Times New Roman"/>
                <w:sz w:val="18"/>
                <w:szCs w:val="18"/>
              </w:rPr>
              <w:t>DA</w:t>
            </w:r>
            <w:r>
              <w:rPr>
                <w:rFonts w:hint="eastAsia" w:ascii="Times New Roman" w:hAnsi="Times New Roman" w:cs="Times New Roman"/>
                <w:sz w:val="18"/>
                <w:szCs w:val="18"/>
              </w:rPr>
              <w:t>批准</w:t>
            </w:r>
            <w:r>
              <w:rPr>
                <w:rFonts w:ascii="Times New Roman" w:hAnsi="Times New Roman" w:cs="Times New Roman"/>
                <w:sz w:val="18"/>
                <w:szCs w:val="18"/>
              </w:rPr>
              <w:t>Sotorasib</w:t>
            </w:r>
            <w:r>
              <w:rPr>
                <w:rFonts w:hint="eastAsia" w:ascii="Times New Roman" w:hAnsi="Times New Roman" w:cs="Times New Roman"/>
                <w:sz w:val="18"/>
                <w:szCs w:val="18"/>
              </w:rPr>
              <w:t>用于K</w:t>
            </w:r>
            <w:r>
              <w:rPr>
                <w:rFonts w:ascii="Times New Roman" w:hAnsi="Times New Roman" w:cs="Times New Roman"/>
                <w:sz w:val="18"/>
                <w:szCs w:val="18"/>
              </w:rPr>
              <w:t>RAS G12C</w:t>
            </w:r>
            <w:r>
              <w:rPr>
                <w:rFonts w:hint="eastAsia" w:ascii="Times New Roman" w:hAnsi="Times New Roman" w:cs="Times New Roman"/>
                <w:sz w:val="18"/>
                <w:szCs w:val="18"/>
              </w:rPr>
              <w:t>突变的至少接受过一种前期全身性治疗的非小细胞肺癌患者的二线治疗。在非小细胞肺癌中，K</w:t>
            </w:r>
            <w:r>
              <w:rPr>
                <w:rFonts w:ascii="Times New Roman" w:hAnsi="Times New Roman" w:cs="Times New Roman"/>
                <w:sz w:val="18"/>
                <w:szCs w:val="18"/>
              </w:rPr>
              <w:t>RAS G12V</w:t>
            </w:r>
            <w:r>
              <w:rPr>
                <w:rFonts w:hint="eastAsia" w:ascii="Times New Roman" w:hAnsi="Times New Roman" w:cs="Times New Roman"/>
                <w:sz w:val="18"/>
                <w:szCs w:val="18"/>
              </w:rPr>
              <w:t>对</w:t>
            </w:r>
            <w:r>
              <w:rPr>
                <w:rFonts w:ascii="Times New Roman" w:hAnsi="Times New Roman" w:cs="Times New Roman"/>
                <w:sz w:val="18"/>
                <w:szCs w:val="18"/>
              </w:rPr>
              <w:t>Defactinib+RO5126766</w:t>
            </w:r>
            <w:r>
              <w:rPr>
                <w:rFonts w:hint="eastAsia" w:ascii="Times New Roman" w:hAnsi="Times New Roman" w:cs="Times New Roman"/>
                <w:sz w:val="18"/>
                <w:szCs w:val="18"/>
              </w:rPr>
              <w:t>敏感</w:t>
            </w:r>
            <w:r>
              <w:rPr>
                <w:rFonts w:ascii="Times New Roman" w:hAnsi="Times New Roman" w:cs="Times New Roman"/>
                <w:sz w:val="18"/>
                <w:szCs w:val="18"/>
              </w:rPr>
              <w:t>[AACR 2020]</w:t>
            </w:r>
            <w:r>
              <w:rPr>
                <w:rFonts w:hint="eastAsia" w:ascii="Times New Roman" w:hAnsi="Times New Roman" w:cs="Times New Roman"/>
                <w:sz w:val="18"/>
                <w:szCs w:val="18"/>
              </w:rPr>
              <w:t>。</w:t>
            </w:r>
            <w:r>
              <w:rPr>
                <w:rFonts w:ascii="Times New Roman" w:hAnsi="Times New Roman" w:cs="Times New Roman"/>
                <w:sz w:val="18"/>
                <w:szCs w:val="18"/>
              </w:rPr>
              <w:t>13%的非小细胞肺癌（NSCLC）患者在接受吉非替尼联合依维莫司治疗后部分缓解，其中2例携带KRAS G12F突变患者有响应[PMID: 20871262]。临床试验表明抑制剂Sotorasib、Adagrasib对KRAS G12C突变的非小细胞肺癌患者有明显的治疗效果，目前还有Belvarafenib</w:t>
            </w:r>
            <w:r>
              <w:rPr>
                <w:rFonts w:hint="eastAsia" w:ascii="Times New Roman" w:hAnsi="Times New Roman" w:cs="Times New Roman"/>
                <w:sz w:val="18"/>
                <w:szCs w:val="18"/>
              </w:rPr>
              <w:t>、</w:t>
            </w:r>
            <w:r>
              <w:rPr>
                <w:rFonts w:ascii="Times New Roman" w:hAnsi="Times New Roman" w:cs="Times New Roman"/>
                <w:sz w:val="18"/>
                <w:szCs w:val="18"/>
              </w:rPr>
              <w:t>司美替尼联合其他用药或治疗方式的临床研究正在进行。</w:t>
            </w:r>
          </w:p>
        </w:tc>
      </w:tr>
    </w:tbl>
    <w:p w14:paraId="0408371E">
      <w:pPr>
        <w:spacing w:line="276" w:lineRule="auto"/>
        <w:rPr>
          <w:rFonts w:ascii="Times New Roman" w:hAnsi="Times New Roman" w:cs="Times New Roman"/>
        </w:rPr>
      </w:pPr>
    </w:p>
    <w:p w14:paraId="4A372475">
      <w:pPr>
        <w:spacing w:line="276" w:lineRule="auto"/>
        <w:rPr>
          <w:rFonts w:ascii="Times New Roman" w:hAnsi="Times New Roman" w:cs="Times New Roman"/>
          <w:u w:val="thick" w:color="2DB8B5"/>
        </w:rPr>
      </w:pPr>
    </w:p>
    <w:p w14:paraId="407E7CF0">
      <w:pPr>
        <w:spacing w:line="276" w:lineRule="auto"/>
        <w:rPr>
          <w:rFonts w:ascii="Times New Roman" w:hAnsi="Times New Roman" w:cs="Times New Roman"/>
          <w:b/>
          <w:u w:val="thick" w:color="1F3864"/>
        </w:rPr>
      </w:pPr>
      <w:r>
        <w:rPr>
          <w:rFonts w:ascii="Times New Roman" w:hAnsi="Times New Roman" w:cs="Times New Roman"/>
          <w:b/>
          <w:u w:val="thick" w:color="1F3864"/>
        </w:rPr>
        <w:t xml:space="preserve"> </w:t>
      </w:r>
      <w:r>
        <w:rPr>
          <w:rFonts w:hint="eastAsia" w:ascii="Times New Roman" w:hAnsi="Times New Roman" w:cs="Times New Roman"/>
          <w:b/>
          <w:u w:val="thick" w:color="1F3864"/>
        </w:rPr>
        <w:t>BRAF</w:t>
      </w:r>
      <w:r>
        <w:rPr>
          <w:rFonts w:ascii="Times New Roman" w:hAnsi="Times New Roman" w:cs="Times New Roman"/>
          <w:b/>
          <w:u w:val="thick" w:color="1F3864"/>
        </w:rPr>
        <w:t xml:space="preserve">                                                                                                                                                                </w:t>
      </w:r>
    </w:p>
    <w:p w14:paraId="4F8BD442">
      <w:pPr>
        <w:spacing w:line="276" w:lineRule="auto"/>
        <w:rPr>
          <w:rFonts w:ascii="Times New Roman" w:hAnsi="Times New Roman" w:cs="Times New Roman"/>
          <w:b/>
          <w:u w:val="single" w:color="538135"/>
        </w:rPr>
      </w:pPr>
    </w:p>
    <w:tbl>
      <w:tblPr>
        <w:tblStyle w:val="19"/>
        <w:tblW w:w="90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59"/>
        <w:gridCol w:w="6650"/>
      </w:tblGrid>
      <w:tr w14:paraId="277A5D04">
        <w:trPr>
          <w:trHeight w:val="1583" w:hRule="atLeast"/>
          <w:jc w:val="center"/>
        </w:trPr>
        <w:tc>
          <w:tcPr>
            <w:tcW w:w="2359"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425AD659">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基因说明</w:t>
            </w:r>
          </w:p>
        </w:tc>
        <w:tc>
          <w:tcPr>
            <w:tcW w:w="6650" w:type="dxa"/>
            <w:tcBorders>
              <w:top w:val="single" w:color="000000" w:sz="4" w:space="0"/>
              <w:left w:val="nil"/>
              <w:bottom w:val="single" w:color="000000" w:sz="4" w:space="0"/>
              <w:right w:val="single" w:color="000000" w:sz="4" w:space="0"/>
            </w:tcBorders>
            <w:shd w:val="clear" w:color="auto" w:fill="auto"/>
            <w:vAlign w:val="center"/>
          </w:tcPr>
          <w:p w14:paraId="31DDDD2A">
            <w:pPr>
              <w:widowControl/>
              <w:spacing w:before="100" w:beforeAutospacing="1" w:line="273" w:lineRule="auto"/>
              <w:rPr>
                <w:sz w:val="18"/>
                <w:szCs w:val="18"/>
              </w:rPr>
            </w:pPr>
            <w:r>
              <w:rPr>
                <w:rFonts w:hint="eastAsia" w:ascii="Times New Roman" w:hAnsi="Times New Roman" w:cs="Times New Roman"/>
                <w:sz w:val="18"/>
                <w:szCs w:val="18"/>
              </w:rPr>
              <w:t>BRAF基因位于染色体7q34，该基因编码的蛋白属于丝氨酸/苏氨酸蛋白激酶RAF家族。该蛋白有助于细胞外的化学信号传递到细胞核，在MAP激酶/ERK信号通路中起调节作用，从而影响细胞的分裂、分化和分泌。BRAF的激活突变或扩增会引起细胞增殖不受控制，进而导致肿瘤发生，在肺癌、胃癌、乳腺癌、结直肠癌等中突变率约5%-10%，其中BRAF 在结直肠癌中突变频率4%-10%，以 V600E为主，还可见G466A、G469E、N581I、D594G、K601E等激酶区致癌性突变。</w:t>
            </w:r>
          </w:p>
        </w:tc>
      </w:tr>
      <w:tr w14:paraId="3C387BDC">
        <w:trPr>
          <w:trHeight w:val="528" w:hRule="atLeast"/>
          <w:jc w:val="center"/>
        </w:trPr>
        <w:tc>
          <w:tcPr>
            <w:tcW w:w="2359"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1C4F243E">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靶向药物</w:t>
            </w:r>
          </w:p>
        </w:tc>
        <w:tc>
          <w:tcPr>
            <w:tcW w:w="6650" w:type="dxa"/>
            <w:tcBorders>
              <w:top w:val="single" w:color="000000" w:sz="4" w:space="0"/>
              <w:left w:val="nil"/>
              <w:bottom w:val="single" w:color="000000" w:sz="4" w:space="0"/>
              <w:right w:val="single" w:color="000000" w:sz="4" w:space="0"/>
            </w:tcBorders>
            <w:shd w:val="clear" w:color="auto" w:fill="auto"/>
            <w:vAlign w:val="center"/>
          </w:tcPr>
          <w:p w14:paraId="232E246F">
            <w:pPr>
              <w:widowControl/>
              <w:spacing w:before="100" w:beforeAutospacing="1" w:line="273" w:lineRule="auto"/>
              <w:rPr>
                <w:sz w:val="18"/>
                <w:szCs w:val="18"/>
              </w:rPr>
            </w:pPr>
            <w:r>
              <w:rPr>
                <w:rFonts w:hint="eastAsia"/>
                <w:b/>
                <w:sz w:val="18"/>
                <w:szCs w:val="18"/>
              </w:rPr>
              <w:t>达拉非尼</w:t>
            </w:r>
            <w:r>
              <w:rPr>
                <w:b/>
                <w:sz w:val="18"/>
                <w:szCs w:val="18"/>
              </w:rPr>
              <w:t>+</w:t>
            </w:r>
            <w:r>
              <w:rPr>
                <w:rFonts w:hint="eastAsia"/>
                <w:b/>
                <w:sz w:val="18"/>
                <w:szCs w:val="18"/>
              </w:rPr>
              <w:t>曲美替尼*、西妥昔单抗*、帕尼单抗</w:t>
            </w:r>
            <w:r>
              <w:rPr>
                <w:rFonts w:hint="eastAsia"/>
                <w:sz w:val="18"/>
                <w:szCs w:val="18"/>
              </w:rPr>
              <w:t>、</w:t>
            </w:r>
            <w:r>
              <w:rPr>
                <w:rFonts w:hint="eastAsia"/>
                <w:b/>
                <w:sz w:val="18"/>
                <w:szCs w:val="18"/>
              </w:rPr>
              <w:t>康奈非尼</w:t>
            </w:r>
            <w:r>
              <w:rPr>
                <w:b/>
                <w:sz w:val="18"/>
                <w:szCs w:val="18"/>
              </w:rPr>
              <w:t>+西妥昔单抗</w:t>
            </w:r>
            <w:r>
              <w:rPr>
                <w:rFonts w:hint="eastAsia"/>
                <w:sz w:val="18"/>
                <w:szCs w:val="18"/>
              </w:rPr>
              <w:t>、康奈非尼+帕尼单抗、维莫非尼、康奈非尼</w:t>
            </w:r>
            <w:r>
              <w:rPr>
                <w:sz w:val="18"/>
                <w:szCs w:val="18"/>
              </w:rPr>
              <w:t>+</w:t>
            </w:r>
            <w:r>
              <w:rPr>
                <w:rFonts w:hint="eastAsia"/>
                <w:sz w:val="18"/>
                <w:szCs w:val="18"/>
              </w:rPr>
              <w:t>贝美替尼</w:t>
            </w:r>
            <w:r>
              <w:rPr>
                <w:sz w:val="18"/>
                <w:szCs w:val="18"/>
              </w:rPr>
              <w:t>+</w:t>
            </w:r>
            <w:r>
              <w:rPr>
                <w:rFonts w:hint="eastAsia"/>
                <w:sz w:val="18"/>
                <w:szCs w:val="18"/>
              </w:rPr>
              <w:t>西妥昔单抗、维莫非尼+西妥昔单抗、维莫非尼+伊立替康+西妥昔单抗</w:t>
            </w:r>
          </w:p>
        </w:tc>
      </w:tr>
      <w:tr w14:paraId="127EE9FE">
        <w:trPr>
          <w:trHeight w:val="1865" w:hRule="atLeast"/>
          <w:jc w:val="center"/>
        </w:trPr>
        <w:tc>
          <w:tcPr>
            <w:tcW w:w="2359"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5DF46FFA">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用药提示</w:t>
            </w:r>
          </w:p>
          <w:p w14:paraId="0578A77C">
            <w:pPr>
              <w:widowControl/>
              <w:spacing w:before="100" w:beforeAutospacing="1" w:line="273" w:lineRule="auto"/>
              <w:jc w:val="center"/>
              <w:rPr>
                <w:rFonts w:ascii="Times New Roman" w:hAnsi="Times New Roman" w:cs="Times New Roman"/>
                <w:b/>
                <w:color w:val="000000"/>
                <w:sz w:val="24"/>
                <w:szCs w:val="24"/>
              </w:rPr>
            </w:pPr>
            <w:r>
              <w:rPr>
                <w:rFonts w:ascii="Times New Roman" w:hAnsi="Times New Roman" w:cs="Times New Roman"/>
                <w:b/>
                <w:color w:val="FFFFFF"/>
                <w:sz w:val="24"/>
                <w:szCs w:val="24"/>
              </w:rPr>
              <w:t>（仅供参考）</w:t>
            </w:r>
          </w:p>
        </w:tc>
        <w:tc>
          <w:tcPr>
            <w:tcW w:w="6650" w:type="dxa"/>
            <w:tcBorders>
              <w:top w:val="single" w:color="000000" w:sz="4" w:space="0"/>
              <w:left w:val="nil"/>
              <w:bottom w:val="single" w:color="000000" w:sz="4" w:space="0"/>
              <w:right w:val="single" w:color="000000" w:sz="4" w:space="0"/>
            </w:tcBorders>
            <w:shd w:val="clear" w:color="auto" w:fill="auto"/>
            <w:vAlign w:val="center"/>
          </w:tcPr>
          <w:p w14:paraId="00BDF57A">
            <w:pPr>
              <w:widowControl/>
              <w:adjustRightInd w:val="0"/>
              <w:snapToGrid w:val="0"/>
              <w:spacing w:before="100" w:beforeAutospacing="1" w:line="273" w:lineRule="auto"/>
              <w:jc w:val="both"/>
              <w:rPr>
                <w:rFonts w:ascii="Times New Roman" w:hAnsi="Times New Roman" w:cs="Times New Roman"/>
                <w:sz w:val="18"/>
                <w:szCs w:val="18"/>
              </w:rPr>
            </w:pPr>
            <w:r>
              <w:rPr>
                <w:rFonts w:ascii="Times New Roman" w:hAnsi="Times New Roman" w:cs="Times New Roman"/>
                <w:sz w:val="18"/>
                <w:szCs w:val="18"/>
              </w:rPr>
              <w:t>携带BRAF突变的肿瘤中约一半为BRAF V600E突变。BRAF突变病人具有独特的临床病理特征：以吸烟人群为主，预后欠佳，对含铂化疗方案反应率低。FDA批准达拉</w:t>
            </w:r>
            <w:r>
              <w:rPr>
                <w:rFonts w:hint="eastAsia" w:ascii="Times New Roman" w:hAnsi="Times New Roman" w:cs="Times New Roman"/>
                <w:sz w:val="18"/>
                <w:szCs w:val="18"/>
              </w:rPr>
              <w:t>非</w:t>
            </w:r>
            <w:r>
              <w:rPr>
                <w:rFonts w:ascii="Times New Roman" w:hAnsi="Times New Roman" w:cs="Times New Roman"/>
                <w:sz w:val="18"/>
                <w:szCs w:val="18"/>
              </w:rPr>
              <w:t>尼联合曲美替尼的组合疗法用于BRAF V600E突变的晚期非小细胞肺癌患者。NCCN指南推荐达拉非尼联合曲美替尼可作为具有BRAF V600E突变的非鳞非小细胞肺癌患者的一线治疗方案，联合治疗不耐受的患者建议使用单药达拉非尼或维莫非尼进行治疗，EGFR-TKI不适用于携带BRAF V600E突变的非小细胞肺癌患者[NCCN_Non-Small Cell Lung Cancer_2021_V5]。BRAF V600E突变是结直肠癌患者的不良预后因子，携带BRAF V600E的结直肠癌患者获益于西妥昔单或帕尼单抗</w:t>
            </w:r>
            <w:r>
              <w:rPr>
                <w:rFonts w:hint="eastAsia" w:ascii="Times New Roman" w:hAnsi="Times New Roman" w:cs="Times New Roman"/>
                <w:sz w:val="18"/>
                <w:szCs w:val="18"/>
              </w:rPr>
              <w:t>（</w:t>
            </w:r>
            <w:r>
              <w:rPr>
                <w:rFonts w:ascii="Times New Roman" w:hAnsi="Times New Roman" w:cs="Times New Roman"/>
                <w:sz w:val="18"/>
                <w:szCs w:val="18"/>
              </w:rPr>
              <w:t>单药或者联合化疗</w:t>
            </w:r>
            <w:r>
              <w:rPr>
                <w:rFonts w:hint="eastAsia" w:ascii="Times New Roman" w:hAnsi="Times New Roman" w:cs="Times New Roman"/>
                <w:sz w:val="18"/>
                <w:szCs w:val="18"/>
              </w:rPr>
              <w:t>）</w:t>
            </w:r>
            <w:r>
              <w:rPr>
                <w:rFonts w:ascii="Times New Roman" w:hAnsi="Times New Roman" w:cs="Times New Roman"/>
                <w:sz w:val="18"/>
                <w:szCs w:val="18"/>
              </w:rPr>
              <w:t>的可能性极低</w:t>
            </w:r>
            <w:r>
              <w:rPr>
                <w:rFonts w:hint="eastAsia" w:ascii="Times New Roman" w:hAnsi="Times New Roman" w:cs="Times New Roman"/>
                <w:sz w:val="18"/>
                <w:szCs w:val="18"/>
              </w:rPr>
              <w:t>，</w:t>
            </w:r>
            <w:r>
              <w:rPr>
                <w:rFonts w:ascii="Times New Roman" w:hAnsi="Times New Roman" w:cs="Times New Roman"/>
                <w:sz w:val="18"/>
                <w:szCs w:val="18"/>
              </w:rPr>
              <w:t>对BRAF抑制剂单药治疗也不敏感[PMID: 25673558; PMID: 22608338</w:t>
            </w:r>
            <w:r>
              <w:rPr>
                <w:rFonts w:hint="eastAsia" w:ascii="Times New Roman" w:hAnsi="Times New Roman" w:cs="Times New Roman"/>
                <w:sz w:val="18"/>
                <w:szCs w:val="18"/>
              </w:rPr>
              <w:t>;</w:t>
            </w:r>
            <w:r>
              <w:rPr>
                <w:rFonts w:ascii="Times New Roman" w:hAnsi="Times New Roman" w:cs="Times New Roman"/>
                <w:sz w:val="18"/>
                <w:szCs w:val="18"/>
              </w:rPr>
              <w:t xml:space="preserve"> </w:t>
            </w:r>
            <w:r>
              <w:rPr>
                <w:rFonts w:hint="eastAsia" w:ascii="Times New Roman" w:hAnsi="Times New Roman" w:cs="Times New Roman"/>
                <w:sz w:val="18"/>
                <w:szCs w:val="18"/>
              </w:rPr>
              <w:t xml:space="preserve">PMID: </w:t>
            </w:r>
            <w:r>
              <w:rPr>
                <w:rFonts w:ascii="Times New Roman" w:hAnsi="Times New Roman" w:cs="Times New Roman"/>
                <w:sz w:val="18"/>
                <w:szCs w:val="18"/>
              </w:rPr>
              <w:t>26460303]，FDA批准西妥昔单抗和帕尼单抗用于治疗RAS和BRAF野生型的转移性结直肠癌患者</w:t>
            </w:r>
            <w:r>
              <w:rPr>
                <w:rFonts w:hint="eastAsia" w:ascii="Times New Roman" w:hAnsi="Times New Roman" w:cs="Times New Roman"/>
                <w:sz w:val="18"/>
                <w:szCs w:val="18"/>
              </w:rPr>
              <w:t>，批准康奈非尼+西妥昔单抗用于B</w:t>
            </w:r>
            <w:r>
              <w:rPr>
                <w:rFonts w:ascii="Times New Roman" w:hAnsi="Times New Roman" w:cs="Times New Roman"/>
                <w:sz w:val="18"/>
                <w:szCs w:val="18"/>
              </w:rPr>
              <w:t>RAF V600E</w:t>
            </w:r>
            <w:r>
              <w:rPr>
                <w:rFonts w:hint="eastAsia" w:ascii="Times New Roman" w:hAnsi="Times New Roman" w:cs="Times New Roman"/>
                <w:sz w:val="18"/>
                <w:szCs w:val="18"/>
              </w:rPr>
              <w:t>既往治疗进展的结直肠癌患者</w:t>
            </w:r>
            <w:r>
              <w:rPr>
                <w:rFonts w:ascii="Times New Roman" w:hAnsi="Times New Roman" w:cs="Times New Roman"/>
                <w:sz w:val="18"/>
                <w:szCs w:val="18"/>
              </w:rPr>
              <w:t>。</w:t>
            </w:r>
            <w:r>
              <w:rPr>
                <w:rFonts w:hint="eastAsia" w:ascii="Times New Roman" w:hAnsi="Times New Roman" w:cs="Times New Roman"/>
                <w:sz w:val="18"/>
                <w:szCs w:val="18"/>
              </w:rPr>
              <w:t>N</w:t>
            </w:r>
            <w:r>
              <w:rPr>
                <w:rFonts w:ascii="Times New Roman" w:hAnsi="Times New Roman" w:cs="Times New Roman"/>
                <w:sz w:val="18"/>
                <w:szCs w:val="18"/>
              </w:rPr>
              <w:t>CCN</w:t>
            </w:r>
            <w:r>
              <w:rPr>
                <w:rFonts w:hint="eastAsia" w:ascii="Times New Roman" w:hAnsi="Times New Roman" w:cs="Times New Roman"/>
                <w:sz w:val="18"/>
                <w:szCs w:val="18"/>
              </w:rPr>
              <w:t>指南推荐康奈非尼+西妥昔单抗/帕尼单抗治疗携带B</w:t>
            </w:r>
            <w:r>
              <w:rPr>
                <w:rFonts w:ascii="Times New Roman" w:hAnsi="Times New Roman" w:cs="Times New Roman"/>
                <w:sz w:val="18"/>
                <w:szCs w:val="18"/>
              </w:rPr>
              <w:t>RAF V600E</w:t>
            </w:r>
            <w:r>
              <w:rPr>
                <w:rFonts w:hint="eastAsia" w:ascii="Times New Roman" w:hAnsi="Times New Roman" w:cs="Times New Roman"/>
                <w:sz w:val="18"/>
                <w:szCs w:val="18"/>
              </w:rPr>
              <w:t>的不可切除或转移性结直肠癌患者的一线治疗和后续治疗</w:t>
            </w:r>
            <w:r>
              <w:rPr>
                <w:rFonts w:ascii="Times New Roman" w:hAnsi="Times New Roman" w:cs="Times New Roman"/>
                <w:sz w:val="18"/>
                <w:szCs w:val="18"/>
              </w:rPr>
              <w:t>[NCCN_Colon Cancer_2021_V2]</w:t>
            </w:r>
            <w:r>
              <w:rPr>
                <w:rFonts w:hint="eastAsia" w:ascii="Times New Roman" w:hAnsi="Times New Roman" w:cs="Times New Roman"/>
                <w:sz w:val="18"/>
                <w:szCs w:val="18"/>
              </w:rPr>
              <w:t>。</w:t>
            </w:r>
            <w:r>
              <w:rPr>
                <w:rFonts w:ascii="Times New Roman" w:hAnsi="Times New Roman" w:cs="Times New Roman"/>
                <w:sz w:val="18"/>
                <w:szCs w:val="18"/>
              </w:rPr>
              <w:t>在结直肠癌中，BRAF V600E突变的患者对康奈非尼+帕尼单抗、康奈非尼+西妥昔单抗、康奈非尼+贝美替尼+西妥昔单抗敏感[PMID: 30892987; PMID: 31566309; J Clin Oncol. 2020; 38(suppl 4): abstr 8]，携带BRAF V600的患者对维莫非尼+西妥昔单抗敏感[PMID: 26287849]</w:t>
            </w:r>
            <w:r>
              <w:rPr>
                <w:rFonts w:hint="eastAsia" w:ascii="Times New Roman" w:hAnsi="Times New Roman" w:cs="Times New Roman"/>
                <w:sz w:val="18"/>
                <w:szCs w:val="18"/>
              </w:rPr>
              <w:t>。</w:t>
            </w:r>
          </w:p>
        </w:tc>
      </w:tr>
    </w:tbl>
    <w:p w14:paraId="29E3703F">
      <w:pPr>
        <w:spacing w:line="276" w:lineRule="auto"/>
        <w:rPr>
          <w:rFonts w:ascii="Times New Roman" w:hAnsi="Times New Roman" w:cs="Times New Roman"/>
          <w:b/>
          <w:u w:val="thick" w:color="2DB8B5"/>
        </w:rPr>
      </w:pPr>
    </w:p>
    <w:p w14:paraId="1555DDFE">
      <w:pPr>
        <w:spacing w:line="276" w:lineRule="auto"/>
        <w:rPr>
          <w:rFonts w:ascii="Times New Roman" w:hAnsi="Times New Roman" w:cs="Times New Roman"/>
          <w:b/>
          <w:u w:val="thick" w:color="2DB8B5"/>
        </w:rPr>
      </w:pPr>
    </w:p>
    <w:p w14:paraId="1A3224D7">
      <w:pPr>
        <w:spacing w:line="276" w:lineRule="auto"/>
        <w:rPr>
          <w:rFonts w:ascii="Times New Roman" w:hAnsi="Times New Roman" w:cs="Times New Roman"/>
          <w:b/>
          <w:u w:val="thick" w:color="2DB8B5"/>
        </w:rPr>
      </w:pPr>
    </w:p>
    <w:p w14:paraId="10BC19D9">
      <w:pPr>
        <w:spacing w:line="276" w:lineRule="auto"/>
        <w:rPr>
          <w:rFonts w:ascii="Times New Roman" w:hAnsi="Times New Roman" w:cs="Times New Roman"/>
          <w:b/>
          <w:u w:val="thick" w:color="2DB8B5"/>
        </w:rPr>
      </w:pPr>
    </w:p>
    <w:p w14:paraId="1B384B79">
      <w:pPr>
        <w:spacing w:line="276" w:lineRule="auto"/>
        <w:rPr>
          <w:rFonts w:ascii="Times New Roman" w:hAnsi="Times New Roman" w:cs="Times New Roman"/>
          <w:b/>
          <w:sz w:val="24"/>
          <w:szCs w:val="24"/>
          <w:u w:val="thick" w:color="538135"/>
        </w:rPr>
      </w:pPr>
      <w:r>
        <w:rPr>
          <w:rFonts w:ascii="Times New Roman" w:hAnsi="Times New Roman" w:cs="Times New Roman"/>
          <w:b/>
          <w:u w:val="thick" w:color="1F3864"/>
        </w:rPr>
        <w:t xml:space="preserve"> PIK3CA                                                                                                                                                      </w:t>
      </w:r>
      <w:r>
        <w:rPr>
          <w:rFonts w:ascii="Times New Roman" w:hAnsi="Times New Roman" w:cs="Times New Roman"/>
          <w:b/>
          <w:sz w:val="24"/>
          <w:szCs w:val="24"/>
          <w:u w:val="thick" w:color="538135"/>
        </w:rPr>
        <w:t xml:space="preserve">        </w:t>
      </w:r>
    </w:p>
    <w:p w14:paraId="59B4348A">
      <w:pPr>
        <w:spacing w:line="276" w:lineRule="auto"/>
        <w:rPr>
          <w:rFonts w:ascii="Times New Roman" w:hAnsi="Times New Roman" w:cs="Times New Roman"/>
          <w:b/>
          <w:u w:val="single" w:color="538135"/>
        </w:rPr>
      </w:pPr>
    </w:p>
    <w:tbl>
      <w:tblPr>
        <w:tblStyle w:val="19"/>
        <w:tblW w:w="900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59"/>
        <w:gridCol w:w="6650"/>
      </w:tblGrid>
      <w:tr w14:paraId="176308BE">
        <w:trPr>
          <w:trHeight w:val="1549" w:hRule="atLeast"/>
          <w:jc w:val="center"/>
        </w:trPr>
        <w:tc>
          <w:tcPr>
            <w:tcW w:w="2359"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71507094">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基因说明</w:t>
            </w:r>
          </w:p>
        </w:tc>
        <w:tc>
          <w:tcPr>
            <w:tcW w:w="6650" w:type="dxa"/>
            <w:tcBorders>
              <w:top w:val="single" w:color="000000" w:sz="4" w:space="0"/>
              <w:left w:val="nil"/>
              <w:bottom w:val="single" w:color="000000" w:sz="4" w:space="0"/>
              <w:right w:val="single" w:color="000000" w:sz="4" w:space="0"/>
            </w:tcBorders>
            <w:shd w:val="clear" w:color="auto" w:fill="auto"/>
            <w:vAlign w:val="center"/>
          </w:tcPr>
          <w:p w14:paraId="35FBC937">
            <w:pPr>
              <w:widowControl/>
              <w:adjustRightInd w:val="0"/>
              <w:snapToGrid w:val="0"/>
              <w:spacing w:before="100" w:beforeAutospacing="1" w:line="273" w:lineRule="auto"/>
              <w:jc w:val="both"/>
              <w:rPr>
                <w:rFonts w:ascii="Times New Roman" w:hAnsi="Times New Roman" w:cs="Times New Roman"/>
                <w:color w:val="000000"/>
                <w:sz w:val="18"/>
                <w:szCs w:val="18"/>
              </w:rPr>
            </w:pPr>
            <w:r>
              <w:rPr>
                <w:rFonts w:hint="eastAsia" w:ascii="Times New Roman" w:hAnsi="Times New Roman" w:cs="Times New Roman"/>
                <w:sz w:val="18"/>
                <w:szCs w:val="18"/>
              </w:rPr>
              <w:t>PIK3CA基因位于3q26.32，磷脂酰肌醇 3-激酶由一个 85kDa 的调节亚基和一个 110kDa 的催化亚基组成。PIK3CA编码的p110-alpha蛋白是磷脂酰肌醇3-激酶（PI3K）的催化亚基，以 ATP 依赖的方式磷酸化PtdIns, PtdIns4P 和 PtdIns (4, 5) P2。AKT是PI3K/AKT信号通路中核心因子，异常活化的AKT也会激活相关信号通路—PI3K/Akt/mTOR，可调控细胞的生长、增殖、分化、活力和存活，导致肿瘤发生。PIK3CA基因突变与结肠癌、神经胶质瘤、胃癌、乳腺癌、子宫内膜癌和肺癌等有关。PIK3CA突变主要发生在外显子10和外显子21 内的热点区域。</w:t>
            </w:r>
          </w:p>
        </w:tc>
      </w:tr>
      <w:tr w14:paraId="5ED2E55C">
        <w:trPr>
          <w:trHeight w:val="537" w:hRule="atLeast"/>
          <w:jc w:val="center"/>
        </w:trPr>
        <w:tc>
          <w:tcPr>
            <w:tcW w:w="2359"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4D53189F">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靶向药物</w:t>
            </w:r>
          </w:p>
        </w:tc>
        <w:tc>
          <w:tcPr>
            <w:tcW w:w="6650" w:type="dxa"/>
            <w:tcBorders>
              <w:top w:val="single" w:color="000000" w:sz="4" w:space="0"/>
              <w:left w:val="nil"/>
              <w:bottom w:val="single" w:color="000000" w:sz="4" w:space="0"/>
              <w:right w:val="single" w:color="000000" w:sz="4" w:space="0"/>
            </w:tcBorders>
            <w:shd w:val="clear" w:color="auto" w:fill="auto"/>
            <w:vAlign w:val="center"/>
          </w:tcPr>
          <w:p w14:paraId="07E45D10">
            <w:pPr>
              <w:widowControl/>
              <w:adjustRightInd w:val="0"/>
              <w:snapToGrid w:val="0"/>
              <w:spacing w:before="100" w:beforeAutospacing="1" w:line="273" w:lineRule="auto"/>
              <w:rPr>
                <w:sz w:val="18"/>
                <w:szCs w:val="18"/>
              </w:rPr>
            </w:pPr>
            <w:bookmarkStart w:id="14" w:name="OLE_LINK6"/>
            <w:r>
              <w:rPr>
                <w:rFonts w:hint="eastAsia"/>
                <w:b/>
                <w:sz w:val="18"/>
                <w:szCs w:val="18"/>
              </w:rPr>
              <w:t>西妥昔单抗*、</w:t>
            </w:r>
            <w:bookmarkEnd w:id="14"/>
            <w:r>
              <w:rPr>
                <w:rFonts w:ascii="Times New Roman" w:hAnsi="Times New Roman" w:cs="Times New Roman"/>
                <w:b/>
                <w:sz w:val="18"/>
                <w:szCs w:val="18"/>
              </w:rPr>
              <w:t>依维莫司</w:t>
            </w:r>
            <w:r>
              <w:rPr>
                <w:rFonts w:hint="eastAsia"/>
                <w:b/>
                <w:sz w:val="18"/>
                <w:szCs w:val="18"/>
              </w:rPr>
              <w:t>*</w:t>
            </w:r>
            <w:r>
              <w:rPr>
                <w:rFonts w:hint="eastAsia"/>
                <w:sz w:val="18"/>
                <w:szCs w:val="18"/>
              </w:rPr>
              <w:t>、</w:t>
            </w:r>
            <w:r>
              <w:rPr>
                <w:rFonts w:ascii="Times New Roman" w:hAnsi="Times New Roman" w:cs="Times New Roman"/>
                <w:b/>
                <w:sz w:val="18"/>
                <w:szCs w:val="18"/>
              </w:rPr>
              <w:t>替西罗莫司</w:t>
            </w:r>
            <w:r>
              <w:rPr>
                <w:rFonts w:hint="eastAsia"/>
                <w:sz w:val="18"/>
                <w:szCs w:val="18"/>
              </w:rPr>
              <w:t>、</w:t>
            </w:r>
            <w:r>
              <w:rPr>
                <w:rFonts w:ascii="Times New Roman" w:hAnsi="Times New Roman" w:cs="Times New Roman"/>
                <w:b/>
                <w:sz w:val="18"/>
                <w:szCs w:val="18"/>
              </w:rPr>
              <w:t>西罗莫司</w:t>
            </w:r>
            <w:r>
              <w:rPr>
                <w:rFonts w:hint="eastAsia"/>
                <w:sz w:val="18"/>
                <w:szCs w:val="18"/>
              </w:rPr>
              <w:t>、</w:t>
            </w:r>
            <w:r>
              <w:rPr>
                <w:rFonts w:hint="eastAsia" w:ascii="Times New Roman" w:hAnsi="Times New Roman" w:cs="Times New Roman"/>
                <w:sz w:val="18"/>
                <w:szCs w:val="18"/>
              </w:rPr>
              <w:t>MK2206</w:t>
            </w:r>
            <w:r>
              <w:rPr>
                <w:rFonts w:hint="eastAsia"/>
                <w:sz w:val="18"/>
                <w:szCs w:val="18"/>
              </w:rPr>
              <w:t>、</w:t>
            </w:r>
            <w:r>
              <w:rPr>
                <w:rFonts w:ascii="Times New Roman" w:hAnsi="Times New Roman" w:cs="Times New Roman"/>
                <w:b/>
                <w:sz w:val="18"/>
                <w:szCs w:val="18"/>
              </w:rPr>
              <w:t>Copanlisib</w:t>
            </w:r>
            <w:r>
              <w:rPr>
                <w:rFonts w:hint="eastAsia" w:ascii="Times New Roman" w:hAnsi="Times New Roman" w:cs="Times New Roman"/>
                <w:sz w:val="18"/>
                <w:szCs w:val="18"/>
              </w:rPr>
              <w:t>、</w:t>
            </w:r>
            <w:r>
              <w:rPr>
                <w:rFonts w:ascii="Times New Roman" w:hAnsi="Times New Roman" w:cs="Times New Roman"/>
                <w:sz w:val="18"/>
                <w:szCs w:val="18"/>
              </w:rPr>
              <w:t>Taselisib</w:t>
            </w:r>
            <w:r>
              <w:rPr>
                <w:rFonts w:hint="eastAsia" w:ascii="Times New Roman" w:hAnsi="Times New Roman" w:cs="Times New Roman"/>
                <w:sz w:val="18"/>
                <w:szCs w:val="18"/>
              </w:rPr>
              <w:t xml:space="preserve"> </w:t>
            </w:r>
          </w:p>
        </w:tc>
      </w:tr>
      <w:tr w14:paraId="518D5151">
        <w:trPr>
          <w:trHeight w:val="781" w:hRule="atLeast"/>
          <w:jc w:val="center"/>
        </w:trPr>
        <w:tc>
          <w:tcPr>
            <w:tcW w:w="2359"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5BB5DD40">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用药提示</w:t>
            </w:r>
          </w:p>
          <w:p w14:paraId="6AF5D07E">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（仅供参考）</w:t>
            </w:r>
          </w:p>
        </w:tc>
        <w:tc>
          <w:tcPr>
            <w:tcW w:w="6650" w:type="dxa"/>
            <w:tcBorders>
              <w:top w:val="single" w:color="000000" w:sz="4" w:space="0"/>
              <w:left w:val="nil"/>
              <w:bottom w:val="single" w:color="000000" w:sz="4" w:space="0"/>
              <w:right w:val="single" w:color="000000" w:sz="4" w:space="0"/>
            </w:tcBorders>
            <w:shd w:val="clear" w:color="auto" w:fill="auto"/>
            <w:vAlign w:val="center"/>
          </w:tcPr>
          <w:p w14:paraId="734C4F5B">
            <w:pPr>
              <w:widowControl/>
              <w:adjustRightInd w:val="0"/>
              <w:snapToGrid w:val="0"/>
              <w:spacing w:before="100" w:beforeAutospacing="1" w:line="273" w:lineRule="auto"/>
              <w:rPr>
                <w:rFonts w:ascii="Times New Roman" w:hAnsi="Times New Roman" w:cs="Times New Roman"/>
                <w:sz w:val="18"/>
                <w:szCs w:val="18"/>
              </w:rPr>
            </w:pPr>
            <w:r>
              <w:rPr>
                <w:rFonts w:ascii="Times New Roman" w:hAnsi="Times New Roman" w:cs="Times New Roman"/>
                <w:sz w:val="18"/>
                <w:szCs w:val="18"/>
              </w:rPr>
              <w:t>研究发现PIK3CA突变可以与EGFR突变共存[PMID: 16930767]，有临床前的研究表明，PIK3CA基因位于EGFR信号通路的下游，PIK3CA的激活突变维持PI3K-AKT在细胞内的信号传导，可能影响EGFR TKI</w:t>
            </w:r>
            <w:r>
              <w:rPr>
                <w:rFonts w:hint="eastAsia" w:ascii="Times New Roman" w:hAnsi="Times New Roman" w:cs="Times New Roman"/>
                <w:sz w:val="18"/>
                <w:szCs w:val="18"/>
              </w:rPr>
              <w:t>（</w:t>
            </w:r>
            <w:r>
              <w:rPr>
                <w:rFonts w:ascii="Times New Roman" w:hAnsi="Times New Roman" w:cs="Times New Roman"/>
                <w:sz w:val="18"/>
                <w:szCs w:val="18"/>
              </w:rPr>
              <w:t>吉非替尼与厄洛替尼</w:t>
            </w:r>
            <w:r>
              <w:rPr>
                <w:rFonts w:hint="eastAsia" w:ascii="Times New Roman" w:hAnsi="Times New Roman" w:cs="Times New Roman"/>
                <w:sz w:val="18"/>
                <w:szCs w:val="18"/>
              </w:rPr>
              <w:t>）</w:t>
            </w:r>
            <w:r>
              <w:rPr>
                <w:rFonts w:ascii="Times New Roman" w:hAnsi="Times New Roman" w:cs="Times New Roman"/>
                <w:sz w:val="18"/>
                <w:szCs w:val="18"/>
              </w:rPr>
              <w:t>的疗效[PMID: 20855837]。在一项回顾性研究中，西妥昔单抗治疗携带PIK3CA E542V突变的结直肠癌患者，患者出现6个月的疾病稳定期[PMID: 25714871]。在临床研究中，两个具有PIK3CA E545和KRAS G12共突变的结直肠癌患者在用替西罗莫司治疗后表现出疾病稳定[PMID: 21216929]。</w:t>
            </w:r>
            <w:r>
              <w:rPr>
                <w:rFonts w:hint="eastAsia" w:ascii="Times New Roman" w:hAnsi="Times New Roman" w:cs="Times New Roman"/>
                <w:sz w:val="18"/>
                <w:szCs w:val="18"/>
              </w:rPr>
              <w:t>在一项I期临床研究中，</w:t>
            </w:r>
            <w:r>
              <w:rPr>
                <w:rFonts w:ascii="Times New Roman" w:hAnsi="Times New Roman" w:cs="Times New Roman"/>
                <w:sz w:val="18"/>
                <w:szCs w:val="18"/>
              </w:rPr>
              <w:t>PIK3CA H1047L/Y</w:t>
            </w:r>
            <w:r>
              <w:rPr>
                <w:rFonts w:hint="eastAsia" w:ascii="Times New Roman" w:hAnsi="Times New Roman" w:cs="Times New Roman"/>
                <w:sz w:val="18"/>
                <w:szCs w:val="18"/>
              </w:rPr>
              <w:t>对</w:t>
            </w:r>
            <w:r>
              <w:rPr>
                <w:rFonts w:ascii="Times New Roman" w:hAnsi="Times New Roman" w:cs="Times New Roman"/>
                <w:sz w:val="18"/>
                <w:szCs w:val="18"/>
              </w:rPr>
              <w:t>Taselisib</w:t>
            </w:r>
            <w:r>
              <w:rPr>
                <w:rFonts w:hint="eastAsia" w:ascii="Times New Roman" w:hAnsi="Times New Roman" w:cs="Times New Roman"/>
                <w:sz w:val="18"/>
                <w:szCs w:val="18"/>
              </w:rPr>
              <w:t>敏感</w:t>
            </w:r>
            <w:r>
              <w:rPr>
                <w:rFonts w:ascii="Times New Roman" w:hAnsi="Times New Roman" w:cs="Times New Roman"/>
                <w:sz w:val="18"/>
                <w:szCs w:val="18"/>
              </w:rPr>
              <w:t>[PMID: 28331003]</w:t>
            </w:r>
            <w:r>
              <w:rPr>
                <w:rFonts w:hint="eastAsia" w:ascii="Times New Roman" w:hAnsi="Times New Roman" w:cs="Times New Roman"/>
                <w:sz w:val="18"/>
                <w:szCs w:val="18"/>
              </w:rPr>
              <w:t>。</w:t>
            </w:r>
            <w:r>
              <w:rPr>
                <w:rFonts w:ascii="Times New Roman" w:hAnsi="Times New Roman" w:cs="Times New Roman"/>
                <w:sz w:val="18"/>
                <w:szCs w:val="18"/>
              </w:rPr>
              <w:t>目前PI3K抑制剂对PIK3CA基因突变患者的疗效研究多处于临床前[PMID: 26703889]，如MK2206、依维莫司、替西罗莫司、西罗莫司、Copanlisib等在PIK3CA突变的肺癌或实体肿瘤中正在开展临床试验。</w:t>
            </w:r>
          </w:p>
        </w:tc>
      </w:tr>
    </w:tbl>
    <w:p w14:paraId="357562A0">
      <w:pPr>
        <w:spacing w:line="276" w:lineRule="auto"/>
        <w:rPr>
          <w:rFonts w:ascii="Times New Roman" w:hAnsi="Times New Roman" w:cs="Times New Roman"/>
        </w:rPr>
      </w:pPr>
    </w:p>
    <w:p w14:paraId="73555190">
      <w:pPr>
        <w:spacing w:line="276" w:lineRule="auto"/>
        <w:rPr>
          <w:rFonts w:ascii="Times New Roman" w:hAnsi="Times New Roman" w:cs="Times New Roman"/>
          <w:sz w:val="24"/>
          <w:u w:val="thick" w:color="538135"/>
        </w:rPr>
      </w:pPr>
    </w:p>
    <w:p w14:paraId="2B26FF6B">
      <w:pPr>
        <w:spacing w:line="276" w:lineRule="auto"/>
        <w:rPr>
          <w:rFonts w:ascii="Times New Roman" w:hAnsi="Times New Roman" w:cs="Times New Roman"/>
          <w:b/>
          <w:u w:val="thick" w:color="1F3864"/>
        </w:rPr>
      </w:pPr>
      <w:r>
        <w:rPr>
          <w:rFonts w:ascii="Times New Roman" w:hAnsi="Times New Roman" w:cs="Times New Roman"/>
          <w:b/>
          <w:u w:val="thick" w:color="1F3864"/>
        </w:rPr>
        <w:t xml:space="preserve"> ROS1                                                                                                                                                                </w:t>
      </w:r>
    </w:p>
    <w:p w14:paraId="12217A53">
      <w:pPr>
        <w:spacing w:line="276" w:lineRule="auto"/>
        <w:rPr>
          <w:rFonts w:ascii="Times New Roman" w:hAnsi="Times New Roman" w:cs="Times New Roman"/>
          <w:b/>
          <w:u w:val="single" w:color="2DB8B5"/>
        </w:rPr>
      </w:pPr>
    </w:p>
    <w:tbl>
      <w:tblPr>
        <w:tblStyle w:val="19"/>
        <w:tblW w:w="900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08"/>
        <w:gridCol w:w="6700"/>
      </w:tblGrid>
      <w:tr w14:paraId="28FD6956">
        <w:trPr>
          <w:trHeight w:val="1831" w:hRule="atLeast"/>
          <w:jc w:val="center"/>
        </w:trPr>
        <w:tc>
          <w:tcPr>
            <w:tcW w:w="2308"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295E7C73">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基因说明</w:t>
            </w:r>
          </w:p>
        </w:tc>
        <w:tc>
          <w:tcPr>
            <w:tcW w:w="6700" w:type="dxa"/>
            <w:tcBorders>
              <w:top w:val="single" w:color="000000" w:sz="4" w:space="0"/>
              <w:left w:val="nil"/>
              <w:bottom w:val="single" w:color="000000" w:sz="4" w:space="0"/>
              <w:right w:val="single" w:color="000000" w:sz="4" w:space="0"/>
            </w:tcBorders>
            <w:shd w:val="clear" w:color="auto" w:fill="auto"/>
            <w:vAlign w:val="center"/>
          </w:tcPr>
          <w:p w14:paraId="28D90765">
            <w:pPr>
              <w:widowControl/>
              <w:adjustRightInd w:val="0"/>
              <w:snapToGrid w:val="0"/>
              <w:spacing w:before="100" w:beforeAutospacing="1" w:line="273" w:lineRule="auto"/>
              <w:jc w:val="both"/>
              <w:rPr>
                <w:rFonts w:ascii="Times New Roman" w:hAnsi="Times New Roman" w:cs="Times New Roman"/>
                <w:color w:val="000000"/>
                <w:sz w:val="18"/>
                <w:szCs w:val="18"/>
              </w:rPr>
            </w:pPr>
            <w:r>
              <w:rPr>
                <w:rFonts w:ascii="Times New Roman" w:hAnsi="Times New Roman" w:cs="Times New Roman"/>
                <w:color w:val="000000"/>
                <w:sz w:val="18"/>
                <w:szCs w:val="18"/>
              </w:rPr>
              <w:t>ROS1基因位于 6q22.1，是一种原癌基因，由该基因编码的蛋白质是I型整合膜蛋白，具有酪氨酸激酶活性，可以充当生长或分化因子受体。ROS1基因的染色体重组最初在胶质母细胞瘤中发现。ROS1融合被认为是非小细胞肺癌和胆管癌的驱动突变。ROS1融合包含一个完整的酪氨酸激酶，其下游信号可激活细胞信号通路，刺激细胞生长和细胞增殖。ROS1是一个潜在的驱动致癌基因，ROS1融合在NSCLC中发生率为1-3%。ROS1基因重排定义了NSCLC的一个特殊分子亚型，目前已经鉴定出9种不同的重排形式，其中以CD74-ROS1最为常见（42%）。</w:t>
            </w:r>
          </w:p>
        </w:tc>
      </w:tr>
      <w:tr w14:paraId="18F8DF8B">
        <w:trPr>
          <w:trHeight w:val="454" w:hRule="atLeast"/>
          <w:jc w:val="center"/>
        </w:trPr>
        <w:tc>
          <w:tcPr>
            <w:tcW w:w="2308"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1CBED233">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靶向药物</w:t>
            </w:r>
          </w:p>
        </w:tc>
        <w:tc>
          <w:tcPr>
            <w:tcW w:w="6700" w:type="dxa"/>
            <w:tcBorders>
              <w:top w:val="single" w:color="000000" w:sz="4" w:space="0"/>
              <w:left w:val="nil"/>
              <w:bottom w:val="single" w:color="000000" w:sz="4" w:space="0"/>
              <w:right w:val="single" w:color="000000" w:sz="4" w:space="0"/>
            </w:tcBorders>
            <w:shd w:val="clear" w:color="auto" w:fill="auto"/>
            <w:vAlign w:val="center"/>
          </w:tcPr>
          <w:p w14:paraId="5F92ACB7">
            <w:pPr>
              <w:spacing w:before="100" w:beforeAutospacing="1" w:line="256" w:lineRule="auto"/>
              <w:rPr>
                <w:rFonts w:ascii="Times New Roman" w:hAnsi="Times New Roman" w:cs="Times New Roman"/>
                <w:sz w:val="18"/>
                <w:szCs w:val="18"/>
              </w:rPr>
            </w:pPr>
            <w:r>
              <w:rPr>
                <w:rFonts w:hint="eastAsia"/>
                <w:b/>
                <w:sz w:val="18"/>
                <w:szCs w:val="18"/>
              </w:rPr>
              <w:t>克唑替尼</w:t>
            </w:r>
            <w:r>
              <w:rPr>
                <w:rFonts w:ascii="Times New Roman" w:hAnsi="Times New Roman" w:cs="Times New Roman"/>
                <w:b/>
                <w:sz w:val="18"/>
                <w:szCs w:val="18"/>
              </w:rPr>
              <w:t>*</w:t>
            </w:r>
            <w:r>
              <w:rPr>
                <w:rFonts w:hint="eastAsia"/>
                <w:sz w:val="18"/>
                <w:szCs w:val="18"/>
              </w:rPr>
              <w:t>、</w:t>
            </w:r>
            <w:r>
              <w:rPr>
                <w:rFonts w:hint="eastAsia"/>
                <w:b/>
                <w:sz w:val="18"/>
                <w:szCs w:val="18"/>
              </w:rPr>
              <w:t>恩曲替尼</w:t>
            </w:r>
            <w:r>
              <w:rPr>
                <w:rFonts w:hint="eastAsia"/>
                <w:sz w:val="18"/>
                <w:szCs w:val="18"/>
              </w:rPr>
              <w:t>、</w:t>
            </w:r>
            <w:r>
              <w:rPr>
                <w:rFonts w:hint="eastAsia"/>
                <w:b/>
                <w:sz w:val="18"/>
                <w:szCs w:val="18"/>
              </w:rPr>
              <w:t>劳拉替尼、塞瑞替尼</w:t>
            </w:r>
            <w:r>
              <w:rPr>
                <w:rFonts w:ascii="Times New Roman" w:hAnsi="Times New Roman" w:cs="Times New Roman"/>
                <w:b/>
                <w:sz w:val="18"/>
                <w:szCs w:val="18"/>
              </w:rPr>
              <w:t>*</w:t>
            </w:r>
          </w:p>
        </w:tc>
      </w:tr>
      <w:tr w14:paraId="55E20B8D">
        <w:trPr>
          <w:trHeight w:val="557" w:hRule="atLeast"/>
          <w:jc w:val="center"/>
        </w:trPr>
        <w:tc>
          <w:tcPr>
            <w:tcW w:w="2308" w:type="dxa"/>
            <w:tcBorders>
              <w:top w:val="single" w:color="000000" w:sz="4" w:space="0"/>
              <w:left w:val="single" w:color="000000" w:sz="4" w:space="0"/>
              <w:bottom w:val="single" w:color="000000" w:sz="4" w:space="0"/>
              <w:right w:val="single" w:color="000000" w:sz="4" w:space="0"/>
            </w:tcBorders>
            <w:shd w:val="clear" w:color="auto" w:fill="1F3864"/>
            <w:vAlign w:val="center"/>
          </w:tcPr>
          <w:p w14:paraId="1EA4A307">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用药提示</w:t>
            </w:r>
          </w:p>
          <w:p w14:paraId="2D0EFA9E">
            <w:pPr>
              <w:widowControl/>
              <w:spacing w:before="100" w:beforeAutospacing="1" w:line="273" w:lineRule="auto"/>
              <w:jc w:val="center"/>
              <w:rPr>
                <w:rFonts w:ascii="Times New Roman" w:hAnsi="Times New Roman" w:cs="Times New Roman"/>
                <w:b/>
                <w:color w:val="FFFFFF"/>
                <w:sz w:val="24"/>
                <w:szCs w:val="24"/>
              </w:rPr>
            </w:pPr>
            <w:r>
              <w:rPr>
                <w:rFonts w:ascii="Times New Roman" w:hAnsi="Times New Roman" w:cs="Times New Roman"/>
                <w:b/>
                <w:color w:val="FFFFFF"/>
                <w:sz w:val="24"/>
                <w:szCs w:val="24"/>
              </w:rPr>
              <w:t>（仅供参考）</w:t>
            </w:r>
          </w:p>
        </w:tc>
        <w:tc>
          <w:tcPr>
            <w:tcW w:w="6700" w:type="dxa"/>
            <w:tcBorders>
              <w:top w:val="single" w:color="000000" w:sz="4" w:space="0"/>
              <w:left w:val="nil"/>
              <w:bottom w:val="single" w:color="000000" w:sz="4" w:space="0"/>
              <w:right w:val="single" w:color="000000" w:sz="4" w:space="0"/>
            </w:tcBorders>
            <w:shd w:val="clear" w:color="auto" w:fill="auto"/>
            <w:vAlign w:val="center"/>
          </w:tcPr>
          <w:p w14:paraId="32B14648">
            <w:pPr>
              <w:widowControl/>
              <w:adjustRightInd w:val="0"/>
              <w:snapToGrid w:val="0"/>
              <w:spacing w:before="100" w:beforeAutospacing="1" w:line="273" w:lineRule="auto"/>
              <w:rPr>
                <w:rFonts w:ascii="Times New Roman" w:hAnsi="Times New Roman" w:cs="Times New Roman"/>
                <w:sz w:val="18"/>
                <w:szCs w:val="18"/>
              </w:rPr>
            </w:pPr>
            <w:r>
              <w:rPr>
                <w:rFonts w:ascii="Times New Roman" w:hAnsi="Times New Roman" w:cs="Times New Roman"/>
                <w:sz w:val="18"/>
                <w:szCs w:val="18"/>
              </w:rPr>
              <w:t>ROS1 基因重排代表一类新的独特的NSCLC分子亚型，一般认为ROS1融合基因阳性的肺癌患者，不伴有EGFR 突变和（或）ALK-EML4 融合基因及KRAS 突变，但随着研究的深入以及实验技术的发展，目前有少量研究发现，ROS1 融合基因可以与其他驱动基因变异共存。肺癌中，ROS1 基因融合对克唑替尼（ALK，MET，ROS1抑制剂）类药物敏感性增加[PMID: 30980071; PMID: 29596029]</w:t>
            </w:r>
            <w:r>
              <w:rPr>
                <w:rFonts w:hint="eastAsia" w:ascii="Times New Roman" w:hAnsi="Times New Roman" w:cs="Times New Roman"/>
                <w:sz w:val="18"/>
                <w:szCs w:val="18"/>
              </w:rPr>
              <w:t>。</w:t>
            </w:r>
            <w:r>
              <w:rPr>
                <w:rFonts w:ascii="Times New Roman" w:hAnsi="Times New Roman" w:cs="Times New Roman"/>
                <w:sz w:val="18"/>
                <w:szCs w:val="18"/>
              </w:rPr>
              <w:t>FDA批准恩曲替尼用于治疗ROS1阳性的转移性非小细胞肺癌（NSCLC）成人患者，克唑替尼可用于ROS1 阳性的晚期非小细胞肺癌（NSCLC）患者的治疗。然而使用克唑替尼治疗后的一段时间，会逐渐出现耐药迹象，进一步活检发现主要耐药位点为G2032R，除此之外，D2033N, L2026M, L1951R 可能也是较为少见的耐药位点[PMID: 25688157]</w:t>
            </w:r>
            <w:r>
              <w:rPr>
                <w:rFonts w:hint="eastAsia" w:ascii="Times New Roman" w:hAnsi="Times New Roman" w:cs="Times New Roman"/>
                <w:sz w:val="18"/>
                <w:szCs w:val="18"/>
              </w:rPr>
              <w:t>，</w:t>
            </w:r>
            <w:r>
              <w:rPr>
                <w:rFonts w:ascii="Times New Roman" w:hAnsi="Times New Roman" w:cs="Times New Roman"/>
                <w:sz w:val="18"/>
                <w:szCs w:val="18"/>
              </w:rPr>
              <w:t>ROS1融合与EGFR TKI的原发性耐药有关[PMID: 30568455; PMID: 31124056]。</w:t>
            </w:r>
            <w:r>
              <w:rPr>
                <w:rFonts w:hint="eastAsia" w:ascii="Times New Roman" w:hAnsi="Times New Roman" w:cs="Times New Roman"/>
                <w:sz w:val="18"/>
                <w:szCs w:val="18"/>
              </w:rPr>
              <w:t>N</w:t>
            </w:r>
            <w:r>
              <w:rPr>
                <w:rFonts w:ascii="Times New Roman" w:hAnsi="Times New Roman" w:cs="Times New Roman"/>
                <w:sz w:val="18"/>
                <w:szCs w:val="18"/>
              </w:rPr>
              <w:t>CCN</w:t>
            </w:r>
            <w:r>
              <w:rPr>
                <w:rFonts w:hint="eastAsia" w:ascii="Times New Roman" w:hAnsi="Times New Roman" w:cs="Times New Roman"/>
                <w:sz w:val="18"/>
                <w:szCs w:val="18"/>
              </w:rPr>
              <w:t>指南推荐克唑替尼、恩曲替尼用于R</w:t>
            </w:r>
            <w:r>
              <w:rPr>
                <w:rFonts w:ascii="Times New Roman" w:hAnsi="Times New Roman" w:cs="Times New Roman"/>
                <w:sz w:val="18"/>
                <w:szCs w:val="18"/>
              </w:rPr>
              <w:t>OS1</w:t>
            </w:r>
            <w:r>
              <w:rPr>
                <w:rFonts w:hint="eastAsia" w:ascii="Times New Roman" w:hAnsi="Times New Roman" w:cs="Times New Roman"/>
                <w:sz w:val="18"/>
                <w:szCs w:val="18"/>
              </w:rPr>
              <w:t>重排阳性的转移性或晚期非小细胞肺癌患者的首先一线治疗，塞瑞替尼用于R</w:t>
            </w:r>
            <w:r>
              <w:rPr>
                <w:rFonts w:ascii="Times New Roman" w:hAnsi="Times New Roman" w:cs="Times New Roman"/>
                <w:sz w:val="18"/>
                <w:szCs w:val="18"/>
              </w:rPr>
              <w:t>OS1</w:t>
            </w:r>
            <w:r>
              <w:rPr>
                <w:rFonts w:hint="eastAsia" w:ascii="Times New Roman" w:hAnsi="Times New Roman" w:cs="Times New Roman"/>
                <w:sz w:val="18"/>
                <w:szCs w:val="18"/>
              </w:rPr>
              <w:t>重排阳性的N</w:t>
            </w:r>
            <w:r>
              <w:rPr>
                <w:rFonts w:ascii="Times New Roman" w:hAnsi="Times New Roman" w:cs="Times New Roman"/>
                <w:sz w:val="18"/>
                <w:szCs w:val="18"/>
              </w:rPr>
              <w:t>SCLC</w:t>
            </w:r>
            <w:r>
              <w:rPr>
                <w:rFonts w:hint="eastAsia" w:ascii="Times New Roman" w:hAnsi="Times New Roman" w:cs="Times New Roman"/>
                <w:sz w:val="18"/>
                <w:szCs w:val="18"/>
              </w:rPr>
              <w:t>患者的一线治疗，劳拉替尼用于经恩曲替尼、克唑替尼或塞瑞替尼治疗后疾病进展的R</w:t>
            </w:r>
            <w:r>
              <w:rPr>
                <w:rFonts w:ascii="Times New Roman" w:hAnsi="Times New Roman" w:cs="Times New Roman"/>
                <w:sz w:val="18"/>
                <w:szCs w:val="18"/>
              </w:rPr>
              <w:t>OS1</w:t>
            </w:r>
            <w:r>
              <w:rPr>
                <w:rFonts w:hint="eastAsia" w:ascii="Times New Roman" w:hAnsi="Times New Roman" w:cs="Times New Roman"/>
                <w:sz w:val="18"/>
                <w:szCs w:val="18"/>
              </w:rPr>
              <w:t>重排的非小细胞肺癌患者的后续治疗。</w:t>
            </w:r>
            <w:r>
              <w:rPr>
                <w:rFonts w:ascii="Times New Roman" w:hAnsi="Times New Roman" w:cs="Times New Roman"/>
                <w:sz w:val="18"/>
                <w:szCs w:val="18"/>
              </w:rPr>
              <w:t>恩曲替尼和克唑替尼治疗ROS1融合的实体瘤患者的临床研究正在开展。</w:t>
            </w:r>
          </w:p>
        </w:tc>
      </w:tr>
    </w:tbl>
    <w:p w14:paraId="5BE2006E">
      <w:pPr>
        <w:spacing w:line="276" w:lineRule="auto"/>
        <w:rPr>
          <w:rFonts w:ascii="Times New Roman" w:hAnsi="Times New Roman" w:cs="Times New Roman"/>
          <w:b/>
          <w:sz w:val="18"/>
          <w:szCs w:val="18"/>
        </w:rPr>
      </w:pPr>
    </w:p>
    <w:p w14:paraId="08375E7F">
      <w:pPr>
        <w:spacing w:line="276" w:lineRule="auto"/>
        <w:rPr>
          <w:rFonts w:ascii="Times New Roman" w:hAnsi="Times New Roman" w:cs="Times New Roman"/>
          <w:b/>
          <w:sz w:val="18"/>
          <w:szCs w:val="18"/>
        </w:rPr>
      </w:pPr>
      <w:r>
        <w:rPr>
          <w:rFonts w:ascii="Times New Roman" w:hAnsi="Times New Roman" w:cs="Times New Roman"/>
          <w:b/>
          <w:sz w:val="18"/>
          <w:szCs w:val="18"/>
        </w:rPr>
        <w:t>注：</w:t>
      </w:r>
    </w:p>
    <w:p w14:paraId="4F30DC24">
      <w:pPr>
        <w:spacing w:line="276" w:lineRule="auto"/>
        <w:rPr>
          <w:rFonts w:ascii="Times New Roman" w:hAnsi="Times New Roman" w:cs="Times New Roman"/>
          <w:sz w:val="18"/>
          <w:szCs w:val="18"/>
        </w:rPr>
      </w:pPr>
      <w:r>
        <w:rPr>
          <w:rFonts w:ascii="Times New Roman" w:hAnsi="Times New Roman" w:cs="Times New Roman"/>
          <w:sz w:val="18"/>
          <w:szCs w:val="18"/>
        </w:rPr>
        <w:t>1.</w:t>
      </w:r>
      <w:r>
        <w:rPr>
          <w:rFonts w:hint="eastAsia" w:ascii="Times New Roman" w:hAnsi="Times New Roman" w:cs="Times New Roman"/>
          <w:sz w:val="18"/>
          <w:szCs w:val="18"/>
        </w:rPr>
        <w:t>加粗</w:t>
      </w:r>
      <w:r>
        <w:rPr>
          <w:rFonts w:ascii="Times New Roman" w:hAnsi="Times New Roman" w:cs="Times New Roman"/>
          <w:sz w:val="18"/>
          <w:szCs w:val="18"/>
        </w:rPr>
        <w:t>药物表示：FDA/NMPA已批准药物，</w:t>
      </w:r>
      <w:r>
        <w:rPr>
          <w:rFonts w:hint="eastAsia" w:ascii="Times New Roman" w:hAnsi="Times New Roman" w:cs="Times New Roman"/>
          <w:sz w:val="18"/>
          <w:szCs w:val="18"/>
        </w:rPr>
        <w:t>未加粗</w:t>
      </w:r>
      <w:r>
        <w:rPr>
          <w:rFonts w:ascii="Times New Roman" w:hAnsi="Times New Roman" w:cs="Times New Roman"/>
          <w:sz w:val="18"/>
          <w:szCs w:val="18"/>
        </w:rPr>
        <w:t>药物为未上市药物。</w:t>
      </w:r>
    </w:p>
    <w:p w14:paraId="207A3F26">
      <w:pPr>
        <w:spacing w:line="276" w:lineRule="auto"/>
        <w:rPr>
          <w:rFonts w:ascii="Times New Roman" w:hAnsi="Times New Roman" w:cs="Times New Roman"/>
          <w:sz w:val="18"/>
          <w:szCs w:val="18"/>
        </w:rPr>
      </w:pPr>
      <w:r>
        <w:rPr>
          <w:rFonts w:ascii="Times New Roman" w:hAnsi="Times New Roman" w:cs="Times New Roman"/>
          <w:sz w:val="18"/>
          <w:szCs w:val="18"/>
        </w:rPr>
        <w:t>2.* 标注的药物表示：NMPA批准的靶向药物。</w:t>
      </w:r>
    </w:p>
    <w:p w14:paraId="0CD56821">
      <w:pPr>
        <w:spacing w:line="276" w:lineRule="auto"/>
        <w:rPr>
          <w:rFonts w:ascii="Times New Roman" w:hAnsi="Times New Roman" w:cs="Times New Roman"/>
          <w:sz w:val="18"/>
          <w:szCs w:val="18"/>
        </w:rPr>
      </w:pPr>
    </w:p>
    <w:p w14:paraId="72086CDD">
      <w:pPr>
        <w:spacing w:line="276" w:lineRule="auto"/>
        <w:rPr>
          <w:rFonts w:ascii="Times New Roman" w:hAnsi="Times New Roman" w:cs="Times New Roman"/>
          <w:sz w:val="18"/>
          <w:szCs w:val="18"/>
        </w:rPr>
      </w:pPr>
    </w:p>
    <w:p w14:paraId="484540F0">
      <w:pPr>
        <w:spacing w:line="276" w:lineRule="auto"/>
        <w:rPr>
          <w:rFonts w:ascii="Times New Roman" w:hAnsi="Times New Roman" w:cs="Times New Roman"/>
          <w:sz w:val="18"/>
          <w:szCs w:val="18"/>
        </w:rPr>
      </w:pPr>
    </w:p>
    <w:p w14:paraId="23D90B56">
      <w:pPr>
        <w:spacing w:line="276" w:lineRule="auto"/>
        <w:rPr>
          <w:rFonts w:ascii="Times New Roman" w:hAnsi="Times New Roman" w:cs="Times New Roman"/>
          <w:sz w:val="18"/>
          <w:szCs w:val="18"/>
        </w:rPr>
      </w:pPr>
    </w:p>
    <w:p w14:paraId="5894950B">
      <w:pPr>
        <w:spacing w:line="276" w:lineRule="auto"/>
        <w:rPr>
          <w:rFonts w:ascii="Times New Roman" w:hAnsi="Times New Roman" w:cs="Times New Roman"/>
          <w:sz w:val="18"/>
          <w:szCs w:val="18"/>
        </w:rPr>
      </w:pPr>
    </w:p>
    <w:p w14:paraId="5726A6AE">
      <w:pPr>
        <w:spacing w:line="276" w:lineRule="auto"/>
        <w:rPr>
          <w:rFonts w:ascii="Times New Roman" w:hAnsi="Times New Roman" w:cs="Times New Roman"/>
          <w:sz w:val="18"/>
          <w:szCs w:val="18"/>
        </w:rPr>
      </w:pPr>
    </w:p>
    <w:p w14:paraId="00D53955">
      <w:pPr>
        <w:spacing w:line="276" w:lineRule="auto"/>
        <w:rPr>
          <w:rFonts w:ascii="Times New Roman" w:hAnsi="Times New Roman" w:cs="Times New Roman"/>
          <w:sz w:val="18"/>
          <w:szCs w:val="18"/>
        </w:rPr>
      </w:pPr>
    </w:p>
    <w:p w14:paraId="0F05165F">
      <w:pPr>
        <w:spacing w:line="276" w:lineRule="auto"/>
        <w:rPr>
          <w:rFonts w:ascii="Times New Roman" w:hAnsi="Times New Roman" w:cs="Times New Roman"/>
          <w:sz w:val="18"/>
          <w:szCs w:val="18"/>
        </w:rPr>
      </w:pPr>
    </w:p>
    <w:p w14:paraId="5137FF99">
      <w:pPr>
        <w:spacing w:line="276" w:lineRule="auto"/>
        <w:rPr>
          <w:rFonts w:ascii="Times New Roman" w:hAnsi="Times New Roman" w:cs="Times New Roman"/>
          <w:sz w:val="18"/>
          <w:szCs w:val="18"/>
        </w:rPr>
      </w:pPr>
    </w:p>
    <w:p w14:paraId="6C5561B1">
      <w:pPr>
        <w:spacing w:line="276" w:lineRule="auto"/>
        <w:rPr>
          <w:rFonts w:ascii="Times New Roman" w:hAnsi="Times New Roman" w:cs="Times New Roman"/>
          <w:sz w:val="18"/>
          <w:szCs w:val="18"/>
        </w:rPr>
      </w:pPr>
    </w:p>
    <w:p w14:paraId="2291A203">
      <w:pPr>
        <w:spacing w:before="26"/>
        <w:rPr>
          <w:rFonts w:ascii="Times New Roman" w:hAnsi="Times New Roman" w:cs="Times New Roman"/>
          <w:sz w:val="15"/>
        </w:rPr>
      </w:pPr>
    </w:p>
    <w:p w14:paraId="48011758">
      <w:pPr>
        <w:spacing w:line="360" w:lineRule="auto"/>
        <w:rPr>
          <w:rFonts w:ascii="Times New Roman" w:hAnsi="Times New Roman" w:cs="Times New Roman"/>
          <w:b/>
        </w:rPr>
      </w:pPr>
      <w:r>
        <w:rPr>
          <w:rFonts w:ascii="Times New Roman" w:hAnsi="Times New Roman" w:cs="Times New Roman"/>
          <w:b/>
        </w:rPr>
        <mc:AlternateContent>
          <mc:Choice Requires="wps">
            <w:drawing>
              <wp:anchor distT="0" distB="0" distL="114300" distR="114300" simplePos="0" relativeHeight="251712512" behindDoc="0" locked="0" layoutInCell="1" allowOverlap="1">
                <wp:simplePos x="0" y="0"/>
                <wp:positionH relativeFrom="column">
                  <wp:posOffset>-34290</wp:posOffset>
                </wp:positionH>
                <wp:positionV relativeFrom="paragraph">
                  <wp:posOffset>167005</wp:posOffset>
                </wp:positionV>
                <wp:extent cx="5758815" cy="21590"/>
                <wp:effectExtent l="0" t="9525" r="3810" b="16510"/>
                <wp:wrapNone/>
                <wp:docPr id="61" name="直线 14"/>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4" o:spid="_x0000_s1026" o:spt="20" style="position:absolute;left:0pt;margin-left:-2.7pt;margin-top:13.15pt;height:1.7pt;width:453.45pt;z-index:251712512;mso-width-relative:page;mso-height-relative:page;" filled="f" stroked="t" coordsize="21600,21600" o:gfxdata="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bRcFtgAAAAIAQAADwAAAAAAAAABACAAAAAiAAAAZHJzL2Rvd25yZXYueG1sUEsBAhQAFAAAAAgA&#10;h07iQLEWA4XsAQAA4AMAAA4AAAAAAAAAAQAgAAAAJwEAAGRycy9lMm9Eb2MueG1sUEsFBgAAAAAG&#10;AAYAWQEAAIUFAAAAAA==&#10;">
                <v:fill on="f" focussize="0,0"/>
                <v:stroke weight="1.5pt" color="#002060" joinstyle="miter"/>
                <v:imagedata o:title=""/>
                <o:lock v:ext="edit" aspectratio="f"/>
              </v:line>
            </w:pict>
          </mc:Fallback>
        </mc:AlternateContent>
      </w:r>
      <w:r>
        <w:rPr>
          <w:rFonts w:ascii="Times New Roman" w:hAnsi="Times New Roman" w:cs="Times New Roman"/>
          <w:b/>
        </w:rPr>
        <w:t>ABL1</w:t>
      </w:r>
    </w:p>
    <w:p w14:paraId="6CE96508">
      <w:pPr>
        <w:spacing w:line="300" w:lineRule="auto"/>
        <w:ind w:left="420"/>
        <w:rPr>
          <w:rFonts w:ascii="Times New Roman" w:hAnsi="Times New Roman" w:cs="Times New Roman"/>
          <w:b/>
          <w:szCs w:val="18"/>
          <w:highlight w:val="black"/>
        </w:rPr>
      </w:pPr>
      <w:r>
        <w:rPr>
          <w:rFonts w:ascii="Times New Roman" w:hAnsi="Times New Roman" w:cs="Times New Roman"/>
          <w:b/>
          <w:szCs w:val="18"/>
        </w:rPr>
        <w:t>基因说明：</w:t>
      </w:r>
    </w:p>
    <w:p w14:paraId="50D5CA7B">
      <w:pPr>
        <w:spacing w:line="300" w:lineRule="auto"/>
        <w:ind w:left="420"/>
        <w:rPr>
          <w:rFonts w:ascii="Times New Roman" w:hAnsi="Times New Roman" w:cs="Times New Roman"/>
          <w:sz w:val="18"/>
          <w:szCs w:val="18"/>
        </w:rPr>
      </w:pPr>
      <w:r>
        <w:rPr>
          <w:rFonts w:ascii="Times New Roman" w:hAnsi="Times New Roman" w:cs="Times New Roman"/>
          <w:sz w:val="18"/>
          <w:szCs w:val="18"/>
        </w:rPr>
        <w:t>ABL1是原癌基因，编码一种蛋白酪氨酸激酶，参与多种细胞过程，包括细胞分裂、粘附、分化和应激反应。该蛋白的活性受其SH3结构域的负调控，因此该结构域的缺失将导致致癌基因的产生。这种广泛表达的蛋白具有DNA结合活性，并受CDC2介导的磷酸化调控，提示其具有细胞周期功能。在各种白血病中，该基因可能与多种易位伴侣基因发生融合，最常见的是易位导致的与断点簇区的5'端基因BCR</w:t>
      </w:r>
      <w:r>
        <w:rPr>
          <w:rFonts w:hint="eastAsia" w:ascii="Times New Roman" w:hAnsi="Times New Roman" w:cs="Times New Roman"/>
          <w:sz w:val="18"/>
          <w:szCs w:val="18"/>
        </w:rPr>
        <w:t>（</w:t>
      </w:r>
      <w:r>
        <w:rPr>
          <w:rFonts w:ascii="Times New Roman" w:hAnsi="Times New Roman" w:cs="Times New Roman"/>
          <w:sz w:val="18"/>
          <w:szCs w:val="18"/>
        </w:rPr>
        <w:t>MIM: 151410</w:t>
      </w:r>
      <w:r>
        <w:rPr>
          <w:rFonts w:hint="eastAsia" w:ascii="Times New Roman" w:hAnsi="Times New Roman" w:cs="Times New Roman"/>
          <w:sz w:val="18"/>
          <w:szCs w:val="18"/>
        </w:rPr>
        <w:t>）</w:t>
      </w:r>
      <w:r>
        <w:rPr>
          <w:rFonts w:ascii="Times New Roman" w:hAnsi="Times New Roman" w:cs="Times New Roman"/>
          <w:sz w:val="18"/>
          <w:szCs w:val="18"/>
        </w:rPr>
        <w:t>的融合。ABL1的突变常见于肺癌、结肠癌、子宫内膜样腺癌、乳腺浸润性导管癌和皮肤黑色素瘤患者中。</w:t>
      </w:r>
    </w:p>
    <w:p w14:paraId="34C5C426">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202BC20">
      <w:pPr>
        <w:adjustRightInd w:val="0"/>
        <w:snapToGrid w:val="0"/>
        <w:spacing w:line="300" w:lineRule="auto"/>
        <w:ind w:left="420"/>
        <w:jc w:val="both"/>
        <w:rPr>
          <w:rFonts w:ascii="Times New Roman" w:hAnsi="Times New Roman" w:cs="Times New Roman"/>
          <w:sz w:val="18"/>
          <w:szCs w:val="18"/>
        </w:rPr>
      </w:pPr>
      <w:r>
        <w:rPr>
          <w:rFonts w:ascii="Times New Roman" w:hAnsi="Times New Roman" w:cs="Times New Roman"/>
          <w:sz w:val="18"/>
          <w:szCs w:val="18"/>
        </w:rPr>
        <w:t>ABL1在BCR-ABL融合蛋白中的作用与癌症关系最为密切，该融合蛋白已成为慢性</w:t>
      </w:r>
      <w:r>
        <w:rPr>
          <w:rFonts w:hint="eastAsia" w:ascii="Times New Roman" w:hAnsi="Times New Roman" w:cs="Times New Roman"/>
          <w:sz w:val="18"/>
          <w:szCs w:val="18"/>
        </w:rPr>
        <w:t>粒细胞</w:t>
      </w:r>
      <w:r>
        <w:rPr>
          <w:rFonts w:ascii="Times New Roman" w:hAnsi="Times New Roman" w:cs="Times New Roman"/>
          <w:sz w:val="18"/>
          <w:szCs w:val="18"/>
        </w:rPr>
        <w:t>白血病</w:t>
      </w:r>
      <w:r>
        <w:rPr>
          <w:rFonts w:hint="eastAsia" w:ascii="Times New Roman" w:hAnsi="Times New Roman" w:cs="Times New Roman"/>
          <w:sz w:val="18"/>
          <w:szCs w:val="18"/>
        </w:rPr>
        <w:t>（</w:t>
      </w:r>
      <w:r>
        <w:rPr>
          <w:rFonts w:ascii="Times New Roman" w:hAnsi="Times New Roman" w:cs="Times New Roman"/>
          <w:sz w:val="18"/>
          <w:szCs w:val="18"/>
        </w:rPr>
        <w:t>CML</w:t>
      </w:r>
      <w:r>
        <w:rPr>
          <w:rFonts w:hint="eastAsia" w:ascii="Times New Roman" w:hAnsi="Times New Roman" w:cs="Times New Roman"/>
          <w:sz w:val="18"/>
          <w:szCs w:val="18"/>
        </w:rPr>
        <w:t>）</w:t>
      </w:r>
      <w:r>
        <w:rPr>
          <w:rFonts w:ascii="Times New Roman" w:hAnsi="Times New Roman" w:cs="Times New Roman"/>
          <w:sz w:val="18"/>
          <w:szCs w:val="18"/>
        </w:rPr>
        <w:t>的一个特征，含有融合突变的细胞对伊马替尼表现出敏感性，大大改善了疾病的预后。</w:t>
      </w:r>
      <w:r>
        <w:rPr>
          <w:rFonts w:hint="eastAsia" w:ascii="Times New Roman" w:hAnsi="Times New Roman" w:cs="Times New Roman"/>
          <w:sz w:val="18"/>
          <w:szCs w:val="18"/>
        </w:rPr>
        <w:t>N</w:t>
      </w:r>
      <w:r>
        <w:rPr>
          <w:rFonts w:ascii="Times New Roman" w:hAnsi="Times New Roman" w:cs="Times New Roman"/>
          <w:sz w:val="18"/>
          <w:szCs w:val="18"/>
        </w:rPr>
        <w:t>CCN</w:t>
      </w:r>
      <w:r>
        <w:rPr>
          <w:rFonts w:hint="eastAsia" w:ascii="Times New Roman" w:hAnsi="Times New Roman" w:cs="Times New Roman"/>
          <w:sz w:val="18"/>
          <w:szCs w:val="18"/>
        </w:rPr>
        <w:t>指南推荐普纳替尼、尼洛替尼、伊马替尼、达沙替尼、博舒替尼用于</w:t>
      </w:r>
      <w:r>
        <w:rPr>
          <w:rFonts w:ascii="Times New Roman" w:hAnsi="Times New Roman" w:cs="Times New Roman"/>
          <w:sz w:val="18"/>
          <w:szCs w:val="18"/>
        </w:rPr>
        <w:t>ABL1重排的嗜酸性粒细胞增多症的髓系/淋巴系肿瘤患者</w:t>
      </w:r>
      <w:r>
        <w:rPr>
          <w:rFonts w:hint="eastAsia" w:ascii="Times New Roman" w:hAnsi="Times New Roman" w:cs="Times New Roman"/>
          <w:sz w:val="18"/>
          <w:szCs w:val="18"/>
        </w:rPr>
        <w:t>。</w:t>
      </w:r>
      <w:r>
        <w:rPr>
          <w:rFonts w:ascii="Times New Roman" w:hAnsi="Times New Roman" w:cs="Times New Roman"/>
          <w:sz w:val="18"/>
          <w:szCs w:val="18"/>
        </w:rPr>
        <w:t>然而，ABL1中额外的突变已被证明对伊马替尼具有耐药性，含有ABL1 R332W</w:t>
      </w:r>
      <w:r>
        <w:rPr>
          <w:rFonts w:hint="eastAsia" w:ascii="Times New Roman" w:hAnsi="Times New Roman" w:cs="Times New Roman"/>
          <w:sz w:val="18"/>
          <w:szCs w:val="18"/>
        </w:rPr>
        <w:t>（</w:t>
      </w:r>
      <w:r>
        <w:rPr>
          <w:rFonts w:ascii="Times New Roman" w:hAnsi="Times New Roman" w:cs="Times New Roman"/>
          <w:sz w:val="18"/>
          <w:szCs w:val="18"/>
        </w:rPr>
        <w:t>也被报道为R351W</w:t>
      </w:r>
      <w:r>
        <w:rPr>
          <w:rFonts w:hint="eastAsia" w:ascii="Times New Roman" w:hAnsi="Times New Roman" w:cs="Times New Roman"/>
          <w:sz w:val="18"/>
          <w:szCs w:val="18"/>
        </w:rPr>
        <w:t>）</w:t>
      </w:r>
      <w:r>
        <w:rPr>
          <w:rFonts w:ascii="Times New Roman" w:hAnsi="Times New Roman" w:cs="Times New Roman"/>
          <w:sz w:val="18"/>
          <w:szCs w:val="18"/>
        </w:rPr>
        <w:t>和ABL1 T315I的肺腺癌细胞在培养和异种移植模型中表现出对伊马替尼的耐药性[PMID: 26758680]。在这些耐药病例中，第二代酪氨酸激酶抑制剂如达沙替尼已显示出一定的疗效，达沙替尼抑制了含有ABL1 G321L(也被报道为G340L)和ABL1 R332W(也被报道为R351W)的肺腺癌细胞系的生长，并抑制了移植瘤模型中的肿瘤生长[PMID: 26758680]。ABL1重排与B细胞急性淋巴细胞白血病儿科患者的不良预后有关</w:t>
      </w:r>
      <w:r>
        <w:rPr>
          <w:rFonts w:hint="eastAsia" w:ascii="Times New Roman" w:hAnsi="Times New Roman" w:cs="Times New Roman"/>
          <w:sz w:val="18"/>
          <w:szCs w:val="18"/>
        </w:rPr>
        <w:t>。</w:t>
      </w:r>
      <w:r>
        <w:rPr>
          <w:rFonts w:ascii="Times New Roman" w:hAnsi="Times New Roman" w:cs="Times New Roman"/>
          <w:sz w:val="18"/>
          <w:szCs w:val="18"/>
        </w:rPr>
        <w:t>评估尼洛替尼</w:t>
      </w:r>
      <w:r>
        <w:rPr>
          <w:rFonts w:hint="eastAsia" w:ascii="Times New Roman" w:hAnsi="Times New Roman" w:cs="Times New Roman"/>
          <w:sz w:val="18"/>
          <w:szCs w:val="18"/>
        </w:rPr>
        <w:t>、依维莫司</w:t>
      </w:r>
      <w:r>
        <w:rPr>
          <w:rFonts w:ascii="Times New Roman" w:hAnsi="Times New Roman" w:cs="Times New Roman"/>
          <w:sz w:val="18"/>
          <w:szCs w:val="18"/>
        </w:rPr>
        <w:t>治疗ABL1</w:t>
      </w:r>
      <w:r>
        <w:rPr>
          <w:rFonts w:hint="eastAsia" w:ascii="Times New Roman" w:hAnsi="Times New Roman" w:cs="Times New Roman"/>
          <w:sz w:val="18"/>
          <w:szCs w:val="18"/>
        </w:rPr>
        <w:t>融合</w:t>
      </w:r>
      <w:r>
        <w:rPr>
          <w:rFonts w:ascii="Times New Roman" w:hAnsi="Times New Roman" w:cs="Times New Roman"/>
          <w:sz w:val="18"/>
          <w:szCs w:val="18"/>
        </w:rPr>
        <w:t>的实体瘤患者疗效的临床试验正在开展。</w:t>
      </w:r>
    </w:p>
    <w:p w14:paraId="5DF7D4B1">
      <w:pPr>
        <w:adjustRightInd w:val="0"/>
        <w:snapToGrid w:val="0"/>
        <w:spacing w:line="300" w:lineRule="auto"/>
        <w:ind w:left="420"/>
        <w:jc w:val="both"/>
        <w:rPr>
          <w:rFonts w:ascii="Times New Roman" w:hAnsi="Times New Roman" w:cs="Times New Roman"/>
          <w:sz w:val="18"/>
          <w:szCs w:val="18"/>
        </w:rPr>
      </w:pPr>
    </w:p>
    <w:p w14:paraId="07A76591">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4320"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53" name="直线 15"/>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5" o:spid="_x0000_s1026" o:spt="20" style="position:absolute;left:0pt;margin-left:-2.55pt;margin-top:12.55pt;height:1.7pt;width:453.45pt;z-index:251704320;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1m&#10;uePXAAAACAEAAA8AAAAAAAAAAQAgAAAAIgAAAGRycy9kb3ducmV2LnhtbFBLAQIUABQAAAAIAIdO&#10;4kCPIolP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AKT1                                                                          </w:t>
      </w:r>
    </w:p>
    <w:p w14:paraId="3BF0284B">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7469D11">
      <w:pPr>
        <w:spacing w:line="300" w:lineRule="auto"/>
        <w:ind w:left="420"/>
        <w:rPr>
          <w:rFonts w:ascii="Times New Roman" w:hAnsi="Times New Roman" w:cs="Times New Roman"/>
          <w:sz w:val="18"/>
          <w:szCs w:val="18"/>
        </w:rPr>
      </w:pPr>
      <w:r>
        <w:rPr>
          <w:rFonts w:ascii="Times New Roman" w:hAnsi="Times New Roman" w:cs="Times New Roman"/>
          <w:sz w:val="18"/>
          <w:szCs w:val="18"/>
        </w:rPr>
        <w:t>AKT是一种丝氨酸/苏氨酸蛋白激酶，也被称为蛋白激酶B(PKB)，通过磷酸化多种转录因子，来参与机体多种生命活动。目前，在哺乳动物中共发现三种AKT亚型：AKT1/PKBα、AKT2/PKBβ和AKT3/PKBγ。AKT是PI3K/AKT信号通路中核心因子，AKT1激活突变可导致PI3K/Akt/mTOR信号通路的持续激活，进而介导细胞信号传导途径包括存活，增殖，血管生成，迁移，代谢和葡萄糖体内平衡[PMID</w:t>
      </w:r>
      <w:r>
        <w:rPr>
          <w:rFonts w:hint="eastAsia" w:ascii="Times New Roman" w:hAnsi="Times New Roman" w:cs="Times New Roman"/>
          <w:sz w:val="18"/>
          <w:szCs w:val="18"/>
        </w:rPr>
        <w:t xml:space="preserve">: </w:t>
      </w:r>
      <w:r>
        <w:rPr>
          <w:rFonts w:ascii="Times New Roman" w:hAnsi="Times New Roman" w:cs="Times New Roman"/>
          <w:sz w:val="18"/>
          <w:szCs w:val="18"/>
        </w:rPr>
        <w:t>32305038]。异常活化的AKT会导致肿瘤发生、转移以及耐药性的产生，超过50%的肿瘤中存在Akt过度活化，与AKT1相关的疾病包括乳腺癌、结肠癌和卵巢癌等，在多种癌种中存在低频突变。</w:t>
      </w:r>
    </w:p>
    <w:p w14:paraId="3B044428">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DB7881A">
      <w:pPr>
        <w:spacing w:line="360" w:lineRule="auto"/>
        <w:ind w:left="420"/>
        <w:rPr>
          <w:rFonts w:ascii="Times New Roman" w:hAnsi="Times New Roman" w:cs="Times New Roman"/>
          <w:sz w:val="18"/>
          <w:szCs w:val="18"/>
        </w:rPr>
      </w:pPr>
      <w:r>
        <w:rPr>
          <w:rFonts w:ascii="Times New Roman" w:hAnsi="Times New Roman" w:cs="Times New Roman"/>
          <w:sz w:val="18"/>
          <w:szCs w:val="18"/>
        </w:rPr>
        <w:t>癌症中的AKT1激活主要是由于PI3K通路的激活或PTEN失活导致[ PMID: 30742888]。目前检测出的AKT1突变主要包括AKT1激活突变[PMID: 17611497</w:t>
      </w:r>
      <w:r>
        <w:rPr>
          <w:rFonts w:hint="eastAsia" w:ascii="Times New Roman" w:hAnsi="Times New Roman" w:cs="Times New Roman"/>
          <w:sz w:val="18"/>
          <w:szCs w:val="18"/>
        </w:rPr>
        <w:t>; PMID: 23134728; PMID: 20440266</w:t>
      </w:r>
      <w:r>
        <w:rPr>
          <w:rFonts w:ascii="Times New Roman" w:hAnsi="Times New Roman" w:cs="Times New Roman"/>
          <w:sz w:val="18"/>
          <w:szCs w:val="18"/>
        </w:rPr>
        <w:t>]，包括磷酸肌醇依赖的AKT1的活化。抑制Akt活性既可避免抑制上游PI3K造成的严重副作用，也可避免抑制下游mTOR引起的负反馈机制影响药效。在一项临床研究中，一名携带AKT1 E17K的肺腺癌患者在接受Capivasertib治疗时表现出部分反应[PMID: 28489509]。一项在晚期实体瘤患者的I期临床试验中，Capivasertib（一种AKT抑制剂）显示出安全性和初步的抗肿瘤活性，两例患者均报告部分应答，均为AKT1 E17K突变阳性</w:t>
      </w:r>
      <w:r>
        <w:rPr>
          <w:rFonts w:hint="eastAsia" w:ascii="Times New Roman" w:hAnsi="Times New Roman" w:cs="Times New Roman"/>
          <w:sz w:val="18"/>
          <w:szCs w:val="18"/>
        </w:rPr>
        <w:t>；</w:t>
      </w:r>
      <w:r>
        <w:rPr>
          <w:rFonts w:ascii="Times New Roman" w:hAnsi="Times New Roman" w:cs="Times New Roman"/>
          <w:sz w:val="18"/>
          <w:szCs w:val="18"/>
        </w:rPr>
        <w:t>在480mg bid 4/3剂量组中，1例患者维持部分应答2年[PMID: 26931343]。</w:t>
      </w:r>
      <w:r>
        <w:rPr>
          <w:rFonts w:hint="eastAsia" w:ascii="Times New Roman" w:hAnsi="Times New Roman" w:cs="Times New Roman"/>
          <w:sz w:val="18"/>
          <w:szCs w:val="18"/>
        </w:rPr>
        <w:t>评估</w:t>
      </w:r>
      <w:r>
        <w:rPr>
          <w:rFonts w:ascii="Times New Roman" w:hAnsi="Times New Roman" w:cs="Times New Roman"/>
          <w:sz w:val="18"/>
          <w:szCs w:val="18"/>
        </w:rPr>
        <w:t>TAS117</w:t>
      </w:r>
      <w:r>
        <w:rPr>
          <w:rFonts w:hint="eastAsia" w:ascii="Times New Roman" w:hAnsi="Times New Roman" w:cs="Times New Roman"/>
          <w:sz w:val="18"/>
          <w:szCs w:val="18"/>
        </w:rPr>
        <w:t>、替西罗莫司、依维莫司、</w:t>
      </w:r>
      <w:r>
        <w:rPr>
          <w:rFonts w:ascii="Times New Roman" w:hAnsi="Times New Roman" w:cs="Times New Roman"/>
          <w:sz w:val="18"/>
          <w:szCs w:val="18"/>
        </w:rPr>
        <w:t>Ipatasertib</w:t>
      </w:r>
      <w:r>
        <w:rPr>
          <w:rFonts w:hint="eastAsia" w:ascii="Times New Roman" w:hAnsi="Times New Roman" w:cs="Times New Roman"/>
          <w:sz w:val="18"/>
          <w:szCs w:val="18"/>
        </w:rPr>
        <w:t>治疗A</w:t>
      </w:r>
      <w:r>
        <w:rPr>
          <w:rFonts w:ascii="Times New Roman" w:hAnsi="Times New Roman" w:cs="Times New Roman"/>
          <w:sz w:val="18"/>
          <w:szCs w:val="18"/>
        </w:rPr>
        <w:t>KT1</w:t>
      </w:r>
      <w:r>
        <w:rPr>
          <w:rFonts w:hint="eastAsia" w:ascii="Times New Roman" w:hAnsi="Times New Roman" w:cs="Times New Roman"/>
          <w:sz w:val="18"/>
          <w:szCs w:val="18"/>
        </w:rPr>
        <w:t>突变的实体瘤患者疗效的临床试验正在开展</w:t>
      </w:r>
      <w:r>
        <w:rPr>
          <w:rFonts w:ascii="Times New Roman" w:hAnsi="Times New Roman" w:cs="Times New Roman"/>
          <w:sz w:val="18"/>
          <w:szCs w:val="18"/>
        </w:rPr>
        <w:t>。</w:t>
      </w:r>
    </w:p>
    <w:p w14:paraId="74ED118D">
      <w:pPr>
        <w:spacing w:line="360" w:lineRule="auto"/>
        <w:ind w:firstLine="420"/>
        <w:rPr>
          <w:rFonts w:ascii="Times New Roman" w:hAnsi="Times New Roman" w:cs="Times New Roman"/>
          <w:sz w:val="18"/>
          <w:szCs w:val="18"/>
        </w:rPr>
      </w:pPr>
    </w:p>
    <w:p w14:paraId="45C752B2">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1552"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14" name="直线 16"/>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6" o:spid="_x0000_s1026" o:spt="20" style="position:absolute;left:0pt;margin-left:-2.6pt;margin-top:12.55pt;height:1.7pt;width:453.4pt;z-index:-25164492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Jzla+7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AKT3                                                                          </w:t>
      </w:r>
    </w:p>
    <w:p w14:paraId="0ABC55E7">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76382D38">
      <w:pPr>
        <w:spacing w:line="300" w:lineRule="auto"/>
        <w:ind w:left="420"/>
        <w:rPr>
          <w:rFonts w:ascii="Times New Roman" w:hAnsi="Times New Roman" w:cs="Times New Roman"/>
          <w:sz w:val="18"/>
          <w:szCs w:val="18"/>
        </w:rPr>
      </w:pPr>
      <w:r>
        <w:rPr>
          <w:rFonts w:ascii="Times New Roman" w:hAnsi="Times New Roman" w:cs="Times New Roman"/>
          <w:sz w:val="18"/>
          <w:szCs w:val="18"/>
        </w:rPr>
        <w:t>AKT3编码的蛋白属于AKT家族，也称为PKB，即丝氨酸/苏氨酸蛋白激酶家族。AKT激酶是已知的针对胰岛素和生长因子的细胞信号调节因子，参与多种生物过程，包括细胞增殖、分化、凋亡、肿瘤发生、糖原合成和葡萄糖摄取等。该激酶已被证明是由血小板衍生生长因子(PDGF)、胰岛素和胰岛素样生长因子1 (IGF1)刺激产生。目前认为AKT3参与细胞增殖和抗凋亡的生理机制可能是：AKT是PI3K/mTOR信号通路下游的分子，被激活后可直接或间接地通过多种细胞凋亡底物的磷酸化，进而抑制细胞的凋亡、促进细胞增殖。融合、错义突变、无义突变、沉默突变和移码缺失在多个癌症中均可观察到，AKT3突变常见于肺癌、结肠癌、乳腺浸润性导管癌、子宫内膜内膜样腺癌和黑色素瘤患者中。</w:t>
      </w:r>
    </w:p>
    <w:p w14:paraId="642BC749">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7E8924CA">
      <w:pPr>
        <w:spacing w:line="300" w:lineRule="auto"/>
        <w:ind w:left="420"/>
        <w:rPr>
          <w:rFonts w:ascii="Times New Roman" w:hAnsi="Times New Roman" w:cs="Times New Roman"/>
          <w:sz w:val="18"/>
          <w:szCs w:val="18"/>
        </w:rPr>
      </w:pPr>
      <w:r>
        <w:rPr>
          <w:rFonts w:ascii="Times New Roman" w:hAnsi="Times New Roman" w:cs="Times New Roman"/>
          <w:sz w:val="18"/>
          <w:szCs w:val="18"/>
        </w:rPr>
        <w:t>许多针对AKT的药物会抑制所有亚型，但非特异性AKT抑制剂对具有较高AKT3水平的低侵袭性胶质母细胞瘤不利[PMID:</w:t>
      </w:r>
      <w:r>
        <w:rPr>
          <w:rFonts w:hint="eastAsia" w:ascii="Times New Roman" w:hAnsi="Times New Roman" w:cs="Times New Roman"/>
          <w:sz w:val="18"/>
          <w:szCs w:val="18"/>
        </w:rPr>
        <w:t xml:space="preserve"> </w:t>
      </w:r>
      <w:r>
        <w:rPr>
          <w:rFonts w:ascii="Times New Roman" w:hAnsi="Times New Roman" w:cs="Times New Roman"/>
          <w:sz w:val="18"/>
          <w:szCs w:val="18"/>
        </w:rPr>
        <w:t>27422127]。在以AKT3突变和扩增为纳入标准的临床试验中，多个靶向方式治疗AKT3异常的肺癌和肠癌患者的临床试验正在开展，比如评估替西罗莫司治疗AKT3扩增的实体瘤患者疗效的临床试验正在开展。</w:t>
      </w:r>
    </w:p>
    <w:p w14:paraId="6E556173">
      <w:pPr>
        <w:spacing w:line="300" w:lineRule="auto"/>
        <w:ind w:left="420"/>
        <w:rPr>
          <w:rFonts w:ascii="Times New Roman" w:hAnsi="Times New Roman" w:cs="Times New Roman"/>
          <w:sz w:val="18"/>
          <w:szCs w:val="18"/>
          <w:highlight w:val="black"/>
        </w:rPr>
      </w:pPr>
    </w:p>
    <w:p w14:paraId="5C887395">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4864"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27" name="直线 17"/>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7" o:spid="_x0000_s1026" o:spt="20" style="position:absolute;left:0pt;margin-left:-2.6pt;margin-top:12.55pt;height:1.7pt;width:453.4pt;z-index:-251631616;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CdrOOb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AR                                                                         </w:t>
      </w:r>
    </w:p>
    <w:p w14:paraId="79C7103D">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64C6F0B0">
      <w:pPr>
        <w:spacing w:line="300" w:lineRule="auto"/>
        <w:ind w:left="420"/>
        <w:rPr>
          <w:rFonts w:ascii="Times New Roman" w:hAnsi="Times New Roman" w:cs="Times New Roman"/>
          <w:sz w:val="18"/>
          <w:szCs w:val="18"/>
        </w:rPr>
      </w:pPr>
      <w:r>
        <w:rPr>
          <w:rFonts w:ascii="Times New Roman" w:hAnsi="Times New Roman" w:cs="Times New Roman"/>
          <w:sz w:val="18"/>
          <w:szCs w:val="18"/>
        </w:rPr>
        <w:t>AR基因编码的蛋白具有3个主要功能域，分别是N端区域、DNA结合域和雄激素结合域。雄激素受体与配体结合后，从辅助蛋白中解离，进入细胞核，经二聚反应后刺激雄激素应答基因的转录，相关途径包括蛋白代谢和激活的PKN1刺激AR(雄激素受体)转录调控基因KLK2、KLK3。该基因的突变与雄激素高度不敏感(CAIS)有关，最常见的改变是AR突变(2.53%)、AR扩增(0.68%)、AR丢失(0.11%)，在前列腺癌的发病机制中起作用[PMID: 21989426; PMID: 18507821]，发生于去势抵抗性前列腺癌[PMID: 22245783]，在侵袭性乳腺癌中也有表达[PMID: 21552212; PMID: 18507821]。AR变异常见于前列腺腺癌、肺腺癌、结肠癌、子宫内膜样腺癌和乳腺浸润性导管癌中。</w:t>
      </w:r>
    </w:p>
    <w:p w14:paraId="3F0C8BF2">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5F618DFE">
      <w:pPr>
        <w:spacing w:line="300" w:lineRule="auto"/>
        <w:ind w:left="420"/>
        <w:rPr>
          <w:rFonts w:ascii="Times New Roman" w:hAnsi="Times New Roman" w:cs="Times New Roman"/>
          <w:sz w:val="18"/>
          <w:szCs w:val="18"/>
        </w:rPr>
      </w:pPr>
      <w:r>
        <w:rPr>
          <w:rFonts w:ascii="Times New Roman" w:hAnsi="Times New Roman" w:cs="Times New Roman"/>
          <w:sz w:val="18"/>
          <w:szCs w:val="18"/>
        </w:rPr>
        <w:t>在前列腺癌对阿比特龙+泼尼松和</w:t>
      </w:r>
      <w:r>
        <w:rPr>
          <w:rFonts w:hint="eastAsia" w:ascii="Times New Roman" w:hAnsi="Times New Roman" w:cs="Times New Roman"/>
          <w:sz w:val="18"/>
          <w:szCs w:val="18"/>
        </w:rPr>
        <w:t>恩扎卢胺</w:t>
      </w:r>
      <w:r>
        <w:rPr>
          <w:rFonts w:ascii="Times New Roman" w:hAnsi="Times New Roman" w:cs="Times New Roman"/>
          <w:sz w:val="18"/>
          <w:szCs w:val="18"/>
        </w:rPr>
        <w:t>的耐药性相关研究中，AR扩增患者的最差应答者大多为AR拷贝数高(&gt;8)的患者[PMID: 29367197]。AR基因扩增的前列腺癌患者对恩</w:t>
      </w:r>
      <w:r>
        <w:rPr>
          <w:rFonts w:hint="eastAsia" w:ascii="Times New Roman" w:hAnsi="Times New Roman" w:cs="Times New Roman"/>
          <w:sz w:val="18"/>
          <w:szCs w:val="18"/>
        </w:rPr>
        <w:t>扎卢</w:t>
      </w:r>
      <w:r>
        <w:rPr>
          <w:rFonts w:ascii="Times New Roman" w:hAnsi="Times New Roman" w:cs="Times New Roman"/>
          <w:sz w:val="18"/>
          <w:szCs w:val="18"/>
        </w:rPr>
        <w:t>胺响应减少，对阿比特龙也耐药[PMID: 27148695]。一个携带AR基因扩增的前列腺癌患者在接受多西他赛化疗后，肝转移得到控制，后续治疗中选择阿比特龙+泼尼松龙治疗无响应[PMID: 25232177]。</w:t>
      </w:r>
    </w:p>
    <w:p w14:paraId="3C912343">
      <w:pPr>
        <w:spacing w:line="300" w:lineRule="auto"/>
        <w:ind w:left="420"/>
        <w:rPr>
          <w:rFonts w:ascii="Times New Roman" w:hAnsi="Times New Roman" w:cs="Times New Roman"/>
          <w:sz w:val="18"/>
          <w:szCs w:val="18"/>
        </w:rPr>
      </w:pPr>
    </w:p>
    <w:p w14:paraId="2702A0F3">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8176"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40" name="直线 1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8" o:spid="_x0000_s1026" o:spt="20" style="position:absolute;left:0pt;margin-left:-2.6pt;margin-top:12.55pt;height:1.7pt;width:453.4pt;z-index:251698176;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C0+D+f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AXL                                                                         </w:t>
      </w:r>
    </w:p>
    <w:p w14:paraId="2AE55B6D">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3BF13393">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AXL编码的蛋白是Tyro3-Axl-Mer (TAM)受体酪氨酸激酶亚家族的成员，编码的蛋白具有一个胞外结构域，该结构域由N端两个免疫球蛋白样的基序和两个纤连蛋白型的基序组成，通过与维生素K依赖性生长阻滞特异性6蛋白 (Gas6)结合，将信号从细胞外基质传递到细胞质，可促进细胞增殖。该基因可能参与多种细胞类型的生长、迁移、聚集和抗炎等多种细胞功能，在很多癌种中与细胞的增殖和侵袭有关。AXL异常常见于结肠癌、肺腺癌、皮肤黑色素瘤、膀胱尿路上皮癌和乳腺浸润性导管癌中。 </w:t>
      </w:r>
    </w:p>
    <w:p w14:paraId="2F54531D">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510548AA">
      <w:pPr>
        <w:spacing w:line="300" w:lineRule="auto"/>
        <w:ind w:left="420"/>
        <w:rPr>
          <w:rFonts w:ascii="Times New Roman" w:hAnsi="Times New Roman" w:cs="Times New Roman"/>
          <w:sz w:val="18"/>
          <w:szCs w:val="18"/>
        </w:rPr>
      </w:pPr>
      <w:r>
        <w:rPr>
          <w:rFonts w:ascii="Times New Roman" w:hAnsi="Times New Roman" w:cs="Times New Roman"/>
          <w:sz w:val="18"/>
          <w:szCs w:val="18"/>
        </w:rPr>
        <w:t>癌症免疫治疗学会2019年大会报道，AXL抑制剂Bemcentinib联合K药二线治疗晚期肺腺癌，AXL阳性患者的客观缓解率达33%，疾病控制率73%，中位无进展生存期达8.4个月。研究显示，激活的AXL会帮助癌细胞发展出对药物的耐药性，而在细胞中抑制AXL活性，则能恢复细胞对药物的敏感性。AXL可能是与</w:t>
      </w:r>
      <w:r>
        <w:rPr>
          <w:rFonts w:hint="eastAsia" w:ascii="Times New Roman" w:hAnsi="Times New Roman" w:cs="Times New Roman"/>
          <w:sz w:val="18"/>
          <w:szCs w:val="18"/>
        </w:rPr>
        <w:t>非小细胞肺癌</w:t>
      </w:r>
      <w:r>
        <w:rPr>
          <w:rFonts w:ascii="Times New Roman" w:hAnsi="Times New Roman" w:cs="Times New Roman"/>
          <w:sz w:val="18"/>
          <w:szCs w:val="18"/>
        </w:rPr>
        <w:t>患者不良预后相关的危险因素[PMID: 28105215]</w:t>
      </w:r>
      <w:r>
        <w:rPr>
          <w:rFonts w:hint="eastAsia" w:ascii="Times New Roman" w:hAnsi="Times New Roman" w:cs="Times New Roman"/>
          <w:sz w:val="18"/>
          <w:szCs w:val="18"/>
        </w:rPr>
        <w:t>。</w:t>
      </w:r>
      <w:r>
        <w:rPr>
          <w:rFonts w:ascii="Times New Roman" w:hAnsi="Times New Roman" w:cs="Times New Roman"/>
          <w:sz w:val="18"/>
          <w:szCs w:val="18"/>
        </w:rPr>
        <w:t>116例食管鳞癌肿瘤的免疫组化分析发现，AXL表达与肿瘤的进展增加相关</w:t>
      </w:r>
      <w:r>
        <w:rPr>
          <w:rFonts w:hint="eastAsia" w:ascii="Times New Roman" w:hAnsi="Times New Roman" w:cs="Times New Roman"/>
          <w:sz w:val="18"/>
          <w:szCs w:val="18"/>
        </w:rPr>
        <w:t>（</w:t>
      </w:r>
      <w:r>
        <w:rPr>
          <w:rFonts w:ascii="Times New Roman" w:hAnsi="Times New Roman" w:cs="Times New Roman"/>
          <w:sz w:val="18"/>
          <w:szCs w:val="18"/>
        </w:rPr>
        <w:t>P &lt; 0.0001</w:t>
      </w:r>
      <w:r>
        <w:rPr>
          <w:rFonts w:hint="eastAsia" w:ascii="Times New Roman" w:hAnsi="Times New Roman" w:cs="Times New Roman"/>
          <w:sz w:val="18"/>
          <w:szCs w:val="18"/>
        </w:rPr>
        <w:t>）</w:t>
      </w:r>
      <w:r>
        <w:rPr>
          <w:rFonts w:ascii="Times New Roman" w:hAnsi="Times New Roman" w:cs="Times New Roman"/>
          <w:sz w:val="18"/>
          <w:szCs w:val="18"/>
        </w:rPr>
        <w:t>，增加了肿瘤患者的远处转移和死亡风险[PMID: 27172793]。评估卡博替尼治疗AXL扩增的非小细胞肺癌患者疗效的临床试验正在开展。</w:t>
      </w:r>
    </w:p>
    <w:p w14:paraId="52C18663">
      <w:pPr>
        <w:spacing w:line="300" w:lineRule="auto"/>
        <w:ind w:left="420"/>
        <w:rPr>
          <w:rFonts w:ascii="Times New Roman" w:hAnsi="Times New Roman" w:cs="Times New Roman"/>
          <w:sz w:val="18"/>
          <w:szCs w:val="18"/>
        </w:rPr>
      </w:pPr>
    </w:p>
    <w:p w14:paraId="654D5BA1">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63360"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4" name="直线 19"/>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9" o:spid="_x0000_s1026" o:spt="20" style="position:absolute;left:0pt;margin-left:-2.6pt;margin-top:12.55pt;height:1.7pt;width:453.4pt;z-index:-251653120;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zFSRRukBAADf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 xml:space="preserve">CCND1                                                                          </w:t>
      </w:r>
    </w:p>
    <w:p w14:paraId="63C11D42">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28C4ACA">
      <w:pPr>
        <w:spacing w:line="300" w:lineRule="auto"/>
        <w:ind w:left="420"/>
        <w:rPr>
          <w:rFonts w:ascii="Times New Roman" w:hAnsi="Times New Roman" w:cs="Times New Roman"/>
          <w:sz w:val="18"/>
          <w:szCs w:val="18"/>
        </w:rPr>
      </w:pPr>
      <w:r>
        <w:rPr>
          <w:rFonts w:ascii="Times New Roman" w:hAnsi="Times New Roman" w:cs="Times New Roman"/>
          <w:sz w:val="18"/>
          <w:szCs w:val="18"/>
        </w:rPr>
        <w:t>CCND1基因编码的蛋白属于高度保守的细胞周期蛋白家族，其成员在整个细胞周期中具有显著的蛋白质丰度周期性。当细胞周期从G0期进入G1期时，Cyclin D1蛋白合成增加，与细胞周期依赖酶-4/6（CDK4/6）结合后磷酸化Rb，使Rb失活，促使细胞通过检查点，从G1期向S期转移，从而促进细胞增殖。CCND1的表达受Rb调控且与肿瘤抑制蛋白Rb相互作用，CCND1突变、扩增和过表达改变了细胞周期的进程，并可能导致肿瘤的发生，其融合、突变、扩增在子宫内膜癌、肠癌和胃癌等癌症中均可观察到。</w:t>
      </w:r>
    </w:p>
    <w:p w14:paraId="5B1DEABE">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5C3602E">
      <w:pPr>
        <w:spacing w:line="300" w:lineRule="auto"/>
        <w:ind w:left="420"/>
        <w:rPr>
          <w:rFonts w:ascii="Times New Roman" w:hAnsi="Times New Roman" w:cs="Times New Roman"/>
          <w:sz w:val="18"/>
          <w:szCs w:val="18"/>
        </w:rPr>
      </w:pPr>
      <w:r>
        <w:rPr>
          <w:rFonts w:ascii="Times New Roman" w:hAnsi="Times New Roman" w:cs="Times New Roman"/>
          <w:sz w:val="18"/>
          <w:szCs w:val="18"/>
        </w:rPr>
        <w:t>一项III期临床试验表明，携带CCND1拷贝数增加变异的黑色素瘤患者使用索拉非尼联合卡铂和紫杉醇化疗比单独化疗的无进展生存期（PFS）更长[PMID: 26307133]。在一项II期临床试验中，激素受体阳性（ER+）且人表皮生长因子受体阴性（HER2-）乳腺癌患者接受来曲唑单独或联合哌柏西利治疗，结果表明，携带CCND1扩增或p16缺失的患者中，来曲唑联合哌柏西利对比来曲唑单药，中位PFS为18.1个月vs11.1个月[PMID: 25524798]。</w:t>
      </w:r>
      <w:r>
        <w:rPr>
          <w:rFonts w:hint="eastAsia" w:ascii="Times New Roman" w:hAnsi="Times New Roman" w:cs="Times New Roman"/>
          <w:sz w:val="18"/>
          <w:szCs w:val="18"/>
        </w:rPr>
        <w:t>一项使用哌柏西利治疗细胞周期基因改变阳性</w:t>
      </w:r>
      <w:r>
        <w:rPr>
          <w:rFonts w:ascii="Times New Roman" w:hAnsi="Times New Roman" w:cs="Times New Roman"/>
          <w:sz w:val="18"/>
          <w:szCs w:val="18"/>
        </w:rPr>
        <w:t>IV期肺鳞癌患者的II期研究中， 32例患者接受了哌柏西利治疗，有2例部分反应（反应率6％[95％置信区间（CI）：0％-15％]），均为CCND1扩增[PMID: 31302234]。评估哌柏西利治疗CCND1扩增的肺鳞癌和实体瘤患者疗效的临床试验正在开展。</w:t>
      </w:r>
    </w:p>
    <w:p w14:paraId="534D976E">
      <w:pPr>
        <w:spacing w:line="300" w:lineRule="auto"/>
        <w:ind w:left="420"/>
        <w:rPr>
          <w:rFonts w:ascii="Times New Roman" w:hAnsi="Times New Roman" w:cs="Times New Roman"/>
          <w:sz w:val="18"/>
          <w:szCs w:val="18"/>
        </w:rPr>
      </w:pPr>
    </w:p>
    <w:p w14:paraId="62B7452E">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7696"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20" name="直线 20"/>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0" o:spid="_x0000_s1026" o:spt="20" style="position:absolute;left:0pt;margin-left:-2.6pt;margin-top:12.55pt;height:1.7pt;width:453.4pt;z-index:-25163878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gSIxUOkBAADg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 xml:space="preserve">CDK4                                                                          </w:t>
      </w:r>
    </w:p>
    <w:p w14:paraId="2BE5D6F8">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2B74B918">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CDK4编码的蛋白是丝氨酸/苏氨酸蛋白激酶家族的成员，是蛋白激酶复合体的一个催化亚基，对细胞周期G1期的进展起重要作用，诱发细胞从G1到S阶段的转化，并磷酸化视网膜母细胞瘤基因产物。该基因及其相关蛋白包括D型细胞周期蛋白、p16(INK4a)和Rb的突变均被发现与多种癌症的发生有关，其中CDK4扩增占1.94%。与CDK4相关的疾病包括黑色素瘤、多发性骨髓瘤、子宫内膜癌、肠癌等。 </w:t>
      </w:r>
    </w:p>
    <w:p w14:paraId="37ED8EC2">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F8A756E">
      <w:pPr>
        <w:spacing w:line="300" w:lineRule="auto"/>
        <w:ind w:left="420"/>
        <w:rPr>
          <w:rFonts w:ascii="Times New Roman" w:hAnsi="Times New Roman" w:cs="Times New Roman"/>
          <w:sz w:val="18"/>
          <w:szCs w:val="18"/>
        </w:rPr>
      </w:pPr>
      <w:r>
        <w:rPr>
          <w:rFonts w:ascii="Times New Roman" w:hAnsi="Times New Roman" w:cs="Times New Roman"/>
          <w:sz w:val="18"/>
          <w:szCs w:val="18"/>
        </w:rPr>
        <w:t>针对CDK抑制的一种靶向治疗是</w:t>
      </w:r>
      <w:r>
        <w:rPr>
          <w:rFonts w:hint="eastAsia" w:ascii="Times New Roman" w:hAnsi="Times New Roman" w:cs="Times New Roman"/>
          <w:sz w:val="18"/>
          <w:szCs w:val="18"/>
        </w:rPr>
        <w:t>哌柏西利</w:t>
      </w:r>
      <w:r>
        <w:rPr>
          <w:rFonts w:ascii="Times New Roman" w:hAnsi="Times New Roman" w:cs="Times New Roman"/>
          <w:sz w:val="18"/>
          <w:szCs w:val="18"/>
        </w:rPr>
        <w:t>，可以减缓晚期乳腺癌的生长。也有小鼠中的研究表明，CDK抑制可能使突变的PIK3CA肿瘤对PI3K抑制剂敏感。</w:t>
      </w:r>
      <w:r>
        <w:rPr>
          <w:rFonts w:hint="eastAsia" w:ascii="Times New Roman" w:hAnsi="Times New Roman" w:cs="Times New Roman"/>
          <w:sz w:val="18"/>
          <w:szCs w:val="18"/>
        </w:rPr>
        <w:t>多项临床研究表明，携带C</w:t>
      </w:r>
      <w:r>
        <w:rPr>
          <w:rFonts w:ascii="Times New Roman" w:hAnsi="Times New Roman" w:cs="Times New Roman"/>
          <w:sz w:val="18"/>
          <w:szCs w:val="18"/>
        </w:rPr>
        <w:t>DK4</w:t>
      </w:r>
      <w:r>
        <w:rPr>
          <w:rFonts w:hint="eastAsia" w:ascii="Times New Roman" w:hAnsi="Times New Roman" w:cs="Times New Roman"/>
          <w:sz w:val="18"/>
          <w:szCs w:val="18"/>
        </w:rPr>
        <w:t>扩增的脂肪肉瘤患者对C</w:t>
      </w:r>
      <w:r>
        <w:rPr>
          <w:rFonts w:ascii="Times New Roman" w:hAnsi="Times New Roman" w:cs="Times New Roman"/>
          <w:sz w:val="18"/>
          <w:szCs w:val="18"/>
        </w:rPr>
        <w:t>DK</w:t>
      </w:r>
      <w:r>
        <w:rPr>
          <w:rFonts w:hint="eastAsia" w:ascii="Times New Roman" w:hAnsi="Times New Roman" w:cs="Times New Roman"/>
          <w:sz w:val="18"/>
          <w:szCs w:val="18"/>
        </w:rPr>
        <w:t>抑制剂哌柏西利敏感</w:t>
      </w:r>
      <w:r>
        <w:rPr>
          <w:rFonts w:ascii="Times New Roman" w:hAnsi="Times New Roman" w:cs="Times New Roman"/>
          <w:sz w:val="18"/>
          <w:szCs w:val="18"/>
        </w:rPr>
        <w:t>[PMID:</w:t>
      </w:r>
      <w:r>
        <w:rPr>
          <w:rFonts w:hint="eastAsia" w:ascii="Times New Roman" w:hAnsi="Times New Roman" w:cs="Times New Roman"/>
          <w:sz w:val="18"/>
          <w:szCs w:val="18"/>
        </w:rPr>
        <w:t xml:space="preserve"> </w:t>
      </w:r>
      <w:r>
        <w:rPr>
          <w:rFonts w:ascii="Times New Roman" w:hAnsi="Times New Roman" w:cs="Times New Roman"/>
          <w:sz w:val="18"/>
          <w:szCs w:val="18"/>
        </w:rPr>
        <w:t>23569312; PMID: 27124835]</w:t>
      </w:r>
      <w:r>
        <w:rPr>
          <w:rFonts w:hint="eastAsia" w:ascii="Times New Roman" w:hAnsi="Times New Roman" w:cs="Times New Roman"/>
          <w:sz w:val="18"/>
          <w:szCs w:val="18"/>
        </w:rPr>
        <w:t>。多项</w:t>
      </w:r>
      <w:r>
        <w:rPr>
          <w:rFonts w:ascii="Times New Roman" w:hAnsi="Times New Roman" w:cs="Times New Roman"/>
          <w:sz w:val="18"/>
          <w:szCs w:val="18"/>
        </w:rPr>
        <w:t>评估CDK4/6抑制剂</w:t>
      </w:r>
      <w:r>
        <w:rPr>
          <w:rFonts w:hint="eastAsia" w:ascii="Times New Roman" w:hAnsi="Times New Roman" w:cs="Times New Roman"/>
          <w:sz w:val="18"/>
          <w:szCs w:val="18"/>
        </w:rPr>
        <w:t>阿贝西利、哌柏西利</w:t>
      </w:r>
      <w:r>
        <w:rPr>
          <w:rFonts w:ascii="Times New Roman" w:hAnsi="Times New Roman" w:cs="Times New Roman"/>
          <w:sz w:val="18"/>
          <w:szCs w:val="18"/>
        </w:rPr>
        <w:t>治疗</w:t>
      </w:r>
      <w:r>
        <w:rPr>
          <w:rFonts w:hint="eastAsia" w:ascii="Times New Roman" w:hAnsi="Times New Roman" w:cs="Times New Roman"/>
          <w:sz w:val="18"/>
          <w:szCs w:val="18"/>
        </w:rPr>
        <w:t>携带</w:t>
      </w:r>
      <w:r>
        <w:rPr>
          <w:rFonts w:ascii="Times New Roman" w:hAnsi="Times New Roman" w:cs="Times New Roman"/>
          <w:sz w:val="18"/>
          <w:szCs w:val="18"/>
        </w:rPr>
        <w:t>CDK4或CDK6扩增的实体瘤</w:t>
      </w:r>
      <w:r>
        <w:rPr>
          <w:rFonts w:hint="eastAsia" w:ascii="Times New Roman" w:hAnsi="Times New Roman" w:cs="Times New Roman"/>
          <w:sz w:val="18"/>
          <w:szCs w:val="18"/>
        </w:rPr>
        <w:t>患者的</w:t>
      </w:r>
      <w:r>
        <w:rPr>
          <w:rFonts w:ascii="Times New Roman" w:hAnsi="Times New Roman" w:cs="Times New Roman"/>
          <w:sz w:val="18"/>
          <w:szCs w:val="18"/>
        </w:rPr>
        <w:t>临床研究正在开展。</w:t>
      </w:r>
    </w:p>
    <w:p w14:paraId="6DC7C557">
      <w:pPr>
        <w:spacing w:line="300" w:lineRule="auto"/>
        <w:ind w:left="420"/>
        <w:rPr>
          <w:rFonts w:ascii="Times New Roman" w:hAnsi="Times New Roman" w:cs="Times New Roman"/>
          <w:sz w:val="18"/>
          <w:szCs w:val="18"/>
        </w:rPr>
      </w:pPr>
    </w:p>
    <w:p w14:paraId="23EA8648">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5888"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28" name="直线 21"/>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1" o:spid="_x0000_s1026" o:spt="20" style="position:absolute;left:0pt;margin-left:-2.6pt;margin-top:12.55pt;height:1.7pt;width:453.4pt;z-index:25168588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OdaQRj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CDK6                                                                         </w:t>
      </w:r>
    </w:p>
    <w:p w14:paraId="772E2C61">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4169763B">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CDK6编码的蛋白是丝氨酸/苏氨酸蛋白激酶家族的成员，是蛋白激酶复合体的一个催化亚基，在细胞周期和细胞分化中具有重要作用，推动细胞周期由G1到S期转化，可以通过调控G1期的时间，促进神经细胞的产生，可以磷酸化pRB/RB1和NPM1，该激酶及CDK4已被证明能够通过磷酸化来调节肿瘤抑制蛋白Rb的活性。该基因表达量的变化已在多种人类癌症中被观察到，该基因突变导致细胞增殖减少，细胞活力和极性受损。CDK6 基因在肿瘤中可能发生突变或扩增而被过度活化，TCGA数据显示，CDK6扩增常见于食管癌（15%），其次为胃癌（7%）、头颈癌（6%）及肺鳞癌（5%）。 </w:t>
      </w:r>
    </w:p>
    <w:p w14:paraId="05E98BFB">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6BABC7CA">
      <w:pPr>
        <w:spacing w:line="300" w:lineRule="auto"/>
        <w:ind w:left="420"/>
        <w:rPr>
          <w:rFonts w:ascii="Times New Roman" w:hAnsi="Times New Roman" w:cs="Times New Roman"/>
          <w:sz w:val="18"/>
          <w:szCs w:val="18"/>
        </w:rPr>
      </w:pPr>
      <w:r>
        <w:rPr>
          <w:rFonts w:ascii="Times New Roman" w:hAnsi="Times New Roman" w:cs="Times New Roman"/>
          <w:sz w:val="18"/>
          <w:szCs w:val="18"/>
        </w:rPr>
        <w:t>CDK6的扩增导致CDK6表达显著增加，CDK4/6靶点磷酸化rb (pRb)对CDK4/6抑制剂的反应降低。CDK4/6复合物的抑制剂如</w:t>
      </w:r>
      <w:r>
        <w:rPr>
          <w:rFonts w:hint="eastAsia" w:ascii="Times New Roman" w:hAnsi="Times New Roman" w:cs="Times New Roman"/>
          <w:sz w:val="18"/>
          <w:szCs w:val="18"/>
        </w:rPr>
        <w:t>阿贝西利</w:t>
      </w:r>
      <w:r>
        <w:rPr>
          <w:rFonts w:ascii="Times New Roman" w:hAnsi="Times New Roman" w:cs="Times New Roman"/>
          <w:sz w:val="18"/>
          <w:szCs w:val="18"/>
        </w:rPr>
        <w:t>已在临床得到进展，并显示出显著的活性，特别是对由雌激素受体</w:t>
      </w:r>
      <w:r>
        <w:rPr>
          <w:rFonts w:hint="eastAsia" w:ascii="Times New Roman" w:hAnsi="Times New Roman" w:cs="Times New Roman"/>
          <w:sz w:val="18"/>
          <w:szCs w:val="18"/>
        </w:rPr>
        <w:t>（</w:t>
      </w:r>
      <w:r>
        <w:rPr>
          <w:rFonts w:ascii="Times New Roman" w:hAnsi="Times New Roman" w:cs="Times New Roman"/>
          <w:sz w:val="18"/>
          <w:szCs w:val="18"/>
        </w:rPr>
        <w:t>ER</w:t>
      </w:r>
      <w:r>
        <w:rPr>
          <w:rFonts w:hint="eastAsia" w:ascii="Times New Roman" w:hAnsi="Times New Roman" w:cs="Times New Roman"/>
          <w:sz w:val="18"/>
          <w:szCs w:val="18"/>
        </w:rPr>
        <w:t>）</w:t>
      </w:r>
      <w:r>
        <w:rPr>
          <w:rFonts w:ascii="Times New Roman" w:hAnsi="Times New Roman" w:cs="Times New Roman"/>
          <w:sz w:val="18"/>
          <w:szCs w:val="18"/>
        </w:rPr>
        <w:t>驱动的肿瘤。一项针对胰腺神经内分泌肿瘤的临床前研究表明，CDK4和CDK6基因的扩增或蛋白过表达可能对CDK4/6抑制剂哌柏西利敏感[PMID: 22761470]。</w:t>
      </w:r>
      <w:r>
        <w:rPr>
          <w:rFonts w:hint="eastAsia" w:ascii="Times New Roman" w:hAnsi="Times New Roman" w:cs="Times New Roman"/>
          <w:sz w:val="18"/>
          <w:szCs w:val="18"/>
        </w:rPr>
        <w:t>C</w:t>
      </w:r>
      <w:r>
        <w:rPr>
          <w:rFonts w:ascii="Times New Roman" w:hAnsi="Times New Roman" w:cs="Times New Roman"/>
          <w:sz w:val="18"/>
          <w:szCs w:val="18"/>
        </w:rPr>
        <w:t>DK6</w:t>
      </w:r>
      <w:r>
        <w:rPr>
          <w:rFonts w:hint="eastAsia" w:ascii="Times New Roman" w:hAnsi="Times New Roman" w:cs="Times New Roman"/>
          <w:sz w:val="18"/>
          <w:szCs w:val="18"/>
        </w:rPr>
        <w:t>蛋白表达增加与卵巢癌患者预后呈显著负相关（</w:t>
      </w:r>
      <w:r>
        <w:rPr>
          <w:rFonts w:ascii="Times New Roman" w:hAnsi="Times New Roman" w:cs="Times New Roman"/>
          <w:sz w:val="18"/>
          <w:szCs w:val="18"/>
        </w:rPr>
        <w:t>P=0.006）[PMID: 27687663]</w:t>
      </w:r>
      <w:r>
        <w:rPr>
          <w:rFonts w:hint="eastAsia" w:ascii="Times New Roman" w:hAnsi="Times New Roman" w:cs="Times New Roman"/>
          <w:sz w:val="18"/>
          <w:szCs w:val="18"/>
        </w:rPr>
        <w:t>。多项</w:t>
      </w:r>
      <w:r>
        <w:rPr>
          <w:rFonts w:ascii="Times New Roman" w:hAnsi="Times New Roman" w:cs="Times New Roman"/>
          <w:sz w:val="18"/>
          <w:szCs w:val="18"/>
        </w:rPr>
        <w:t>评估CDK4/6抑制剂</w:t>
      </w:r>
      <w:r>
        <w:rPr>
          <w:rFonts w:hint="eastAsia" w:ascii="Times New Roman" w:hAnsi="Times New Roman" w:cs="Times New Roman"/>
          <w:sz w:val="18"/>
          <w:szCs w:val="18"/>
        </w:rPr>
        <w:t>阿贝西利、哌柏西利</w:t>
      </w:r>
      <w:r>
        <w:rPr>
          <w:rFonts w:ascii="Times New Roman" w:hAnsi="Times New Roman" w:cs="Times New Roman"/>
          <w:sz w:val="18"/>
          <w:szCs w:val="18"/>
        </w:rPr>
        <w:t>治疗</w:t>
      </w:r>
      <w:r>
        <w:rPr>
          <w:rFonts w:hint="eastAsia" w:ascii="Times New Roman" w:hAnsi="Times New Roman" w:cs="Times New Roman"/>
          <w:sz w:val="18"/>
          <w:szCs w:val="18"/>
        </w:rPr>
        <w:t>携带</w:t>
      </w:r>
      <w:r>
        <w:rPr>
          <w:rFonts w:ascii="Times New Roman" w:hAnsi="Times New Roman" w:cs="Times New Roman"/>
          <w:sz w:val="18"/>
          <w:szCs w:val="18"/>
        </w:rPr>
        <w:t>CDK4或CDK6扩增的实体瘤</w:t>
      </w:r>
      <w:r>
        <w:rPr>
          <w:rFonts w:hint="eastAsia" w:ascii="Times New Roman" w:hAnsi="Times New Roman" w:cs="Times New Roman"/>
          <w:sz w:val="18"/>
          <w:szCs w:val="18"/>
        </w:rPr>
        <w:t>患者的</w:t>
      </w:r>
      <w:r>
        <w:rPr>
          <w:rFonts w:ascii="Times New Roman" w:hAnsi="Times New Roman" w:cs="Times New Roman"/>
          <w:sz w:val="18"/>
          <w:szCs w:val="18"/>
        </w:rPr>
        <w:t>临床研究正在开展。</w:t>
      </w:r>
    </w:p>
    <w:p w14:paraId="381C85A5">
      <w:pPr>
        <w:spacing w:line="360" w:lineRule="auto"/>
        <w:rPr>
          <w:rFonts w:ascii="Times New Roman" w:hAnsi="Times New Roman" w:cs="Times New Roman"/>
          <w:sz w:val="18"/>
          <w:szCs w:val="18"/>
        </w:rPr>
      </w:pPr>
    </w:p>
    <w:p w14:paraId="393FEF1F">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3536"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62" name="直线 22"/>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2" o:spid="_x0000_s1026" o:spt="20" style="position:absolute;left:0pt;margin-left:-2.55pt;margin-top:12.55pt;height:1.7pt;width:453.45pt;z-index:251713536;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igqGZu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CTNNB1                                                                         </w:t>
      </w:r>
    </w:p>
    <w:p w14:paraId="64C54C7B">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013EAD2">
      <w:pPr>
        <w:spacing w:line="300" w:lineRule="auto"/>
        <w:ind w:left="420"/>
        <w:rPr>
          <w:rFonts w:ascii="Times New Roman" w:hAnsi="Times New Roman" w:cs="Times New Roman"/>
          <w:sz w:val="18"/>
          <w:szCs w:val="18"/>
        </w:rPr>
      </w:pPr>
      <w:r>
        <w:rPr>
          <w:rFonts w:ascii="Times New Roman" w:hAnsi="Times New Roman" w:cs="Times New Roman"/>
          <w:sz w:val="18"/>
          <w:szCs w:val="18"/>
        </w:rPr>
        <w:t>CTNNB1基因编码的蛋白β-catenin是一种粘着连接蛋白，与钙粘蛋白、α-catenin共同组成粘附连接复合体，通过调节细胞生长和相邻细胞间的粘附来生成和维持上皮细胞层。CTNNB1还可能具有抑制细胞分裂的作用。在Wnt信号通路中，CTNNB1异常时激活原癌基因和细胞周期蛋白，与细胞分裂和增殖相关。CTNNB1蛋白表达异常会导致许多疾病相关的代谢通路异常，其中包括诱导癌症发生的信号通路异常，该基因可以作为致癌基因及转录调节基因来驱动癌症的发生、发展、生存及复发。CTNNB1在肺癌、子宫内膜样腺癌、结肠癌、肝细胞癌和前列腺癌中突变频率较高。</w:t>
      </w:r>
    </w:p>
    <w:p w14:paraId="17242F7E">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623EA6E6">
      <w:pPr>
        <w:spacing w:line="360" w:lineRule="auto"/>
        <w:ind w:left="420"/>
        <w:rPr>
          <w:rFonts w:ascii="Times New Roman" w:hAnsi="Times New Roman" w:cs="Times New Roman"/>
          <w:sz w:val="18"/>
          <w:szCs w:val="18"/>
        </w:rPr>
      </w:pPr>
      <w:r>
        <w:rPr>
          <w:rFonts w:ascii="Times New Roman" w:hAnsi="Times New Roman" w:cs="Times New Roman"/>
          <w:sz w:val="18"/>
          <w:szCs w:val="18"/>
        </w:rPr>
        <w:t>CTNNB1的激活突变导致β-catenin蛋白异常积累，存在于多种实体肿瘤中。携带CTNNB1突变的肿瘤被认为对WNT通路上游组分的药理抑制具有耐药性，需要直接对β-catenin功能进行抑制[PMID</w:t>
      </w:r>
      <w:r>
        <w:rPr>
          <w:rFonts w:hint="eastAsia" w:ascii="Times New Roman" w:hAnsi="Times New Roman" w:cs="Times New Roman"/>
          <w:sz w:val="18"/>
          <w:szCs w:val="18"/>
        </w:rPr>
        <w:t xml:space="preserve">: </w:t>
      </w:r>
      <w:r>
        <w:rPr>
          <w:rFonts w:ascii="Times New Roman" w:hAnsi="Times New Roman" w:cs="Times New Roman"/>
          <w:sz w:val="18"/>
          <w:szCs w:val="18"/>
        </w:rPr>
        <w:t>19351922</w:t>
      </w:r>
      <w:r>
        <w:rPr>
          <w:rFonts w:hint="eastAsia" w:ascii="Times New Roman" w:hAnsi="Times New Roman" w:cs="Times New Roman"/>
          <w:sz w:val="18"/>
          <w:szCs w:val="18"/>
        </w:rPr>
        <w:t>;</w:t>
      </w:r>
      <w:r>
        <w:rPr>
          <w:rFonts w:ascii="Times New Roman" w:hAnsi="Times New Roman" w:cs="Times New Roman"/>
          <w:sz w:val="18"/>
          <w:szCs w:val="18"/>
        </w:rPr>
        <w:t xml:space="preserve"> </w:t>
      </w:r>
      <w:r>
        <w:rPr>
          <w:rFonts w:hint="eastAsia" w:ascii="Times New Roman" w:hAnsi="Times New Roman" w:cs="Times New Roman"/>
          <w:sz w:val="18"/>
          <w:szCs w:val="18"/>
        </w:rPr>
        <w:t>PMID: 31801553</w:t>
      </w:r>
      <w:r>
        <w:rPr>
          <w:rFonts w:ascii="Times New Roman" w:hAnsi="Times New Roman" w:cs="Times New Roman"/>
          <w:sz w:val="18"/>
          <w:szCs w:val="18"/>
        </w:rPr>
        <w:t>]。临床前研究表明，携带CTNNB1热点突变的细胞系（包括携带CTNNB1 T41A的肺癌细胞系），相比CTNNB1野生型细胞系对TTK抑制剂（BAY1161909、MPI-0479605、NMS-P715 、BAY1217389 、Mps1-IN-1 、Mps-BAY2b 、NTRC 0066-0）敏感性提高[PMID: 28751540]。</w:t>
      </w:r>
      <w:r>
        <w:rPr>
          <w:rFonts w:hint="eastAsia" w:ascii="Times New Roman" w:hAnsi="Times New Roman" w:cs="Times New Roman"/>
          <w:sz w:val="18"/>
          <w:szCs w:val="18"/>
        </w:rPr>
        <w:t>在一项回顾性分析中，</w:t>
      </w:r>
      <w:r>
        <w:rPr>
          <w:rFonts w:ascii="Times New Roman" w:hAnsi="Times New Roman" w:cs="Times New Roman"/>
          <w:sz w:val="18"/>
          <w:szCs w:val="18"/>
        </w:rPr>
        <w:t>100例非小细胞肺癌患者中，有8例在奥希替尼治疗耐药时发现了激活的CTNNB1突变，包括S37F/C（n=5）、D32V（n=1）、G34V（n=1）和T41I（n=1）[PMID: 31839416]。</w:t>
      </w:r>
    </w:p>
    <w:p w14:paraId="1895C0E8">
      <w:pPr>
        <w:spacing w:line="360" w:lineRule="auto"/>
        <w:ind w:left="420"/>
        <w:rPr>
          <w:rFonts w:ascii="Times New Roman" w:hAnsi="Times New Roman" w:cs="Times New Roman"/>
          <w:sz w:val="18"/>
          <w:szCs w:val="18"/>
        </w:rPr>
      </w:pPr>
    </w:p>
    <w:p w14:paraId="44165581">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5344"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54" name="直线 23"/>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3" o:spid="_x0000_s1026" o:spt="20" style="position:absolute;left:0pt;margin-left:-2.55pt;margin-top:12.55pt;height:1.7pt;width:453.45pt;z-index:251705344;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ItiIEe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DDR2                                                                          </w:t>
      </w:r>
    </w:p>
    <w:p w14:paraId="27DB0BCF">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960C4CA">
      <w:pPr>
        <w:spacing w:line="300" w:lineRule="auto"/>
        <w:ind w:left="420"/>
        <w:rPr>
          <w:rFonts w:ascii="Times New Roman" w:hAnsi="Times New Roman" w:cs="Times New Roman"/>
          <w:sz w:val="18"/>
          <w:szCs w:val="18"/>
        </w:rPr>
      </w:pPr>
      <w:r>
        <w:rPr>
          <w:rFonts w:ascii="Times New Roman" w:hAnsi="Times New Roman" w:cs="Times New Roman"/>
          <w:sz w:val="18"/>
          <w:szCs w:val="18"/>
        </w:rPr>
        <w:t>DDR2属于受体型蛋白酪氨酸激酶成员，因其胞外含有与盘基网柄菌植物凝血素同源的结构域，而被称为盘状结构域受体。除了盘状结构域外，DDR2还有单次跨膜区、临跨膜区和胞内酪氨酸激酶区；DDR2主要表达于心、骨骼肌、肺、脑和肾的间质细胞，介导下游几条信号通路，这些信号通路的激活能够促进细胞迁移、分化、增殖和存活[PMID</w:t>
      </w:r>
      <w:r>
        <w:rPr>
          <w:rFonts w:hint="eastAsia" w:ascii="Times New Roman" w:hAnsi="Times New Roman" w:cs="Times New Roman"/>
          <w:sz w:val="18"/>
          <w:szCs w:val="18"/>
        </w:rPr>
        <w:t xml:space="preserve">: </w:t>
      </w:r>
      <w:r>
        <w:rPr>
          <w:rFonts w:ascii="Times New Roman" w:hAnsi="Times New Roman" w:cs="Times New Roman"/>
          <w:sz w:val="18"/>
          <w:szCs w:val="18"/>
        </w:rPr>
        <w:t>16186108</w:t>
      </w:r>
      <w:r>
        <w:rPr>
          <w:rFonts w:hint="eastAsia" w:ascii="Times New Roman" w:hAnsi="Times New Roman" w:cs="Times New Roman"/>
          <w:sz w:val="18"/>
          <w:szCs w:val="18"/>
        </w:rPr>
        <w:t>; PMID: 17703188</w:t>
      </w:r>
      <w:r>
        <w:rPr>
          <w:rFonts w:ascii="Times New Roman" w:hAnsi="Times New Roman" w:cs="Times New Roman"/>
          <w:sz w:val="18"/>
          <w:szCs w:val="18"/>
        </w:rPr>
        <w:t>]，参与细胞生长，分化和代谢的调节。DDR2突变常见于肺癌、乳腺浸润性导管癌、结肠癌、子宫内膜样腺癌和膀胱尿路上皮癌中。</w:t>
      </w:r>
    </w:p>
    <w:p w14:paraId="306A42E4">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7794DF92">
      <w:pPr>
        <w:spacing w:line="360" w:lineRule="auto"/>
        <w:ind w:left="420"/>
        <w:rPr>
          <w:rFonts w:ascii="Times New Roman" w:hAnsi="Times New Roman" w:cs="Times New Roman"/>
          <w:sz w:val="18"/>
          <w:szCs w:val="18"/>
        </w:rPr>
      </w:pPr>
      <w:r>
        <w:rPr>
          <w:rFonts w:ascii="Times New Roman" w:hAnsi="Times New Roman" w:cs="Times New Roman"/>
          <w:sz w:val="18"/>
          <w:szCs w:val="18"/>
        </w:rPr>
        <w:t>DDR2在肺鳞状细胞癌中的突变频率约为4%~5%，且与达沙替尼敏感相关，携带DDR2激活突变的肺鳞癌细胞系可被多靶点激酶抑制剂达沙替尼选择性杀死[PMID: 22328973; PMID: 26206333]。在多种癌症的转移中发现了DDR2的激活或表达，但机制尚不清楚[ PMID: 22071959</w:t>
      </w:r>
      <w:r>
        <w:rPr>
          <w:rFonts w:hint="eastAsia" w:ascii="Times New Roman" w:hAnsi="Times New Roman" w:cs="Times New Roman"/>
          <w:sz w:val="18"/>
          <w:szCs w:val="18"/>
        </w:rPr>
        <w:t>; PMID: 21701781; PMID: 23644467;</w:t>
      </w:r>
      <w:r>
        <w:rPr>
          <w:rFonts w:ascii="Times New Roman" w:hAnsi="Times New Roman" w:cs="Times New Roman"/>
          <w:sz w:val="18"/>
          <w:szCs w:val="18"/>
        </w:rPr>
        <w:t xml:space="preserve"> </w:t>
      </w:r>
      <w:r>
        <w:rPr>
          <w:rFonts w:hint="eastAsia" w:ascii="Times New Roman" w:hAnsi="Times New Roman" w:cs="Times New Roman"/>
          <w:sz w:val="18"/>
          <w:szCs w:val="18"/>
        </w:rPr>
        <w:t>PMID: 25130389</w:t>
      </w:r>
      <w:r>
        <w:rPr>
          <w:rFonts w:ascii="Times New Roman" w:hAnsi="Times New Roman" w:cs="Times New Roman"/>
          <w:sz w:val="18"/>
          <w:szCs w:val="18"/>
        </w:rPr>
        <w:t>]。一项案例报道中，1例携带DDR2 S768R的肺部鳞状细胞癌患者接受达沙替尼联合厄洛替尼治疗，近2个月后CT扫描显示肿瘤缩小，患者症状改善（解决呼吸困难和咳嗽）[PMID: 22328973]。评估厄洛替尼治疗DDR2突变或扩增的实体瘤患者疗效的临床研究正在进行中。</w:t>
      </w:r>
    </w:p>
    <w:p w14:paraId="2551CD77">
      <w:pPr>
        <w:spacing w:line="360" w:lineRule="auto"/>
        <w:ind w:left="420"/>
        <w:rPr>
          <w:rFonts w:ascii="Times New Roman" w:hAnsi="Times New Roman" w:cs="Times New Roman"/>
          <w:sz w:val="18"/>
          <w:szCs w:val="18"/>
        </w:rPr>
      </w:pPr>
    </w:p>
    <w:p w14:paraId="4E441796">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64384" behindDoc="1" locked="0" layoutInCell="1" allowOverlap="1">
                <wp:simplePos x="0" y="0"/>
                <wp:positionH relativeFrom="column">
                  <wp:posOffset>0</wp:posOffset>
                </wp:positionH>
                <wp:positionV relativeFrom="paragraph">
                  <wp:posOffset>168910</wp:posOffset>
                </wp:positionV>
                <wp:extent cx="5760085" cy="6350"/>
                <wp:effectExtent l="0" t="9525" r="2540" b="12700"/>
                <wp:wrapNone/>
                <wp:docPr id="5" name="直线 24"/>
                <wp:cNvGraphicFramePr/>
                <a:graphic xmlns:a="http://schemas.openxmlformats.org/drawingml/2006/main">
                  <a:graphicData uri="http://schemas.microsoft.com/office/word/2010/wordprocessingShape">
                    <wps:wsp>
                      <wps:cNvCnPr/>
                      <wps:spPr>
                        <a:xfrm>
                          <a:off x="0" y="0"/>
                          <a:ext cx="5760085" cy="635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4" o:spid="_x0000_s1026" o:spt="20" style="position:absolute;left:0pt;margin-left:0pt;margin-top:13.3pt;height:0.5pt;width:453.55pt;z-index:-251652096;mso-width-relative:page;mso-height-relative:page;" filled="f" stroked="t" coordsize="21600,21600" o:gfxdata="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OJT7x1QAA&#10;AAYBAAAPAAAAAAAAAAEAIAAAACIAAABkcnMvZG93bnJldi54bWxQSwECFAAUAAAACACHTuJA9l5y&#10;++gBAADeAwAADgAAAAAAAAABACAAAAAkAQAAZHJzL2Uyb0RvYy54bWxQSwUGAAAAAAYABgBZAQAA&#10;fgUAAAAA&#10;">
                <v:fill on="f" focussize="0,0"/>
                <v:stroke weight="1.5pt" color="#002060" joinstyle="miter"/>
                <v:imagedata o:title=""/>
                <o:lock v:ext="edit" aspectratio="f"/>
              </v:line>
            </w:pict>
          </mc:Fallback>
        </mc:AlternateContent>
      </w:r>
      <w:r>
        <w:rPr>
          <w:rFonts w:ascii="Times New Roman" w:hAnsi="Times New Roman" w:cs="Times New Roman"/>
          <w:b/>
        </w:rPr>
        <w:t xml:space="preserve">ERBB2                                                                          </w:t>
      </w:r>
    </w:p>
    <w:p w14:paraId="2549A8AA">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5D84D10">
      <w:pPr>
        <w:spacing w:line="300" w:lineRule="auto"/>
        <w:ind w:left="420"/>
        <w:rPr>
          <w:rFonts w:ascii="Times New Roman" w:hAnsi="Times New Roman" w:cs="Times New Roman"/>
          <w:sz w:val="18"/>
          <w:szCs w:val="18"/>
        </w:rPr>
      </w:pPr>
      <w:r>
        <w:rPr>
          <w:rFonts w:ascii="Times New Roman" w:hAnsi="Times New Roman" w:cs="Times New Roman"/>
          <w:sz w:val="18"/>
          <w:szCs w:val="18"/>
        </w:rPr>
        <w:t>ERBB2 又称 HER2，位于17q12，是原癌基因，编码表皮生长因子受体酪氨酸激酶。该蛋白自身没有配体结合域，因此不能结合生长因子。然而，它能够与其他配体结合的表皮生长因子受体家族成员紧密连接，形成异质二聚体，稳定配体结合，增强激酶介导的下游信号通路的激活，参与的PI3K/ AKT/ mTOR和Ras/ Raf/ MEK/ ERK 等信号通路进而调控细胞增殖、存活及分化。HER2扩增导致众多下游分子级联反应，产生增强的增殖信号，ERBB2的激活突变可引起细胞过度增殖进而诱发肿瘤形成。ERBB2最常见的改变是ERBB2扩增(3.82%)、ERBB2突变(3.69%)、ERBB2外显子20突变(0.74%)、ERBB2外显子20插入(0.43%)和ERBB2 S310F(0.32%)。ERBB2突变常见于乳腺癌、肺腺癌、结肠癌、膀胱尿路上皮癌。</w:t>
      </w:r>
    </w:p>
    <w:p w14:paraId="26112758">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hint="eastAsia" w:ascii="Times New Roman" w:hAnsi="Times New Roman" w:cs="Times New Roman"/>
          <w:b/>
          <w:color w:val="000000"/>
          <w:sz w:val="18"/>
          <w:szCs w:val="18"/>
        </w:rPr>
        <w:t>恩美曲妥珠单抗</w:t>
      </w:r>
      <w:r>
        <w:rPr>
          <w:rFonts w:ascii="Times New Roman" w:hAnsi="Times New Roman" w:cs="Times New Roman"/>
          <w:b/>
          <w:sz w:val="18"/>
          <w:szCs w:val="18"/>
        </w:rPr>
        <w:t>*</w:t>
      </w:r>
      <w:r>
        <w:rPr>
          <w:rFonts w:hint="eastAsia" w:ascii="Times New Roman" w:hAnsi="Times New Roman" w:cs="Times New Roman"/>
          <w:b/>
          <w:sz w:val="18"/>
          <w:szCs w:val="18"/>
        </w:rPr>
        <w:t>、</w:t>
      </w:r>
      <w:r>
        <w:rPr>
          <w:rFonts w:ascii="Times New Roman" w:hAnsi="Times New Roman" w:cs="Times New Roman"/>
          <w:sz w:val="18"/>
          <w:szCs w:val="18"/>
        </w:rPr>
        <w:t>Trastuzumab deruxtecan</w:t>
      </w:r>
      <w:r>
        <w:rPr>
          <w:rFonts w:hint="eastAsia" w:ascii="Times New Roman" w:hAnsi="Times New Roman" w:cs="Times New Roman"/>
          <w:sz w:val="18"/>
          <w:szCs w:val="18"/>
        </w:rPr>
        <w:t>、吡咯替尼</w:t>
      </w:r>
      <w:r>
        <w:rPr>
          <w:rFonts w:ascii="Times New Roman" w:hAnsi="Times New Roman" w:cs="Times New Roman"/>
          <w:b/>
          <w:color w:val="000000"/>
          <w:sz w:val="18"/>
          <w:szCs w:val="18"/>
        </w:rPr>
        <w:t>、</w:t>
      </w:r>
      <w:r>
        <w:rPr>
          <w:rFonts w:ascii="Times New Roman" w:hAnsi="Times New Roman" w:cs="Times New Roman"/>
          <w:color w:val="000000"/>
          <w:sz w:val="18"/>
          <w:szCs w:val="18"/>
        </w:rPr>
        <w:t>曲妥珠单抗 + 帕妥珠单抗 、曲妥珠单抗 + 拉帕替尼</w:t>
      </w:r>
    </w:p>
    <w:p w14:paraId="7B1F2E36">
      <w:pPr>
        <w:spacing w:line="300" w:lineRule="auto"/>
        <w:ind w:left="420"/>
        <w:rPr>
          <w:rFonts w:ascii="Times New Roman" w:hAnsi="Times New Roman" w:cs="Times New Roman"/>
          <w:sz w:val="18"/>
          <w:szCs w:val="18"/>
        </w:rPr>
      </w:pPr>
      <w:r>
        <w:rPr>
          <w:rFonts w:ascii="Times New Roman" w:hAnsi="Times New Roman" w:cs="Times New Roman"/>
          <w:sz w:val="18"/>
          <w:szCs w:val="18"/>
        </w:rPr>
        <w:t>ERBB2常发生的变异是20号外显子插入，携带 ERBB2 活化突变的晚期 NSCLC 对 ERBB2 抑制剂可能敏感。NCCN指南推荐</w:t>
      </w:r>
      <w:r>
        <w:rPr>
          <w:rFonts w:hint="eastAsia" w:ascii="Times New Roman" w:hAnsi="Times New Roman" w:cs="Times New Roman"/>
          <w:sz w:val="18"/>
          <w:szCs w:val="18"/>
        </w:rPr>
        <w:t>恩美曲妥珠单抗</w:t>
      </w:r>
      <w:r>
        <w:rPr>
          <w:rFonts w:ascii="Times New Roman" w:hAnsi="Times New Roman" w:cs="Times New Roman"/>
          <w:sz w:val="18"/>
          <w:szCs w:val="18"/>
        </w:rPr>
        <w:t>（TDM-1）</w:t>
      </w:r>
      <w:r>
        <w:rPr>
          <w:rFonts w:hint="eastAsia" w:ascii="Times New Roman" w:hAnsi="Times New Roman" w:cs="Times New Roman"/>
          <w:sz w:val="18"/>
          <w:szCs w:val="18"/>
        </w:rPr>
        <w:t>、</w:t>
      </w:r>
      <w:r>
        <w:rPr>
          <w:rFonts w:ascii="Times New Roman" w:hAnsi="Times New Roman" w:cs="Times New Roman"/>
          <w:sz w:val="18"/>
          <w:szCs w:val="18"/>
        </w:rPr>
        <w:t>Trastuzumab deruxtecan用于HER2突变的非小细胞肺癌患者[NCCN_Non-Small Cell Lung Cancer_2021_V</w:t>
      </w:r>
      <w:r>
        <w:rPr>
          <w:rFonts w:hint="eastAsia" w:ascii="Times New Roman" w:hAnsi="Times New Roman" w:cs="Times New Roman"/>
          <w:sz w:val="18"/>
          <w:szCs w:val="18"/>
        </w:rPr>
        <w:t>5</w:t>
      </w:r>
      <w:r>
        <w:rPr>
          <w:rFonts w:ascii="Times New Roman" w:hAnsi="Times New Roman" w:cs="Times New Roman"/>
          <w:sz w:val="18"/>
          <w:szCs w:val="18"/>
        </w:rPr>
        <w:t>]。</w:t>
      </w:r>
      <w:r>
        <w:rPr>
          <w:rFonts w:hint="eastAsia" w:ascii="Times New Roman" w:hAnsi="Times New Roman" w:cs="Times New Roman"/>
          <w:sz w:val="18"/>
          <w:szCs w:val="18"/>
        </w:rPr>
        <w:t>非小细胞肺癌中，</w:t>
      </w:r>
      <w:r>
        <w:rPr>
          <w:rFonts w:ascii="Times New Roman" w:hAnsi="Times New Roman" w:cs="Times New Roman"/>
          <w:sz w:val="18"/>
          <w:szCs w:val="18"/>
        </w:rPr>
        <w:t>HER2 20号外显子插入突变对吡咯替尼敏感[PMID: 30596880]</w:t>
      </w:r>
      <w:r>
        <w:rPr>
          <w:rFonts w:hint="eastAsia" w:ascii="Times New Roman" w:hAnsi="Times New Roman" w:cs="Times New Roman"/>
          <w:sz w:val="18"/>
          <w:szCs w:val="18"/>
        </w:rPr>
        <w:t>，</w:t>
      </w:r>
      <w:r>
        <w:rPr>
          <w:rFonts w:ascii="Times New Roman" w:hAnsi="Times New Roman" w:cs="Times New Roman"/>
          <w:sz w:val="18"/>
          <w:szCs w:val="18"/>
        </w:rPr>
        <w:t>但HER2突变对埃克替尼</w:t>
      </w:r>
      <w:r>
        <w:rPr>
          <w:rFonts w:hint="eastAsia" w:ascii="Times New Roman" w:hAnsi="Times New Roman" w:cs="Times New Roman"/>
          <w:sz w:val="18"/>
          <w:szCs w:val="18"/>
        </w:rPr>
        <w:t>、厄洛替尼、吉非替尼、阿法替尼、达可替尼、奥希替尼、西妥昔单抗、帕尼单抗耐药</w:t>
      </w:r>
      <w:r>
        <w:rPr>
          <w:rFonts w:ascii="Times New Roman" w:hAnsi="Times New Roman" w:cs="Times New Roman"/>
          <w:sz w:val="18"/>
          <w:szCs w:val="18"/>
        </w:rPr>
        <w:t>[PMID: 22325357; PMID: 22761469]。目前阿法替尼、拉帕替尼、</w:t>
      </w:r>
      <w:r>
        <w:rPr>
          <w:rFonts w:hint="eastAsia" w:ascii="Times New Roman" w:hAnsi="Times New Roman" w:cs="Times New Roman"/>
          <w:sz w:val="18"/>
          <w:szCs w:val="18"/>
        </w:rPr>
        <w:t>奈拉替尼</w:t>
      </w:r>
      <w:r>
        <w:rPr>
          <w:rFonts w:ascii="Times New Roman" w:hAnsi="Times New Roman" w:cs="Times New Roman"/>
          <w:sz w:val="18"/>
          <w:szCs w:val="18"/>
        </w:rPr>
        <w:t>等用于治疗ERBB2突变和20号外显子插入的肺癌患者的临床试验均在开展。ERBB2扩增是肺癌EGFR TKI治疗继发耐药变异，对EGFR TKI敏感性降低[NCCN_Non-Small Cell Lung Cancer_2021_V</w:t>
      </w:r>
      <w:r>
        <w:rPr>
          <w:rFonts w:hint="eastAsia" w:ascii="Times New Roman" w:hAnsi="Times New Roman" w:cs="Times New Roman"/>
          <w:sz w:val="18"/>
          <w:szCs w:val="18"/>
        </w:rPr>
        <w:t>5</w:t>
      </w:r>
      <w:r>
        <w:rPr>
          <w:rFonts w:ascii="Times New Roman" w:hAnsi="Times New Roman" w:cs="Times New Roman"/>
          <w:sz w:val="18"/>
          <w:szCs w:val="18"/>
        </w:rPr>
        <w:t>]。结直肠癌中也常发生ERBB2拷贝数变异，</w:t>
      </w:r>
      <w:r>
        <w:rPr>
          <w:rFonts w:hint="eastAsia" w:ascii="Times New Roman" w:hAnsi="Times New Roman" w:cs="Times New Roman"/>
          <w:sz w:val="18"/>
          <w:szCs w:val="18"/>
        </w:rPr>
        <w:t>N</w:t>
      </w:r>
      <w:r>
        <w:rPr>
          <w:rFonts w:ascii="Times New Roman" w:hAnsi="Times New Roman" w:cs="Times New Roman"/>
          <w:sz w:val="18"/>
          <w:szCs w:val="18"/>
        </w:rPr>
        <w:t>CCN指南推荐曲妥珠单抗联合帕妥珠单抗 、曲妥珠单抗联合拉帕替尼</w:t>
      </w:r>
      <w:r>
        <w:rPr>
          <w:rFonts w:hint="eastAsia" w:ascii="Times New Roman" w:hAnsi="Times New Roman" w:cs="Times New Roman"/>
          <w:sz w:val="18"/>
          <w:szCs w:val="18"/>
        </w:rPr>
        <w:t>、</w:t>
      </w:r>
      <w:r>
        <w:rPr>
          <w:rFonts w:ascii="Times New Roman" w:hAnsi="Times New Roman" w:cs="Times New Roman"/>
          <w:sz w:val="18"/>
          <w:szCs w:val="18"/>
        </w:rPr>
        <w:t>Trastuzumab deruxtecan用于治疗ERBB2扩增的结直肠癌患者</w:t>
      </w:r>
      <w:r>
        <w:rPr>
          <w:rFonts w:hint="eastAsia" w:ascii="Times New Roman" w:hAnsi="Times New Roman" w:cs="Times New Roman"/>
          <w:sz w:val="18"/>
          <w:szCs w:val="18"/>
        </w:rPr>
        <w:t>[</w:t>
      </w:r>
      <w:r>
        <w:rPr>
          <w:rFonts w:ascii="Times New Roman" w:hAnsi="Times New Roman" w:cs="Times New Roman"/>
          <w:sz w:val="18"/>
          <w:szCs w:val="18"/>
        </w:rPr>
        <w:t>NCCN Guideline -Colon Cancer_2021_V2]。一项II期临床试验，入组34例HER2扩增或过表达的结直肠癌患者，接受标准剂量的曲妥珠单抗和帕妥珠单抗联合治疗，32例患者可评估；在治疗开始中位随访5.2个月，12例患者局部缓解，另有3例患者疾病稳定大于4个月，ORR为37.5%，缓解可持续。一例KRAS，NRAS和BRAF野生型的转移性结直肠癌患者标准治疗进展，检出HER2扩增，使用</w:t>
      </w:r>
      <w:r>
        <w:rPr>
          <w:rFonts w:hint="eastAsia" w:ascii="Times New Roman" w:hAnsi="Times New Roman" w:cs="Times New Roman"/>
          <w:sz w:val="18"/>
          <w:szCs w:val="18"/>
        </w:rPr>
        <w:t>恩美曲妥珠单抗</w:t>
      </w:r>
      <w:r>
        <w:rPr>
          <w:rFonts w:ascii="Times New Roman" w:hAnsi="Times New Roman" w:cs="Times New Roman"/>
          <w:sz w:val="18"/>
          <w:szCs w:val="18"/>
        </w:rPr>
        <w:t>进行治疗，获得7个月的疾病控制，后使用曲妥珠单抗联合帕妥珠单抗治疗后，患者3个月后疾病发生进展[PMID: 28040715]。</w:t>
      </w:r>
      <w:r>
        <w:rPr>
          <w:rFonts w:hint="eastAsia" w:ascii="Times New Roman" w:hAnsi="Times New Roman" w:cs="Times New Roman"/>
          <w:sz w:val="18"/>
          <w:szCs w:val="18"/>
        </w:rPr>
        <w:t>一项</w:t>
      </w:r>
      <w:r>
        <w:rPr>
          <w:rFonts w:ascii="Times New Roman" w:hAnsi="Times New Roman" w:cs="Times New Roman"/>
          <w:sz w:val="18"/>
          <w:szCs w:val="18"/>
        </w:rPr>
        <w:t>II期临床研究中，招募914例KRAS外显子2野生型的转移性结直肠癌患者，发现48例 (5%)患者呈HER2阳性，其中27例患者接受曲妥珠单抗和拉帕替尼联合治疗，中位随访时间为94周，8例获得客观响应，1例CR，7例PR，12例SD [PMID: 27108243]。研究显示，KRAS野生型结直肠癌患者，EGFR单抗（西妥昔单抗/帕尼单抗）治疗ERBB2扩增的患者疗效更差[PMID: 23348520]。</w:t>
      </w:r>
    </w:p>
    <w:p w14:paraId="763CC640">
      <w:pPr>
        <w:spacing w:line="300" w:lineRule="auto"/>
        <w:ind w:left="420"/>
        <w:rPr>
          <w:rFonts w:ascii="Times New Roman" w:hAnsi="Times New Roman" w:cs="Times New Roman"/>
          <w:sz w:val="18"/>
          <w:szCs w:val="18"/>
        </w:rPr>
      </w:pPr>
    </w:p>
    <w:p w14:paraId="148E702D">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2576"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15" name="直线 25"/>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5" o:spid="_x0000_s1026" o:spt="20" style="position:absolute;left:0pt;margin-left:-2.6pt;margin-top:12.55pt;height:1.7pt;width:453.4pt;z-index:-25164390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En55K3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ERBB3                                                                          </w:t>
      </w:r>
    </w:p>
    <w:p w14:paraId="3772299E">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31B35FE0">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ERBB3是原癌基因，编码表皮生长因子受体(EGFR)家族受体酪氨酸激酶的成员。该膜结合蛋白有一个神经调节蛋白结合域，但没有活性激酶域，它可以结合配体发挥作用，与其他具有激酶活性的EGF受体家族成员形成异源二聚体并激活细胞增殖或分化途径，在细胞增殖、凋亡、骨架重排方面具有重要作用。该基因的扩增或过表达已在前列腺癌、膀胱癌和乳腺癌等多种癌症中被报道，错义突变、无义突变、沉默突变和移码缺失在子宫内膜癌、肠癌和胃癌等癌症中也可观察到。 </w:t>
      </w:r>
    </w:p>
    <w:p w14:paraId="4971E72C">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31BE51CF">
      <w:pPr>
        <w:spacing w:line="300" w:lineRule="auto"/>
        <w:ind w:left="420"/>
        <w:rPr>
          <w:rFonts w:ascii="Times New Roman" w:hAnsi="Times New Roman" w:cs="Times New Roman"/>
          <w:sz w:val="18"/>
          <w:szCs w:val="18"/>
        </w:rPr>
      </w:pPr>
      <w:r>
        <w:rPr>
          <w:rFonts w:ascii="Times New Roman" w:hAnsi="Times New Roman" w:cs="Times New Roman"/>
          <w:sz w:val="18"/>
          <w:szCs w:val="18"/>
        </w:rPr>
        <w:t>一项Ⅰ期临床试验表明U3-1402对EGFR-TKI耐药后继发的不同通路激活（包括C797S、ERBB3、CDK4）都有疗效。</w:t>
      </w:r>
      <w:r>
        <w:rPr>
          <w:rFonts w:hint="eastAsia" w:ascii="Times New Roman" w:hAnsi="Times New Roman" w:cs="Times New Roman"/>
          <w:sz w:val="18"/>
          <w:szCs w:val="18"/>
        </w:rPr>
        <w:t>帕妥珠单抗</w:t>
      </w:r>
      <w:r>
        <w:rPr>
          <w:rFonts w:ascii="Times New Roman" w:hAnsi="Times New Roman" w:cs="Times New Roman"/>
          <w:sz w:val="18"/>
          <w:szCs w:val="18"/>
        </w:rPr>
        <w:t>介导的对ErbB2异源二聚的抑制降低了AKT的磷酸化、细胞的体外生长和异种移植体的体内生长[PMID: 26206558]。在表达ERBB3 (HER3)的异种移植小鼠中，抑制剂</w:t>
      </w:r>
      <w:r>
        <w:rPr>
          <w:rFonts w:hint="eastAsia" w:ascii="Times New Roman" w:hAnsi="Times New Roman" w:cs="Times New Roman"/>
          <w:sz w:val="18"/>
          <w:szCs w:val="18"/>
        </w:rPr>
        <w:t>帕妥珠单抗</w:t>
      </w:r>
      <w:r>
        <w:rPr>
          <w:rFonts w:ascii="Times New Roman" w:hAnsi="Times New Roman" w:cs="Times New Roman"/>
          <w:sz w:val="18"/>
          <w:szCs w:val="18"/>
        </w:rPr>
        <w:t>和9f7 - f11的组合增强了肿瘤抑制和中位生存时间，单药</w:t>
      </w:r>
      <w:r>
        <w:rPr>
          <w:rFonts w:hint="eastAsia" w:ascii="Times New Roman" w:hAnsi="Times New Roman" w:cs="Times New Roman"/>
          <w:sz w:val="18"/>
          <w:szCs w:val="18"/>
        </w:rPr>
        <w:t>帕妥珠单抗</w:t>
      </w:r>
      <w:r>
        <w:rPr>
          <w:rFonts w:ascii="Times New Roman" w:hAnsi="Times New Roman" w:cs="Times New Roman"/>
          <w:sz w:val="18"/>
          <w:szCs w:val="18"/>
        </w:rPr>
        <w:t>的敏感性也可能通过ERBB3的表达而增加[PMID: 25216528]。评估</w:t>
      </w:r>
      <w:r>
        <w:rPr>
          <w:rFonts w:hint="eastAsia" w:ascii="Times New Roman" w:hAnsi="Times New Roman" w:cs="Times New Roman"/>
          <w:sz w:val="18"/>
          <w:szCs w:val="18"/>
        </w:rPr>
        <w:t>奈拉替尼</w:t>
      </w:r>
      <w:r>
        <w:rPr>
          <w:rFonts w:ascii="Times New Roman" w:hAnsi="Times New Roman" w:cs="Times New Roman"/>
          <w:sz w:val="18"/>
          <w:szCs w:val="18"/>
        </w:rPr>
        <w:t>治疗ERBB3激活突变的肺癌和实体瘤患者疗效的临床试验正在开展。</w:t>
      </w:r>
    </w:p>
    <w:p w14:paraId="6D554F55">
      <w:pPr>
        <w:spacing w:line="300" w:lineRule="auto"/>
        <w:ind w:left="420"/>
        <w:rPr>
          <w:rFonts w:ascii="Times New Roman" w:hAnsi="Times New Roman" w:cs="Times New Roman"/>
          <w:sz w:val="18"/>
          <w:szCs w:val="18"/>
        </w:rPr>
      </w:pPr>
    </w:p>
    <w:p w14:paraId="7CD1679C">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6912" behindDoc="1"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29" name="直线 26"/>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6" o:spid="_x0000_s1026" o:spt="20" style="position:absolute;left:0pt;margin-left:-2.55pt;margin-top:12.55pt;height:1.7pt;width:453.45pt;z-index:-251629568;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EHr0Ve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ERBB4                                                                          </w:t>
      </w:r>
    </w:p>
    <w:p w14:paraId="0880D611">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51A11088">
      <w:pPr>
        <w:spacing w:line="360" w:lineRule="auto"/>
        <w:ind w:left="420"/>
        <w:rPr>
          <w:rFonts w:ascii="Times New Roman" w:hAnsi="Times New Roman" w:cs="Times New Roman"/>
          <w:b/>
        </w:rPr>
      </w:pPr>
      <w:r>
        <w:rPr>
          <w:rFonts w:ascii="Times New Roman" w:hAnsi="Times New Roman" w:cs="Times New Roman"/>
          <w:sz w:val="18"/>
          <w:szCs w:val="18"/>
        </w:rPr>
        <w:t>ERBB4是酪氨酸蛋白激酶，属于表皮生长因子受体，通过多个富含半胱氨酸结构域来编码I型膜蛋白，该区域是一个跨膜的酪氨酸激酶结构域，是磷脂酰肌醇3激酶结合位点，绑定基序的PDZ结构域。该激酶结合配体后发生同源或异源二聚体化，导致酪氨酸激酶磷酸化被激活，之后激活下游PI3K-AKT-mTOR和RAS-RAF-MEK-ERK信号通路，通过结合神经调节蛋白及其它因子并被激活，进而诱导了包括有丝分裂分化在内的一系列细胞反应，促进细胞增殖，抑制细胞凋亡。ERBB4突变常见于肺癌、结肠腺癌、皮肤黑色素瘤、黑色素瘤、乳腺浸润性导管癌和胃癌中。</w:t>
      </w:r>
    </w:p>
    <w:p w14:paraId="2B0420C0">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58693C71">
      <w:pPr>
        <w:spacing w:line="360" w:lineRule="auto"/>
        <w:ind w:left="420"/>
        <w:rPr>
          <w:rFonts w:ascii="Times New Roman" w:hAnsi="Times New Roman" w:cs="Times New Roman"/>
          <w:sz w:val="18"/>
          <w:szCs w:val="18"/>
        </w:rPr>
      </w:pPr>
      <w:r>
        <w:rPr>
          <w:rFonts w:hint="eastAsia" w:ascii="Times New Roman" w:hAnsi="Times New Roman" w:cs="Times New Roman"/>
          <w:sz w:val="18"/>
          <w:szCs w:val="18"/>
        </w:rPr>
        <w:t>一项研究中，肺鳞癌患者按</w:t>
      </w:r>
      <w:r>
        <w:rPr>
          <w:rFonts w:ascii="Times New Roman" w:hAnsi="Times New Roman" w:cs="Times New Roman"/>
          <w:sz w:val="18"/>
          <w:szCs w:val="18"/>
        </w:rPr>
        <w:t>1:1随机分组接受阿法替尼或厄洛替尼，ERBB4（HER4）突变预测阿法替尼治疗的OS（HR=0.22）和PFS（HR=0.21）优于厄洛替尼[PMID: 29902295]。一项研究中，研究人员利用NAPPA蛋白微阵列平台，发现药物</w:t>
      </w:r>
      <w:r>
        <w:rPr>
          <w:rFonts w:hint="eastAsia" w:ascii="Times New Roman" w:hAnsi="Times New Roman" w:cs="Times New Roman"/>
          <w:sz w:val="18"/>
          <w:szCs w:val="18"/>
        </w:rPr>
        <w:t>伊布替尼</w:t>
      </w:r>
      <w:r>
        <w:rPr>
          <w:rFonts w:ascii="Times New Roman" w:hAnsi="Times New Roman" w:cs="Times New Roman"/>
          <w:sz w:val="18"/>
          <w:szCs w:val="18"/>
        </w:rPr>
        <w:t>能够靶向ERBB4 [PMID: 29398709]。评估</w:t>
      </w:r>
      <w:r>
        <w:rPr>
          <w:rFonts w:hint="eastAsia" w:ascii="Times New Roman" w:hAnsi="Times New Roman" w:cs="Times New Roman"/>
          <w:sz w:val="18"/>
          <w:szCs w:val="18"/>
        </w:rPr>
        <w:t>奈拉替尼</w:t>
      </w:r>
      <w:r>
        <w:rPr>
          <w:rFonts w:ascii="Times New Roman" w:hAnsi="Times New Roman" w:cs="Times New Roman"/>
          <w:sz w:val="18"/>
          <w:szCs w:val="18"/>
        </w:rPr>
        <w:t>治疗ERBB4突变的实体瘤患者疗效的临床研究正在开展中。</w:t>
      </w:r>
    </w:p>
    <w:p w14:paraId="58409AF5">
      <w:pPr>
        <w:spacing w:line="360" w:lineRule="auto"/>
        <w:ind w:left="420"/>
        <w:rPr>
          <w:rFonts w:ascii="Times New Roman" w:hAnsi="Times New Roman" w:cs="Times New Roman"/>
          <w:sz w:val="18"/>
          <w:szCs w:val="18"/>
        </w:rPr>
      </w:pPr>
    </w:p>
    <w:p w14:paraId="41859606">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9200"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41" name="直线 27"/>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7" o:spid="_x0000_s1026" o:spt="20" style="position:absolute;left:0pt;margin-left:-2.6pt;margin-top:12.55pt;height:1.7pt;width:453.4pt;z-index:251699200;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AKY8Gf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ERG                                                                         </w:t>
      </w:r>
    </w:p>
    <w:p w14:paraId="3CD94909">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76D3A479">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ERG基因编码红细胞转化特异性(ETS)转录因子家族成员，该家族所有成员都是参与胚胎发育、细胞增殖、分化、血管生成、炎症和凋亡的关键调节因子。该基因编码的蛋白主要在细胞核中表达，蛋白包含一个ETS DNA结合域和一个与癌基因蛋白关联的PNT区，是血小板粘附到内皮细胞的必需蛋白，可诱导血管细胞的重构。除此以外它还调节造血、巨核细胞的分化和成熟，参与染色体易位、产生不同的融合基因产物，ERG融合常见于前列腺腺癌、乳腺浸润性导管癌、肺腺癌、膀胱尿路上皮癌和尤文氏肉瘤中。 </w:t>
      </w:r>
    </w:p>
    <w:p w14:paraId="3059BDBA">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7DD06780">
      <w:pPr>
        <w:spacing w:line="300" w:lineRule="auto"/>
        <w:ind w:left="420"/>
        <w:rPr>
          <w:rFonts w:ascii="Times New Roman" w:hAnsi="Times New Roman" w:cs="Times New Roman"/>
          <w:sz w:val="18"/>
          <w:szCs w:val="18"/>
        </w:rPr>
      </w:pPr>
      <w:r>
        <w:rPr>
          <w:rFonts w:ascii="Times New Roman" w:hAnsi="Times New Roman" w:cs="Times New Roman"/>
          <w:sz w:val="18"/>
          <w:szCs w:val="18"/>
        </w:rPr>
        <w:t>在2013年的ASCO上，研究者对524份前列腺组织标本进行检测的结果显示，35%存在ERG融合。ERG融合阳性的患者，接受阿比特龙联合泼尼松治疗后，影像学上无进展生存（rPFS，22个月对16个月，P=0.12）和进展时间（14 个月对8个月，P=0.15）有获得改善的趋势，提示ERG融合可能是阿比特龙有效性的生物标志物。</w:t>
      </w:r>
    </w:p>
    <w:p w14:paraId="3F1F9F06">
      <w:pPr>
        <w:spacing w:line="300" w:lineRule="auto"/>
        <w:ind w:left="420"/>
        <w:rPr>
          <w:rFonts w:ascii="Times New Roman" w:hAnsi="Times New Roman" w:cs="Times New Roman"/>
          <w:sz w:val="18"/>
          <w:szCs w:val="18"/>
        </w:rPr>
      </w:pPr>
    </w:p>
    <w:p w14:paraId="3B247708">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4560"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63" name="直线 2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8" o:spid="_x0000_s1026" o:spt="20" style="position:absolute;left:0pt;margin-left:-2.6pt;margin-top:12.55pt;height:1.7pt;width:453.4pt;z-index:251714560;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ITYevj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ESR1                                                                          </w:t>
      </w:r>
    </w:p>
    <w:p w14:paraId="00F73D2F">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27F2EE4C">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ESR1基因编码的雌激素受体是一种由配体激活的转录因子，由几个对激素结合、DNA结合和转录激活都很重要的区域组成。该蛋白位于细胞核，与雌激素受体2形成同型二聚体或异型二聚体。雌激素及其受体存在于乳腺上皮，能调控乳腺的生长、发育和细胞增殖，对性发育和生殖功能至关重要，ESR1在乳腺癌、子宫内膜癌、前列腺癌等癌症的发病机制中起作用[PMID: 21779010]。 </w:t>
      </w:r>
    </w:p>
    <w:p w14:paraId="2DAC9242">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5073B93E">
      <w:pPr>
        <w:spacing w:line="300" w:lineRule="auto"/>
        <w:ind w:left="420"/>
        <w:rPr>
          <w:rFonts w:ascii="Times New Roman" w:hAnsi="Times New Roman" w:cs="Times New Roman"/>
          <w:sz w:val="18"/>
          <w:szCs w:val="18"/>
        </w:rPr>
      </w:pPr>
      <w:r>
        <w:rPr>
          <w:rFonts w:ascii="Times New Roman" w:hAnsi="Times New Roman" w:cs="Times New Roman"/>
          <w:sz w:val="18"/>
          <w:szCs w:val="18"/>
        </w:rPr>
        <w:t>雌激素受体阳性的乳腺癌对激素治疗有耐药性，ESR1的配体结合区域的许多突变与激素抵抗和抗雌激素治疗有关。</w:t>
      </w:r>
      <w:r>
        <w:rPr>
          <w:rFonts w:hint="eastAsia" w:ascii="Times New Roman" w:hAnsi="Times New Roman" w:cs="Times New Roman"/>
          <w:sz w:val="18"/>
          <w:szCs w:val="18"/>
        </w:rPr>
        <w:t>氟维司群</w:t>
      </w:r>
      <w:r>
        <w:rPr>
          <w:rFonts w:ascii="Times New Roman" w:hAnsi="Times New Roman" w:cs="Times New Roman"/>
          <w:sz w:val="18"/>
          <w:szCs w:val="18"/>
        </w:rPr>
        <w:t>刺激ESR1蛋白降解的研究正处于临床试验阶段，并取得了一些成功。16例转移性乳腺癌患者通过</w:t>
      </w:r>
      <w:r>
        <w:rPr>
          <w:rFonts w:hint="eastAsia" w:ascii="Times New Roman" w:hAnsi="Times New Roman" w:cs="Times New Roman"/>
          <w:sz w:val="18"/>
          <w:szCs w:val="18"/>
        </w:rPr>
        <w:t>哌柏西利</w:t>
      </w:r>
      <w:r>
        <w:rPr>
          <w:rFonts w:ascii="Times New Roman" w:hAnsi="Times New Roman" w:cs="Times New Roman"/>
          <w:sz w:val="18"/>
          <w:szCs w:val="18"/>
        </w:rPr>
        <w:t>联合</w:t>
      </w:r>
      <w:r>
        <w:rPr>
          <w:rFonts w:hint="eastAsia" w:ascii="Times New Roman" w:hAnsi="Times New Roman" w:cs="Times New Roman"/>
          <w:sz w:val="18"/>
          <w:szCs w:val="18"/>
        </w:rPr>
        <w:t>来曲唑</w:t>
      </w:r>
      <w:r>
        <w:rPr>
          <w:rFonts w:ascii="Times New Roman" w:hAnsi="Times New Roman" w:cs="Times New Roman"/>
          <w:sz w:val="18"/>
          <w:szCs w:val="18"/>
        </w:rPr>
        <w:t>进行治疗，发现ESR1突变患者(5/16)，包括ESR1 D538G (n = 2)与野生型患者相比ESR1 (n = 11)，总体生存率无显著差异[PMID: 27556863]。</w:t>
      </w:r>
      <w:r>
        <w:rPr>
          <w:rFonts w:hint="eastAsia" w:ascii="Times New Roman" w:hAnsi="Times New Roman" w:cs="Times New Roman"/>
          <w:sz w:val="18"/>
          <w:szCs w:val="18"/>
        </w:rPr>
        <w:t>哌柏西利和来曲唑治疗转移性乳腺癌的研究中，在初次采血时已经携带</w:t>
      </w:r>
      <w:r>
        <w:rPr>
          <w:rFonts w:ascii="Times New Roman" w:hAnsi="Times New Roman" w:cs="Times New Roman"/>
          <w:sz w:val="18"/>
          <w:szCs w:val="18"/>
        </w:rPr>
        <w:t>ESR1突变的患者（ESR1-de novo突变组，n = 3）PFS显著缩短（median; 9.0 versus 3.3 months, HR=0.25; 95% CI: 0.01-0.9, P-value=0.038），ESR1-de novo突变组的中位OS为12.0个月，有进展加快趋势（HR=0.32; 95% CI: 0.02-2.1, P-value=0.18）；一名ESR1-de novo突变患者治疗1.4个月后抽血ESR1-D538G突变阳性，该患者第一次抽血时处于疾病进展[PMID: 28978004]。</w:t>
      </w:r>
    </w:p>
    <w:p w14:paraId="029657C1">
      <w:pPr>
        <w:spacing w:line="300" w:lineRule="auto"/>
        <w:ind w:left="420"/>
        <w:rPr>
          <w:rFonts w:ascii="Times New Roman" w:hAnsi="Times New Roman" w:cs="Times New Roman"/>
          <w:sz w:val="18"/>
          <w:szCs w:val="18"/>
          <w:highlight w:val="black"/>
        </w:rPr>
      </w:pPr>
    </w:p>
    <w:p w14:paraId="5CB14933">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3600"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16" name="直线 29"/>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9" o:spid="_x0000_s1026" o:spt="20" style="position:absolute;left:0pt;margin-left:-2.6pt;margin-top:12.55pt;height:1.7pt;width:453.4pt;z-index:-251642880;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HVxvgr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ETV1                                                                          </w:t>
      </w:r>
    </w:p>
    <w:p w14:paraId="18520B50">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E88C81E">
      <w:pPr>
        <w:spacing w:line="300" w:lineRule="auto"/>
        <w:ind w:left="420"/>
        <w:rPr>
          <w:rFonts w:ascii="Times New Roman" w:hAnsi="Times New Roman" w:cs="Times New Roman"/>
          <w:sz w:val="18"/>
          <w:szCs w:val="18"/>
        </w:rPr>
      </w:pPr>
      <w:r>
        <w:rPr>
          <w:rFonts w:ascii="Times New Roman" w:hAnsi="Times New Roman" w:cs="Times New Roman"/>
          <w:sz w:val="18"/>
          <w:szCs w:val="18"/>
        </w:rPr>
        <w:t>ETV1基因编码转录因子ETS家族的成员，ETS蛋白调控许多细胞生长、血管生成、迁移、增殖和分化等生物学过程的靶基因。ETV1编码蛋白有一个能够结合到DNA共有区域的结合域，除了c端的ETS DNA结合域外，该基因编码的蛋白在N端区域含有一个保守的短酸性反激活域(TAD)。该基因参与染色体易位，并导致包括尤文肉瘤中的EWS-ETV1融合和前列腺癌中至少10个ETV1伴侣在内的多种融合蛋白。除了染色体重排外，该基因在前列腺癌、黑色素瘤和胃肠道间质瘤中会发生过表达变异。</w:t>
      </w:r>
    </w:p>
    <w:p w14:paraId="0071E864">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CECEE5D">
      <w:pPr>
        <w:spacing w:line="300" w:lineRule="auto"/>
        <w:ind w:left="420"/>
        <w:rPr>
          <w:rFonts w:ascii="Times New Roman" w:hAnsi="Times New Roman" w:cs="Times New Roman"/>
          <w:sz w:val="18"/>
          <w:szCs w:val="18"/>
        </w:rPr>
      </w:pPr>
      <w:r>
        <w:rPr>
          <w:rFonts w:ascii="Times New Roman" w:hAnsi="Times New Roman" w:cs="Times New Roman"/>
          <w:sz w:val="18"/>
          <w:szCs w:val="18"/>
        </w:rPr>
        <w:t>TMPRSS2-ETV1融合在前列腺癌中反复出现[PMID: 16254181]，目前评估恩</w:t>
      </w:r>
      <w:r>
        <w:rPr>
          <w:rFonts w:hint="eastAsia" w:ascii="Times New Roman" w:hAnsi="Times New Roman" w:cs="Times New Roman"/>
          <w:sz w:val="18"/>
          <w:szCs w:val="18"/>
        </w:rPr>
        <w:t>扎卢</w:t>
      </w:r>
      <w:r>
        <w:rPr>
          <w:rFonts w:ascii="Times New Roman" w:hAnsi="Times New Roman" w:cs="Times New Roman"/>
          <w:sz w:val="18"/>
          <w:szCs w:val="18"/>
        </w:rPr>
        <w:t>胺对TMPRSS2-ETV1基因突变的前列腺癌患者疗效的II期临床试验正在进行中。</w:t>
      </w:r>
      <w:r>
        <w:rPr>
          <w:rFonts w:hint="eastAsia" w:ascii="Times New Roman" w:hAnsi="Times New Roman" w:cs="Times New Roman"/>
          <w:sz w:val="18"/>
          <w:szCs w:val="18"/>
        </w:rPr>
        <w:t>对结直肠癌的研究表明，</w:t>
      </w:r>
      <w:r>
        <w:rPr>
          <w:rFonts w:ascii="Times New Roman" w:hAnsi="Times New Roman" w:cs="Times New Roman"/>
          <w:sz w:val="18"/>
          <w:szCs w:val="18"/>
        </w:rPr>
        <w:t>ETV1表达影响细胞活力，ETV1高表达与较差的无复发生存期和总生存期相关[PMID: 30224643]。</w:t>
      </w:r>
    </w:p>
    <w:p w14:paraId="18813BCF">
      <w:pPr>
        <w:spacing w:line="300" w:lineRule="auto"/>
        <w:ind w:left="420"/>
        <w:rPr>
          <w:rFonts w:ascii="Times New Roman" w:hAnsi="Times New Roman" w:cs="Times New Roman"/>
          <w:sz w:val="18"/>
          <w:szCs w:val="18"/>
          <w:highlight w:val="black"/>
        </w:rPr>
      </w:pPr>
    </w:p>
    <w:p w14:paraId="30E020E5">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7936"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30" name="直线 30"/>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0" o:spid="_x0000_s1026" o:spt="20" style="position:absolute;left:0pt;margin-left:-2.6pt;margin-top:12.55pt;height:1.7pt;width:453.4pt;z-index:-25162854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r10bWukBAADg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 xml:space="preserve">ETV4                                                                          </w:t>
      </w:r>
    </w:p>
    <w:p w14:paraId="215AC53A">
      <w:pPr>
        <w:spacing w:line="300" w:lineRule="auto"/>
        <w:ind w:left="420"/>
        <w:rPr>
          <w:rFonts w:ascii="Times New Roman" w:hAnsi="Times New Roman" w:cs="Times New Roman"/>
          <w:sz w:val="18"/>
          <w:szCs w:val="18"/>
        </w:rPr>
      </w:pPr>
      <w:r>
        <w:rPr>
          <w:rFonts w:ascii="Times New Roman" w:hAnsi="Times New Roman" w:cs="Times New Roman"/>
          <w:b/>
          <w:szCs w:val="18"/>
        </w:rPr>
        <w:t>基因说明：</w:t>
      </w:r>
    </w:p>
    <w:p w14:paraId="324CFD9A">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ETV4编码转录因子ETS家族的一个成员，参与调控细胞生长、血管生成、迁移、增殖及分化。ETV4基因与正常细胞分裂有关，可能参与序列特异性DNA结合和序列特异性DNA结合转录因子的活性调节，相关通路包括LKB1信号通路和RET信号通路。ETV4的融合、错义突变和沉默突变可在卵巢癌和上消化道癌症等癌症中观察到，ETV4在0.07%的癌症存在变异。 </w:t>
      </w:r>
    </w:p>
    <w:p w14:paraId="4EA9CFA1">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638F2B0A">
      <w:pPr>
        <w:spacing w:line="300" w:lineRule="auto"/>
        <w:ind w:left="420"/>
        <w:rPr>
          <w:rFonts w:ascii="Times New Roman" w:hAnsi="Times New Roman" w:cs="Times New Roman"/>
          <w:sz w:val="18"/>
          <w:szCs w:val="18"/>
        </w:rPr>
      </w:pPr>
      <w:r>
        <w:rPr>
          <w:rFonts w:ascii="Times New Roman" w:hAnsi="Times New Roman" w:cs="Times New Roman"/>
          <w:sz w:val="18"/>
          <w:szCs w:val="18"/>
        </w:rPr>
        <w:t>ETV4表达增高与Gleason评分增高(P = 0.045)、肿瘤病理分期增高(P = 0.041)、预后不良(P = 0.040)有关[PMID: 2544710]，KRAS G12C肺癌细胞(CALU1)的体外研究表明，ETV4的过表达调节了对曲美替尼的耐药性，KRAS G12V胰腺癌细胞(PATU8902)的体外研究表明，ETV4过表达降低了对曲美替尼的敏感性[PMID: 28178529]。</w:t>
      </w:r>
      <w:r>
        <w:rPr>
          <w:rFonts w:hint="eastAsia" w:ascii="Times New Roman" w:hAnsi="Times New Roman" w:cs="Times New Roman"/>
          <w:sz w:val="18"/>
          <w:szCs w:val="18"/>
        </w:rPr>
        <w:t>有研究表明，</w:t>
      </w:r>
      <w:r>
        <w:rPr>
          <w:rFonts w:ascii="Times New Roman" w:hAnsi="Times New Roman" w:cs="Times New Roman"/>
          <w:sz w:val="18"/>
          <w:szCs w:val="18"/>
        </w:rPr>
        <w:t>ETV4和MMP24水平升高，是肺癌和/或胃癌患者的肿瘤进展生物标志物，可能与较差预后相关[PMID: 27869830]。</w:t>
      </w:r>
    </w:p>
    <w:p w14:paraId="0673152C">
      <w:pPr>
        <w:spacing w:line="300" w:lineRule="auto"/>
        <w:ind w:left="420"/>
        <w:rPr>
          <w:rFonts w:ascii="Times New Roman" w:hAnsi="Times New Roman" w:cs="Times New Roman"/>
          <w:sz w:val="18"/>
          <w:szCs w:val="18"/>
          <w:highlight w:val="black"/>
        </w:rPr>
      </w:pPr>
    </w:p>
    <w:p w14:paraId="07FFFA1A">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0224"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42" name="直线 31"/>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1" o:spid="_x0000_s1026" o:spt="20" style="position:absolute;left:0pt;margin-left:-2.6pt;margin-top:12.55pt;height:1.7pt;width:453.4pt;z-index:25170022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AG20CJ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ETV5                                                                          </w:t>
      </w:r>
    </w:p>
    <w:p w14:paraId="022A6501">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2F719BA0">
      <w:pPr>
        <w:spacing w:line="300" w:lineRule="auto"/>
        <w:ind w:left="420"/>
        <w:rPr>
          <w:rFonts w:ascii="Times New Roman" w:hAnsi="Times New Roman" w:cs="Times New Roman"/>
          <w:sz w:val="18"/>
          <w:szCs w:val="18"/>
        </w:rPr>
      </w:pPr>
      <w:r>
        <w:rPr>
          <w:rFonts w:ascii="Times New Roman" w:hAnsi="Times New Roman" w:cs="Times New Roman"/>
          <w:sz w:val="18"/>
          <w:szCs w:val="18"/>
        </w:rPr>
        <w:t>ETV5(ETS变异转录因子5)属于肿瘤易感基因，编码转录因子ETS（E26）家族成员，参与转录调控区域DNA结合和序列特异性DNA结合转录因子的活性调节。目前在肠癌，皮肤癌和尿路癌的癌症中观察到ETV5的错义突变，无义突变，沉默突变和移码缺失。与ETV5相关的疾病包括前列腺癌、肠癌、皮肤癌，还包括神经纤维瘤病、II型和尿道综合征。在所有患有鳞状细胞肺癌和肛门鳞状细胞癌的患者中，约0.19％发生了ETV5的改变。</w:t>
      </w:r>
    </w:p>
    <w:p w14:paraId="346C0ED0">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30810932">
      <w:pPr>
        <w:spacing w:line="300" w:lineRule="auto"/>
        <w:ind w:left="420"/>
        <w:rPr>
          <w:rFonts w:ascii="Times New Roman" w:hAnsi="Times New Roman" w:cs="Times New Roman"/>
          <w:sz w:val="18"/>
          <w:szCs w:val="18"/>
        </w:rPr>
      </w:pPr>
      <w:r>
        <w:rPr>
          <w:rFonts w:ascii="Times New Roman" w:hAnsi="Times New Roman" w:cs="Times New Roman"/>
          <w:sz w:val="18"/>
          <w:szCs w:val="18"/>
        </w:rPr>
        <w:t>KRAS G12C肺癌细胞(CALU1)的体外研究表明，ETV5的过表达调节了对曲美替尼的耐药性，KRAS G12V胰腺癌细胞(PATU8902)的体外研究表明，ETV5过表达降低了对曲美替尼的敏感性[PMID:</w:t>
      </w:r>
      <w:r>
        <w:rPr>
          <w:rFonts w:hint="eastAsia" w:ascii="Times New Roman" w:hAnsi="Times New Roman" w:cs="Times New Roman"/>
          <w:sz w:val="18"/>
          <w:szCs w:val="18"/>
        </w:rPr>
        <w:t xml:space="preserve"> </w:t>
      </w:r>
      <w:r>
        <w:rPr>
          <w:rFonts w:ascii="Times New Roman" w:hAnsi="Times New Roman" w:cs="Times New Roman"/>
          <w:sz w:val="18"/>
          <w:szCs w:val="18"/>
        </w:rPr>
        <w:t>28178529]。</w:t>
      </w:r>
      <w:r>
        <w:rPr>
          <w:rFonts w:hint="eastAsia" w:ascii="Times New Roman" w:hAnsi="Times New Roman" w:cs="Times New Roman"/>
          <w:sz w:val="18"/>
          <w:szCs w:val="18"/>
        </w:rPr>
        <w:t>研究表明，肺癌中</w:t>
      </w:r>
      <w:r>
        <w:rPr>
          <w:rFonts w:ascii="Times New Roman" w:hAnsi="Times New Roman" w:cs="Times New Roman"/>
          <w:sz w:val="18"/>
          <w:szCs w:val="18"/>
        </w:rPr>
        <w:t>ETV5、LPP或MMP15基因失活是增加肿瘤的恶性程度的预后标志物[PMID: 26028032]。</w:t>
      </w:r>
      <w:r>
        <w:rPr>
          <w:rFonts w:hint="eastAsia" w:ascii="Times New Roman" w:hAnsi="Times New Roman" w:cs="Times New Roman"/>
          <w:sz w:val="18"/>
          <w:szCs w:val="18"/>
        </w:rPr>
        <w:t>临床前研究表明，</w:t>
      </w:r>
      <w:r>
        <w:rPr>
          <w:rFonts w:ascii="Times New Roman" w:hAnsi="Times New Roman" w:cs="Times New Roman"/>
          <w:sz w:val="18"/>
          <w:szCs w:val="18"/>
        </w:rPr>
        <w:t>EVT5可能是结直肠癌（CRC）中潜在的诊断和预后标志物[PMID: 30650178]。</w:t>
      </w:r>
    </w:p>
    <w:p w14:paraId="614A8F84">
      <w:pPr>
        <w:spacing w:line="360" w:lineRule="auto"/>
        <w:ind w:left="420"/>
        <w:rPr>
          <w:rFonts w:ascii="Times New Roman" w:hAnsi="Times New Roman" w:cs="Times New Roman"/>
          <w:sz w:val="18"/>
          <w:szCs w:val="18"/>
        </w:rPr>
      </w:pPr>
    </w:p>
    <w:p w14:paraId="04709851">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8720" behindDoc="1"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21" name="直线 32"/>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2" o:spid="_x0000_s1026" o:spt="20" style="position:absolute;left:0pt;margin-left:-2.55pt;margin-top:12.55pt;height:1.7pt;width:453.45pt;z-index:-251637760;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6KB2dO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FGFR1                                                                           </w:t>
      </w:r>
    </w:p>
    <w:p w14:paraId="6E901B56">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2975B020">
      <w:pPr>
        <w:spacing w:line="300" w:lineRule="auto"/>
        <w:ind w:left="420"/>
        <w:rPr>
          <w:rFonts w:ascii="Times New Roman" w:hAnsi="Times New Roman" w:cs="Times New Roman"/>
          <w:sz w:val="18"/>
          <w:szCs w:val="18"/>
        </w:rPr>
      </w:pPr>
      <w:r>
        <w:rPr>
          <w:rFonts w:ascii="Times New Roman" w:hAnsi="Times New Roman" w:cs="Times New Roman"/>
          <w:sz w:val="18"/>
          <w:szCs w:val="18"/>
        </w:rPr>
        <w:t>FGFR1编码的蛋白属于成纤维细胞生长因子受体（FGFR）家族，不同成员间的氨基酸序列在进化过程中高度保守，但该家族成员间的配体亲和力和组织相容性不同。蛋白的胞外部分和成纤维细胞生长因子相互作用，开启下游信号转导，最终影响细胞有丝分裂和分化。FGF/FGFR1信号传递是细胞正常生长所必需的，但当FGFR1高水平表达时可引起多种疾病。其激活突变、扩增或融合可进一步促使恶性肿瘤的发生和发展，在中国人FGFR1变异形式上：扩增＞SNV/Indel＞融合/重排。FGFR1在肺癌中的突变频率约为1.07%。与FGFR1相关的疾病包括肺癌、前列腺癌、口腔鳞癌、食管鳞状细胞癌、乳腺癌、膀胱癌、唾液腺癌卵巢癌等。发生FGFR1易位的肿瘤预后很差。</w:t>
      </w:r>
    </w:p>
    <w:p w14:paraId="22F27519">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4A82FFC5">
      <w:pPr>
        <w:spacing w:line="360" w:lineRule="auto"/>
        <w:ind w:left="420"/>
        <w:rPr>
          <w:rFonts w:ascii="Times New Roman" w:hAnsi="Times New Roman" w:cs="Times New Roman"/>
          <w:sz w:val="18"/>
          <w:szCs w:val="18"/>
        </w:rPr>
      </w:pPr>
      <w:r>
        <w:rPr>
          <w:rFonts w:ascii="Times New Roman" w:hAnsi="Times New Roman" w:cs="Times New Roman"/>
          <w:sz w:val="18"/>
          <w:szCs w:val="18"/>
        </w:rPr>
        <w:t>在一项I期临床试验中，携带FGFR1/2/3/4基因激活突变的实体瘤患者（包括扩增、突变以及易位）接受Erdafitinib治疗，70%的患者疾病稳定，22%的患者部分缓解（n=23），在无FGFR基因突变或者突变功能未知的患者中，观察不到抗肿瘤活性[PMID:</w:t>
      </w:r>
      <w:r>
        <w:rPr>
          <w:rFonts w:hint="eastAsia" w:ascii="Times New Roman" w:hAnsi="Times New Roman" w:cs="Times New Roman"/>
          <w:sz w:val="18"/>
          <w:szCs w:val="18"/>
        </w:rPr>
        <w:t xml:space="preserve"> </w:t>
      </w:r>
      <w:r>
        <w:rPr>
          <w:rFonts w:ascii="Times New Roman" w:hAnsi="Times New Roman" w:cs="Times New Roman"/>
          <w:sz w:val="18"/>
          <w:szCs w:val="18"/>
        </w:rPr>
        <w:t>26324363]。临床</w:t>
      </w:r>
      <w:r>
        <w:rPr>
          <w:rFonts w:hint="eastAsia" w:ascii="Times New Roman" w:hAnsi="Times New Roman" w:cs="Times New Roman"/>
          <w:sz w:val="18"/>
          <w:szCs w:val="18"/>
        </w:rPr>
        <w:t>I</w:t>
      </w:r>
      <w:r>
        <w:rPr>
          <w:rFonts w:ascii="Times New Roman" w:hAnsi="Times New Roman" w:cs="Times New Roman"/>
          <w:sz w:val="18"/>
          <w:szCs w:val="18"/>
        </w:rPr>
        <w:t>期试验中，携带FGFR1扩增的肺鳞癌患者用Infigratinib治疗表现出50%的疾病控制率（18/36），其中14个病人疾病稳定，4个病人部分响应[PMID:</w:t>
      </w:r>
      <w:r>
        <w:rPr>
          <w:rFonts w:hint="eastAsia" w:ascii="Times New Roman" w:hAnsi="Times New Roman" w:cs="Times New Roman"/>
          <w:sz w:val="18"/>
          <w:szCs w:val="18"/>
        </w:rPr>
        <w:t xml:space="preserve"> </w:t>
      </w:r>
      <w:r>
        <w:rPr>
          <w:rFonts w:ascii="Times New Roman" w:hAnsi="Times New Roman" w:cs="Times New Roman"/>
          <w:sz w:val="18"/>
          <w:szCs w:val="18"/>
        </w:rPr>
        <w:t>27870574]。在AZD4547单药治疗肺鳞癌的Ⅰb期国际多中心试验中，疾病控制率为39%。在携带FGFR1突变的细胞系和小鼠模型中，一些TKI和FGFR特异的小分子抑制剂表现出抑癌活性。在临床前研究中，PRN1371能够抑制具有FGFR1</w:t>
      </w:r>
      <w:r>
        <w:rPr>
          <w:rFonts w:hint="eastAsia" w:ascii="Times New Roman" w:hAnsi="Times New Roman" w:cs="Times New Roman"/>
          <w:sz w:val="18"/>
          <w:szCs w:val="18"/>
        </w:rPr>
        <w:t xml:space="preserve"> </w:t>
      </w:r>
      <w:r>
        <w:rPr>
          <w:rFonts w:ascii="Times New Roman" w:hAnsi="Times New Roman" w:cs="Times New Roman"/>
          <w:sz w:val="18"/>
          <w:szCs w:val="18"/>
        </w:rPr>
        <w:t>V561M突变的细胞的增殖[PMID:</w:t>
      </w:r>
      <w:r>
        <w:rPr>
          <w:rFonts w:hint="eastAsia" w:ascii="Times New Roman" w:hAnsi="Times New Roman" w:cs="Times New Roman"/>
          <w:sz w:val="18"/>
          <w:szCs w:val="18"/>
        </w:rPr>
        <w:t xml:space="preserve"> </w:t>
      </w:r>
      <w:r>
        <w:rPr>
          <w:rFonts w:ascii="Times New Roman" w:hAnsi="Times New Roman" w:cs="Times New Roman"/>
          <w:sz w:val="18"/>
          <w:szCs w:val="18"/>
        </w:rPr>
        <w:t>28978721]。</w:t>
      </w:r>
      <w:r>
        <w:rPr>
          <w:rFonts w:hint="eastAsia" w:ascii="Times New Roman" w:hAnsi="Times New Roman" w:cs="Times New Roman"/>
          <w:sz w:val="18"/>
          <w:szCs w:val="18"/>
        </w:rPr>
        <w:t>目前评估舒尼替尼、安罗替尼、</w:t>
      </w:r>
      <w:r>
        <w:rPr>
          <w:rFonts w:ascii="Times New Roman" w:hAnsi="Times New Roman" w:cs="Times New Roman"/>
          <w:sz w:val="18"/>
          <w:szCs w:val="18"/>
        </w:rPr>
        <w:t>Erdafitinib</w:t>
      </w:r>
      <w:r>
        <w:rPr>
          <w:rFonts w:hint="eastAsia" w:ascii="Times New Roman" w:hAnsi="Times New Roman" w:cs="Times New Roman"/>
          <w:sz w:val="18"/>
          <w:szCs w:val="18"/>
        </w:rPr>
        <w:t>、</w:t>
      </w:r>
      <w:r>
        <w:rPr>
          <w:rFonts w:ascii="Times New Roman" w:hAnsi="Times New Roman" w:cs="Times New Roman"/>
          <w:sz w:val="18"/>
          <w:szCs w:val="18"/>
        </w:rPr>
        <w:t>Infigratinib</w:t>
      </w:r>
      <w:r>
        <w:rPr>
          <w:rFonts w:hint="eastAsia" w:ascii="Times New Roman" w:hAnsi="Times New Roman" w:cs="Times New Roman"/>
          <w:sz w:val="18"/>
          <w:szCs w:val="18"/>
        </w:rPr>
        <w:t>等用于携带F</w:t>
      </w:r>
      <w:r>
        <w:rPr>
          <w:rFonts w:ascii="Times New Roman" w:hAnsi="Times New Roman" w:cs="Times New Roman"/>
          <w:sz w:val="18"/>
          <w:szCs w:val="18"/>
        </w:rPr>
        <w:t>GFR1</w:t>
      </w:r>
      <w:r>
        <w:rPr>
          <w:rFonts w:hint="eastAsia" w:ascii="Times New Roman" w:hAnsi="Times New Roman" w:cs="Times New Roman"/>
          <w:sz w:val="18"/>
          <w:szCs w:val="18"/>
        </w:rPr>
        <w:t>突变/扩增的非小细胞肺癌、结直肠癌等实体瘤患者疗效的临床试验正在开展。</w:t>
      </w:r>
    </w:p>
    <w:p w14:paraId="1E9B118B">
      <w:pPr>
        <w:spacing w:line="360" w:lineRule="auto"/>
        <w:ind w:left="420"/>
        <w:rPr>
          <w:rFonts w:ascii="Times New Roman" w:hAnsi="Times New Roman" w:cs="Times New Roman"/>
          <w:sz w:val="18"/>
          <w:szCs w:val="18"/>
        </w:rPr>
      </w:pPr>
    </w:p>
    <w:p w14:paraId="3DFCC754">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5584"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64" name="直线 33"/>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3" o:spid="_x0000_s1026" o:spt="20" style="position:absolute;left:0pt;margin-left:-2.55pt;margin-top:12.55pt;height:1.7pt;width:453.45pt;z-index:251715584;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Z/3y+u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FGFR2                                                                         </w:t>
      </w:r>
    </w:p>
    <w:p w14:paraId="2577C672">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7F04D096">
      <w:pPr>
        <w:spacing w:line="300" w:lineRule="auto"/>
        <w:ind w:left="420"/>
        <w:rPr>
          <w:rFonts w:ascii="Times New Roman" w:hAnsi="Times New Roman" w:cs="Times New Roman"/>
          <w:sz w:val="18"/>
          <w:szCs w:val="18"/>
        </w:rPr>
      </w:pPr>
      <w:r>
        <w:rPr>
          <w:rFonts w:ascii="Times New Roman" w:hAnsi="Times New Roman" w:cs="Times New Roman"/>
          <w:sz w:val="18"/>
          <w:szCs w:val="18"/>
        </w:rPr>
        <w:t>FGFR2编码的蛋白属于成纤维细胞生长因子受体（FGFR）家族，不同成员间以及进化过程中，氨基酸序列高度保守，但FGFR家族成员间配体亲和力和组织相容性不同。蛋白的胞外部分和成纤维细胞生长因子相互作用，开启了下游信号转导，最终影响细胞有丝分裂和分化。FGFR2在发育中起关键作用，目前在癌症中发现的突变形式包括扩增，点突变和易位突变</w:t>
      </w:r>
      <w:r>
        <w:rPr>
          <w:rFonts w:hint="eastAsia" w:ascii="Times New Roman" w:hAnsi="Times New Roman" w:cs="Times New Roman"/>
          <w:sz w:val="18"/>
          <w:szCs w:val="18"/>
        </w:rPr>
        <w:t>[</w:t>
      </w:r>
      <w:r>
        <w:rPr>
          <w:rFonts w:ascii="Times New Roman" w:hAnsi="Times New Roman" w:cs="Times New Roman"/>
          <w:sz w:val="18"/>
          <w:szCs w:val="18"/>
        </w:rPr>
        <w:t>PMID</w:t>
      </w:r>
      <w:r>
        <w:rPr>
          <w:rFonts w:hint="eastAsia" w:ascii="Times New Roman" w:hAnsi="Times New Roman" w:cs="Times New Roman"/>
          <w:sz w:val="18"/>
          <w:szCs w:val="18"/>
        </w:rPr>
        <w:t xml:space="preserve">: </w:t>
      </w:r>
      <w:r>
        <w:rPr>
          <w:rFonts w:ascii="Times New Roman" w:hAnsi="Times New Roman" w:cs="Times New Roman"/>
          <w:sz w:val="18"/>
          <w:szCs w:val="18"/>
        </w:rPr>
        <w:t>20094046</w:t>
      </w:r>
      <w:r>
        <w:rPr>
          <w:rFonts w:hint="eastAsia" w:ascii="Times New Roman" w:hAnsi="Times New Roman" w:cs="Times New Roman"/>
          <w:sz w:val="18"/>
          <w:szCs w:val="18"/>
        </w:rPr>
        <w:t>]</w:t>
      </w:r>
      <w:r>
        <w:rPr>
          <w:rFonts w:ascii="Times New Roman" w:hAnsi="Times New Roman" w:cs="Times New Roman"/>
          <w:sz w:val="18"/>
          <w:szCs w:val="18"/>
        </w:rPr>
        <w:t>。FGFR2基因的错义突变常发生在子宫内膜癌、宫颈癌、乳腺癌、肺癌以及胃癌中，在乳腺癌和胃癌中常发生FGFR2基因拷贝数的增加，使得FGFR2过表达从而导致FGFR2信号的激活。FGFR2在肺癌中的点突变频率约为1.08%。</w:t>
      </w:r>
    </w:p>
    <w:p w14:paraId="76C30E23">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34025A77">
      <w:pPr>
        <w:spacing w:line="360" w:lineRule="auto"/>
        <w:ind w:left="420"/>
        <w:rPr>
          <w:rFonts w:ascii="Times New Roman" w:hAnsi="Times New Roman" w:cs="Times New Roman"/>
          <w:sz w:val="18"/>
          <w:szCs w:val="18"/>
        </w:rPr>
      </w:pPr>
      <w:r>
        <w:rPr>
          <w:rFonts w:ascii="Times New Roman" w:hAnsi="Times New Roman" w:cs="Times New Roman"/>
          <w:sz w:val="18"/>
          <w:szCs w:val="18"/>
        </w:rPr>
        <w:t>针对FGFR2异常导致的肿瘤，一般的治疗策略包括多靶点激酶抑制剂，FGFR家族选择性小分子抑制剂，单克隆抗体，以及FGF配体捕获。在一项I期临床试验中，携带FGFR1/2/3/4基因激活突变的实体瘤患者（包括扩增、突变以及易位）接受Erdafitinib治疗，70%的患者疾病稳定，22%的患者部分缓解（n=23），在无FGFR基因突变或者突变功能未知的患者中，观察不到抗肿瘤活性[PMID:</w:t>
      </w:r>
      <w:r>
        <w:rPr>
          <w:rFonts w:hint="eastAsia" w:ascii="Times New Roman" w:hAnsi="Times New Roman" w:cs="Times New Roman"/>
          <w:sz w:val="18"/>
          <w:szCs w:val="18"/>
        </w:rPr>
        <w:t xml:space="preserve"> </w:t>
      </w:r>
      <w:r>
        <w:rPr>
          <w:rFonts w:ascii="Times New Roman" w:hAnsi="Times New Roman" w:cs="Times New Roman"/>
          <w:sz w:val="18"/>
          <w:szCs w:val="18"/>
        </w:rPr>
        <w:t>26324363]。一项临床前研究中，FGFR2扩增的非小细胞肺癌的PDX模型中，PRN1371治疗产生了67.5%肿瘤抑制率[PMID:</w:t>
      </w:r>
      <w:r>
        <w:rPr>
          <w:rFonts w:hint="eastAsia" w:ascii="Times New Roman" w:hAnsi="Times New Roman" w:cs="Times New Roman"/>
          <w:sz w:val="18"/>
          <w:szCs w:val="18"/>
        </w:rPr>
        <w:t xml:space="preserve"> </w:t>
      </w:r>
      <w:r>
        <w:rPr>
          <w:rFonts w:ascii="Times New Roman" w:hAnsi="Times New Roman" w:cs="Times New Roman"/>
          <w:sz w:val="18"/>
          <w:szCs w:val="18"/>
        </w:rPr>
        <w:t>28978721]。临床前研究表明，普纳替尼被证明能抑制所有四种FGFR的体外激酶活性，在用于表达激活的FGFR1-4的Ba/F3细胞中，普纳替尼有效地抑制FGFR介导的信号[PMID:</w:t>
      </w:r>
      <w:r>
        <w:rPr>
          <w:rFonts w:hint="eastAsia" w:ascii="Times New Roman" w:hAnsi="Times New Roman" w:cs="Times New Roman"/>
          <w:sz w:val="18"/>
          <w:szCs w:val="18"/>
        </w:rPr>
        <w:t xml:space="preserve"> </w:t>
      </w:r>
      <w:r>
        <w:rPr>
          <w:rFonts w:ascii="Times New Roman" w:hAnsi="Times New Roman" w:cs="Times New Roman"/>
          <w:sz w:val="18"/>
          <w:szCs w:val="18"/>
        </w:rPr>
        <w:t>22238366]。FGF2 mRNA和FGFR2 mRNA的表达与淋巴结转移和TNM分期相关。FGF2 mRNA和FGFR2 mRNA的高表达与肺癌患者的肿瘤转移和不良预后有关[PMID: 30013642]。FGFR2表达与女性、组织亚型、年龄较小、低的肿瘤分期有关[PMID: 27785367]</w:t>
      </w:r>
      <w:r>
        <w:rPr>
          <w:rFonts w:hint="eastAsia" w:ascii="Times New Roman" w:hAnsi="Times New Roman" w:cs="Times New Roman"/>
          <w:sz w:val="18"/>
          <w:szCs w:val="18"/>
        </w:rPr>
        <w:t>。目前评估舒尼替尼、安罗替尼、</w:t>
      </w:r>
      <w:r>
        <w:rPr>
          <w:rFonts w:ascii="Times New Roman" w:hAnsi="Times New Roman" w:cs="Times New Roman"/>
          <w:sz w:val="18"/>
          <w:szCs w:val="18"/>
        </w:rPr>
        <w:t>Erdafitinib</w:t>
      </w:r>
      <w:r>
        <w:rPr>
          <w:rFonts w:hint="eastAsia" w:ascii="Times New Roman" w:hAnsi="Times New Roman" w:cs="Times New Roman"/>
          <w:sz w:val="18"/>
          <w:szCs w:val="18"/>
        </w:rPr>
        <w:t>、</w:t>
      </w:r>
      <w:r>
        <w:rPr>
          <w:rFonts w:ascii="Times New Roman" w:hAnsi="Times New Roman" w:cs="Times New Roman"/>
          <w:sz w:val="18"/>
          <w:szCs w:val="18"/>
        </w:rPr>
        <w:t>Infigratinib</w:t>
      </w:r>
      <w:r>
        <w:rPr>
          <w:rFonts w:hint="eastAsia" w:ascii="Times New Roman" w:hAnsi="Times New Roman" w:cs="Times New Roman"/>
          <w:sz w:val="18"/>
          <w:szCs w:val="18"/>
        </w:rPr>
        <w:t>等用于携带F</w:t>
      </w:r>
      <w:r>
        <w:rPr>
          <w:rFonts w:ascii="Times New Roman" w:hAnsi="Times New Roman" w:cs="Times New Roman"/>
          <w:sz w:val="18"/>
          <w:szCs w:val="18"/>
        </w:rPr>
        <w:t>GFR2</w:t>
      </w:r>
      <w:r>
        <w:rPr>
          <w:rFonts w:hint="eastAsia" w:ascii="Times New Roman" w:hAnsi="Times New Roman" w:cs="Times New Roman"/>
          <w:sz w:val="18"/>
          <w:szCs w:val="18"/>
        </w:rPr>
        <w:t>突变/扩增/融合的实体瘤患者疗效的临床试验正在开展。</w:t>
      </w:r>
    </w:p>
    <w:p w14:paraId="5955438C">
      <w:pPr>
        <w:spacing w:line="360" w:lineRule="auto"/>
        <w:ind w:left="420"/>
        <w:rPr>
          <w:rFonts w:ascii="Times New Roman" w:hAnsi="Times New Roman" w:cs="Times New Roman"/>
          <w:sz w:val="18"/>
          <w:szCs w:val="18"/>
        </w:rPr>
      </w:pPr>
    </w:p>
    <w:p w14:paraId="370D342B">
      <w:pPr>
        <w:spacing w:before="120" w:beforeLines="50"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8960" behindDoc="0" locked="0" layoutInCell="1" allowOverlap="1">
                <wp:simplePos x="0" y="0"/>
                <wp:positionH relativeFrom="column">
                  <wp:posOffset>-22860</wp:posOffset>
                </wp:positionH>
                <wp:positionV relativeFrom="paragraph">
                  <wp:posOffset>245745</wp:posOffset>
                </wp:positionV>
                <wp:extent cx="5758815" cy="21590"/>
                <wp:effectExtent l="0" t="9525" r="3810" b="16510"/>
                <wp:wrapNone/>
                <wp:docPr id="31" name="直线 34"/>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4" o:spid="_x0000_s1026" o:spt="20" style="position:absolute;left:0pt;margin-left:-1.8pt;margin-top:19.35pt;height:1.7pt;width:453.45pt;z-index:251688960;mso-width-relative:page;mso-height-relative:page;" filled="f" stroked="t" coordsize="21600,21600" o:gfxdata="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A&#10;fYcG1wAAAAgBAAAPAAAAAAAAAAEAIAAAACIAAABkcnMvZG93bnJldi54bWxQSwECFAAUAAAACACH&#10;TuJABK7G9O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FGFR3                                                                          </w:t>
      </w:r>
    </w:p>
    <w:p w14:paraId="10971517">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F10C111">
      <w:pPr>
        <w:spacing w:line="300" w:lineRule="auto"/>
        <w:ind w:left="420"/>
        <w:rPr>
          <w:rFonts w:ascii="Times New Roman" w:hAnsi="Times New Roman" w:cs="Times New Roman"/>
          <w:sz w:val="18"/>
          <w:szCs w:val="18"/>
        </w:rPr>
      </w:pPr>
      <w:r>
        <w:rPr>
          <w:rFonts w:ascii="Times New Roman" w:hAnsi="Times New Roman" w:cs="Times New Roman"/>
          <w:sz w:val="18"/>
          <w:szCs w:val="18"/>
        </w:rPr>
        <w:t>FGFR3编码的蛋白属于成纤维细胞生长因子受体（FGFR）家族，不同成员间以及进化过程中，氨基酸序列高度保守。FGFR家族成员间配体亲和力和组织相容性不同。完整的蛋白包括一个由三个类免疫球蛋白结构域构成的细胞外区域、一个跨膜疏水区和一个酪氨酸激酶结构域。FGFR3蛋白胞外部分接触纤维细胞生长因子（FGF），触发下游信号转导，进而影响细胞有丝分裂和分化。FGFR3突变激活会导致一些常染色体显性遗传疾病如致死性侏儒症、软骨发育不全等。大多数FGFR3为单个点突变，膀胱癌中最常见的点突变是S249C（占56%）。FGFR3的融合主要发生在神经胶质瘤，其次是膀胱癌。FGFR3在非小细胞肺癌中的扩增突变频率约为0.5-2%。</w:t>
      </w:r>
    </w:p>
    <w:p w14:paraId="10CB5503">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63891187">
      <w:pPr>
        <w:spacing w:line="360" w:lineRule="auto"/>
        <w:ind w:left="420"/>
        <w:rPr>
          <w:rFonts w:ascii="Times New Roman" w:hAnsi="Times New Roman" w:cs="Times New Roman"/>
          <w:sz w:val="18"/>
          <w:szCs w:val="18"/>
        </w:rPr>
      </w:pPr>
      <w:r>
        <w:rPr>
          <w:rFonts w:ascii="Times New Roman" w:hAnsi="Times New Roman" w:cs="Times New Roman"/>
          <w:sz w:val="18"/>
          <w:szCs w:val="18"/>
        </w:rPr>
        <w:t>在一些肺腺癌患者中会有FGFR3-TACC3融合检出，这些病人可以考虑FGFR抑制剂的临床试验[PMID:</w:t>
      </w:r>
      <w:r>
        <w:rPr>
          <w:rFonts w:hint="eastAsia" w:ascii="Times New Roman" w:hAnsi="Times New Roman" w:cs="Times New Roman"/>
          <w:sz w:val="18"/>
          <w:szCs w:val="18"/>
        </w:rPr>
        <w:t xml:space="preserve"> </w:t>
      </w:r>
      <w:r>
        <w:rPr>
          <w:rFonts w:ascii="Times New Roman" w:hAnsi="Times New Roman" w:cs="Times New Roman"/>
          <w:sz w:val="18"/>
          <w:szCs w:val="18"/>
        </w:rPr>
        <w:t>25294908]。在I期临床试验中，Erdafitinib治疗携带FGFR1-4激活突变（包括扩增，突变和易位）的晚期实体瘤患者，导致70％（16/23）患者疾病稳定，22％（5/23）患者部分缓解，在FGFR未知或FGFR未知变异患者中未观察到抗肿瘤活性[PMID:</w:t>
      </w:r>
      <w:r>
        <w:rPr>
          <w:rFonts w:hint="eastAsia" w:ascii="Times New Roman" w:hAnsi="Times New Roman" w:cs="Times New Roman"/>
          <w:sz w:val="18"/>
          <w:szCs w:val="18"/>
        </w:rPr>
        <w:t xml:space="preserve"> </w:t>
      </w:r>
      <w:r>
        <w:rPr>
          <w:rFonts w:ascii="Times New Roman" w:hAnsi="Times New Roman" w:cs="Times New Roman"/>
          <w:sz w:val="18"/>
          <w:szCs w:val="18"/>
        </w:rPr>
        <w:t>26324363]。在一项临床前研究中，携带FGFR3突变的肿瘤细胞系对Infigratinib敏感[PMID:</w:t>
      </w:r>
      <w:r>
        <w:rPr>
          <w:rFonts w:hint="eastAsia" w:ascii="Times New Roman" w:hAnsi="Times New Roman" w:cs="Times New Roman"/>
          <w:sz w:val="18"/>
          <w:szCs w:val="18"/>
        </w:rPr>
        <w:t xml:space="preserve"> </w:t>
      </w:r>
      <w:r>
        <w:rPr>
          <w:rFonts w:ascii="Times New Roman" w:hAnsi="Times New Roman" w:cs="Times New Roman"/>
          <w:sz w:val="18"/>
          <w:szCs w:val="18"/>
        </w:rPr>
        <w:t>23002168]。</w:t>
      </w:r>
      <w:r>
        <w:rPr>
          <w:rFonts w:hint="eastAsia" w:ascii="Times New Roman" w:hAnsi="Times New Roman" w:cs="Times New Roman"/>
          <w:sz w:val="18"/>
          <w:szCs w:val="18"/>
        </w:rPr>
        <w:t>目前评估舒尼替尼、安罗替尼、</w:t>
      </w:r>
      <w:r>
        <w:rPr>
          <w:rFonts w:ascii="Times New Roman" w:hAnsi="Times New Roman" w:cs="Times New Roman"/>
          <w:sz w:val="18"/>
          <w:szCs w:val="18"/>
        </w:rPr>
        <w:t>Erdafitinib</w:t>
      </w:r>
      <w:r>
        <w:rPr>
          <w:rFonts w:hint="eastAsia" w:ascii="Times New Roman" w:hAnsi="Times New Roman" w:cs="Times New Roman"/>
          <w:sz w:val="18"/>
          <w:szCs w:val="18"/>
        </w:rPr>
        <w:t>、</w:t>
      </w:r>
      <w:r>
        <w:rPr>
          <w:rFonts w:ascii="Times New Roman" w:hAnsi="Times New Roman" w:cs="Times New Roman"/>
          <w:sz w:val="18"/>
          <w:szCs w:val="18"/>
        </w:rPr>
        <w:t>Infigratinib</w:t>
      </w:r>
      <w:r>
        <w:rPr>
          <w:rFonts w:hint="eastAsia" w:ascii="Times New Roman" w:hAnsi="Times New Roman" w:cs="Times New Roman"/>
          <w:sz w:val="18"/>
          <w:szCs w:val="18"/>
        </w:rPr>
        <w:t>等用于携带F</w:t>
      </w:r>
      <w:r>
        <w:rPr>
          <w:rFonts w:ascii="Times New Roman" w:hAnsi="Times New Roman" w:cs="Times New Roman"/>
          <w:sz w:val="18"/>
          <w:szCs w:val="18"/>
        </w:rPr>
        <w:t>GFR3</w:t>
      </w:r>
      <w:r>
        <w:rPr>
          <w:rFonts w:hint="eastAsia" w:ascii="Times New Roman" w:hAnsi="Times New Roman" w:cs="Times New Roman"/>
          <w:sz w:val="18"/>
          <w:szCs w:val="18"/>
        </w:rPr>
        <w:t>突变/扩增/融合的实体瘤患者疗效的临床试验正在开展。</w:t>
      </w:r>
    </w:p>
    <w:p w14:paraId="1C726626">
      <w:pPr>
        <w:spacing w:line="360" w:lineRule="auto"/>
        <w:rPr>
          <w:rFonts w:ascii="Times New Roman" w:hAnsi="Times New Roman" w:cs="Times New Roman"/>
          <w:sz w:val="18"/>
          <w:szCs w:val="18"/>
        </w:rPr>
      </w:pPr>
    </w:p>
    <w:p w14:paraId="6BC58E2D">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6368"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55" name="直线 35"/>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5" o:spid="_x0000_s1026" o:spt="20" style="position:absolute;left:0pt;margin-left:-2.6pt;margin-top:12.55pt;height:1.7pt;width:453.4pt;z-index:25170636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OWaDyP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FGFR4                                                                          </w:t>
      </w:r>
    </w:p>
    <w:p w14:paraId="14EC5467">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496EB73A">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FGFR4基因编码成纤维细胞表面生长因子受体。该蛋白含有一个胞外区域，该区域由三个免疫球蛋白样结构域、一个疏水性跨膜片段和一个胞质酪氨酸激酶结构域组成。胞外区域与成纤维细胞生长因子相互作用，启动一系列下游信号，最终影响有丝分裂和分化，参与细胞增殖、细胞分化、细胞迁移、脂质代谢、胆汁酸生物合成、维生素D代谢、葡萄糖摄取、磷酸盐稳态等多种途径的调控。目前FGFR4的错义突变、无义突变、沉默突变、移码突变和缺失突变在子宫内膜癌、肠癌和皮肤癌中均有发现。与FGFR4相关的疾病包括肺腺癌、乳腺瘤、子宫癌、肠癌等。FGFR4融合在FGFR家族的四个基因中最为少见，在所有癌症中的突变频率为1.54%。 </w:t>
      </w:r>
    </w:p>
    <w:p w14:paraId="377814AC">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4BDD3D8">
      <w:pPr>
        <w:spacing w:line="300" w:lineRule="auto"/>
        <w:ind w:left="420"/>
        <w:rPr>
          <w:rFonts w:ascii="Times New Roman" w:hAnsi="Times New Roman" w:cs="Times New Roman"/>
          <w:sz w:val="18"/>
          <w:szCs w:val="18"/>
        </w:rPr>
      </w:pPr>
      <w:r>
        <w:rPr>
          <w:rFonts w:ascii="Times New Roman" w:hAnsi="Times New Roman" w:cs="Times New Roman"/>
          <w:sz w:val="18"/>
          <w:szCs w:val="18"/>
        </w:rPr>
        <w:t>在临床前研究中，FGFR4-R388的BON1肿瘤细胞对依维莫司的敏感性降低[PMID:</w:t>
      </w:r>
      <w:r>
        <w:rPr>
          <w:rFonts w:hint="eastAsia" w:ascii="Times New Roman" w:hAnsi="Times New Roman" w:cs="Times New Roman"/>
          <w:sz w:val="18"/>
          <w:szCs w:val="18"/>
        </w:rPr>
        <w:t xml:space="preserve"> </w:t>
      </w:r>
      <w:r>
        <w:rPr>
          <w:rFonts w:ascii="Times New Roman" w:hAnsi="Times New Roman" w:cs="Times New Roman"/>
          <w:sz w:val="18"/>
          <w:szCs w:val="18"/>
        </w:rPr>
        <w:t>22986737]。Erdafitinib、LY2874455均为泛FGFR抑制剂，在初期的临床试验中表现出一定的疗效。FGFR4在非小细胞肺癌中高表达（46.8%，111/237），FGFR4表达与肿瘤直径显著相关（P=0.039）[PMID：26045670]。除此之外，还有Lucitanib等泛FGFR抑制剂具有相关的临床实验。</w:t>
      </w:r>
      <w:r>
        <w:rPr>
          <w:rFonts w:hint="eastAsia" w:ascii="Times New Roman" w:hAnsi="Times New Roman" w:cs="Times New Roman"/>
          <w:sz w:val="18"/>
          <w:szCs w:val="18"/>
        </w:rPr>
        <w:t>目前评估安罗替尼、</w:t>
      </w:r>
      <w:r>
        <w:rPr>
          <w:rFonts w:ascii="Times New Roman" w:hAnsi="Times New Roman" w:cs="Times New Roman"/>
          <w:sz w:val="18"/>
          <w:szCs w:val="18"/>
        </w:rPr>
        <w:t>Erdafitinib</w:t>
      </w:r>
      <w:r>
        <w:rPr>
          <w:rFonts w:hint="eastAsia" w:ascii="Times New Roman" w:hAnsi="Times New Roman" w:cs="Times New Roman"/>
          <w:sz w:val="18"/>
          <w:szCs w:val="18"/>
        </w:rPr>
        <w:t>、</w:t>
      </w:r>
      <w:r>
        <w:rPr>
          <w:rFonts w:ascii="Times New Roman" w:hAnsi="Times New Roman" w:cs="Times New Roman"/>
          <w:sz w:val="18"/>
          <w:szCs w:val="18"/>
        </w:rPr>
        <w:t>Infigratinib</w:t>
      </w:r>
      <w:r>
        <w:rPr>
          <w:rFonts w:hint="eastAsia" w:ascii="Times New Roman" w:hAnsi="Times New Roman" w:cs="Times New Roman"/>
          <w:sz w:val="18"/>
          <w:szCs w:val="18"/>
        </w:rPr>
        <w:t>等用于携带F</w:t>
      </w:r>
      <w:r>
        <w:rPr>
          <w:rFonts w:ascii="Times New Roman" w:hAnsi="Times New Roman" w:cs="Times New Roman"/>
          <w:sz w:val="18"/>
          <w:szCs w:val="18"/>
        </w:rPr>
        <w:t>GFR4</w:t>
      </w:r>
      <w:r>
        <w:rPr>
          <w:rFonts w:hint="eastAsia" w:ascii="Times New Roman" w:hAnsi="Times New Roman" w:cs="Times New Roman"/>
          <w:sz w:val="18"/>
          <w:szCs w:val="18"/>
        </w:rPr>
        <w:t>突变/扩增/融合的实体瘤患者疗效的临床试验正在开展。</w:t>
      </w:r>
    </w:p>
    <w:p w14:paraId="5174B246">
      <w:pPr>
        <w:spacing w:line="300" w:lineRule="auto"/>
        <w:ind w:left="420"/>
        <w:rPr>
          <w:rFonts w:ascii="Times New Roman" w:hAnsi="Times New Roman" w:cs="Times New Roman"/>
          <w:sz w:val="18"/>
          <w:szCs w:val="18"/>
          <w:highlight w:val="black"/>
        </w:rPr>
      </w:pPr>
    </w:p>
    <w:p w14:paraId="04E8191A">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65408"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6" name="直线 36"/>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6" o:spid="_x0000_s1026" o:spt="20" style="position:absolute;left:0pt;margin-left:-2.6pt;margin-top:12.55pt;height:1.7pt;width:453.4pt;z-index:-251651072;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HhF+NekBAADf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 xml:space="preserve">GNA11                                                                          </w:t>
      </w:r>
    </w:p>
    <w:p w14:paraId="57179C9D">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3FE00648">
      <w:pPr>
        <w:spacing w:line="300" w:lineRule="auto"/>
        <w:ind w:left="420"/>
        <w:rPr>
          <w:rFonts w:ascii="Times New Roman" w:hAnsi="Times New Roman" w:cs="Times New Roman"/>
          <w:sz w:val="18"/>
          <w:szCs w:val="18"/>
        </w:rPr>
      </w:pPr>
      <w:r>
        <w:rPr>
          <w:rFonts w:ascii="Times New Roman" w:hAnsi="Times New Roman" w:cs="Times New Roman"/>
          <w:sz w:val="18"/>
          <w:szCs w:val="18"/>
        </w:rPr>
        <w:t>GNA11基因编码的蛋白属于鸟嘌呤核苷酸结合蛋白(G蛋白)家族，在各种跨膜信号系统中起调节或转导作用。G蛋白由α、β和γ3个单元组成。GNA11编码其中一个亚基(α-11亚基)。该基因的突变与II型低钙血症(HHC2)和II型显性低钙血症(HYPOC2)有关，其中HHC2患者对细胞外钙浓度变化的敏感性降低而HYPOC2患者对细胞外钙浓度变化的敏感性升高。致癌突变导致组成型活性Gα亚基[PMID</w:t>
      </w:r>
      <w:r>
        <w:rPr>
          <w:rFonts w:hint="eastAsia" w:ascii="Times New Roman" w:hAnsi="Times New Roman" w:cs="Times New Roman"/>
          <w:sz w:val="18"/>
          <w:szCs w:val="18"/>
        </w:rPr>
        <w:t xml:space="preserve">: </w:t>
      </w:r>
      <w:r>
        <w:rPr>
          <w:rFonts w:ascii="Times New Roman" w:hAnsi="Times New Roman" w:cs="Times New Roman"/>
          <w:sz w:val="18"/>
          <w:szCs w:val="18"/>
        </w:rPr>
        <w:t>1328859; PMID</w:t>
      </w:r>
      <w:r>
        <w:rPr>
          <w:rFonts w:hint="eastAsia" w:ascii="Times New Roman" w:hAnsi="Times New Roman" w:cs="Times New Roman"/>
          <w:sz w:val="18"/>
          <w:szCs w:val="18"/>
        </w:rPr>
        <w:t xml:space="preserve">: </w:t>
      </w:r>
      <w:r>
        <w:rPr>
          <w:rFonts w:ascii="Times New Roman" w:hAnsi="Times New Roman" w:cs="Times New Roman"/>
          <w:sz w:val="18"/>
          <w:szCs w:val="18"/>
        </w:rPr>
        <w:t>2549426]。受体激活导致Gα亚基与Gßγ分离，继而Gα和Gßγ都可以激活下游细胞信号通路[PMID</w:t>
      </w:r>
      <w:r>
        <w:rPr>
          <w:rFonts w:hint="eastAsia" w:ascii="Times New Roman" w:hAnsi="Times New Roman" w:cs="Times New Roman"/>
          <w:sz w:val="18"/>
          <w:szCs w:val="18"/>
        </w:rPr>
        <w:t>:</w:t>
      </w:r>
      <w:r>
        <w:rPr>
          <w:rFonts w:ascii="Times New Roman" w:hAnsi="Times New Roman" w:cs="Times New Roman"/>
          <w:sz w:val="18"/>
          <w:szCs w:val="18"/>
        </w:rPr>
        <w:t xml:space="preserve"> 1328859</w:t>
      </w:r>
      <w:r>
        <w:rPr>
          <w:rFonts w:hint="eastAsia" w:ascii="Times New Roman" w:hAnsi="Times New Roman" w:cs="Times New Roman"/>
          <w:sz w:val="18"/>
          <w:szCs w:val="18"/>
        </w:rPr>
        <w:t>;</w:t>
      </w:r>
      <w:r>
        <w:rPr>
          <w:rFonts w:ascii="Times New Roman" w:hAnsi="Times New Roman" w:cs="Times New Roman"/>
          <w:sz w:val="18"/>
          <w:szCs w:val="18"/>
        </w:rPr>
        <w:t xml:space="preserve"> PMID</w:t>
      </w:r>
      <w:r>
        <w:rPr>
          <w:rFonts w:hint="eastAsia" w:ascii="Times New Roman" w:hAnsi="Times New Roman" w:cs="Times New Roman"/>
          <w:sz w:val="18"/>
          <w:szCs w:val="18"/>
        </w:rPr>
        <w:t>:</w:t>
      </w:r>
      <w:r>
        <w:rPr>
          <w:rFonts w:ascii="Times New Roman" w:hAnsi="Times New Roman" w:cs="Times New Roman"/>
          <w:sz w:val="18"/>
          <w:szCs w:val="18"/>
        </w:rPr>
        <w:t xml:space="preserve"> 2549426]。在80%的葡萄膜黑色素瘤病人中发现GNA11和GNAQ基因的突变，其机制为基因突变导致MEK的异常激活。在所有葡萄膜黑色素瘤、结肠腺癌、肺腺癌、乳腺浸润性导管癌和高级别卵巢浆液性腺癌中，约有0.67％的GNA11发生了突变。 </w:t>
      </w:r>
    </w:p>
    <w:p w14:paraId="105DCA6E">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792BA25E">
      <w:pPr>
        <w:spacing w:line="300" w:lineRule="auto"/>
        <w:ind w:left="420"/>
        <w:rPr>
          <w:rFonts w:ascii="Times New Roman" w:hAnsi="Times New Roman" w:cs="Times New Roman"/>
          <w:sz w:val="18"/>
          <w:szCs w:val="18"/>
        </w:rPr>
      </w:pPr>
      <w:r>
        <w:rPr>
          <w:rFonts w:ascii="Times New Roman" w:hAnsi="Times New Roman" w:cs="Times New Roman"/>
          <w:sz w:val="18"/>
          <w:szCs w:val="18"/>
        </w:rPr>
        <w:t>一项随机临床试验研究了司美替尼对比化疗用于葡萄膜黑色素瘤患者对无进展生存率的影响：98例患者随机分组，96例可评估无进展生存期，对于随机接受化疗的患者（n=49），中位无进展生存期为7周，司美替尼为15.9周，在携带GNAQ或GNA11突变的肿瘤患者（n=80）中观察到类似的改善（GNA11 Q209L：Q209P为53：1）[PMID:</w:t>
      </w:r>
      <w:r>
        <w:rPr>
          <w:rFonts w:hint="eastAsia" w:ascii="Times New Roman" w:hAnsi="Times New Roman" w:cs="Times New Roman"/>
          <w:sz w:val="18"/>
          <w:szCs w:val="18"/>
        </w:rPr>
        <w:t xml:space="preserve"> </w:t>
      </w:r>
      <w:r>
        <w:rPr>
          <w:rFonts w:ascii="Times New Roman" w:hAnsi="Times New Roman" w:cs="Times New Roman"/>
          <w:sz w:val="18"/>
          <w:szCs w:val="18"/>
        </w:rPr>
        <w:t>24938562]。在一项临床前研究中，GNA11 Q209L突变体葡萄膜黑色素瘤细胞系生长与野生型细胞相比对曲美替尼更敏感</w:t>
      </w:r>
      <w:r>
        <w:rPr>
          <w:rFonts w:hint="eastAsia" w:ascii="Times New Roman" w:hAnsi="Times New Roman" w:cs="Times New Roman"/>
          <w:sz w:val="18"/>
          <w:szCs w:val="18"/>
        </w:rPr>
        <w:t>；</w:t>
      </w:r>
      <w:r>
        <w:rPr>
          <w:rFonts w:ascii="Times New Roman" w:hAnsi="Times New Roman" w:cs="Times New Roman"/>
          <w:sz w:val="18"/>
          <w:szCs w:val="18"/>
        </w:rPr>
        <w:t>曲美替尼联合Omipalisib能够在大多数GNA11 Q209L突变葡萄膜黑色素瘤细胞系中强烈诱导凋亡性死亡[PMID:</w:t>
      </w:r>
      <w:r>
        <w:rPr>
          <w:rFonts w:hint="eastAsia" w:ascii="Times New Roman" w:hAnsi="Times New Roman" w:cs="Times New Roman"/>
          <w:sz w:val="18"/>
          <w:szCs w:val="18"/>
        </w:rPr>
        <w:t xml:space="preserve"> </w:t>
      </w:r>
      <w:r>
        <w:rPr>
          <w:rFonts w:ascii="Times New Roman" w:hAnsi="Times New Roman" w:cs="Times New Roman"/>
          <w:sz w:val="18"/>
          <w:szCs w:val="18"/>
        </w:rPr>
        <w:t>22733540]。目前</w:t>
      </w:r>
      <w:r>
        <w:rPr>
          <w:rFonts w:hint="eastAsia" w:ascii="Times New Roman" w:hAnsi="Times New Roman" w:cs="Times New Roman"/>
          <w:sz w:val="18"/>
          <w:szCs w:val="18"/>
        </w:rPr>
        <w:t>评估曲美替尼用于</w:t>
      </w:r>
      <w:r>
        <w:rPr>
          <w:rFonts w:ascii="Times New Roman" w:hAnsi="Times New Roman" w:cs="Times New Roman"/>
          <w:sz w:val="18"/>
          <w:szCs w:val="18"/>
        </w:rPr>
        <w:t>携带GNAQ和GNA11基因突变的实体瘤患者</w:t>
      </w:r>
      <w:r>
        <w:rPr>
          <w:rFonts w:hint="eastAsia" w:ascii="Times New Roman" w:hAnsi="Times New Roman" w:cs="Times New Roman"/>
          <w:sz w:val="18"/>
          <w:szCs w:val="18"/>
        </w:rPr>
        <w:t>疗效的临床试验正在开展</w:t>
      </w:r>
      <w:r>
        <w:rPr>
          <w:rFonts w:ascii="Times New Roman" w:hAnsi="Times New Roman" w:cs="Times New Roman"/>
          <w:sz w:val="18"/>
          <w:szCs w:val="18"/>
        </w:rPr>
        <w:t>。</w:t>
      </w:r>
    </w:p>
    <w:p w14:paraId="1A00EA22">
      <w:pPr>
        <w:spacing w:line="300" w:lineRule="auto"/>
        <w:ind w:left="420"/>
        <w:rPr>
          <w:rFonts w:ascii="Times New Roman" w:hAnsi="Times New Roman" w:cs="Times New Roman"/>
          <w:sz w:val="18"/>
          <w:szCs w:val="18"/>
        </w:rPr>
      </w:pPr>
    </w:p>
    <w:p w14:paraId="3022E91A">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9744"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22" name="直线 37"/>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7" o:spid="_x0000_s1026" o:spt="20" style="position:absolute;left:0pt;margin-left:-2.6pt;margin-top:12.55pt;height:1.7pt;width:453.4pt;z-index:-251636736;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ADk2Fs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 GNAQ                                                                         </w:t>
      </w:r>
    </w:p>
    <w:p w14:paraId="4655609D">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54683C87">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GNAQ编码一种鸟嘌呤核苷酸结合蛋白，是Gq class中的一个亚基，能将一个七跨膜域受体与磷酸脂酶c激活配对。GNAQ的过表达增强了信号转导与转录激活因子的活性，该基因突变与血小板活化和聚集相关。在80%的葡萄膜黑色素瘤病人中发现GNA11和GNAQ基因的突变，其机制为基因突变导致MEK的异常激活。在所有葡萄膜黑素瘤，肺腺癌，结肠腺癌，黑素瘤和膀胱尿路上皮癌中，有0.56％的GNAQ发生了突变。 </w:t>
      </w:r>
    </w:p>
    <w:p w14:paraId="3DE6EA8C">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5EC0DF17">
      <w:pPr>
        <w:spacing w:line="300" w:lineRule="auto"/>
        <w:ind w:left="420"/>
        <w:rPr>
          <w:rFonts w:ascii="Times New Roman" w:hAnsi="Times New Roman" w:cs="Times New Roman"/>
          <w:sz w:val="18"/>
          <w:szCs w:val="18"/>
        </w:rPr>
      </w:pPr>
      <w:r>
        <w:rPr>
          <w:rFonts w:ascii="Times New Roman" w:hAnsi="Times New Roman" w:cs="Times New Roman"/>
          <w:sz w:val="18"/>
          <w:szCs w:val="18"/>
        </w:rPr>
        <w:t>一项随机临床试验研究了司美替尼对比化疗用于葡萄膜黑色素瘤患者对无进展生存率的影响。98例患者随机分组，96例可评估无进展生存期。对于随机接受化疗的患者（n=49），中位无进展生存期为7周，司美替尼为15.9周，在携带GNAQ或GNA11突变的肿瘤患者（n=80）中观察到类似的改善[PMID:</w:t>
      </w:r>
      <w:r>
        <w:rPr>
          <w:rFonts w:hint="eastAsia" w:ascii="Times New Roman" w:hAnsi="Times New Roman" w:cs="Times New Roman"/>
          <w:sz w:val="18"/>
          <w:szCs w:val="18"/>
        </w:rPr>
        <w:t xml:space="preserve"> </w:t>
      </w:r>
      <w:r>
        <w:rPr>
          <w:rFonts w:ascii="Times New Roman" w:hAnsi="Times New Roman" w:cs="Times New Roman"/>
          <w:sz w:val="18"/>
          <w:szCs w:val="18"/>
        </w:rPr>
        <w:t>24938562]。在一项临床研究中，曲美替尼与Omipalisib的组合在大多数GNAQ Q209L突变葡萄膜黑色素瘤细胞系中强烈诱导凋亡性死亡[PMID:</w:t>
      </w:r>
      <w:r>
        <w:rPr>
          <w:rFonts w:hint="eastAsia" w:ascii="Times New Roman" w:hAnsi="Times New Roman" w:cs="Times New Roman"/>
          <w:sz w:val="18"/>
          <w:szCs w:val="18"/>
        </w:rPr>
        <w:t xml:space="preserve"> </w:t>
      </w:r>
      <w:r>
        <w:rPr>
          <w:rFonts w:ascii="Times New Roman" w:hAnsi="Times New Roman" w:cs="Times New Roman"/>
          <w:sz w:val="18"/>
          <w:szCs w:val="18"/>
        </w:rPr>
        <w:t>22733540]。目前小分子抑制剂IDE196</w:t>
      </w:r>
      <w:r>
        <w:rPr>
          <w:rFonts w:hint="eastAsia" w:ascii="Times New Roman" w:hAnsi="Times New Roman" w:cs="Times New Roman"/>
          <w:sz w:val="18"/>
          <w:szCs w:val="18"/>
        </w:rPr>
        <w:t>、曲美替尼</w:t>
      </w:r>
      <w:r>
        <w:rPr>
          <w:rFonts w:ascii="Times New Roman" w:hAnsi="Times New Roman" w:cs="Times New Roman"/>
          <w:sz w:val="18"/>
          <w:szCs w:val="18"/>
        </w:rPr>
        <w:t>在携带GNAQ和GNA11基因突变的实体瘤患者</w:t>
      </w:r>
      <w:r>
        <w:rPr>
          <w:rFonts w:hint="eastAsia" w:ascii="Times New Roman" w:hAnsi="Times New Roman" w:cs="Times New Roman"/>
          <w:sz w:val="18"/>
          <w:szCs w:val="18"/>
        </w:rPr>
        <w:t>的临床试验正在开展</w:t>
      </w:r>
      <w:r>
        <w:rPr>
          <w:rFonts w:ascii="Times New Roman" w:hAnsi="Times New Roman" w:cs="Times New Roman"/>
          <w:sz w:val="18"/>
          <w:szCs w:val="18"/>
        </w:rPr>
        <w:t>。</w:t>
      </w:r>
    </w:p>
    <w:p w14:paraId="283B5437">
      <w:pPr>
        <w:spacing w:line="300" w:lineRule="auto"/>
        <w:ind w:left="420"/>
        <w:rPr>
          <w:rFonts w:ascii="Times New Roman" w:hAnsi="Times New Roman" w:cs="Times New Roman"/>
          <w:sz w:val="18"/>
          <w:szCs w:val="18"/>
        </w:rPr>
      </w:pPr>
    </w:p>
    <w:p w14:paraId="071A9A2D">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9984"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32" name="直线 3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8" o:spid="_x0000_s1026" o:spt="20" style="position:absolute;left:0pt;margin-left:-2.6pt;margin-top:12.55pt;height:1.7pt;width:453.4pt;z-index:25168998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C4r1gp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HRAS                                                                         </w:t>
      </w:r>
    </w:p>
    <w:p w14:paraId="22995BCF">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7063D529">
      <w:pPr>
        <w:spacing w:line="300" w:lineRule="auto"/>
        <w:ind w:left="420"/>
        <w:rPr>
          <w:rFonts w:ascii="Times New Roman" w:hAnsi="Times New Roman" w:cs="Times New Roman"/>
          <w:sz w:val="18"/>
          <w:szCs w:val="18"/>
        </w:rPr>
      </w:pPr>
      <w:r>
        <w:rPr>
          <w:rFonts w:ascii="Times New Roman" w:hAnsi="Times New Roman" w:cs="Times New Roman"/>
          <w:sz w:val="18"/>
          <w:szCs w:val="18"/>
        </w:rPr>
        <w:t>HRAS基因属于Ras致癌基因家族，该家族成员与哺乳动物肉瘤逆转录病毒的转化基因相关，其编码蛋白可与GTP、GDP结合，具有GTP酶活性，在细胞内信号传递和细胞增殖、分化、凋亡等基本生理功能中起着关键和核心作用。通过连续的去棕榈酰化和再棕榈酰化的循环，调节它在质膜和高尔基体之间的快速交换。HRAS基因缺陷参与了众多肿瘤的发生，包括膀胱癌、滤泡甲状腺癌、口腔鳞状细胞癌、胃癌、非小细胞肺癌等，同时可作为判断肿瘤侵袭性程度的可靠生物学指标。RAS基因常见突变为其第12、13、61位氨基酸的激活突变。膀胱癌患者HRAS基因体细胞突变G12V是一种激活突变，激活下游信号途径，引起细胞分裂不受控制，导致肿瘤发生，并能增加治疗后的复发风险。HRAS基因的激活突变（Q61K）还与甲状腺癌和肾癌发生相关；研究显示HRAS基因激活突变可能增加细胞对MEK抑制剂的响应。G12V突变在肾母细胞瘤（Wilms肿瘤）发生频率为42%。另外HRAS基因表达水平的升高与肿瘤的发生相关。研究表明HRAS在侵袭性垂体腺瘤组织中的表达量显著高于非侵袭垂体腺瘤组织。</w:t>
      </w:r>
    </w:p>
    <w:p w14:paraId="40F5723E">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32C812D">
      <w:pPr>
        <w:spacing w:line="300" w:lineRule="auto"/>
        <w:ind w:left="420"/>
        <w:rPr>
          <w:rFonts w:ascii="Times New Roman" w:hAnsi="Times New Roman" w:cs="Times New Roman"/>
          <w:sz w:val="18"/>
          <w:szCs w:val="18"/>
        </w:rPr>
      </w:pPr>
      <w:r>
        <w:rPr>
          <w:rFonts w:ascii="Times New Roman" w:hAnsi="Times New Roman" w:cs="Times New Roman"/>
          <w:sz w:val="18"/>
          <w:szCs w:val="18"/>
        </w:rPr>
        <w:t>在一项临床前研究中，司美替尼和依维莫司联合降低了ERK和S6的磷酸化，并协同抑制携带HRAS G12V的膀胱癌细胞系的生长[PMID:</w:t>
      </w:r>
      <w:r>
        <w:rPr>
          <w:rFonts w:hint="eastAsia" w:ascii="Times New Roman" w:hAnsi="Times New Roman" w:cs="Times New Roman"/>
          <w:sz w:val="18"/>
          <w:szCs w:val="18"/>
        </w:rPr>
        <w:t xml:space="preserve"> </w:t>
      </w:r>
      <w:r>
        <w:rPr>
          <w:rFonts w:ascii="Times New Roman" w:hAnsi="Times New Roman" w:cs="Times New Roman"/>
          <w:sz w:val="18"/>
          <w:szCs w:val="18"/>
        </w:rPr>
        <w:t>26544513]。动物模型研究中，携带HRAS Q61L的Ba/F3细胞系在接受司美替尼治疗后肿瘤生长受到抑制，携带HRAS Q61L的小鼠肺鳞癌模型在接受司美替尼联合依维莫司治疗后肿瘤生长受到抑制，并且两药联合使用的有效性优于单药使用[PMID:</w:t>
      </w:r>
      <w:r>
        <w:rPr>
          <w:rFonts w:hint="eastAsia" w:ascii="Times New Roman" w:hAnsi="Times New Roman" w:cs="Times New Roman"/>
          <w:sz w:val="18"/>
          <w:szCs w:val="18"/>
        </w:rPr>
        <w:t xml:space="preserve"> </w:t>
      </w:r>
      <w:r>
        <w:rPr>
          <w:rFonts w:ascii="Times New Roman" w:hAnsi="Times New Roman" w:cs="Times New Roman"/>
          <w:sz w:val="18"/>
          <w:szCs w:val="18"/>
        </w:rPr>
        <w:t>26544513]。在临床前研究中，携带HRAS Q61R的转化细胞对依维莫司的处理敏感[PMID: 26544513]。</w:t>
      </w:r>
      <w:r>
        <w:rPr>
          <w:rFonts w:hint="eastAsia" w:ascii="Times New Roman" w:hAnsi="Times New Roman" w:cs="Times New Roman"/>
          <w:sz w:val="18"/>
          <w:szCs w:val="18"/>
        </w:rPr>
        <w:t>在头颈部鳞状细胞癌和转移性尿路上皮癌中，</w:t>
      </w:r>
      <w:r>
        <w:rPr>
          <w:rFonts w:ascii="Times New Roman" w:hAnsi="Times New Roman" w:cs="Times New Roman"/>
          <w:sz w:val="18"/>
          <w:szCs w:val="18"/>
        </w:rPr>
        <w:t>HRAS突变对Tipifarnib敏感[Cancer Discov. 9, 1637–1638 (2019); PMID: 32636318]。</w:t>
      </w:r>
      <w:r>
        <w:rPr>
          <w:rFonts w:hint="eastAsia" w:ascii="Times New Roman" w:hAnsi="Times New Roman" w:cs="Times New Roman"/>
          <w:sz w:val="18"/>
          <w:szCs w:val="18"/>
        </w:rPr>
        <w:t>目前索拉非尼、</w:t>
      </w:r>
      <w:r>
        <w:rPr>
          <w:rFonts w:ascii="Times New Roman" w:hAnsi="Times New Roman" w:cs="Times New Roman"/>
          <w:sz w:val="18"/>
          <w:szCs w:val="18"/>
        </w:rPr>
        <w:t>BPI27336</w:t>
      </w:r>
      <w:r>
        <w:rPr>
          <w:rFonts w:hint="eastAsia" w:ascii="Times New Roman" w:hAnsi="Times New Roman" w:cs="Times New Roman"/>
          <w:sz w:val="18"/>
          <w:szCs w:val="18"/>
        </w:rPr>
        <w:t>用于H</w:t>
      </w:r>
      <w:r>
        <w:rPr>
          <w:rFonts w:ascii="Times New Roman" w:hAnsi="Times New Roman" w:cs="Times New Roman"/>
          <w:sz w:val="18"/>
          <w:szCs w:val="18"/>
        </w:rPr>
        <w:t>RAS</w:t>
      </w:r>
      <w:r>
        <w:rPr>
          <w:rFonts w:hint="eastAsia" w:ascii="Times New Roman" w:hAnsi="Times New Roman" w:cs="Times New Roman"/>
          <w:sz w:val="18"/>
          <w:szCs w:val="18"/>
        </w:rPr>
        <w:t>突变实体瘤患者的临床试验正在展开。</w:t>
      </w:r>
    </w:p>
    <w:p w14:paraId="7D646E37">
      <w:pPr>
        <w:spacing w:line="300" w:lineRule="auto"/>
        <w:ind w:left="420"/>
        <w:rPr>
          <w:rFonts w:ascii="Times New Roman" w:hAnsi="Times New Roman" w:cs="Times New Roman"/>
          <w:sz w:val="18"/>
          <w:szCs w:val="18"/>
        </w:rPr>
      </w:pPr>
    </w:p>
    <w:p w14:paraId="10E53024">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7392"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56" name="直线 39"/>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9" o:spid="_x0000_s1026" o:spt="20" style="position:absolute;left:0pt;margin-left:-2.6pt;margin-top:12.55pt;height:1.7pt;width:453.4pt;z-index:251707392;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NkSVYT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IDH1                                                                          </w:t>
      </w:r>
    </w:p>
    <w:p w14:paraId="437487CE">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688AC28D">
      <w:pPr>
        <w:spacing w:line="300" w:lineRule="auto"/>
        <w:ind w:left="420"/>
        <w:rPr>
          <w:rFonts w:ascii="Times New Roman" w:hAnsi="Times New Roman" w:cs="Times New Roman"/>
          <w:sz w:val="18"/>
          <w:szCs w:val="18"/>
        </w:rPr>
      </w:pPr>
      <w:r>
        <w:rPr>
          <w:rFonts w:ascii="Times New Roman" w:hAnsi="Times New Roman" w:cs="Times New Roman"/>
          <w:sz w:val="18"/>
          <w:szCs w:val="18"/>
        </w:rPr>
        <w:t>IDH1编码产物为依赖于NADP(+)的异柠檬酸脱氢酶。它位于胞浆和过氧化物酶体内，编码三羧酸循环中的异柠檬酸脱氢酶1，该酶水解异柠檬酸盐为α-酮戊二酸，并产生三羧酸循环中NADPH，调控组蛋白和DNA突变。基因发生突变后，会导致IDH将α-酮戊二酸转变成一种称作r-2-hydroxyglutarate的不同寻常的代谢产物。研究表明，这种代谢产物能产生竞争性抑制，由此降低了α-酮戊二酸依赖性酶的活性，导致染色质高度甲基化，干扰细胞分化，导致未成熟细胞增殖，引起癌症发生。胶质瘤样本中IDH1基因突变的平均突变率高达50%以上，12%的神经胶质瘤样本中IDH1基因存在R132突变，导致细胞内α-酮戊二酸水平下降，一系列的反应导致了细胞缺氧诱导因子（HIF）的稳定性增加，从而激活了HIF信号通路，最终促进肿瘤生长。R132H突变增强了U251细胞对于化疗药物替莫唑胺的敏感性。IDH1突变已在多种癌症类型中被发现，如肉瘤、血液恶性肿瘤、结肠癌和脑癌，与IDH1相关的疾病还包括骨膜性软骨肉瘤、神经胶质瘤、白血病等。</w:t>
      </w:r>
    </w:p>
    <w:p w14:paraId="2E567776">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4631B459">
      <w:pPr>
        <w:spacing w:line="300" w:lineRule="auto"/>
        <w:ind w:left="420"/>
        <w:rPr>
          <w:rFonts w:ascii="Times New Roman" w:hAnsi="Times New Roman" w:cs="Times New Roman"/>
          <w:sz w:val="18"/>
          <w:szCs w:val="18"/>
        </w:rPr>
      </w:pPr>
      <w:r>
        <w:rPr>
          <w:rFonts w:ascii="Times New Roman" w:hAnsi="Times New Roman" w:cs="Times New Roman"/>
          <w:sz w:val="18"/>
          <w:szCs w:val="18"/>
        </w:rPr>
        <w:t>在胶质母细胞瘤和星形细胞瘤中，IDH1突变的患者比野生型IDH1患者的总体存活率更高。在一项II期临床试验中，凡德他尼联合替莫唑胺和放疗显著增加携带IDH1 R132H突变的胶质瘤患者的无进展生存期（PFS）和总生存期（OS）[PMID</w:t>
      </w:r>
      <w:r>
        <w:rPr>
          <w:rFonts w:hint="eastAsia" w:ascii="Times New Roman" w:hAnsi="Times New Roman" w:cs="Times New Roman"/>
          <w:sz w:val="18"/>
          <w:szCs w:val="18"/>
        </w:rPr>
        <w:t xml:space="preserve">: </w:t>
      </w:r>
      <w:r>
        <w:rPr>
          <w:rFonts w:ascii="Times New Roman" w:hAnsi="Times New Roman" w:cs="Times New Roman"/>
          <w:sz w:val="18"/>
          <w:szCs w:val="18"/>
        </w:rPr>
        <w:t>25910950]。Ivosidenib（AG-120）治疗携带IDH1突变的非增强型胶质瘤患者的I期研究发现，35例入组患者中，在剂量爬坡组（n=11）和剂量扩增组（n=24），分别有73%和88%的患者获得疾病稳定作为最佳反应[Neuro Oncol. 2017 Nov]。</w:t>
      </w:r>
      <w:r>
        <w:rPr>
          <w:rFonts w:hint="eastAsia" w:ascii="Times New Roman" w:hAnsi="Times New Roman" w:cs="Times New Roman"/>
          <w:sz w:val="18"/>
          <w:szCs w:val="18"/>
        </w:rPr>
        <w:t>目前，阿贝西利、奥拉帕利用于胶质瘤或实体瘤患者的临床试验正在开展。</w:t>
      </w:r>
    </w:p>
    <w:p w14:paraId="7BE082EF">
      <w:pPr>
        <w:spacing w:line="300" w:lineRule="auto"/>
        <w:ind w:left="420"/>
        <w:rPr>
          <w:rFonts w:ascii="Times New Roman" w:hAnsi="Times New Roman" w:cs="Times New Roman"/>
          <w:sz w:val="18"/>
          <w:szCs w:val="18"/>
        </w:rPr>
      </w:pPr>
    </w:p>
    <w:p w14:paraId="6F0C0B66">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66432"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7" name="直线 40"/>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0" o:spid="_x0000_s1026" o:spt="20" style="position:absolute;left:0pt;margin-left:-2.6pt;margin-top:12.55pt;height:1.7pt;width:453.4pt;z-index:-25165004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QTBBuekBAADf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 xml:space="preserve">IDH2                                                                         </w:t>
      </w:r>
    </w:p>
    <w:p w14:paraId="3C1E3C92">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6F0671E5">
      <w:pPr>
        <w:spacing w:line="300" w:lineRule="auto"/>
        <w:ind w:left="420"/>
        <w:rPr>
          <w:rFonts w:ascii="Times New Roman" w:hAnsi="Times New Roman" w:cs="Times New Roman"/>
          <w:sz w:val="18"/>
          <w:szCs w:val="18"/>
        </w:rPr>
      </w:pPr>
      <w:r>
        <w:rPr>
          <w:rFonts w:ascii="Times New Roman" w:hAnsi="Times New Roman" w:cs="Times New Roman"/>
          <w:sz w:val="18"/>
          <w:szCs w:val="18"/>
        </w:rPr>
        <w:t>IDH2基因编码的蛋白是线粒体中存在的NADP(+)依赖的异柠檬酸脱氢酶</w:t>
      </w:r>
      <w:r>
        <w:rPr>
          <w:rFonts w:hint="eastAsia" w:ascii="Times New Roman" w:hAnsi="Times New Roman" w:cs="Times New Roman"/>
          <w:sz w:val="18"/>
          <w:szCs w:val="18"/>
        </w:rPr>
        <w:t>。</w:t>
      </w:r>
      <w:r>
        <w:rPr>
          <w:rFonts w:ascii="Times New Roman" w:hAnsi="Times New Roman" w:cs="Times New Roman"/>
          <w:sz w:val="18"/>
          <w:szCs w:val="18"/>
        </w:rPr>
        <w:t xml:space="preserve">该蛋白与IDH1具有同源性，属于IDH家族蛋白，催化异柠檬酸的脱酸反应，在物质代谢与能量代谢中有重要作用。该蛋白可与丙酮酸脱氢酶复合物紧密结合或相互作用。IDH2突变目前已经在多种癌症类型中被观察到，包括肉瘤、血液恶性肿瘤、结肠癌、脑癌、白血病、恶性胶质瘤等。在上述所有癌种中，IDH2突变频率为1.13%。 </w:t>
      </w:r>
    </w:p>
    <w:p w14:paraId="654C5B9F">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3D63BF4C">
      <w:pPr>
        <w:spacing w:line="300" w:lineRule="auto"/>
        <w:ind w:left="420"/>
        <w:rPr>
          <w:rFonts w:ascii="Times New Roman" w:hAnsi="Times New Roman" w:cs="Times New Roman"/>
          <w:sz w:val="18"/>
          <w:szCs w:val="18"/>
        </w:rPr>
      </w:pPr>
      <w:r>
        <w:rPr>
          <w:rFonts w:ascii="Times New Roman" w:hAnsi="Times New Roman" w:cs="Times New Roman"/>
          <w:sz w:val="18"/>
          <w:szCs w:val="18"/>
        </w:rPr>
        <w:t>在1/2期试验中，复发或IDH2突变的AML患者接受</w:t>
      </w:r>
      <w:r>
        <w:rPr>
          <w:rFonts w:hint="eastAsia" w:ascii="Times New Roman" w:hAnsi="Times New Roman" w:cs="Times New Roman"/>
          <w:sz w:val="18"/>
          <w:szCs w:val="18"/>
        </w:rPr>
        <w:t>恩西地平</w:t>
      </w:r>
      <w:r>
        <w:rPr>
          <w:rFonts w:ascii="Times New Roman" w:hAnsi="Times New Roman" w:cs="Times New Roman"/>
          <w:sz w:val="18"/>
          <w:szCs w:val="18"/>
        </w:rPr>
        <w:t>治疗。总有效率为40.3%，中位反应持续时间为5.8个月，复发/难治性患者中位总生存期为9.3个月，完全缓解34例</w:t>
      </w:r>
      <w:r>
        <w:rPr>
          <w:rFonts w:hint="eastAsia" w:ascii="Times New Roman" w:hAnsi="Times New Roman" w:cs="Times New Roman"/>
          <w:sz w:val="18"/>
          <w:szCs w:val="18"/>
        </w:rPr>
        <w:t>（</w:t>
      </w:r>
      <w:r>
        <w:rPr>
          <w:rFonts w:ascii="Times New Roman" w:hAnsi="Times New Roman" w:cs="Times New Roman"/>
          <w:sz w:val="18"/>
          <w:szCs w:val="18"/>
        </w:rPr>
        <w:t>19.3%</w:t>
      </w:r>
      <w:r>
        <w:rPr>
          <w:rFonts w:hint="eastAsia" w:ascii="Times New Roman" w:hAnsi="Times New Roman" w:cs="Times New Roman"/>
          <w:sz w:val="18"/>
          <w:szCs w:val="18"/>
        </w:rPr>
        <w:t>）</w:t>
      </w:r>
      <w:r>
        <w:rPr>
          <w:rFonts w:ascii="Times New Roman" w:hAnsi="Times New Roman" w:cs="Times New Roman"/>
          <w:sz w:val="18"/>
          <w:szCs w:val="18"/>
        </w:rPr>
        <w:t>患者的中位总生存期为19.7个月[PMID:</w:t>
      </w:r>
      <w:r>
        <w:rPr>
          <w:rFonts w:hint="eastAsia" w:ascii="Times New Roman" w:hAnsi="Times New Roman" w:cs="Times New Roman"/>
          <w:sz w:val="18"/>
          <w:szCs w:val="18"/>
        </w:rPr>
        <w:t xml:space="preserve"> </w:t>
      </w:r>
      <w:r>
        <w:rPr>
          <w:rFonts w:ascii="Times New Roman" w:hAnsi="Times New Roman" w:cs="Times New Roman"/>
          <w:sz w:val="18"/>
          <w:szCs w:val="18"/>
        </w:rPr>
        <w:t>28588020]。此外IDH2(R140)与AML整体生存的改善相关[PMID:</w:t>
      </w:r>
      <w:r>
        <w:rPr>
          <w:rFonts w:hint="eastAsia" w:ascii="Times New Roman" w:hAnsi="Times New Roman" w:cs="Times New Roman"/>
          <w:sz w:val="18"/>
          <w:szCs w:val="18"/>
        </w:rPr>
        <w:t xml:space="preserve"> </w:t>
      </w:r>
      <w:r>
        <w:rPr>
          <w:rFonts w:ascii="Times New Roman" w:hAnsi="Times New Roman" w:cs="Times New Roman"/>
          <w:sz w:val="18"/>
          <w:szCs w:val="18"/>
        </w:rPr>
        <w:t>20421455]，IDH2突变与神经胶质瘤的预后改善有关[PMID:</w:t>
      </w:r>
      <w:r>
        <w:rPr>
          <w:rFonts w:hint="eastAsia" w:ascii="Times New Roman" w:hAnsi="Times New Roman" w:cs="Times New Roman"/>
          <w:sz w:val="18"/>
          <w:szCs w:val="18"/>
        </w:rPr>
        <w:t xml:space="preserve"> </w:t>
      </w:r>
      <w:r>
        <w:rPr>
          <w:rFonts w:ascii="Times New Roman" w:hAnsi="Times New Roman" w:cs="Times New Roman"/>
          <w:sz w:val="18"/>
          <w:szCs w:val="18"/>
        </w:rPr>
        <w:t>26061751]。OxPhos相关基因的研究表明，IDH1和IDH2表达之间的不平衡（被定义为一种亚型相对于另一种亚型的过表达）与CRC患者的预后较差有关[PMID: 25586680]。</w:t>
      </w:r>
    </w:p>
    <w:p w14:paraId="36AEACF6">
      <w:pPr>
        <w:spacing w:line="300" w:lineRule="auto"/>
        <w:ind w:left="420"/>
        <w:rPr>
          <w:rFonts w:ascii="Times New Roman" w:hAnsi="Times New Roman" w:cs="Times New Roman"/>
          <w:sz w:val="18"/>
          <w:szCs w:val="18"/>
        </w:rPr>
      </w:pPr>
    </w:p>
    <w:p w14:paraId="662E37DA">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0768"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23" name="直线 41"/>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1" o:spid="_x0000_s1026" o:spt="20" style="position:absolute;left:0pt;margin-left:-2.6pt;margin-top:12.55pt;height:1.7pt;width:453.4pt;z-index:-251635712;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Bcsl7g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JAK1                                                                          </w:t>
      </w:r>
    </w:p>
    <w:p w14:paraId="162181E9">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E8187B6">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JAK1基因编码产物为酪氨酸激酶，对I型和II型细胞因子信号传递有重要作用。其编码的非受体型酪氨酸蛋白激酶，既能催化与之相连的细胞因子受体发生酪氨酸磷酸化，又能磷酸化多种含特定SH2区的信号分子从而使其激活，在干扰素α/β和干扰素γ信号转导中起关键作用，因此肿瘤细胞中JAK1的表达能够使癌细胞从肿瘤组织中逃逸并侵染机体其他部位。与JAK1相关的疾病包括白血病、结直肠癌、子宫内膜癌等。JAK1的突变发生在T细胞急性淋巴细胞白血病中，在成年病例中多发，常见多发突变包括A634D、V658F、R724H、R879C。B细胞急性淋巴细胞白血病JAK1常见突变包括A634D、S646F、V658F、R724H。JAK1的突变能够诱导JAK-STAT途径激活，引发白血病的发生。 </w:t>
      </w:r>
    </w:p>
    <w:p w14:paraId="6A401034">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36BA98D9">
      <w:pPr>
        <w:spacing w:line="300" w:lineRule="auto"/>
        <w:ind w:left="420"/>
        <w:rPr>
          <w:rFonts w:ascii="Times New Roman" w:hAnsi="Times New Roman" w:cs="Times New Roman"/>
          <w:sz w:val="18"/>
          <w:szCs w:val="18"/>
        </w:rPr>
      </w:pPr>
      <w:r>
        <w:rPr>
          <w:rFonts w:ascii="Times New Roman" w:hAnsi="Times New Roman" w:cs="Times New Roman"/>
          <w:sz w:val="18"/>
          <w:szCs w:val="18"/>
        </w:rPr>
        <w:t>一项临床前研究表明，在22个肺癌细胞系中，JAK1的过表达与PKC抑制剂</w:t>
      </w:r>
      <w:r>
        <w:rPr>
          <w:rFonts w:hint="eastAsia" w:ascii="Times New Roman" w:hAnsi="Times New Roman" w:cs="Times New Roman"/>
          <w:sz w:val="18"/>
          <w:szCs w:val="18"/>
        </w:rPr>
        <w:t>恩扎妥林</w:t>
      </w:r>
      <w:r>
        <w:rPr>
          <w:rFonts w:ascii="Times New Roman" w:hAnsi="Times New Roman" w:cs="Times New Roman"/>
          <w:sz w:val="18"/>
          <w:szCs w:val="18"/>
        </w:rPr>
        <w:t>的敏感性有关[PMID:</w:t>
      </w:r>
      <w:r>
        <w:rPr>
          <w:rFonts w:hint="eastAsia" w:ascii="Times New Roman" w:hAnsi="Times New Roman" w:cs="Times New Roman"/>
          <w:sz w:val="18"/>
          <w:szCs w:val="18"/>
        </w:rPr>
        <w:t xml:space="preserve"> </w:t>
      </w:r>
      <w:r>
        <w:rPr>
          <w:rFonts w:ascii="Times New Roman" w:hAnsi="Times New Roman" w:cs="Times New Roman"/>
          <w:sz w:val="18"/>
          <w:szCs w:val="18"/>
        </w:rPr>
        <w:t>22333600]。</w:t>
      </w:r>
      <w:r>
        <w:rPr>
          <w:rFonts w:hint="eastAsia" w:ascii="Times New Roman" w:hAnsi="Times New Roman" w:cs="Times New Roman"/>
          <w:sz w:val="18"/>
          <w:szCs w:val="18"/>
        </w:rPr>
        <w:t>目前</w:t>
      </w:r>
      <w:r>
        <w:rPr>
          <w:rFonts w:ascii="Times New Roman" w:hAnsi="Times New Roman" w:cs="Times New Roman"/>
          <w:sz w:val="18"/>
          <w:szCs w:val="18"/>
        </w:rPr>
        <w:t>Itacitinib</w:t>
      </w:r>
      <w:r>
        <w:rPr>
          <w:rFonts w:hint="eastAsia" w:ascii="Times New Roman" w:hAnsi="Times New Roman" w:cs="Times New Roman"/>
          <w:sz w:val="18"/>
          <w:szCs w:val="18"/>
        </w:rPr>
        <w:t>用于实体瘤患者的临床试验正在开展。</w:t>
      </w:r>
    </w:p>
    <w:p w14:paraId="2F867D46">
      <w:pPr>
        <w:spacing w:line="300" w:lineRule="auto"/>
        <w:ind w:left="420"/>
        <w:rPr>
          <w:rFonts w:ascii="Times New Roman" w:hAnsi="Times New Roman" w:cs="Times New Roman"/>
          <w:b/>
          <w:szCs w:val="18"/>
        </w:rPr>
      </w:pPr>
    </w:p>
    <w:p w14:paraId="5580A1FF">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1008"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33" name="直线 42"/>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2" o:spid="_x0000_s1026" o:spt="20" style="position:absolute;left:0pt;margin-left:-2.6pt;margin-top:12.55pt;height:1.7pt;width:453.4pt;z-index:25169100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AVzyae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JAK2                                                                          </w:t>
      </w:r>
    </w:p>
    <w:p w14:paraId="42D39CFC">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4B3A5839">
      <w:pPr>
        <w:spacing w:line="300" w:lineRule="auto"/>
        <w:ind w:left="420"/>
        <w:rPr>
          <w:rFonts w:ascii="Times New Roman" w:hAnsi="Times New Roman" w:cs="Times New Roman"/>
          <w:sz w:val="18"/>
          <w:szCs w:val="18"/>
        </w:rPr>
      </w:pPr>
      <w:r>
        <w:rPr>
          <w:rFonts w:ascii="Times New Roman" w:hAnsi="Times New Roman" w:cs="Times New Roman"/>
          <w:sz w:val="18"/>
          <w:szCs w:val="18"/>
        </w:rPr>
        <w:t>JAK2基因编码的酪氨酸蛋白激酶，既能催化与之相连的细胞因子受体发生酪氨酸磷酸化，又能磷酸化多种含特定SH2区的信号分子从而使其激活。已有研究表明它与催乳素受体组成相关，并在γ干扰素的反应中发挥作用。JAK2基因是一种在许多骨髓增生性疾病和癌症中会发生失调或突变的激酶。JAK2的JH2激酶类结构域V617F的突变能够引起造血细胞对于生长因子敏感性增加，是第一个被诊断为骨髓增生性疾病的诊断标记物。该变异激活JAK2能够驱动小鼠模型的骨髓增生性疾病。与JAK2相关的疾病包括骨髓增生性肿瘤、淋巴瘤、白血病、宫颈癌、红细胞增多、原发性血小板增多、骨髓纤维化等。此突变在非典型慢性淋巴细胞白血病中发生率为20%，慢性骨髓单核细胞白血病为10%，巨核细胞性白血病为15%。t(9;12)(p24;p13)染色体异位导致JAK2与TEL（ETV6）发生融合，出现在慢性淋巴细胞白血病中。</w:t>
      </w:r>
    </w:p>
    <w:p w14:paraId="18575308">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691928F4">
      <w:pPr>
        <w:spacing w:line="300" w:lineRule="auto"/>
        <w:ind w:left="420"/>
        <w:rPr>
          <w:rFonts w:ascii="Times New Roman" w:hAnsi="Times New Roman" w:cs="Times New Roman"/>
          <w:sz w:val="18"/>
          <w:szCs w:val="18"/>
        </w:rPr>
      </w:pPr>
      <w:r>
        <w:rPr>
          <w:rFonts w:ascii="Times New Roman" w:hAnsi="Times New Roman" w:cs="Times New Roman"/>
          <w:sz w:val="18"/>
          <w:szCs w:val="18"/>
        </w:rPr>
        <w:t>在一期试验中，使用Gandotinib (LY2784544)治疗JAK2 V617F的骨髓增生性肿瘤显示了安全性，29%(9/31)的骨髓纤维化患者得到了临床改善[PMID:</w:t>
      </w:r>
      <w:r>
        <w:rPr>
          <w:rFonts w:hint="eastAsia" w:ascii="Times New Roman" w:hAnsi="Times New Roman" w:cs="Times New Roman"/>
          <w:sz w:val="18"/>
          <w:szCs w:val="18"/>
        </w:rPr>
        <w:t xml:space="preserve"> </w:t>
      </w:r>
      <w:r>
        <w:rPr>
          <w:rFonts w:ascii="Times New Roman" w:hAnsi="Times New Roman" w:cs="Times New Roman"/>
          <w:sz w:val="18"/>
          <w:szCs w:val="18"/>
        </w:rPr>
        <w:t>28934680]。在一项临床前研究中，带有G831R突变的ETV6-JAK2表达的免疫细胞在培养中表现出对吡啶酮6(CMP6)的耐药性[PMID:</w:t>
      </w:r>
      <w:r>
        <w:rPr>
          <w:rFonts w:hint="eastAsia" w:ascii="Times New Roman" w:hAnsi="Times New Roman" w:cs="Times New Roman"/>
          <w:sz w:val="18"/>
          <w:szCs w:val="18"/>
        </w:rPr>
        <w:t xml:space="preserve"> </w:t>
      </w:r>
      <w:r>
        <w:rPr>
          <w:rFonts w:ascii="Times New Roman" w:hAnsi="Times New Roman" w:cs="Times New Roman"/>
          <w:sz w:val="18"/>
          <w:szCs w:val="18"/>
        </w:rPr>
        <w:t>22916261]。</w:t>
      </w:r>
      <w:r>
        <w:rPr>
          <w:rFonts w:hint="eastAsia" w:ascii="Times New Roman" w:hAnsi="Times New Roman" w:cs="Times New Roman"/>
          <w:sz w:val="18"/>
          <w:szCs w:val="18"/>
        </w:rPr>
        <w:t>临床前研究表明，芦可替尼单药或联合顺铂可以抑制</w:t>
      </w:r>
      <w:r>
        <w:rPr>
          <w:rFonts w:ascii="Times New Roman" w:hAnsi="Times New Roman" w:cs="Times New Roman"/>
          <w:sz w:val="18"/>
          <w:szCs w:val="18"/>
        </w:rPr>
        <w:t>JAK2过表达及信号通路激活的非小细胞肺癌（NSCLC）细胞系生长，表现治疗作用[PMID: 22319590]，而联合用药对顺铂耐药的NSCLC细胞系产生有效的治疗作用[PMID: 25213670]。</w:t>
      </w:r>
    </w:p>
    <w:p w14:paraId="05450AAF">
      <w:pPr>
        <w:spacing w:line="300" w:lineRule="auto"/>
        <w:ind w:left="420"/>
        <w:rPr>
          <w:rFonts w:ascii="Times New Roman" w:hAnsi="Times New Roman" w:cs="Times New Roman"/>
          <w:sz w:val="18"/>
          <w:szCs w:val="18"/>
        </w:rPr>
      </w:pPr>
    </w:p>
    <w:p w14:paraId="44B7A095">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8416"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57" name="直线 43"/>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3" o:spid="_x0000_s1026" o:spt="20" style="position:absolute;left:0pt;margin-left:-2.6pt;margin-top:12.55pt;height:1.7pt;width:453.4pt;z-index:251708416;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B0cisz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JAK3                                                                        </w:t>
      </w:r>
    </w:p>
    <w:p w14:paraId="53985922">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6A04180">
      <w:pPr>
        <w:spacing w:line="300" w:lineRule="auto"/>
        <w:ind w:left="420"/>
        <w:rPr>
          <w:rFonts w:ascii="Times New Roman" w:hAnsi="Times New Roman" w:cs="Times New Roman"/>
          <w:sz w:val="18"/>
          <w:szCs w:val="18"/>
        </w:rPr>
      </w:pPr>
      <w:r>
        <w:rPr>
          <w:rFonts w:ascii="Times New Roman" w:hAnsi="Times New Roman" w:cs="Times New Roman"/>
          <w:sz w:val="18"/>
          <w:szCs w:val="18"/>
        </w:rPr>
        <w:t>JAK3基因编码的蛋白是酪氨酸激酶家族中的一员，参与细胞因子受体介导的细胞内信号转导。它主要在免疫细胞中表达，是JAK/STAT信号通路的成员，并通过白细胞介素受体的酪氨酸磷酸化来传递信号。该基因的突变与严重的联合免疫缺陷病有关。JAK3功能突变在T细胞白血病和淋巴瘤中较为常见，在肠癌、皮肤癌、胃癌等实体肿瘤中均有不同突变形式的存在。除此之外，与JAK3相关的疾病还包括严重的联合免疫缺陷、常染色体隐性遗传病、B细胞阳性、NK细胞阴性和炎症性肠病。</w:t>
      </w:r>
    </w:p>
    <w:p w14:paraId="1CFD7E4E">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43E32FA8">
      <w:pPr>
        <w:spacing w:line="300" w:lineRule="auto"/>
        <w:ind w:left="420"/>
        <w:rPr>
          <w:rFonts w:ascii="Times New Roman" w:hAnsi="Times New Roman" w:cs="Times New Roman"/>
          <w:sz w:val="18"/>
          <w:szCs w:val="18"/>
        </w:rPr>
      </w:pPr>
      <w:r>
        <w:rPr>
          <w:rFonts w:ascii="Times New Roman" w:hAnsi="Times New Roman" w:cs="Times New Roman"/>
          <w:sz w:val="18"/>
          <w:szCs w:val="18"/>
        </w:rPr>
        <w:t>在一项临床前研究中，一种pan-JAK抑制剂Tofacitinib降低了JAK3 A572V突变型自然杀伤/t细胞淋巴瘤细胞系的细胞活力并增加了细胞凋亡[PMID:</w:t>
      </w:r>
      <w:r>
        <w:rPr>
          <w:rFonts w:hint="eastAsia" w:ascii="Times New Roman" w:hAnsi="Times New Roman" w:cs="Times New Roman"/>
          <w:sz w:val="18"/>
          <w:szCs w:val="18"/>
        </w:rPr>
        <w:t xml:space="preserve"> </w:t>
      </w:r>
      <w:r>
        <w:rPr>
          <w:rFonts w:ascii="Times New Roman" w:hAnsi="Times New Roman" w:cs="Times New Roman"/>
          <w:sz w:val="18"/>
          <w:szCs w:val="18"/>
        </w:rPr>
        <w:t>22705984]。Tofacitinib治疗还可以将细胞培养中表达JAK3 V221I的细胞从因子独立生长转化为因子依赖生长[PMID: 25146434]。JAK3选择性抑制剂Tofacitinib对白血病小鼠的体内治疗降低了白细胞计数，导致白血病细胞凋亡[PMID:</w:t>
      </w:r>
      <w:r>
        <w:rPr>
          <w:rFonts w:hint="eastAsia" w:ascii="Times New Roman" w:hAnsi="Times New Roman" w:cs="Times New Roman"/>
          <w:sz w:val="18"/>
          <w:szCs w:val="18"/>
        </w:rPr>
        <w:t xml:space="preserve"> </w:t>
      </w:r>
      <w:r>
        <w:rPr>
          <w:rFonts w:ascii="Times New Roman" w:hAnsi="Times New Roman" w:cs="Times New Roman"/>
          <w:sz w:val="18"/>
          <w:szCs w:val="18"/>
        </w:rPr>
        <w:t>25193870]。</w:t>
      </w:r>
      <w:r>
        <w:rPr>
          <w:rFonts w:hint="eastAsia" w:ascii="Times New Roman" w:hAnsi="Times New Roman" w:cs="Times New Roman"/>
          <w:sz w:val="18"/>
          <w:szCs w:val="18"/>
        </w:rPr>
        <w:t>鼻型结外</w:t>
      </w:r>
      <w:r>
        <w:rPr>
          <w:rFonts w:ascii="Times New Roman" w:hAnsi="Times New Roman" w:cs="Times New Roman"/>
          <w:sz w:val="18"/>
          <w:szCs w:val="18"/>
        </w:rPr>
        <w:t>NK/t细胞淋巴瘤（ENTKL）中，ATM和JAK3突变等位基因频率与疾病分期显著相关，KMT2D、ASXL3和JAK3突变与患者的肿瘤代谢负荷呈正相关[PMID: 32695399]。</w:t>
      </w:r>
    </w:p>
    <w:p w14:paraId="7DA81825">
      <w:pPr>
        <w:spacing w:line="300" w:lineRule="auto"/>
        <w:ind w:left="420"/>
        <w:rPr>
          <w:rFonts w:ascii="Times New Roman" w:hAnsi="Times New Roman" w:cs="Times New Roman"/>
          <w:sz w:val="18"/>
          <w:szCs w:val="18"/>
        </w:rPr>
      </w:pPr>
    </w:p>
    <w:p w14:paraId="34B334A9">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67456"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8" name="直线 44"/>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4" o:spid="_x0000_s1026" o:spt="20" style="position:absolute;left:0pt;margin-left:-2.6pt;margin-top:12.55pt;height:1.7pt;width:453.4pt;z-index:-25164902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NoUZi7qAQAA3w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KIT                                                                          </w:t>
      </w:r>
    </w:p>
    <w:p w14:paraId="59F7FC8D">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9A0A02A">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KIT基因又称c-Kit，为原癌基因，位于人类染色体4q12-13。它编码的跨膜糖蛋白（CD117）属于受体酪氨酸激酶家族。KIT与SCF的胞外结构域结合后使受体二聚化，激活下游信号通路，包括PI3K-AKT-mTOR通路及RAS-RAF-MEK-ERK通路等，在细胞生长增殖、造血、干细胞维护、配子形成、肥大细胞发育、迁移和黑色素形成中发挥重要作用，是人类多种组织细胞生长发育的重要调控因素。与KIT相关的疾病包括胃肠道间质瘤、精原细胞癌、骨髓性白血病、黑色素瘤等。KIT基因可发生功能缺失或功能获得性突变，多发生于外显子9、11、13、17。KIT基因体细胞突变可见于侵袭性系统性肥大细胞增生症、肥大细胞白血病、骨髓增生性疾病、结肠癌、胃肠道间质肿瘤及生殖细胞瘤等肿瘤中，种系突变则可发生于家族性胃肠道间质肿瘤中。GISTs中，KIT基因突变是导致c-kit蛋白高度表达的原因，突变率约为90%，且突变形式多样，其中位于11号外显子Lys550-Val560区段的变异最为常见（约占60-70%）。检测KIT基因突变对于指导GISTs患者的合理用药，具有重要的参考价值。   </w:t>
      </w:r>
    </w:p>
    <w:p w14:paraId="422D3729">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sz w:val="18"/>
          <w:szCs w:val="18"/>
        </w:rPr>
        <w:t>伊马替尼*、舒尼替尼*、瑞戈非尼*、普纳替尼、培唑帕尼*（都是胃肠道间质瘤获益药物）</w:t>
      </w:r>
    </w:p>
    <w:p w14:paraId="5BA9F9CF">
      <w:pPr>
        <w:spacing w:line="360" w:lineRule="auto"/>
        <w:ind w:left="420"/>
        <w:rPr>
          <w:rFonts w:ascii="Times New Roman" w:hAnsi="Times New Roman" w:cs="Times New Roman"/>
          <w:sz w:val="18"/>
          <w:szCs w:val="18"/>
        </w:rPr>
      </w:pPr>
      <w:r>
        <w:rPr>
          <w:rFonts w:ascii="Times New Roman" w:hAnsi="Times New Roman" w:cs="Times New Roman"/>
          <w:sz w:val="18"/>
          <w:szCs w:val="18"/>
        </w:rPr>
        <w:t>FDA/NMPA批准伊马替尼用于不可切除或转移的KIT（CD117）阳性GIST患者，还可用于KIT（CD117）阳性的成年GIST患者手术切除后的辅助治疗。</w:t>
      </w:r>
      <w:r>
        <w:rPr>
          <w:rFonts w:hint="eastAsia" w:ascii="Times New Roman" w:hAnsi="Times New Roman" w:cs="Times New Roman"/>
          <w:sz w:val="18"/>
          <w:szCs w:val="18"/>
        </w:rPr>
        <w:t>N</w:t>
      </w:r>
      <w:r>
        <w:rPr>
          <w:rFonts w:ascii="Times New Roman" w:hAnsi="Times New Roman" w:cs="Times New Roman"/>
          <w:sz w:val="18"/>
          <w:szCs w:val="18"/>
        </w:rPr>
        <w:t>CCN</w:t>
      </w:r>
      <w:r>
        <w:rPr>
          <w:rFonts w:hint="eastAsia" w:ascii="Times New Roman" w:hAnsi="Times New Roman" w:cs="Times New Roman"/>
          <w:sz w:val="18"/>
          <w:szCs w:val="18"/>
        </w:rPr>
        <w:t>指南推荐伊马替尼用于</w:t>
      </w:r>
      <w:r>
        <w:rPr>
          <w:rFonts w:ascii="Times New Roman" w:hAnsi="Times New Roman" w:cs="Times New Roman"/>
          <w:sz w:val="18"/>
          <w:szCs w:val="18"/>
        </w:rPr>
        <w:t>KIT 11号外显子突变（除PDGFRA D842V以外），以及双倍剂量用于KIT 9号外显子突变的胃肠间质瘤患者的治疗。</w:t>
      </w:r>
      <w:r>
        <w:rPr>
          <w:rFonts w:hint="eastAsia" w:ascii="Times New Roman" w:hAnsi="Times New Roman" w:cs="Times New Roman"/>
          <w:sz w:val="18"/>
          <w:szCs w:val="18"/>
        </w:rPr>
        <w:t>胃肠道间质瘤中，</w:t>
      </w:r>
      <w:r>
        <w:rPr>
          <w:rFonts w:ascii="Times New Roman" w:hAnsi="Times New Roman" w:cs="Times New Roman"/>
          <w:sz w:val="18"/>
          <w:szCs w:val="18"/>
        </w:rPr>
        <w:t>KIT 11号外显子突变对伊马替尼[PMID: 26687836]、培唑帕尼[PMID: 27068858]、普纳替尼[J Clin Oncol. 2015; 33(suppl 15): abstr 10535]、</w:t>
      </w:r>
      <w:r>
        <w:rPr>
          <w:rFonts w:hint="eastAsia" w:ascii="Times New Roman" w:hAnsi="Times New Roman" w:cs="Times New Roman"/>
          <w:sz w:val="18"/>
          <w:szCs w:val="18"/>
        </w:rPr>
        <w:t>舒尼替尼[</w:t>
      </w:r>
      <w:r>
        <w:rPr>
          <w:rFonts w:ascii="Times New Roman" w:hAnsi="Times New Roman" w:cs="Times New Roman"/>
          <w:sz w:val="18"/>
          <w:szCs w:val="18"/>
        </w:rPr>
        <w:t>PMID: 30346846]瑞戈非尼[PMID: 27371698; PMID: 22614970]、尼洛替尼[PMID: 25882987]和达沙替尼[PMID: 29315500]敏感，与11号外显子突变相比，9号外显子突变对伊马替尼的敏感性中等[PMID: 14645423]；在皮肤黑色素瘤中，KIT激</w:t>
      </w:r>
      <w:r>
        <w:rPr>
          <w:rFonts w:hint="eastAsia" w:ascii="Times New Roman" w:hAnsi="Times New Roman" w:cs="Times New Roman"/>
          <w:sz w:val="18"/>
          <w:szCs w:val="18"/>
        </w:rPr>
        <w:t>活突变对伊马替尼敏感</w:t>
      </w:r>
      <w:r>
        <w:rPr>
          <w:rFonts w:ascii="Times New Roman" w:hAnsi="Times New Roman" w:cs="Times New Roman"/>
          <w:sz w:val="18"/>
          <w:szCs w:val="18"/>
        </w:rPr>
        <w:t>[PMID: 23775962; PMID: 21642685]。</w:t>
      </w:r>
    </w:p>
    <w:p w14:paraId="22E152D7">
      <w:pPr>
        <w:spacing w:line="360" w:lineRule="auto"/>
        <w:ind w:left="420"/>
        <w:rPr>
          <w:rFonts w:ascii="Times New Roman" w:hAnsi="Times New Roman" w:cs="Times New Roman"/>
          <w:sz w:val="18"/>
          <w:szCs w:val="18"/>
        </w:rPr>
      </w:pPr>
    </w:p>
    <w:p w14:paraId="3933D760">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1792" behindDoc="1"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24" name="直线 45"/>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5" o:spid="_x0000_s1026" o:spt="20" style="position:absolute;left:0pt;margin-left:-2.55pt;margin-top:12.55pt;height:1.7pt;width:453.45pt;z-index:-251634688;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KtTFre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MAP2K1                                                                          </w:t>
      </w:r>
    </w:p>
    <w:p w14:paraId="14DA4C7A">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5B4AC8E">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MAP2K1编码编码促分裂原活化蛋白激酶激酶1（MEK1蛋白激酶），属于双重特异性蛋白激酶家族成员，是一种有丝分裂原激活蛋白（MAP）激酶激酶，通过传导胞外和胞内信号刺激蛋白激酶活性。作为MAP激酶信号转导途径中关键的组成成分，MAP2K1参与细胞增殖、分化、基因转录调控和发育过程。该基因在肺癌中的突变频率为0.6-1%。与MAP2K1相关的疾病包括白血病、结直肠癌、肺癌、黑色素瘤、原发胶质母细胞瘤等，3.5%上皮性细胞瘤存在MAP2K1激活突变，可增加MEK1促增殖能力。  </w:t>
      </w:r>
    </w:p>
    <w:p w14:paraId="4F4C7AF5">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4415EBC2">
      <w:pPr>
        <w:spacing w:line="300" w:lineRule="auto"/>
        <w:ind w:left="420"/>
        <w:rPr>
          <w:rFonts w:ascii="Times New Roman" w:hAnsi="Times New Roman" w:cs="Times New Roman"/>
          <w:sz w:val="18"/>
          <w:szCs w:val="18"/>
        </w:rPr>
      </w:pPr>
      <w:r>
        <w:rPr>
          <w:rFonts w:ascii="Times New Roman" w:hAnsi="Times New Roman" w:cs="Times New Roman"/>
          <w:sz w:val="18"/>
          <w:szCs w:val="18"/>
        </w:rPr>
        <w:t>MAP2K1是BRAF下游增殖信号通路的丝氨酸苏氨酸激酶，约0.6-1%的NSCLC存在MAP2K1突变，在肺腺癌中较肺鳞癌多见，主要突变位点为K57N，Q56P和D67N。在体外模型中，MAP2K1突变可以导致信号通路持续激活并对MAP2K抑制剂敏感。携带MAP2K1</w:t>
      </w:r>
      <w:r>
        <w:rPr>
          <w:rFonts w:hint="eastAsia" w:ascii="Times New Roman" w:hAnsi="Times New Roman" w:cs="Times New Roman"/>
          <w:sz w:val="18"/>
          <w:szCs w:val="18"/>
        </w:rPr>
        <w:t xml:space="preserve"> </w:t>
      </w:r>
      <w:r>
        <w:rPr>
          <w:rFonts w:ascii="Times New Roman" w:hAnsi="Times New Roman" w:cs="Times New Roman"/>
          <w:sz w:val="18"/>
          <w:szCs w:val="18"/>
        </w:rPr>
        <w:t>K57T或MAP2K1</w:t>
      </w:r>
      <w:r>
        <w:rPr>
          <w:rFonts w:hint="eastAsia" w:ascii="Times New Roman" w:hAnsi="Times New Roman" w:cs="Times New Roman"/>
          <w:sz w:val="18"/>
          <w:szCs w:val="18"/>
        </w:rPr>
        <w:t xml:space="preserve"> </w:t>
      </w:r>
      <w:r>
        <w:rPr>
          <w:rFonts w:ascii="Times New Roman" w:hAnsi="Times New Roman" w:cs="Times New Roman"/>
          <w:sz w:val="18"/>
          <w:szCs w:val="18"/>
        </w:rPr>
        <w:t>K57N突变的RAS-WT结直肠癌（CRC）细胞系LIM1215，足以产生对西妥昔单抗或帕尼单抗的耐药性[PMID:</w:t>
      </w:r>
      <w:r>
        <w:rPr>
          <w:rFonts w:hint="eastAsia" w:ascii="Times New Roman" w:hAnsi="Times New Roman" w:cs="Times New Roman"/>
          <w:sz w:val="18"/>
          <w:szCs w:val="18"/>
        </w:rPr>
        <w:t xml:space="preserve"> </w:t>
      </w:r>
      <w:r>
        <w:rPr>
          <w:rFonts w:ascii="Times New Roman" w:hAnsi="Times New Roman" w:cs="Times New Roman"/>
          <w:sz w:val="18"/>
          <w:szCs w:val="18"/>
        </w:rPr>
        <w:t>26644315; PMID: 26030179]，而帕尼单抗联合曲美替尼可以抑制具有MEK1突变的西妥昔单抗抗性克隆的结直肠癌细胞系的生长[PMID:</w:t>
      </w:r>
      <w:r>
        <w:rPr>
          <w:rFonts w:hint="eastAsia" w:ascii="Times New Roman" w:hAnsi="Times New Roman" w:cs="Times New Roman"/>
          <w:sz w:val="18"/>
          <w:szCs w:val="18"/>
        </w:rPr>
        <w:t xml:space="preserve"> </w:t>
      </w:r>
      <w:r>
        <w:rPr>
          <w:rFonts w:ascii="Times New Roman" w:hAnsi="Times New Roman" w:cs="Times New Roman"/>
          <w:sz w:val="18"/>
          <w:szCs w:val="18"/>
        </w:rPr>
        <w:t>26644315]。临床前研究表明，具有MAP2K1</w:t>
      </w:r>
      <w:r>
        <w:rPr>
          <w:rFonts w:hint="eastAsia" w:ascii="Times New Roman" w:hAnsi="Times New Roman" w:cs="Times New Roman"/>
          <w:sz w:val="18"/>
          <w:szCs w:val="18"/>
        </w:rPr>
        <w:t xml:space="preserve"> </w:t>
      </w:r>
      <w:r>
        <w:rPr>
          <w:rFonts w:ascii="Times New Roman" w:hAnsi="Times New Roman" w:cs="Times New Roman"/>
          <w:sz w:val="18"/>
          <w:szCs w:val="18"/>
        </w:rPr>
        <w:t>F53L突变的结肠癌细胞系对曲美替尼敏感，导致细胞活性降低[PMID:</w:t>
      </w:r>
      <w:r>
        <w:rPr>
          <w:rFonts w:hint="eastAsia" w:ascii="Times New Roman" w:hAnsi="Times New Roman" w:cs="Times New Roman"/>
          <w:sz w:val="18"/>
          <w:szCs w:val="18"/>
        </w:rPr>
        <w:t xml:space="preserve"> </w:t>
      </w:r>
      <w:r>
        <w:rPr>
          <w:rFonts w:ascii="Times New Roman" w:hAnsi="Times New Roman" w:cs="Times New Roman"/>
          <w:sz w:val="18"/>
          <w:szCs w:val="18"/>
        </w:rPr>
        <w:t>26582713]，西妥昔单抗联合曲美替尼也可以降低具有MAP2K1</w:t>
      </w:r>
      <w:r>
        <w:rPr>
          <w:rFonts w:hint="eastAsia" w:ascii="Times New Roman" w:hAnsi="Times New Roman" w:cs="Times New Roman"/>
          <w:sz w:val="18"/>
          <w:szCs w:val="18"/>
        </w:rPr>
        <w:t xml:space="preserve"> </w:t>
      </w:r>
      <w:r>
        <w:rPr>
          <w:rFonts w:ascii="Times New Roman" w:hAnsi="Times New Roman" w:cs="Times New Roman"/>
          <w:sz w:val="18"/>
          <w:szCs w:val="18"/>
        </w:rPr>
        <w:t>F53L突变的结肠癌细胞系的细胞活力</w:t>
      </w:r>
      <w:bookmarkStart w:id="15" w:name="OLE_LINK1"/>
      <w:r>
        <w:rPr>
          <w:rFonts w:ascii="Times New Roman" w:hAnsi="Times New Roman" w:cs="Times New Roman"/>
          <w:sz w:val="18"/>
          <w:szCs w:val="18"/>
        </w:rPr>
        <w:t>[</w:t>
      </w:r>
      <w:bookmarkEnd w:id="15"/>
      <w:r>
        <w:rPr>
          <w:rFonts w:ascii="Times New Roman" w:hAnsi="Times New Roman" w:cs="Times New Roman"/>
          <w:sz w:val="18"/>
          <w:szCs w:val="18"/>
        </w:rPr>
        <w:t>PMID:</w:t>
      </w:r>
      <w:r>
        <w:rPr>
          <w:rFonts w:hint="eastAsia" w:ascii="Times New Roman" w:hAnsi="Times New Roman" w:cs="Times New Roman"/>
          <w:sz w:val="18"/>
          <w:szCs w:val="18"/>
        </w:rPr>
        <w:t xml:space="preserve"> </w:t>
      </w:r>
      <w:r>
        <w:rPr>
          <w:rFonts w:ascii="Times New Roman" w:hAnsi="Times New Roman" w:cs="Times New Roman"/>
          <w:sz w:val="18"/>
          <w:szCs w:val="18"/>
        </w:rPr>
        <w:t>28179366]。MAP2K抑制剂对很多癌种的疗效还未明确，临床前和临床上均在努力确认MAP2K1抑制剂对于其他适应症的疗效[PMID</w:t>
      </w:r>
      <w:r>
        <w:rPr>
          <w:rFonts w:hint="eastAsia" w:ascii="Times New Roman" w:hAnsi="Times New Roman" w:cs="Times New Roman"/>
          <w:sz w:val="18"/>
          <w:szCs w:val="18"/>
        </w:rPr>
        <w:t xml:space="preserve">: </w:t>
      </w:r>
      <w:r>
        <w:rPr>
          <w:rFonts w:ascii="Times New Roman" w:hAnsi="Times New Roman" w:cs="Times New Roman"/>
          <w:sz w:val="18"/>
          <w:szCs w:val="18"/>
        </w:rPr>
        <w:t>25435214]。</w:t>
      </w:r>
    </w:p>
    <w:p w14:paraId="18025AC1">
      <w:pPr>
        <w:spacing w:line="300" w:lineRule="auto"/>
        <w:ind w:left="420"/>
        <w:rPr>
          <w:rFonts w:ascii="Times New Roman" w:hAnsi="Times New Roman" w:cs="Times New Roman"/>
          <w:sz w:val="18"/>
          <w:szCs w:val="18"/>
        </w:rPr>
      </w:pPr>
    </w:p>
    <w:p w14:paraId="2D605975">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4624"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17" name="直线 46"/>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6" o:spid="_x0000_s1026" o:spt="20" style="position:absolute;left:0pt;margin-left:-2.6pt;margin-top:12.55pt;height:1.7pt;width:453.4pt;z-index:-251641856;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EazMtT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MAP2K2                                                                        </w:t>
      </w:r>
    </w:p>
    <w:p w14:paraId="6454B1F2">
      <w:pPr>
        <w:spacing w:line="300" w:lineRule="auto"/>
        <w:ind w:left="420"/>
        <w:rPr>
          <w:rFonts w:ascii="Times New Roman" w:hAnsi="Times New Roman" w:cs="Times New Roman"/>
          <w:sz w:val="18"/>
          <w:szCs w:val="18"/>
        </w:rPr>
      </w:pPr>
      <w:r>
        <w:rPr>
          <w:rFonts w:ascii="Times New Roman" w:hAnsi="Times New Roman" w:cs="Times New Roman"/>
          <w:b/>
          <w:szCs w:val="18"/>
        </w:rPr>
        <w:t>基因说明：</w:t>
      </w:r>
    </w:p>
    <w:p w14:paraId="203B85F4">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MAP2K2基因编码的蛋白是一种双重特异性蛋白激酶，属于MAP激酶家族，具有双重特异性蛋白激酶活性。该激酶在丝裂原生长因子信号转导中起重要作用，参与RAS/RAF/MAPK信号通路，调控细胞增殖、分化、转录调节等一系列细胞生理活动。它通过磷酸化，从而激活MAPK1/ERK2和MAPK2/ERK3。与MAP2K2相关的疾病包括黑色素瘤、皮肤癌、胃癌、胰脏癌、结直肠癌、骨癌等，突变频率约为0.66%。 </w:t>
      </w:r>
    </w:p>
    <w:p w14:paraId="268EB0D7">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4B2301B8">
      <w:pPr>
        <w:spacing w:line="300" w:lineRule="auto"/>
        <w:ind w:left="420"/>
        <w:rPr>
          <w:rFonts w:ascii="Times New Roman" w:hAnsi="Times New Roman" w:cs="Times New Roman"/>
          <w:sz w:val="18"/>
          <w:szCs w:val="18"/>
        </w:rPr>
      </w:pPr>
      <w:r>
        <w:rPr>
          <w:rFonts w:ascii="Times New Roman" w:hAnsi="Times New Roman" w:cs="Times New Roman"/>
          <w:sz w:val="18"/>
          <w:szCs w:val="18"/>
        </w:rPr>
        <w:t>一项临床前研究表明，具有BRAF V600E突变和MAP2K2 C125S突变的黑色素瘤细胞对达拉非尼和曲美替尼耐药[PMID:</w:t>
      </w:r>
      <w:r>
        <w:rPr>
          <w:rFonts w:hint="eastAsia" w:ascii="Times New Roman" w:hAnsi="Times New Roman" w:cs="Times New Roman"/>
          <w:sz w:val="18"/>
          <w:szCs w:val="18"/>
        </w:rPr>
        <w:t xml:space="preserve"> </w:t>
      </w:r>
      <w:r>
        <w:rPr>
          <w:rFonts w:ascii="Times New Roman" w:hAnsi="Times New Roman" w:cs="Times New Roman"/>
          <w:sz w:val="18"/>
          <w:szCs w:val="18"/>
        </w:rPr>
        <w:t>24265153]。一项临床前研究表明，具有BRAF V600E突变和MAP2K2 C125S突变的黑色素瘤细胞对VRT11E敏感，可减缓细胞生长[PMID:</w:t>
      </w:r>
      <w:r>
        <w:rPr>
          <w:rFonts w:hint="eastAsia" w:ascii="Times New Roman" w:hAnsi="Times New Roman" w:cs="Times New Roman"/>
          <w:sz w:val="18"/>
          <w:szCs w:val="18"/>
        </w:rPr>
        <w:t xml:space="preserve"> </w:t>
      </w:r>
      <w:r>
        <w:rPr>
          <w:rFonts w:ascii="Times New Roman" w:hAnsi="Times New Roman" w:cs="Times New Roman"/>
          <w:sz w:val="18"/>
          <w:szCs w:val="18"/>
        </w:rPr>
        <w:t>24265153]。</w:t>
      </w:r>
    </w:p>
    <w:p w14:paraId="1905D2FA">
      <w:pPr>
        <w:spacing w:line="360" w:lineRule="auto"/>
        <w:rPr>
          <w:rFonts w:ascii="Times New Roman" w:hAnsi="Times New Roman" w:cs="Times New Roman"/>
          <w:sz w:val="18"/>
          <w:szCs w:val="18"/>
        </w:rPr>
      </w:pPr>
    </w:p>
    <w:p w14:paraId="0F7B8037">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2032" behindDoc="0" locked="0" layoutInCell="1" allowOverlap="1">
                <wp:simplePos x="0" y="0"/>
                <wp:positionH relativeFrom="column">
                  <wp:posOffset>0</wp:posOffset>
                </wp:positionH>
                <wp:positionV relativeFrom="paragraph">
                  <wp:posOffset>170180</wp:posOffset>
                </wp:positionV>
                <wp:extent cx="5760085" cy="16510"/>
                <wp:effectExtent l="0" t="9525" r="2540" b="12065"/>
                <wp:wrapNone/>
                <wp:docPr id="34" name="直线 47"/>
                <wp:cNvGraphicFramePr/>
                <a:graphic xmlns:a="http://schemas.openxmlformats.org/drawingml/2006/main">
                  <a:graphicData uri="http://schemas.microsoft.com/office/word/2010/wordprocessingShape">
                    <wps:wsp>
                      <wps:cNvCnPr/>
                      <wps:spPr>
                        <a:xfrm flipV="1">
                          <a:off x="0" y="0"/>
                          <a:ext cx="5760085" cy="1651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7" o:spid="_x0000_s1026" o:spt="20" style="position:absolute;left:0pt;flip:y;margin-left:0pt;margin-top:13.4pt;height:1.3pt;width:453.55pt;z-index:251692032;mso-width-relative:page;mso-height-relative:page;" filled="f" stroked="t" coordsize="21600,21600" o:gfxdata="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IgoUHYAAAABgEAAA8AAAAAAAAAAQAgAAAAIgAAAGRycy9kb3ducmV2LnhtbFBLAQIU&#10;ABQAAAAIAIdO4kAS2b1F8wEAAOoDAAAOAAAAAAAAAAEAIAAAACcBAABkcnMvZTJvRG9jLnhtbFBL&#10;BQYAAAAABgAGAFkBAACMBQAAAAA=&#10;">
                <v:fill on="f" focussize="0,0"/>
                <v:stroke weight="1.5pt" color="#002060" joinstyle="miter"/>
                <v:imagedata o:title=""/>
                <o:lock v:ext="edit" aspectratio="f"/>
              </v:line>
            </w:pict>
          </mc:Fallback>
        </mc:AlternateContent>
      </w:r>
      <w:r>
        <w:rPr>
          <w:rFonts w:ascii="Times New Roman" w:hAnsi="Times New Roman" w:cs="Times New Roman"/>
          <w:b/>
        </w:rPr>
        <w:t>MET</w:t>
      </w:r>
      <w:r>
        <w:rPr>
          <w:rFonts w:ascii="Times New Roman" w:hAnsi="Times New Roman" w:cs="Times New Roman"/>
          <w:b/>
          <w:color w:val="0000FF"/>
        </w:rPr>
        <w:t xml:space="preserve">     </w:t>
      </w:r>
      <w:r>
        <w:rPr>
          <w:rFonts w:ascii="Times New Roman" w:hAnsi="Times New Roman" w:cs="Times New Roman"/>
          <w:b/>
        </w:rPr>
        <w:t xml:space="preserve">                                                                     </w:t>
      </w:r>
    </w:p>
    <w:p w14:paraId="0FF264B9">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610EBD29">
      <w:pPr>
        <w:spacing w:line="300" w:lineRule="auto"/>
        <w:ind w:left="420"/>
        <w:rPr>
          <w:rFonts w:ascii="Times New Roman" w:hAnsi="Times New Roman" w:cs="Times New Roman"/>
          <w:sz w:val="18"/>
          <w:szCs w:val="18"/>
        </w:rPr>
      </w:pPr>
      <w:r>
        <w:rPr>
          <w:rFonts w:ascii="Times New Roman" w:hAnsi="Times New Roman" w:cs="Times New Roman"/>
          <w:sz w:val="18"/>
          <w:szCs w:val="18"/>
        </w:rPr>
        <w:t>MET基因位于7q31.2，是原癌基因，编码肝细胞生长因子受体（cMet），属于酪氨酸激酶，因此具有酪氨酸激酶活性，与多种癌基因产物和调节蛋白相关。MET激活后，使底物磷酸化，激活细胞内PI3K-AKT-mTOR及RAS-RAF-MEK-ERK等多个下游通路。恶性肿瘤中，MET受体影响信号通路而促进细胞生长、存活、入侵、迁移、血管生成和转移等，许多肿瘤病人在其肿瘤的发生和转移过程中均有c-MET过度表达和扩增，在肺癌、结肠癌、肝癌、直肠癌、胃癌、肾癌、卵巢癌、乳腺癌以及前列腺癌等组织中呈现扩增和过表达等现象。在对靶向药物治疗产生抗药性的肺癌、胃癌等肿瘤患者中也出现MET基因的扩增。MET扩增在肺癌中的突变频率约为2-4%。</w:t>
      </w:r>
    </w:p>
    <w:p w14:paraId="0D7BB154">
      <w:pPr>
        <w:spacing w:line="300" w:lineRule="auto"/>
        <w:ind w:left="420"/>
        <w:rPr>
          <w:rFonts w:ascii="Times New Roman" w:hAnsi="Times New Roman" w:cs="Times New Roman"/>
          <w:b/>
          <w:szCs w:val="18"/>
        </w:rPr>
      </w:pPr>
      <w:r>
        <w:rPr>
          <w:rFonts w:ascii="Times New Roman" w:hAnsi="Times New Roman" w:cs="Times New Roman"/>
          <w:b/>
          <w:szCs w:val="18"/>
        </w:rPr>
        <w:t>用药说明：</w:t>
      </w:r>
      <w:bookmarkStart w:id="16" w:name="OLE_LINK7"/>
      <w:r>
        <w:rPr>
          <w:rFonts w:ascii="Times New Roman" w:hAnsi="Times New Roman" w:cs="Times New Roman"/>
          <w:b/>
          <w:color w:val="000000"/>
          <w:sz w:val="18"/>
          <w:szCs w:val="18"/>
        </w:rPr>
        <w:t>克唑替尼</w:t>
      </w:r>
      <w:bookmarkEnd w:id="16"/>
      <w:r>
        <w:rPr>
          <w:rFonts w:ascii="Times New Roman" w:hAnsi="Times New Roman" w:cs="Times New Roman"/>
          <w:b/>
          <w:color w:val="000000"/>
          <w:sz w:val="18"/>
          <w:szCs w:val="18"/>
        </w:rPr>
        <w:t>*</w:t>
      </w:r>
      <w:r>
        <w:rPr>
          <w:rFonts w:ascii="Times New Roman" w:hAnsi="Times New Roman" w:cs="Times New Roman"/>
          <w:color w:val="000000"/>
          <w:sz w:val="18"/>
          <w:szCs w:val="18"/>
        </w:rPr>
        <w:t>、</w:t>
      </w:r>
      <w:r>
        <w:rPr>
          <w:rFonts w:ascii="Times New Roman" w:hAnsi="Times New Roman" w:cs="Times New Roman"/>
          <w:b/>
          <w:sz w:val="18"/>
          <w:szCs w:val="18"/>
        </w:rPr>
        <w:t>Tepotinib</w:t>
      </w:r>
      <w:r>
        <w:rPr>
          <w:rFonts w:hint="eastAsia" w:ascii="Times New Roman" w:hAnsi="Times New Roman" w:cs="Times New Roman"/>
          <w:sz w:val="18"/>
          <w:szCs w:val="18"/>
        </w:rPr>
        <w:t>、</w:t>
      </w:r>
      <w:r>
        <w:rPr>
          <w:rFonts w:ascii="Times New Roman" w:hAnsi="Times New Roman" w:cs="Times New Roman"/>
          <w:b/>
          <w:sz w:val="18"/>
          <w:szCs w:val="18"/>
        </w:rPr>
        <w:t>Capmatinib</w:t>
      </w:r>
      <w:r>
        <w:rPr>
          <w:rFonts w:ascii="Times New Roman" w:hAnsi="Times New Roman" w:cs="Times New Roman"/>
          <w:color w:val="000000"/>
          <w:sz w:val="18"/>
          <w:szCs w:val="18"/>
        </w:rPr>
        <w:t>、</w:t>
      </w:r>
      <w:r>
        <w:rPr>
          <w:rFonts w:ascii="Times New Roman" w:hAnsi="Times New Roman" w:cs="Times New Roman"/>
          <w:b/>
          <w:color w:val="000000"/>
          <w:sz w:val="18"/>
          <w:szCs w:val="18"/>
        </w:rPr>
        <w:t>卡博替尼</w:t>
      </w:r>
      <w:r>
        <w:rPr>
          <w:rFonts w:ascii="Times New Roman" w:hAnsi="Times New Roman" w:cs="Times New Roman"/>
          <w:color w:val="000000"/>
          <w:sz w:val="18"/>
          <w:szCs w:val="18"/>
        </w:rPr>
        <w:t>、</w:t>
      </w:r>
      <w:r>
        <w:rPr>
          <w:rFonts w:hint="eastAsia" w:ascii="Times New Roman" w:hAnsi="Times New Roman" w:cs="Times New Roman"/>
          <w:color w:val="000000"/>
          <w:sz w:val="18"/>
          <w:szCs w:val="18"/>
        </w:rPr>
        <w:t>沃利替尼</w:t>
      </w:r>
    </w:p>
    <w:p w14:paraId="5D4E986A">
      <w:pPr>
        <w:spacing w:line="300" w:lineRule="auto"/>
        <w:ind w:left="420"/>
        <w:rPr>
          <w:rFonts w:ascii="Times New Roman" w:hAnsi="Times New Roman" w:cs="Times New Roman"/>
          <w:sz w:val="18"/>
          <w:szCs w:val="18"/>
        </w:rPr>
      </w:pPr>
      <w:r>
        <w:rPr>
          <w:rFonts w:ascii="Times New Roman" w:hAnsi="Times New Roman" w:cs="Times New Roman"/>
          <w:sz w:val="18"/>
          <w:szCs w:val="18"/>
        </w:rPr>
        <w:t>MET常发生的变异主要包括14号外显子跳跃突变，尤其高发于肺肉瘤样癌。</w:t>
      </w:r>
      <w:r>
        <w:rPr>
          <w:rFonts w:hint="eastAsia" w:ascii="Times New Roman" w:hAnsi="Times New Roman" w:cs="Times New Roman"/>
          <w:sz w:val="18"/>
          <w:szCs w:val="18"/>
        </w:rPr>
        <w:t>F</w:t>
      </w:r>
      <w:r>
        <w:rPr>
          <w:rFonts w:ascii="Times New Roman" w:hAnsi="Times New Roman" w:cs="Times New Roman"/>
          <w:sz w:val="18"/>
          <w:szCs w:val="18"/>
        </w:rPr>
        <w:t>DA</w:t>
      </w:r>
      <w:r>
        <w:rPr>
          <w:rFonts w:hint="eastAsia" w:ascii="Times New Roman" w:hAnsi="Times New Roman" w:cs="Times New Roman"/>
          <w:sz w:val="18"/>
          <w:szCs w:val="18"/>
        </w:rPr>
        <w:t>批准</w:t>
      </w:r>
      <w:r>
        <w:rPr>
          <w:rFonts w:ascii="Times New Roman" w:hAnsi="Times New Roman" w:cs="Times New Roman"/>
          <w:sz w:val="18"/>
          <w:szCs w:val="18"/>
        </w:rPr>
        <w:t>Tepotinib</w:t>
      </w:r>
      <w:r>
        <w:rPr>
          <w:rFonts w:hint="eastAsia" w:ascii="Times New Roman" w:hAnsi="Times New Roman" w:cs="Times New Roman"/>
          <w:sz w:val="18"/>
          <w:szCs w:val="18"/>
        </w:rPr>
        <w:t>、</w:t>
      </w:r>
      <w:r>
        <w:rPr>
          <w:rFonts w:ascii="Times New Roman" w:hAnsi="Times New Roman" w:cs="Times New Roman"/>
          <w:sz w:val="18"/>
          <w:szCs w:val="18"/>
        </w:rPr>
        <w:t>Capmatinib</w:t>
      </w:r>
      <w:r>
        <w:rPr>
          <w:rFonts w:hint="eastAsia" w:ascii="Times New Roman" w:hAnsi="Times New Roman" w:cs="Times New Roman"/>
          <w:sz w:val="18"/>
          <w:szCs w:val="18"/>
        </w:rPr>
        <w:t>用于M</w:t>
      </w:r>
      <w:r>
        <w:rPr>
          <w:rFonts w:ascii="Times New Roman" w:hAnsi="Times New Roman" w:cs="Times New Roman"/>
          <w:sz w:val="18"/>
          <w:szCs w:val="18"/>
        </w:rPr>
        <w:t xml:space="preserve">ET </w:t>
      </w:r>
      <w:r>
        <w:rPr>
          <w:rFonts w:hint="eastAsia" w:ascii="Times New Roman" w:hAnsi="Times New Roman" w:cs="Times New Roman"/>
          <w:sz w:val="18"/>
          <w:szCs w:val="18"/>
        </w:rPr>
        <w:t>1</w:t>
      </w:r>
      <w:r>
        <w:rPr>
          <w:rFonts w:ascii="Times New Roman" w:hAnsi="Times New Roman" w:cs="Times New Roman"/>
          <w:sz w:val="18"/>
          <w:szCs w:val="18"/>
        </w:rPr>
        <w:t>4</w:t>
      </w:r>
      <w:r>
        <w:rPr>
          <w:rFonts w:hint="eastAsia" w:ascii="Times New Roman" w:hAnsi="Times New Roman" w:cs="Times New Roman"/>
          <w:sz w:val="18"/>
          <w:szCs w:val="18"/>
        </w:rPr>
        <w:t>号外显子跳跃突变的非小细胞肺癌患者。</w:t>
      </w:r>
      <w:r>
        <w:rPr>
          <w:rFonts w:ascii="Times New Roman" w:hAnsi="Times New Roman" w:cs="Times New Roman"/>
          <w:sz w:val="18"/>
          <w:szCs w:val="18"/>
        </w:rPr>
        <w:t>NCCN指南推荐克唑替尼</w:t>
      </w:r>
      <w:r>
        <w:rPr>
          <w:rFonts w:hint="eastAsia" w:ascii="Times New Roman" w:hAnsi="Times New Roman" w:cs="Times New Roman"/>
          <w:sz w:val="18"/>
          <w:szCs w:val="18"/>
        </w:rPr>
        <w:t>、</w:t>
      </w:r>
      <w:r>
        <w:rPr>
          <w:rFonts w:ascii="Times New Roman" w:hAnsi="Times New Roman" w:cs="Times New Roman"/>
          <w:sz w:val="18"/>
          <w:szCs w:val="18"/>
        </w:rPr>
        <w:t>Capmatinib用于有较高MET扩增或者MET 14号外显子跳跃突变的非小细胞肺癌患者的治疗</w:t>
      </w:r>
      <w:r>
        <w:rPr>
          <w:rFonts w:hint="eastAsia" w:ascii="Times New Roman" w:hAnsi="Times New Roman" w:cs="Times New Roman"/>
          <w:sz w:val="18"/>
          <w:szCs w:val="18"/>
        </w:rPr>
        <w:t>；</w:t>
      </w:r>
      <w:r>
        <w:rPr>
          <w:rFonts w:ascii="Times New Roman" w:hAnsi="Times New Roman" w:cs="Times New Roman"/>
          <w:sz w:val="18"/>
          <w:szCs w:val="18"/>
        </w:rPr>
        <w:t>Tepotinib用于MET 14号外显子跳跃突变的非小细胞肺癌患者的一线或后续治疗[NCCN_Non-Small Cell Lung Cancer_2021_V5]。</w:t>
      </w:r>
      <w:r>
        <w:rPr>
          <w:rFonts w:hint="eastAsia" w:ascii="Times New Roman" w:hAnsi="Times New Roman" w:cs="Times New Roman"/>
          <w:sz w:val="18"/>
          <w:szCs w:val="18"/>
        </w:rPr>
        <w:t>在</w:t>
      </w:r>
      <w:r>
        <w:rPr>
          <w:rFonts w:ascii="Times New Roman" w:hAnsi="Times New Roman" w:cs="Times New Roman"/>
          <w:sz w:val="18"/>
          <w:szCs w:val="18"/>
        </w:rPr>
        <w:t>II期试验中，沃利替尼治疗MET 14号外显子跳跃突变肺肉瘤样癌患者或其他类型（包括MET 14号外显子跳跃突变）的非小细胞肺癌患者，57.1%为腺癌，35.7%为PSC，其余为其他病理类型（n=70），61名患者可通过IRC评估疗效（N = 61）：ORR为47.5% （95% CI: 34.6%, 60.7%），疾病控制率为93.4%（95% CI: 84.1%, 98.2%），中位反应持续时间尚未达到。所有接受治疗的患者中位无进展生存期为6.8个月（95% CI 4.2, 13.8）[J Clin Oncol 38: 2020 (suppl; abstr 9519)]。还有一项II期试验中，Capmatinib治疗MET 14号外显子跳跃突变非小细胞肺癌患者（n=31），BIRC评估：ORR为48.4%，中位DOR为6.93个月（not yet mature, 95% CI: 4.17–NE），中位PFS为8.11个月（not yet mature, 95% CI: 4.17–9.86）[J Clin Oncol 38: 2020 (suppl; abstr 9520)]。在一项I期试验中，卡博替尼（INC280）治疗导致63％（5/8）的MET扩增非小细胞肺癌患者产生部分缓解[JClinOncol34，2016]。NCCN指南指出MET扩增是非小细胞肺癌对EGFR TKIs原发性耐药的机制[NCCN_Non-SmallCellLungCancer_2021_V5]。研究显示，MET基因扩增与非小细胞肺癌患者的不良预后相关，携带MET扩增的患者总生存率较低。</w:t>
      </w:r>
      <w:r>
        <w:rPr>
          <w:rFonts w:hint="eastAsia" w:ascii="Times New Roman" w:hAnsi="Times New Roman" w:cs="Times New Roman"/>
          <w:sz w:val="18"/>
          <w:szCs w:val="18"/>
        </w:rPr>
        <w:t>目前卡博替尼、伯瑞替尼、</w:t>
      </w:r>
      <w:r>
        <w:rPr>
          <w:rFonts w:ascii="Times New Roman" w:hAnsi="Times New Roman" w:cs="Times New Roman"/>
          <w:sz w:val="18"/>
          <w:szCs w:val="18"/>
        </w:rPr>
        <w:t>Tepotinib</w:t>
      </w:r>
      <w:r>
        <w:rPr>
          <w:rFonts w:hint="eastAsia" w:ascii="Times New Roman" w:hAnsi="Times New Roman" w:cs="Times New Roman"/>
          <w:sz w:val="18"/>
          <w:szCs w:val="18"/>
        </w:rPr>
        <w:t>、克唑替尼等用于非小细胞肺癌或实体瘤患者的临床试验正在开展。</w:t>
      </w:r>
    </w:p>
    <w:p w14:paraId="2B39FD7D">
      <w:pPr>
        <w:spacing w:line="300" w:lineRule="auto"/>
        <w:ind w:left="420"/>
        <w:rPr>
          <w:rFonts w:ascii="Times New Roman" w:hAnsi="Times New Roman" w:cs="Times New Roman"/>
          <w:sz w:val="18"/>
          <w:szCs w:val="18"/>
        </w:rPr>
      </w:pPr>
    </w:p>
    <w:p w14:paraId="6ABE7C39">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3056"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35" name="直线 4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8" o:spid="_x0000_s1026" o:spt="20" style="position:absolute;left:0pt;margin-left:-2.6pt;margin-top:12.55pt;height:1.7pt;width:453.4pt;z-index:-25162342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DDu4Fb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MTOR                                                                          </w:t>
      </w:r>
    </w:p>
    <w:p w14:paraId="28B0926A">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8EDC214">
      <w:pPr>
        <w:spacing w:line="300" w:lineRule="auto"/>
        <w:ind w:left="420"/>
        <w:rPr>
          <w:rFonts w:ascii="Times New Roman" w:hAnsi="Times New Roman" w:cs="Times New Roman"/>
          <w:sz w:val="18"/>
          <w:szCs w:val="18"/>
        </w:rPr>
      </w:pPr>
      <w:r>
        <w:rPr>
          <w:rFonts w:ascii="Times New Roman" w:hAnsi="Times New Roman" w:cs="Times New Roman"/>
          <w:sz w:val="18"/>
          <w:szCs w:val="18"/>
        </w:rPr>
        <w:t>MTOR编码一种丝氨酸/苏氨酸蛋白激酶，是细胞信号通路中的关键蛋白，属于磷脂酰肌醇激酶相关的激酶家族。这些激酶介导细胞对DNA损伤和营养缺乏等压力的反应，在细胞生长、分化、增殖、迁移和存活中发挥重要作用，该蛋白还是FKBP12-雷帕霉素复合物的细胞周期阻滞和免疫抑制作用的靶点。近年来发现mTOR相关的信号通路复杂且涉及面广泛，其中多个元素的调控异常均与肿瘤的发生密切相关。超过50%的恶性肿瘤存在mTOR信号通路的过度激活，激活的靶蛋白mTOR影响PI3K-AKT-TSC-mTOMRC1信号通路、as-MAPK-TSC-mTORC1信号通路、LKB1AMPK-TSC-mTOR信号通路，引起肿瘤细胞的快速增殖、癌蛋白分泌增加、细胞周期加快、G1期时程缩短，引发多种肿瘤且利于肿瘤的发展。与MTOR相关的疾病包括食管鳞状细胞癌、乳腺癌、肾癌等。</w:t>
      </w:r>
    </w:p>
    <w:p w14:paraId="743B3D5F">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FAE69FD">
      <w:pPr>
        <w:spacing w:line="300" w:lineRule="auto"/>
        <w:ind w:left="420"/>
        <w:rPr>
          <w:rFonts w:ascii="Times New Roman" w:hAnsi="Times New Roman" w:cs="Times New Roman"/>
          <w:sz w:val="18"/>
          <w:szCs w:val="18"/>
        </w:rPr>
      </w:pPr>
      <w:r>
        <w:rPr>
          <w:rFonts w:ascii="Times New Roman" w:hAnsi="Times New Roman" w:cs="Times New Roman"/>
          <w:sz w:val="18"/>
          <w:szCs w:val="18"/>
        </w:rPr>
        <w:t>依维莫司、替西罗莫司和zotarolimus是目前临床治疗中最常用的三种mTOR抑制剂，并取得了一定的成功。一项III期临床试验表明采用依维莫司治疗的肺或胃肠道的神经内分泌瘤患者能显著提PFS [PMID: 26703889]。在临床前的研究中，替西罗莫司治疗显然抑制了mTOR及其下游效应物的活化，导致食管鳞状细胞癌细胞增殖能力的降低。每周给予替西罗莫司可显著减少裸鼠皮下肿瘤的大小，并有效延长携带原位食管癌的小鼠的生存期，通过替西罗莫司靶向mTOR可能成为食管癌治疗的替代方案[PMID:</w:t>
      </w:r>
      <w:r>
        <w:rPr>
          <w:rFonts w:hint="eastAsia" w:ascii="Times New Roman" w:hAnsi="Times New Roman" w:cs="Times New Roman"/>
          <w:sz w:val="18"/>
          <w:szCs w:val="18"/>
        </w:rPr>
        <w:t xml:space="preserve"> </w:t>
      </w:r>
      <w:r>
        <w:rPr>
          <w:rFonts w:ascii="Times New Roman" w:hAnsi="Times New Roman" w:cs="Times New Roman"/>
          <w:sz w:val="18"/>
          <w:szCs w:val="18"/>
        </w:rPr>
        <w:t>23291985]。mTOR通路的激活已被发现与不良临床预后、侵袭和转移相关[PMID: 32016810]。</w:t>
      </w:r>
      <w:r>
        <w:rPr>
          <w:rFonts w:hint="eastAsia" w:ascii="Times New Roman" w:hAnsi="Times New Roman" w:cs="Times New Roman"/>
          <w:sz w:val="18"/>
          <w:szCs w:val="18"/>
        </w:rPr>
        <w:t>目前</w:t>
      </w:r>
      <w:r>
        <w:rPr>
          <w:rFonts w:ascii="Times New Roman" w:hAnsi="Times New Roman" w:cs="Times New Roman"/>
          <w:sz w:val="18"/>
          <w:szCs w:val="18"/>
        </w:rPr>
        <w:t>Sapanisertib</w:t>
      </w:r>
      <w:r>
        <w:rPr>
          <w:rFonts w:hint="eastAsia" w:ascii="Times New Roman" w:hAnsi="Times New Roman" w:cs="Times New Roman"/>
          <w:sz w:val="18"/>
          <w:szCs w:val="18"/>
        </w:rPr>
        <w:t>、依维莫司用于M</w:t>
      </w:r>
      <w:r>
        <w:rPr>
          <w:rFonts w:ascii="Times New Roman" w:hAnsi="Times New Roman" w:cs="Times New Roman"/>
          <w:sz w:val="18"/>
          <w:szCs w:val="18"/>
        </w:rPr>
        <w:t>TOR</w:t>
      </w:r>
      <w:r>
        <w:rPr>
          <w:rFonts w:hint="eastAsia" w:ascii="Times New Roman" w:hAnsi="Times New Roman" w:cs="Times New Roman"/>
          <w:sz w:val="18"/>
          <w:szCs w:val="18"/>
        </w:rPr>
        <w:t>突变实体瘤患者的临床试验正在开展。</w:t>
      </w:r>
    </w:p>
    <w:p w14:paraId="0124C7C9">
      <w:pPr>
        <w:spacing w:line="300" w:lineRule="auto"/>
        <w:ind w:left="420"/>
        <w:rPr>
          <w:rFonts w:ascii="Times New Roman" w:hAnsi="Times New Roman" w:cs="Times New Roman"/>
          <w:sz w:val="18"/>
          <w:szCs w:val="18"/>
        </w:rPr>
      </w:pPr>
    </w:p>
    <w:p w14:paraId="7B111852">
      <w:pPr>
        <w:spacing w:line="360" w:lineRule="auto"/>
        <w:rPr>
          <w:rFonts w:ascii="Times New Roman" w:hAnsi="Times New Roman" w:cs="Times New Roman"/>
          <w:b/>
          <w:color w:val="000000"/>
        </w:rPr>
      </w:pPr>
      <w:r>
        <w:rPr>
          <w:rFonts w:ascii="Times New Roman" w:hAnsi="Times New Roman" w:cs="Times New Roman"/>
          <w:color w:val="000000"/>
        </w:rPr>
        <mc:AlternateContent>
          <mc:Choice Requires="wps">
            <w:drawing>
              <wp:anchor distT="0" distB="0" distL="114300" distR="114300" simplePos="0" relativeHeight="251701248"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43" name="直线 49"/>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9" o:spid="_x0000_s1026" o:spt="20" style="position:absolute;left:0pt;margin-left:-2.6pt;margin-top:12.55pt;height:1.7pt;width:453.4pt;z-index:25170124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D82141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color w:val="000000"/>
        </w:rPr>
        <w:t xml:space="preserve">MYC                                                                         </w:t>
      </w:r>
    </w:p>
    <w:p w14:paraId="59DF0BBB">
      <w:pPr>
        <w:spacing w:line="300" w:lineRule="auto"/>
        <w:ind w:left="420"/>
        <w:rPr>
          <w:rFonts w:ascii="Times New Roman" w:hAnsi="Times New Roman" w:cs="Times New Roman"/>
          <w:b/>
          <w:color w:val="000000"/>
          <w:szCs w:val="18"/>
        </w:rPr>
      </w:pPr>
      <w:r>
        <w:rPr>
          <w:rFonts w:ascii="Times New Roman" w:hAnsi="Times New Roman" w:cs="Times New Roman"/>
          <w:b/>
          <w:color w:val="000000"/>
          <w:szCs w:val="18"/>
        </w:rPr>
        <w:t>基因说明：</w:t>
      </w:r>
    </w:p>
    <w:p w14:paraId="5CD1F9BF">
      <w:pPr>
        <w:spacing w:line="300" w:lineRule="auto"/>
        <w:ind w:left="420"/>
        <w:rPr>
          <w:rFonts w:ascii="Times New Roman" w:hAnsi="Times New Roman" w:cs="Times New Roman"/>
          <w:color w:val="000000"/>
          <w:sz w:val="18"/>
          <w:szCs w:val="18"/>
        </w:rPr>
      </w:pPr>
      <w:r>
        <w:rPr>
          <w:rFonts w:ascii="Times New Roman" w:hAnsi="Times New Roman" w:cs="Times New Roman"/>
          <w:color w:val="000000"/>
          <w:sz w:val="18"/>
          <w:szCs w:val="18"/>
        </w:rPr>
        <w:t xml:space="preserve">MYC是最早被鉴定的一组核内原癌基因，包括C-Myc、N-Myc、L-Myc，编码多功能核磷蛋白核转录因子，接受来自细胞表明生长信号，刺激基因表达，能够促进细胞增殖，永生化，去分化和转化等。MYC编码的蛋白与相关转录因子MAX形成异二聚体，通过结合Ebox DNA共有序列，调节特定靶基因的转录。该基因的扩增突变发生在许多人类癌症中，与该基因相关的易位突变与人类患者的Burkitt淋巴瘤和多发性骨髓瘤有关。MYC基因扩增与多种肿瘤相关，包括乳腺癌、宫颈癌、大肠癌、头颈鳞状细胞癌、黑色素瘤、非霍奇金淋巴瘤、肝癌、胃癌和卵巢癌、造血系统肿瘤、白血病、脑癌等。  </w:t>
      </w:r>
    </w:p>
    <w:p w14:paraId="7E66F50A">
      <w:pPr>
        <w:spacing w:line="300" w:lineRule="auto"/>
        <w:ind w:left="420"/>
        <w:rPr>
          <w:rFonts w:ascii="Times New Roman" w:hAnsi="Times New Roman" w:cs="Times New Roman"/>
          <w:b/>
          <w:color w:val="000000"/>
          <w:szCs w:val="18"/>
        </w:rPr>
      </w:pPr>
      <w:r>
        <w:rPr>
          <w:rFonts w:ascii="Times New Roman" w:hAnsi="Times New Roman" w:cs="Times New Roman"/>
          <w:b/>
          <w:color w:val="000000"/>
          <w:szCs w:val="18"/>
        </w:rPr>
        <w:t>用药说明：</w:t>
      </w:r>
    </w:p>
    <w:p w14:paraId="4ED38CF9">
      <w:pPr>
        <w:spacing w:line="300" w:lineRule="auto"/>
        <w:ind w:left="420"/>
        <w:rPr>
          <w:rFonts w:ascii="Times New Roman" w:hAnsi="Times New Roman" w:cs="Times New Roman"/>
          <w:color w:val="000000"/>
          <w:sz w:val="18"/>
          <w:szCs w:val="18"/>
        </w:rPr>
      </w:pPr>
      <w:r>
        <w:rPr>
          <w:rFonts w:ascii="Times New Roman" w:hAnsi="Times New Roman" w:cs="Times New Roman"/>
          <w:color w:val="000000"/>
          <w:sz w:val="18"/>
          <w:szCs w:val="18"/>
        </w:rPr>
        <w:t>在小细胞肺癌的研究中发现，携带MYC扩增或过表达的肿瘤中，Prexasertib可以增强顺铂或者PARP抑制剂奥拉帕利的作用[PMID:</w:t>
      </w:r>
      <w:r>
        <w:rPr>
          <w:rFonts w:hint="eastAsia" w:ascii="Times New Roman" w:hAnsi="Times New Roman" w:cs="Times New Roman"/>
          <w:color w:val="000000"/>
          <w:sz w:val="18"/>
          <w:szCs w:val="18"/>
        </w:rPr>
        <w:t xml:space="preserve"> </w:t>
      </w:r>
      <w:r>
        <w:rPr>
          <w:rFonts w:ascii="Times New Roman" w:hAnsi="Times New Roman" w:cs="Times New Roman"/>
          <w:color w:val="000000"/>
          <w:sz w:val="18"/>
          <w:szCs w:val="18"/>
        </w:rPr>
        <w:t>28490518]。临床前研究表明，ERBB2抑制剂来那替尼联合多西他赛以及Aurora抑制剂GSK1070916对于携带MYC扩增的肿瘤细胞系有协同抑制作用[PMID:</w:t>
      </w:r>
      <w:r>
        <w:rPr>
          <w:rFonts w:hint="eastAsia" w:ascii="Times New Roman" w:hAnsi="Times New Roman" w:cs="Times New Roman"/>
          <w:color w:val="000000"/>
          <w:sz w:val="18"/>
          <w:szCs w:val="18"/>
        </w:rPr>
        <w:t xml:space="preserve"> </w:t>
      </w:r>
      <w:r>
        <w:rPr>
          <w:rFonts w:ascii="Times New Roman" w:hAnsi="Times New Roman" w:cs="Times New Roman"/>
          <w:color w:val="000000"/>
          <w:sz w:val="18"/>
          <w:szCs w:val="18"/>
        </w:rPr>
        <w:t>26018524]。</w:t>
      </w:r>
      <w:r>
        <w:rPr>
          <w:rFonts w:hint="eastAsia" w:ascii="Times New Roman" w:hAnsi="Times New Roman" w:cs="Times New Roman"/>
          <w:color w:val="000000"/>
          <w:sz w:val="18"/>
          <w:szCs w:val="18"/>
        </w:rPr>
        <w:t>对接受吉非替尼治疗的</w:t>
      </w:r>
      <w:r>
        <w:rPr>
          <w:rFonts w:ascii="Times New Roman" w:hAnsi="Times New Roman" w:cs="Times New Roman"/>
          <w:color w:val="000000"/>
          <w:sz w:val="18"/>
          <w:szCs w:val="18"/>
        </w:rPr>
        <w:t>NSCLC患者的研究发现，MYC FISH阳性患者比MYC阴性患者有更高的反应率（p=0.003），更长的进展时间（p=0.01）和总生存率OS（p=0.02）[PMID: 19204574]。</w:t>
      </w:r>
      <w:r>
        <w:rPr>
          <w:rFonts w:hint="eastAsia" w:ascii="Times New Roman" w:hAnsi="Times New Roman" w:cs="Times New Roman"/>
          <w:color w:val="000000"/>
          <w:sz w:val="18"/>
          <w:szCs w:val="18"/>
        </w:rPr>
        <w:t>有研究表明，</w:t>
      </w:r>
      <w:r>
        <w:rPr>
          <w:rFonts w:ascii="Times New Roman" w:hAnsi="Times New Roman" w:cs="Times New Roman"/>
          <w:color w:val="000000"/>
          <w:sz w:val="18"/>
          <w:szCs w:val="18"/>
        </w:rPr>
        <w:t>MYC的激活或者扩增是小细胞肺癌细胞对依维莫司（mTOR抑制剂）耐药的主要原因之一[PMID: 25884680; PMID: 25122428]。</w:t>
      </w:r>
      <w:r>
        <w:rPr>
          <w:rFonts w:hint="eastAsia" w:ascii="Times New Roman" w:hAnsi="Times New Roman" w:cs="Times New Roman"/>
          <w:color w:val="000000"/>
          <w:sz w:val="18"/>
          <w:szCs w:val="18"/>
        </w:rPr>
        <w:t>在结直肠癌患者中，</w:t>
      </w:r>
      <w:r>
        <w:rPr>
          <w:rFonts w:ascii="Times New Roman" w:hAnsi="Times New Roman" w:cs="Times New Roman"/>
          <w:color w:val="000000"/>
          <w:sz w:val="18"/>
          <w:szCs w:val="18"/>
        </w:rPr>
        <w:t>c-MYC拷贝数增加是预后不良的独立因素[PMID: 26426996]。</w:t>
      </w:r>
      <w:r>
        <w:rPr>
          <w:rFonts w:hint="eastAsia" w:ascii="Times New Roman" w:hAnsi="Times New Roman" w:cs="Times New Roman"/>
          <w:sz w:val="18"/>
          <w:szCs w:val="18"/>
        </w:rPr>
        <w:t>目前</w:t>
      </w:r>
      <w:r>
        <w:rPr>
          <w:rFonts w:ascii="Times New Roman" w:hAnsi="Times New Roman" w:cs="Times New Roman"/>
          <w:sz w:val="18"/>
          <w:szCs w:val="18"/>
        </w:rPr>
        <w:t>KB0742</w:t>
      </w:r>
      <w:r>
        <w:rPr>
          <w:rFonts w:hint="eastAsia" w:ascii="Times New Roman" w:hAnsi="Times New Roman" w:cs="Times New Roman"/>
          <w:sz w:val="18"/>
          <w:szCs w:val="18"/>
        </w:rPr>
        <w:t>用于</w:t>
      </w:r>
      <w:r>
        <w:rPr>
          <w:rFonts w:ascii="Times New Roman" w:hAnsi="Times New Roman" w:cs="Times New Roman"/>
          <w:sz w:val="18"/>
          <w:szCs w:val="18"/>
        </w:rPr>
        <w:t>MYC</w:t>
      </w:r>
      <w:r>
        <w:rPr>
          <w:rFonts w:hint="eastAsia" w:ascii="Times New Roman" w:hAnsi="Times New Roman" w:cs="Times New Roman"/>
          <w:sz w:val="18"/>
          <w:szCs w:val="18"/>
        </w:rPr>
        <w:t>突变实体瘤患者的临床试验正在开展。</w:t>
      </w:r>
    </w:p>
    <w:p w14:paraId="24D40E8A">
      <w:pPr>
        <w:spacing w:line="300" w:lineRule="auto"/>
        <w:ind w:left="420"/>
        <w:rPr>
          <w:rFonts w:ascii="Times New Roman" w:hAnsi="Times New Roman" w:cs="Times New Roman"/>
          <w:color w:val="000000"/>
          <w:sz w:val="18"/>
          <w:szCs w:val="18"/>
        </w:rPr>
      </w:pPr>
    </w:p>
    <w:p w14:paraId="763E950D">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6608"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65" name="直线 50"/>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0" o:spid="_x0000_s1026" o:spt="20" style="position:absolute;left:0pt;margin-left:-2.6pt;margin-top:12.55pt;height:1.7pt;width:453.4pt;z-index:25171660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Cb3+2X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MYCN                                                                          </w:t>
      </w:r>
    </w:p>
    <w:p w14:paraId="59E91A84">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5EAB3176">
      <w:pPr>
        <w:spacing w:line="300" w:lineRule="auto"/>
        <w:ind w:left="420"/>
        <w:rPr>
          <w:rFonts w:ascii="Times New Roman" w:hAnsi="Times New Roman" w:cs="Times New Roman"/>
          <w:sz w:val="18"/>
          <w:szCs w:val="18"/>
        </w:rPr>
      </w:pPr>
      <w:r>
        <w:rPr>
          <w:rFonts w:ascii="Times New Roman" w:hAnsi="Times New Roman" w:cs="Times New Roman"/>
          <w:sz w:val="18"/>
          <w:szCs w:val="18"/>
        </w:rPr>
        <w:t>MYCN为原癌基因，是MYC家族成员之一，其编码的蛋白具有基本的螺旋-环-螺旋(bHLH) 结构域，该蛋白位于细胞核内中，必须与另一种bHLH蛋白形成二聚体才能结合DNA。磷酸化的MYVN蛋白会与AURKA和FBXW7竞争，但是未磷酸化的不参与竞争结合。该基因参与细胞凋亡抑制功能以及参与肿瘤干细胞信号通路从而发挥作用。已经发现MYCN既可以作为转录激活物又可以作为阻遏物起作用，调节参与细胞周期、增殖、凋亡、代谢和肿瘤微环境调节，以及其他过程[PMID</w:t>
      </w:r>
      <w:r>
        <w:rPr>
          <w:rFonts w:hint="eastAsia" w:ascii="Times New Roman" w:hAnsi="Times New Roman" w:cs="Times New Roman"/>
          <w:sz w:val="18"/>
          <w:szCs w:val="18"/>
        </w:rPr>
        <w:t xml:space="preserve">: </w:t>
      </w:r>
      <w:r>
        <w:rPr>
          <w:rFonts w:ascii="Times New Roman" w:hAnsi="Times New Roman" w:cs="Times New Roman"/>
          <w:sz w:val="18"/>
          <w:szCs w:val="18"/>
        </w:rPr>
        <w:t xml:space="preserve">20399964]。该基因的扩增与多种肿瘤相关，尤其是神经母细胞瘤。已发现该基因存在多个编码不同亚型的交替剪接转录变体。与MYCN相关的疾病包括眼癌、神经母细胞瘤、子宫内膜癌、肠道癌症等。 </w:t>
      </w:r>
    </w:p>
    <w:p w14:paraId="68957134">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4824C2F7">
      <w:pPr>
        <w:spacing w:line="300" w:lineRule="auto"/>
        <w:ind w:left="420"/>
        <w:rPr>
          <w:rFonts w:ascii="Times New Roman" w:hAnsi="Times New Roman" w:cs="Times New Roman"/>
          <w:color w:val="000000"/>
          <w:sz w:val="18"/>
          <w:szCs w:val="18"/>
        </w:rPr>
      </w:pPr>
      <w:r>
        <w:rPr>
          <w:rFonts w:ascii="Times New Roman" w:hAnsi="Times New Roman" w:cs="Times New Roman"/>
          <w:color w:val="000000"/>
          <w:sz w:val="18"/>
          <w:szCs w:val="18"/>
        </w:rPr>
        <w:t>目前没有FDA批准的用于MYCN突变的靶向药物。在1596名神经母细胞瘤患者的队列中，非MYCN扩增病例无进展生存时间为74个月，MYCN扩增病例的无进展生存期为39个月，两组之间具有统计学差异（p &lt; 0.0001)，提示MYCN扩增的神经母细胞瘤患者预后较差[PMID: 25517749]。目前临床阶段的药物多集中于靶向MYCN下游靶点、参与MYCN转录活性和稳定的药物，例如CBL0137、GSK126、比拉瑞塞等都可以抑制MYCN突变，发挥药物抑制作用。</w:t>
      </w:r>
      <w:r>
        <w:rPr>
          <w:rFonts w:hint="eastAsia" w:ascii="Times New Roman" w:hAnsi="Times New Roman" w:cs="Times New Roman"/>
          <w:color w:val="000000"/>
          <w:sz w:val="18"/>
          <w:szCs w:val="18"/>
        </w:rPr>
        <w:t>有研究报道，</w:t>
      </w:r>
      <w:r>
        <w:rPr>
          <w:rFonts w:ascii="Times New Roman" w:hAnsi="Times New Roman" w:cs="Times New Roman"/>
          <w:color w:val="000000"/>
          <w:sz w:val="18"/>
          <w:szCs w:val="18"/>
        </w:rPr>
        <w:t>MYCN与非小细胞肺癌的复发时间有关[PMID: 26858029]。</w:t>
      </w:r>
    </w:p>
    <w:p w14:paraId="455846DC">
      <w:pPr>
        <w:spacing w:line="300" w:lineRule="auto"/>
        <w:ind w:left="420"/>
        <w:rPr>
          <w:rFonts w:ascii="Times New Roman" w:hAnsi="Times New Roman" w:cs="Times New Roman"/>
          <w:sz w:val="18"/>
          <w:szCs w:val="18"/>
        </w:rPr>
      </w:pPr>
    </w:p>
    <w:p w14:paraId="66A34A8C">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9440"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58" name="直线 51"/>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1" o:spid="_x0000_s1026" o:spt="20" style="position:absolute;left:0pt;margin-left:-2.55pt;margin-top:12.55pt;height:1.7pt;width:453.45pt;z-index:251709440;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ra5SVO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NRAS                                                                          </w:t>
      </w:r>
    </w:p>
    <w:p w14:paraId="216FDAE4">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5B2D243C">
      <w:pPr>
        <w:spacing w:line="300" w:lineRule="auto"/>
        <w:ind w:left="420"/>
        <w:rPr>
          <w:rFonts w:ascii="Times New Roman" w:hAnsi="Times New Roman" w:cs="Times New Roman"/>
          <w:b/>
          <w:szCs w:val="18"/>
        </w:rPr>
      </w:pPr>
      <w:r>
        <w:rPr>
          <w:rFonts w:ascii="Times New Roman" w:hAnsi="Times New Roman" w:cs="Times New Roman"/>
          <w:sz w:val="18"/>
          <w:szCs w:val="18"/>
        </w:rPr>
        <w:t>NRAS基因属于RAS基因家族，是一种致癌基因，编码的膜蛋白穿梭于高尔基体和细胞质膜之间。这种穿梭机制是通过调节ZDHHC9-GOLGA7复合体的棕榈酰化和去棕榈酰化实现的。在正常细胞中</w:t>
      </w:r>
      <w:r>
        <w:rPr>
          <w:rFonts w:hint="eastAsia" w:ascii="Times New Roman" w:hAnsi="Times New Roman" w:cs="Times New Roman"/>
          <w:sz w:val="18"/>
          <w:szCs w:val="18"/>
        </w:rPr>
        <w:t>，</w:t>
      </w:r>
      <w:r>
        <w:rPr>
          <w:rFonts w:ascii="Times New Roman" w:hAnsi="Times New Roman" w:cs="Times New Roman"/>
          <w:sz w:val="18"/>
          <w:szCs w:val="18"/>
        </w:rPr>
        <w:t>Ras以非活化状态（GDP结合型）存在，当受到外源信号刺激，Ras发生磷酸化，构象改变而成为活化的GTP结合型，刺激下游信号传导，导致肿瘤的发生。NRAS信号的激活会导致下游多条信号通路激活，包括RAS/RAF/MEK/ERK信号通路和PI3K/AKT/mTOR信号通路，从而刺激细胞持续增殖、分化和生存。NRAS G12A/C/D/N/P/R/S/V是位于NRAS蛋白GTP结合区的热点突变。变体尚未被表征，但可以预测将使NRAS蛋白会丧失功能，这导致GTPase活性降低，对GTPase激活蛋白的反应丧失，以及培养细胞的转化[PMID: 6092966; PMID: 26037647; PMID: 19075190]。NRAS基因突变常见于结直肠癌、黑色素瘤、肝细胞癌、髓系白血病和甲状腺癌。</w:t>
      </w:r>
    </w:p>
    <w:p w14:paraId="6DD3EF9B">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color w:val="000000"/>
          <w:sz w:val="18"/>
          <w:szCs w:val="18"/>
        </w:rPr>
        <w:t>西妥昔单抗*</w:t>
      </w:r>
      <w:r>
        <w:rPr>
          <w:rFonts w:ascii="Times New Roman" w:hAnsi="Times New Roman" w:cs="Times New Roman"/>
          <w:color w:val="000000"/>
          <w:sz w:val="18"/>
          <w:szCs w:val="18"/>
        </w:rPr>
        <w:t>、</w:t>
      </w:r>
      <w:r>
        <w:rPr>
          <w:rFonts w:ascii="Times New Roman" w:hAnsi="Times New Roman" w:cs="Times New Roman"/>
          <w:b/>
          <w:color w:val="000000"/>
          <w:sz w:val="18"/>
          <w:szCs w:val="18"/>
        </w:rPr>
        <w:t>帕尼单抗</w:t>
      </w:r>
      <w:r>
        <w:rPr>
          <w:rFonts w:ascii="Times New Roman" w:hAnsi="Times New Roman" w:cs="Times New Roman"/>
          <w:color w:val="000000"/>
          <w:sz w:val="18"/>
          <w:szCs w:val="18"/>
        </w:rPr>
        <w:t>、Navitoclax + 曲美替尼、贝美替尼</w:t>
      </w:r>
    </w:p>
    <w:p w14:paraId="769BF708">
      <w:pPr>
        <w:spacing w:line="360" w:lineRule="auto"/>
        <w:ind w:left="420"/>
        <w:rPr>
          <w:rFonts w:ascii="Times New Roman" w:hAnsi="Times New Roman" w:cs="Times New Roman"/>
          <w:sz w:val="18"/>
          <w:szCs w:val="18"/>
        </w:rPr>
      </w:pPr>
      <w:r>
        <w:rPr>
          <w:rFonts w:ascii="Times New Roman" w:hAnsi="Times New Roman" w:cs="Times New Roman"/>
          <w:sz w:val="18"/>
          <w:szCs w:val="18"/>
        </w:rPr>
        <w:t>临床前模型中NRAS突变的NSCLC显示出对MEK抑制剂敏感。FDA批准西妥昔单抗和帕尼单抗用于RAS野生型(定义为KRAS和NRAS中的野生型)转移性结直肠癌(mCRC)患者</w:t>
      </w:r>
      <w:r>
        <w:rPr>
          <w:rFonts w:hint="eastAsia" w:ascii="Times New Roman" w:hAnsi="Times New Roman" w:cs="Times New Roman"/>
          <w:sz w:val="18"/>
          <w:szCs w:val="18"/>
        </w:rPr>
        <w:t>。结直肠癌中，</w:t>
      </w:r>
      <w:r>
        <w:rPr>
          <w:rFonts w:ascii="Times New Roman" w:hAnsi="Times New Roman" w:cs="Times New Roman"/>
          <w:sz w:val="18"/>
          <w:szCs w:val="18"/>
        </w:rPr>
        <w:t>NRAS野生型对西妥昔单抗[PMID: 30463680]、帕尼单抗（EGFR单抗）[PMID: 29587749; PMID: 29737864]敏感性增加</w:t>
      </w:r>
      <w:r>
        <w:rPr>
          <w:rFonts w:hint="eastAsia" w:ascii="Times New Roman" w:hAnsi="Times New Roman" w:cs="Times New Roman"/>
          <w:sz w:val="18"/>
          <w:szCs w:val="18"/>
        </w:rPr>
        <w:t>。</w:t>
      </w:r>
      <w:r>
        <w:rPr>
          <w:rFonts w:ascii="Times New Roman" w:hAnsi="Times New Roman" w:cs="Times New Roman"/>
          <w:sz w:val="18"/>
          <w:szCs w:val="18"/>
        </w:rPr>
        <w:t>案例研究报道，2例携带Q61K NRAS突变的转移性结直肠癌（mCRC）对贝伐珠单抗联合组蛋白脱乙酰酶抑制剂丙戊酸有良好反应，两名患者第一次评估均表现出肿瘤缩小，患者1持续治疗了13个月以上。患者2获得部分响应并且在报道时已持续治疗8个月以上[PMID: 23400451]。黑色素瘤中，NRAS突变的患者对贝美替尼敏感[PMID: 28284557]。NRAS突变和上调会对表皮生长因子受体(EGFR)和BRAF抑制剂治疗产生抗性[PMID: 24024839]。KRAS、NRAS及BRAF处于EGFR的下游通路中，NRAS的突变状态可能对于帕尼单抗的用药具有一定影响。</w:t>
      </w:r>
      <w:r>
        <w:rPr>
          <w:rFonts w:hint="eastAsia" w:ascii="Times New Roman" w:hAnsi="Times New Roman" w:cs="Times New Roman"/>
          <w:sz w:val="18"/>
          <w:szCs w:val="18"/>
        </w:rPr>
        <w:t>目前</w:t>
      </w:r>
      <w:r>
        <w:rPr>
          <w:rFonts w:ascii="Times New Roman" w:hAnsi="Times New Roman" w:cs="Times New Roman"/>
          <w:sz w:val="18"/>
          <w:szCs w:val="18"/>
        </w:rPr>
        <w:t>HH2710</w:t>
      </w:r>
      <w:r>
        <w:rPr>
          <w:rFonts w:hint="eastAsia" w:ascii="Times New Roman" w:hAnsi="Times New Roman" w:cs="Times New Roman"/>
          <w:sz w:val="18"/>
          <w:szCs w:val="18"/>
        </w:rPr>
        <w:t>、西罗莫司、贝美替尼用于N</w:t>
      </w:r>
      <w:r>
        <w:rPr>
          <w:rFonts w:ascii="Times New Roman" w:hAnsi="Times New Roman" w:cs="Times New Roman"/>
          <w:sz w:val="18"/>
          <w:szCs w:val="18"/>
        </w:rPr>
        <w:t>RAS</w:t>
      </w:r>
      <w:r>
        <w:rPr>
          <w:rFonts w:hint="eastAsia" w:ascii="Times New Roman" w:hAnsi="Times New Roman" w:cs="Times New Roman"/>
          <w:sz w:val="18"/>
          <w:szCs w:val="18"/>
        </w:rPr>
        <w:t>突变的实体瘤患者的临床试验正在开展。</w:t>
      </w:r>
    </w:p>
    <w:p w14:paraId="5860D322">
      <w:pPr>
        <w:spacing w:line="300" w:lineRule="auto"/>
        <w:rPr>
          <w:rFonts w:ascii="Times New Roman" w:hAnsi="Times New Roman" w:cs="Times New Roman"/>
          <w:sz w:val="18"/>
          <w:szCs w:val="18"/>
        </w:rPr>
      </w:pPr>
    </w:p>
    <w:p w14:paraId="1590A87B">
      <w:pPr>
        <w:spacing w:line="360" w:lineRule="auto"/>
        <w:rPr>
          <w:rFonts w:ascii="Times New Roman" w:hAnsi="Times New Roman" w:cs="Times New Roman"/>
          <w:b/>
          <w:szCs w:val="18"/>
        </w:rPr>
      </w:pPr>
      <w:r>
        <w:rPr>
          <w:rFonts w:ascii="Times New Roman" w:hAnsi="Times New Roman" w:cs="Times New Roman"/>
        </w:rPr>
        <mc:AlternateContent>
          <mc:Choice Requires="wps">
            <w:drawing>
              <wp:anchor distT="0" distB="0" distL="114300" distR="114300" simplePos="0" relativeHeight="251675648" behindDoc="1" locked="0" layoutInCell="1" allowOverlap="1">
                <wp:simplePos x="0" y="0"/>
                <wp:positionH relativeFrom="column">
                  <wp:posOffset>-32385</wp:posOffset>
                </wp:positionH>
                <wp:positionV relativeFrom="paragraph">
                  <wp:posOffset>168275</wp:posOffset>
                </wp:positionV>
                <wp:extent cx="5758815" cy="21590"/>
                <wp:effectExtent l="0" t="9525" r="3810" b="16510"/>
                <wp:wrapNone/>
                <wp:docPr id="18" name="直线 52"/>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2" o:spid="_x0000_s1026" o:spt="20" style="position:absolute;left:0pt;margin-left:-2.55pt;margin-top:13.25pt;height:1.7pt;width:453.45pt;z-index:-251640832;mso-width-relative:page;mso-height-relative:page;" filled="f" stroked="t" coordsize="21600,21600" o:gfxdata="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sq&#10;JgTXAAAACAEAAA8AAAAAAAAAAQAgAAAAIgAAAGRycy9kb3ducmV2LnhtbFBLAQIUABQAAAAIAIdO&#10;4kBmz+uu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NTRK1                                                                    </w:t>
      </w:r>
    </w:p>
    <w:p w14:paraId="699C2417">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2621630B">
      <w:pPr>
        <w:spacing w:line="300" w:lineRule="auto"/>
        <w:ind w:left="420"/>
        <w:rPr>
          <w:rFonts w:ascii="Times New Roman" w:hAnsi="Times New Roman" w:cs="Times New Roman"/>
          <w:sz w:val="18"/>
          <w:szCs w:val="18"/>
        </w:rPr>
      </w:pPr>
      <w:r>
        <w:rPr>
          <w:rFonts w:ascii="Times New Roman" w:hAnsi="Times New Roman" w:cs="Times New Roman"/>
          <w:sz w:val="18"/>
          <w:szCs w:val="18"/>
        </w:rPr>
        <w:t>NTRK1 基因编码原肌球蛋白受体激酶 A（TrkA），是 Trk 受体酪氨酸激酶家族的成员。NTRK1基因位于1q23.1，编码的蛋白属于神经营养因子酪氨酸激酶受体家族的成员，在生物学上， TrkAI 被认为是神经母细胞瘤中的肿瘤抑制因子。这种激酶是一种膜结合受体，通过与神经营养因子结合，使其自身以及MAPK信号通路的成员磷酸化。如果与其它基因发生融合，可导致异常激活，从而引起肿瘤的发生，与NTRK1相关的疾病包括无汗症、精神发育迟滞、乳头状甲状腺癌、肺癌、多形性胶质母细胞瘤等。NTRK1 重排发生在 12%的乳头状甲状腺癌中， 3.3%的肺癌和近 1%的多形性恶性胶质瘤中。NTRK1 基因融合了完整的 TRKA 激酶结构域，导致了 TRKA 激酶活性组成</w:t>
      </w:r>
      <w:r>
        <w:rPr>
          <w:rFonts w:hint="eastAsia" w:ascii="Times New Roman" w:hAnsi="Times New Roman" w:cs="Times New Roman"/>
          <w:sz w:val="18"/>
          <w:szCs w:val="18"/>
        </w:rPr>
        <w:t>型</w:t>
      </w:r>
      <w:r>
        <w:rPr>
          <w:rFonts w:ascii="Times New Roman" w:hAnsi="Times New Roman" w:cs="Times New Roman"/>
          <w:sz w:val="18"/>
          <w:szCs w:val="18"/>
        </w:rPr>
        <w:t>激活。MPRIP-NTRK1(M21;N14)和CD74-NTRK1 (C8;N12)融合基因是肺腺癌的致癌基因，是肺癌新的癌基因靶点。</w:t>
      </w:r>
    </w:p>
    <w:p w14:paraId="69E16AEB">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sz w:val="18"/>
          <w:szCs w:val="18"/>
        </w:rPr>
        <w:t>恩曲替尼、拉罗替尼</w:t>
      </w:r>
    </w:p>
    <w:p w14:paraId="07CFB5FB">
      <w:pPr>
        <w:spacing w:line="360" w:lineRule="auto"/>
        <w:ind w:left="420"/>
        <w:rPr>
          <w:rFonts w:ascii="Times New Roman" w:hAnsi="Times New Roman" w:cs="Times New Roman"/>
          <w:sz w:val="18"/>
          <w:szCs w:val="18"/>
        </w:rPr>
      </w:pPr>
      <w:r>
        <w:rPr>
          <w:rFonts w:ascii="Times New Roman" w:hAnsi="Times New Roman" w:cs="Times New Roman"/>
          <w:sz w:val="18"/>
          <w:szCs w:val="18"/>
        </w:rPr>
        <w:t>FDA批准NTRK基因抑制剂拉罗替尼和恩曲替尼用于治疗患有NTRK基因融合的局部晚期或转移性实体瘤的成人和儿童患者。恩曲替尼和拉罗替尼是一种广谱抗癌靶向药，在多种肿瘤中有效性一致。NCCN指南推荐拉罗替尼和恩曲替尼用于NTRK融合阳性晚期或转移性非小细胞肺癌患者的治疗[NCCN-Non-Small Cell Lung Cancer_2021_V5]。NCCN推荐恩曲替尼用于携带NTRK基因融合阳性的转移性结直肠癌患者的治疗[NCCN-Colon Cancer_2021_V2]，</w:t>
      </w:r>
      <w:r>
        <w:rPr>
          <w:rFonts w:hint="eastAsia" w:ascii="Times New Roman" w:hAnsi="Times New Roman" w:cs="Times New Roman"/>
          <w:sz w:val="18"/>
          <w:szCs w:val="18"/>
        </w:rPr>
        <w:t>拉罗替尼</w:t>
      </w:r>
      <w:r>
        <w:rPr>
          <w:rFonts w:ascii="Times New Roman" w:hAnsi="Times New Roman" w:cs="Times New Roman"/>
          <w:sz w:val="18"/>
          <w:szCs w:val="18"/>
        </w:rPr>
        <w:t>被推荐作为NTRK基因融合阳性转移性结肠癌患者的一线治疗选择[NCCN_Colon Cancer_2021_V2]和携带神经营养酪氨酸受体激酶（NTRK）基因融合的转移性小肠腺癌患者的后续治疗[NCCN-Small Bowel Adenocarcinoma-_2021_V1]。</w:t>
      </w:r>
      <w:r>
        <w:rPr>
          <w:rFonts w:hint="eastAsia" w:ascii="Times New Roman" w:hAnsi="Times New Roman" w:cs="Times New Roman"/>
          <w:sz w:val="18"/>
          <w:szCs w:val="18"/>
        </w:rPr>
        <w:t>目前</w:t>
      </w:r>
      <w:r>
        <w:rPr>
          <w:rFonts w:ascii="Times New Roman" w:hAnsi="Times New Roman" w:cs="Times New Roman"/>
          <w:sz w:val="18"/>
          <w:szCs w:val="18"/>
        </w:rPr>
        <w:t>VMD928</w:t>
      </w:r>
      <w:r>
        <w:rPr>
          <w:rFonts w:hint="eastAsia" w:ascii="Times New Roman" w:hAnsi="Times New Roman" w:cs="Times New Roman"/>
          <w:sz w:val="18"/>
          <w:szCs w:val="18"/>
        </w:rPr>
        <w:t>、</w:t>
      </w:r>
      <w:r>
        <w:rPr>
          <w:rFonts w:ascii="Times New Roman" w:hAnsi="Times New Roman" w:cs="Times New Roman"/>
          <w:sz w:val="18"/>
          <w:szCs w:val="18"/>
        </w:rPr>
        <w:t>TL118</w:t>
      </w:r>
      <w:r>
        <w:rPr>
          <w:rFonts w:hint="eastAsia" w:ascii="Times New Roman" w:hAnsi="Times New Roman" w:cs="Times New Roman"/>
          <w:sz w:val="18"/>
          <w:szCs w:val="18"/>
        </w:rPr>
        <w:t>、</w:t>
      </w:r>
      <w:r>
        <w:rPr>
          <w:rFonts w:ascii="Times New Roman" w:hAnsi="Times New Roman" w:cs="Times New Roman"/>
          <w:sz w:val="18"/>
          <w:szCs w:val="18"/>
        </w:rPr>
        <w:t>Repotrectinib</w:t>
      </w:r>
      <w:r>
        <w:rPr>
          <w:rFonts w:hint="eastAsia" w:ascii="Times New Roman" w:hAnsi="Times New Roman" w:cs="Times New Roman"/>
          <w:sz w:val="18"/>
          <w:szCs w:val="18"/>
        </w:rPr>
        <w:t>等用于N</w:t>
      </w:r>
      <w:r>
        <w:rPr>
          <w:rFonts w:ascii="Times New Roman" w:hAnsi="Times New Roman" w:cs="Times New Roman"/>
          <w:sz w:val="18"/>
          <w:szCs w:val="18"/>
        </w:rPr>
        <w:t>TRK1</w:t>
      </w:r>
      <w:r>
        <w:rPr>
          <w:rFonts w:hint="eastAsia" w:ascii="Times New Roman" w:hAnsi="Times New Roman" w:cs="Times New Roman"/>
          <w:sz w:val="18"/>
          <w:szCs w:val="18"/>
        </w:rPr>
        <w:t>扩增或融合的实体瘤患者的临床试验正在开展。</w:t>
      </w:r>
    </w:p>
    <w:p w14:paraId="46851448">
      <w:pPr>
        <w:spacing w:line="360" w:lineRule="auto"/>
        <w:ind w:left="420"/>
        <w:rPr>
          <w:rFonts w:ascii="Times New Roman" w:hAnsi="Times New Roman" w:cs="Times New Roman"/>
          <w:sz w:val="18"/>
          <w:szCs w:val="18"/>
        </w:rPr>
      </w:pPr>
    </w:p>
    <w:p w14:paraId="7A67ED89">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68480"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9" name="直线 53"/>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3" o:spid="_x0000_s1026" o:spt="20" style="position:absolute;left:0pt;margin-left:-2.6pt;margin-top:12.55pt;height:1.7pt;width:453.4pt;z-index:-251648000;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lmwtjukBAADf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NTRK2</w:t>
      </w:r>
      <w:r>
        <w:rPr>
          <w:rFonts w:ascii="Times New Roman" w:hAnsi="Times New Roman" w:cs="Times New Roman"/>
          <w:b/>
          <w:color w:val="FF0000"/>
        </w:rPr>
        <w:t xml:space="preserve"> </w:t>
      </w:r>
      <w:r>
        <w:rPr>
          <w:rFonts w:ascii="Times New Roman" w:hAnsi="Times New Roman" w:cs="Times New Roman"/>
          <w:b/>
        </w:rPr>
        <w:t xml:space="preserve">                                                                        </w:t>
      </w:r>
    </w:p>
    <w:p w14:paraId="0010A9BE">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A4C9300">
      <w:pPr>
        <w:spacing w:line="300" w:lineRule="auto"/>
        <w:ind w:left="420"/>
        <w:rPr>
          <w:rFonts w:ascii="Times New Roman" w:hAnsi="Times New Roman" w:cs="Times New Roman"/>
          <w:sz w:val="18"/>
          <w:szCs w:val="18"/>
        </w:rPr>
      </w:pPr>
      <w:r>
        <w:rPr>
          <w:rFonts w:ascii="Times New Roman" w:hAnsi="Times New Roman" w:cs="Times New Roman"/>
          <w:sz w:val="18"/>
          <w:szCs w:val="18"/>
        </w:rPr>
        <w:t>NTRK2基因</w:t>
      </w:r>
      <w:r>
        <w:rPr>
          <w:rFonts w:hint="eastAsia" w:ascii="Times New Roman" w:hAnsi="Times New Roman" w:cs="Times New Roman"/>
          <w:sz w:val="18"/>
          <w:szCs w:val="18"/>
        </w:rPr>
        <w:t>（</w:t>
      </w:r>
      <w:r>
        <w:rPr>
          <w:rFonts w:ascii="Times New Roman" w:hAnsi="Times New Roman" w:cs="Times New Roman"/>
          <w:sz w:val="18"/>
          <w:szCs w:val="18"/>
        </w:rPr>
        <w:t>神经营养受体酪氨酸激酶2</w:t>
      </w:r>
      <w:r>
        <w:rPr>
          <w:rFonts w:hint="eastAsia" w:ascii="Times New Roman" w:hAnsi="Times New Roman" w:cs="Times New Roman"/>
          <w:sz w:val="18"/>
          <w:szCs w:val="18"/>
        </w:rPr>
        <w:t>）</w:t>
      </w:r>
      <w:r>
        <w:rPr>
          <w:rFonts w:ascii="Times New Roman" w:hAnsi="Times New Roman" w:cs="Times New Roman"/>
          <w:sz w:val="18"/>
          <w:szCs w:val="18"/>
        </w:rPr>
        <w:t>编码跨膜神经营养受体，该受体参与对正常神经发育重要的信号传导[PMID: 8145823]。NTRK2由胞外配体结合结构域、跨膜结构域和含有酪氨酸激酶结构域的胞内区域组成。神经细胞中的正常激活发生在结合其三个配体之一时，即神经生长因子(NGF)、脑源性神经营养因子(BDNF)或神经营养因子-3 (NT-3)，导致通过MAPK和PI3K[PMID: 10851172]。在神经细胞中的正常的激活机制是通过结合NGF、BDNF、NT-3引发自磷酸化和下游的MAPK等信号通路的激活，继而调控和促进细胞的增殖、生存以及分化。在几种人类癌症中发现了NTRK2的改变，特别是融合，例如肺癌、毛细胞星形细胞瘤和神经母细胞瘤[PMID: 9049830]。</w:t>
      </w:r>
    </w:p>
    <w:p w14:paraId="06B02A97">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sz w:val="18"/>
          <w:szCs w:val="18"/>
        </w:rPr>
        <w:t>拉罗替尼、恩曲替尼</w:t>
      </w:r>
    </w:p>
    <w:p w14:paraId="2F5E9DD8">
      <w:pPr>
        <w:spacing w:line="360" w:lineRule="auto"/>
        <w:ind w:left="420"/>
        <w:rPr>
          <w:rFonts w:ascii="Times New Roman" w:hAnsi="Times New Roman" w:cs="Times New Roman"/>
          <w:sz w:val="18"/>
          <w:szCs w:val="18"/>
        </w:rPr>
      </w:pPr>
      <w:r>
        <w:rPr>
          <w:rFonts w:ascii="Times New Roman" w:hAnsi="Times New Roman" w:cs="Times New Roman"/>
          <w:sz w:val="18"/>
          <w:szCs w:val="18"/>
        </w:rPr>
        <w:t>拉罗替尼和恩曲替尼作为NTRK基因抑制剂，均被FDA批准上市，用于治疗患有NTRK基因融合的局部晚期或转移性实体瘤的成人和儿童患者，是一种广谱抗癌靶向药。NCCN指南推荐拉罗替尼和恩曲替尼用于NTRK融合阳性晚期或转移性非小细胞肺癌患者的治疗[NCCN-Non-Small Cell Lung Cancer_2021_V5]。NCCN推荐恩曲替尼用于携带NTRK基因融合阳性的转移性结直肠癌患者的治疗[NCCN-Colon Cancer_2021_V2]，</w:t>
      </w:r>
      <w:r>
        <w:rPr>
          <w:rFonts w:hint="eastAsia" w:ascii="Times New Roman" w:hAnsi="Times New Roman" w:cs="Times New Roman"/>
          <w:sz w:val="18"/>
          <w:szCs w:val="18"/>
        </w:rPr>
        <w:t>拉罗替尼</w:t>
      </w:r>
      <w:r>
        <w:rPr>
          <w:rFonts w:ascii="Times New Roman" w:hAnsi="Times New Roman" w:cs="Times New Roman"/>
          <w:sz w:val="18"/>
          <w:szCs w:val="18"/>
        </w:rPr>
        <w:t>被推荐作为NTRK基因融合阳性转移性结肠癌患者的一线治疗选择[NCCN_Colon Cancer_2021_V2]和携带神经营养酪氨酸受体激酶（NTRK）基因融合的转移性小肠腺癌患者的后续治疗[NCCN-Small Bowel Adenocarcinoma-_2021_V1]。</w:t>
      </w:r>
      <w:r>
        <w:rPr>
          <w:rFonts w:hint="eastAsia" w:ascii="Times New Roman" w:hAnsi="Times New Roman" w:cs="Times New Roman"/>
          <w:sz w:val="18"/>
          <w:szCs w:val="18"/>
        </w:rPr>
        <w:t>目前</w:t>
      </w:r>
      <w:r>
        <w:rPr>
          <w:rFonts w:ascii="Times New Roman" w:hAnsi="Times New Roman" w:cs="Times New Roman"/>
          <w:sz w:val="18"/>
          <w:szCs w:val="18"/>
        </w:rPr>
        <w:t>TL118</w:t>
      </w:r>
      <w:r>
        <w:rPr>
          <w:rFonts w:hint="eastAsia" w:ascii="Times New Roman" w:hAnsi="Times New Roman" w:cs="Times New Roman"/>
          <w:sz w:val="18"/>
          <w:szCs w:val="18"/>
        </w:rPr>
        <w:t>、</w:t>
      </w:r>
      <w:r>
        <w:rPr>
          <w:rFonts w:ascii="Times New Roman" w:hAnsi="Times New Roman" w:cs="Times New Roman"/>
          <w:sz w:val="18"/>
          <w:szCs w:val="18"/>
        </w:rPr>
        <w:t>Repotrectinib</w:t>
      </w:r>
      <w:r>
        <w:rPr>
          <w:rFonts w:hint="eastAsia" w:ascii="Times New Roman" w:hAnsi="Times New Roman" w:cs="Times New Roman"/>
          <w:sz w:val="18"/>
          <w:szCs w:val="18"/>
        </w:rPr>
        <w:t>等用于N</w:t>
      </w:r>
      <w:r>
        <w:rPr>
          <w:rFonts w:ascii="Times New Roman" w:hAnsi="Times New Roman" w:cs="Times New Roman"/>
          <w:sz w:val="18"/>
          <w:szCs w:val="18"/>
        </w:rPr>
        <w:t>TRK2</w:t>
      </w:r>
      <w:r>
        <w:rPr>
          <w:rFonts w:hint="eastAsia" w:ascii="Times New Roman" w:hAnsi="Times New Roman" w:cs="Times New Roman"/>
          <w:sz w:val="18"/>
          <w:szCs w:val="18"/>
        </w:rPr>
        <w:t>融合的实体瘤患者的临床试验正在开展。</w:t>
      </w:r>
    </w:p>
    <w:p w14:paraId="5BDA3796">
      <w:pPr>
        <w:spacing w:line="300" w:lineRule="auto"/>
        <w:rPr>
          <w:rFonts w:ascii="Times New Roman" w:hAnsi="Times New Roman" w:cs="Times New Roman"/>
          <w:sz w:val="18"/>
          <w:szCs w:val="18"/>
        </w:rPr>
      </w:pPr>
    </w:p>
    <w:p w14:paraId="5D934E22">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2816"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25" name="直线 54"/>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4" o:spid="_x0000_s1026" o:spt="20" style="position:absolute;left:0pt;margin-left:-2.6pt;margin-top:12.55pt;height:1.7pt;width:453.4pt;z-index:-25163366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Afhepq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NTRK3                                                                         </w:t>
      </w:r>
    </w:p>
    <w:p w14:paraId="7729439E">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513F95E">
      <w:pPr>
        <w:spacing w:line="300" w:lineRule="auto"/>
        <w:ind w:left="420"/>
        <w:rPr>
          <w:rFonts w:ascii="Times New Roman" w:hAnsi="Times New Roman" w:cs="Times New Roman"/>
          <w:b/>
          <w:szCs w:val="18"/>
        </w:rPr>
      </w:pPr>
      <w:r>
        <w:rPr>
          <w:rFonts w:ascii="Times New Roman" w:hAnsi="Times New Roman" w:cs="Times New Roman"/>
          <w:sz w:val="18"/>
          <w:szCs w:val="18"/>
        </w:rPr>
        <w:t>NTRK3又</w:t>
      </w:r>
      <w:r>
        <w:rPr>
          <w:rFonts w:hint="eastAsia" w:ascii="Times New Roman" w:hAnsi="Times New Roman" w:cs="Times New Roman"/>
          <w:sz w:val="18"/>
          <w:szCs w:val="18"/>
        </w:rPr>
        <w:t>称</w:t>
      </w:r>
      <w:r>
        <w:rPr>
          <w:rFonts w:ascii="Times New Roman" w:hAnsi="Times New Roman" w:cs="Times New Roman"/>
          <w:sz w:val="18"/>
          <w:szCs w:val="18"/>
        </w:rPr>
        <w:t>为TRKC，编码神经营养酪氨酸受体激酶(NTRK)家族成员。该激酶由胞外配体结合区域、跨膜区域以及胞内含酪氨酸激酶区域构成，是一种膜结合受体，通过与神经营养蛋白结合，从而磷酸化自身和MAPK通路的成员，通过这种激酶的信号传导导致细胞分化，并在能够感觉身体位置的本体感受神经元的发育中起作用。已经发现，在几种人类癌症中，NTRK3主要以致癌融合的形式发生改变[PMID: 24705251]。NTRK3表达主要见于神经元细胞和神经外胚叶肿瘤，与NTRK3相关的疾病还包括分泌性乳腺癌、纤维肉瘤和先天性中胚层肾瘤。约有14%急性髓细胞白血病AML-M2患者存在ETV6-NTRK3融合基因t(12;15) (p12;q25) ；融合基</w:t>
      </w:r>
      <w:r>
        <w:rPr>
          <w:rFonts w:hint="eastAsia" w:ascii="Times New Roman" w:hAnsi="Times New Roman" w:cs="Times New Roman"/>
          <w:sz w:val="18"/>
          <w:szCs w:val="18"/>
        </w:rPr>
        <w:t>因</w:t>
      </w:r>
      <w:r>
        <w:rPr>
          <w:rFonts w:ascii="Times New Roman" w:hAnsi="Times New Roman" w:cs="Times New Roman"/>
          <w:sz w:val="18"/>
          <w:szCs w:val="18"/>
        </w:rPr>
        <w:t xml:space="preserve">ETV6-NTRK3在分泌型乳腺癌中的表达率为90.9%，特异性达100%；食管癌组织标本中验证NTRK3基因的断裂频率为14.7%。 </w:t>
      </w:r>
    </w:p>
    <w:p w14:paraId="6A522D17">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sz w:val="18"/>
          <w:szCs w:val="18"/>
        </w:rPr>
        <w:t>拉罗替尼、恩曲替尼</w:t>
      </w:r>
    </w:p>
    <w:p w14:paraId="6D98B00E">
      <w:pPr>
        <w:spacing w:line="360" w:lineRule="auto"/>
        <w:ind w:left="420"/>
        <w:rPr>
          <w:rFonts w:ascii="Times New Roman" w:hAnsi="Times New Roman" w:cs="Times New Roman"/>
          <w:sz w:val="18"/>
          <w:szCs w:val="18"/>
        </w:rPr>
      </w:pPr>
      <w:r>
        <w:rPr>
          <w:rFonts w:ascii="Times New Roman" w:hAnsi="Times New Roman" w:cs="Times New Roman"/>
          <w:sz w:val="18"/>
          <w:szCs w:val="18"/>
        </w:rPr>
        <w:t>拉罗替尼和恩曲替尼作为NTRK基因抑制剂，均被FDA批准上市，用于治疗患有NTRK基因融合的局部晚期或转移性实体瘤的成人和儿童患者，是一种广谱抗癌靶向药。NCCN指南推荐拉罗替尼和恩曲替尼用于NTRK融合阳性晚期或转移性非小细胞肺癌患者的治疗[NCCN-Non-Small Cell Lung Cancer_2021_V5]。NCCN推荐恩曲替尼用于携带NTRK基因融合阳性的转移性结直肠癌患者的治疗[NCCN-Colon Cancer_2021_V2]，</w:t>
      </w:r>
      <w:r>
        <w:rPr>
          <w:rFonts w:hint="eastAsia" w:ascii="Times New Roman" w:hAnsi="Times New Roman" w:cs="Times New Roman"/>
          <w:sz w:val="18"/>
          <w:szCs w:val="18"/>
        </w:rPr>
        <w:t>拉罗替尼</w:t>
      </w:r>
      <w:r>
        <w:rPr>
          <w:rFonts w:ascii="Times New Roman" w:hAnsi="Times New Roman" w:cs="Times New Roman"/>
          <w:sz w:val="18"/>
          <w:szCs w:val="18"/>
        </w:rPr>
        <w:t>被推荐作为NTRK基因融合阳性转移性结肠癌患者的一线治疗选择[NCCN_Colon Cancer_2021_V2]和携带神经营养酪氨酸受体激酶（NTRK）基因融合的转移性小肠腺癌患者的后续治疗[NCCN-Small Bowel Adenocarcinoma-_2021_V1]。</w:t>
      </w:r>
      <w:r>
        <w:rPr>
          <w:rFonts w:hint="eastAsia" w:ascii="Times New Roman" w:hAnsi="Times New Roman" w:cs="Times New Roman"/>
          <w:sz w:val="18"/>
          <w:szCs w:val="18"/>
        </w:rPr>
        <w:t>目前</w:t>
      </w:r>
      <w:r>
        <w:rPr>
          <w:rFonts w:ascii="Times New Roman" w:hAnsi="Times New Roman" w:cs="Times New Roman"/>
          <w:sz w:val="18"/>
          <w:szCs w:val="18"/>
        </w:rPr>
        <w:t>TL118</w:t>
      </w:r>
      <w:r>
        <w:rPr>
          <w:rFonts w:hint="eastAsia" w:ascii="Times New Roman" w:hAnsi="Times New Roman" w:cs="Times New Roman"/>
          <w:sz w:val="18"/>
          <w:szCs w:val="18"/>
        </w:rPr>
        <w:t>、</w:t>
      </w:r>
      <w:r>
        <w:rPr>
          <w:rFonts w:ascii="Times New Roman" w:hAnsi="Times New Roman" w:cs="Times New Roman"/>
          <w:sz w:val="18"/>
          <w:szCs w:val="18"/>
        </w:rPr>
        <w:t>Repotrectinib</w:t>
      </w:r>
      <w:r>
        <w:rPr>
          <w:rFonts w:hint="eastAsia" w:ascii="Times New Roman" w:hAnsi="Times New Roman" w:cs="Times New Roman"/>
          <w:sz w:val="18"/>
          <w:szCs w:val="18"/>
        </w:rPr>
        <w:t>等用于N</w:t>
      </w:r>
      <w:r>
        <w:rPr>
          <w:rFonts w:ascii="Times New Roman" w:hAnsi="Times New Roman" w:cs="Times New Roman"/>
          <w:sz w:val="18"/>
          <w:szCs w:val="18"/>
        </w:rPr>
        <w:t>TRK2</w:t>
      </w:r>
      <w:r>
        <w:rPr>
          <w:rFonts w:hint="eastAsia" w:ascii="Times New Roman" w:hAnsi="Times New Roman" w:cs="Times New Roman"/>
          <w:sz w:val="18"/>
          <w:szCs w:val="18"/>
        </w:rPr>
        <w:t>融合的实体瘤患者的临床试验正在开展。</w:t>
      </w:r>
    </w:p>
    <w:p w14:paraId="15A70E16">
      <w:pPr>
        <w:spacing w:line="300" w:lineRule="auto"/>
        <w:ind w:left="420"/>
        <w:rPr>
          <w:rFonts w:ascii="Times New Roman" w:hAnsi="Times New Roman" w:cs="Times New Roman"/>
          <w:b/>
          <w:szCs w:val="18"/>
        </w:rPr>
      </w:pPr>
    </w:p>
    <w:p w14:paraId="44D4255A">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4080"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36" name="直线 55"/>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5" o:spid="_x0000_s1026" o:spt="20" style="position:absolute;left:0pt;margin-left:-2.6pt;margin-top:12.55pt;height:1.7pt;width:453.4pt;z-index:251694080;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M9R6YP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PDGFRA                                                                         </w:t>
      </w:r>
    </w:p>
    <w:p w14:paraId="19A9D2DA">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230AB0EA">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PDGFRA基因编码血小板衍生生长因子家族成员的细胞表面酪氨酸激酶受体PDGFR，分子量为180kD的单链膜糖蛋白。受体分子由α，β两种亚基组成，成熟后的PDGFR以二聚体稳态形式与配体PDGF相应异构体(PDGF-AA，AB，BB)结合。基因编码血小板衍生生长因子家族成员的细胞表面酪氨酸激酶受体。结直肠癌组织中PDGFR α和PDGFR β均有表达分布，PDGFR α分布于结直肠正常组织、息肉组织及肿瘤组织上； PDGFR β表达于肿瘤细胞、肿瘤间质细胞和微血管细胞（包括微血管周细胞）上。研究表明，该基因在器官发育、伤口愈合和肿瘤进展中起作用。该基因的突变与特发性嗜酸性粒细胞增多综合征、家族性胃肠道间质瘤以及其他多种癌症有关。PDGFRA基因突变常见于胃肠道间质瘤、胶质母细胞瘤、恶性外周神经鞘等肿瘤，其中GIST中PDGFRA基因突变率在 5~10%左右。 </w:t>
      </w:r>
    </w:p>
    <w:p w14:paraId="6C31D1EE">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sz w:val="18"/>
          <w:szCs w:val="18"/>
        </w:rPr>
        <w:t>伊马替尼*、达沙替尼*、</w:t>
      </w:r>
      <w:r>
        <w:rPr>
          <w:rFonts w:hint="eastAsia" w:ascii="Times New Roman" w:hAnsi="Times New Roman" w:cs="Times New Roman"/>
          <w:b/>
          <w:sz w:val="18"/>
          <w:szCs w:val="18"/>
        </w:rPr>
        <w:t>阿伐替尼</w:t>
      </w:r>
      <w:r>
        <w:rPr>
          <w:rFonts w:ascii="Times New Roman" w:hAnsi="Times New Roman" w:cs="Times New Roman"/>
          <w:b/>
          <w:sz w:val="18"/>
          <w:szCs w:val="18"/>
        </w:rPr>
        <w:t>*（主要都是胃肠道间质瘤获益药物）</w:t>
      </w:r>
    </w:p>
    <w:p w14:paraId="4E4F77E5">
      <w:pPr>
        <w:spacing w:line="300" w:lineRule="auto"/>
        <w:ind w:left="420"/>
        <w:rPr>
          <w:rFonts w:ascii="Times New Roman" w:hAnsi="Times New Roman" w:cs="Times New Roman"/>
          <w:sz w:val="18"/>
          <w:szCs w:val="18"/>
        </w:rPr>
      </w:pPr>
      <w:r>
        <w:rPr>
          <w:rFonts w:ascii="Times New Roman" w:hAnsi="Times New Roman" w:cs="Times New Roman"/>
          <w:sz w:val="18"/>
          <w:szCs w:val="18"/>
        </w:rPr>
        <w:t>FDA/NMPA批准</w:t>
      </w:r>
      <w:r>
        <w:rPr>
          <w:rFonts w:hint="eastAsia" w:ascii="Times New Roman" w:hAnsi="Times New Roman" w:cs="Times New Roman"/>
          <w:sz w:val="18"/>
          <w:szCs w:val="18"/>
        </w:rPr>
        <w:t>阿伐替尼</w:t>
      </w:r>
      <w:r>
        <w:rPr>
          <w:rFonts w:ascii="Times New Roman" w:hAnsi="Times New Roman" w:cs="Times New Roman"/>
          <w:sz w:val="18"/>
          <w:szCs w:val="18"/>
        </w:rPr>
        <w:t>用于治疗携带PDGFRA</w:t>
      </w:r>
      <w:r>
        <w:rPr>
          <w:rFonts w:hint="eastAsia" w:ascii="Times New Roman" w:hAnsi="Times New Roman" w:cs="Times New Roman"/>
          <w:sz w:val="18"/>
          <w:szCs w:val="18"/>
        </w:rPr>
        <w:t xml:space="preserve"> </w:t>
      </w:r>
      <w:r>
        <w:rPr>
          <w:rFonts w:ascii="Times New Roman" w:hAnsi="Times New Roman" w:cs="Times New Roman"/>
          <w:sz w:val="18"/>
          <w:szCs w:val="18"/>
        </w:rPr>
        <w:t>18号外显子突变（包括PDGFRA D842V突变）的患有不可切除或转移性胃肠道间质瘤（GIST）的成人患者。NCCN指南指出除了D842V位点，大部分PDGFRA基因突变的胃肠道间质瘤患者对伊马替尼有反应，携带PDGFRA D842V的胃肠道间质瘤患者对伊马替尼耐药，而对达沙替尼敏感，达沙替尼可能为该类患者的有效治疗选择[NCCN_Gastrointestinal Stromal Tumors_2021_V1]。一项临床前研究表明，舒尼替尼降低了具有PDGFRA扩增的非小细胞肺癌（NSCLC）患者的细胞增殖，抑制下游信号[PMID: 19366796]。一项临床前研究表明，伊马替尼和达沙替尼能够抑制具有PDGFRA扩增的肺鳞癌的细胞生长，抑制具有PDGFRA扩增的非鳞癌异植体的肿瘤生长[PMID: 22328973]。研究伊马替尼</w:t>
      </w:r>
      <w:r>
        <w:rPr>
          <w:rFonts w:hint="eastAsia" w:ascii="Times New Roman" w:hAnsi="Times New Roman" w:cs="Times New Roman"/>
          <w:sz w:val="18"/>
          <w:szCs w:val="18"/>
        </w:rPr>
        <w:t>对</w:t>
      </w:r>
      <w:r>
        <w:rPr>
          <w:rFonts w:ascii="Times New Roman" w:hAnsi="Times New Roman" w:cs="Times New Roman"/>
          <w:sz w:val="18"/>
          <w:szCs w:val="18"/>
        </w:rPr>
        <w:t>携带PDGFRA突变的GIST患者的效力，在31例可评估携带D842V突变的患者中，没有一例具有应答，21例疾病进展，携带D842V突变患者的中位PFS为2.8个月，携带其他PDGFA突变为28.5个月，因此伊马替尼在具有D842V突变的患者亚组中几乎没有效力，而其他突变似乎对伊马替尼敏感[PMID: 22718859]。</w:t>
      </w:r>
    </w:p>
    <w:p w14:paraId="59B75D56">
      <w:pPr>
        <w:spacing w:line="300" w:lineRule="auto"/>
        <w:ind w:left="420"/>
        <w:rPr>
          <w:rFonts w:ascii="Times New Roman" w:hAnsi="Times New Roman" w:cs="Times New Roman"/>
          <w:sz w:val="18"/>
          <w:szCs w:val="18"/>
        </w:rPr>
      </w:pPr>
    </w:p>
    <w:p w14:paraId="6A84A194">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0464"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59" name="直线 56"/>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6" o:spid="_x0000_s1026" o:spt="20" style="position:absolute;left:0pt;margin-left:-2.6pt;margin-top:12.55pt;height:1.7pt;width:453.4pt;z-index:251710464;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qUa&#10;49cAAAAIAQAADwAAAAAAAAABACAAAAAiAAAAZHJzL2Rvd25yZXYueG1sUEsBAhQAFAAAAAgAh07i&#10;QFqO5xnqAQAA4A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cs="Times New Roman"/>
          <w:b/>
        </w:rPr>
        <w:t xml:space="preserve">PPARG                                                                         </w:t>
      </w:r>
    </w:p>
    <w:p w14:paraId="7D3795D6">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587C223C">
      <w:pPr>
        <w:spacing w:line="300" w:lineRule="auto"/>
        <w:ind w:left="420"/>
        <w:rPr>
          <w:rFonts w:ascii="Times New Roman" w:hAnsi="Times New Roman" w:cs="Times New Roman"/>
          <w:sz w:val="18"/>
          <w:szCs w:val="18"/>
        </w:rPr>
      </w:pPr>
      <w:r>
        <w:rPr>
          <w:rFonts w:ascii="Times New Roman" w:hAnsi="Times New Roman" w:cs="Times New Roman"/>
          <w:sz w:val="18"/>
          <w:szCs w:val="18"/>
        </w:rPr>
        <w:t>PPARG编码核受体过氧化物酶体增殖激活受体（PPAR）亚家族成员，PPAR-γ，PPAR-γ与类视黄醇X受体-α形成异二聚体，对过氧化物酶体增殖物如RXR-α激动剂、9-顺式视黄酸作出反应，并激活参与脂肪形成、脂质代谢、葡萄糖体内平衡、动脉粥样硬化形成、炎症和肿瘤易感性调节的各种基因的表达[PMID: 8536636]。染色体易位(2；3)(q13；p25)导致甲状腺转录因子配对盒基因8 (PAX8)和PPAR- γ1的DNA结合结构域之间的融合，已经在甲状腺滤泡癌的一个子集</w:t>
      </w:r>
      <w:r>
        <w:rPr>
          <w:rFonts w:hint="eastAsia" w:ascii="Times New Roman" w:hAnsi="Times New Roman" w:cs="Times New Roman"/>
          <w:sz w:val="18"/>
          <w:szCs w:val="18"/>
        </w:rPr>
        <w:t>观察到</w:t>
      </w:r>
      <w:r>
        <w:rPr>
          <w:rFonts w:ascii="Times New Roman" w:hAnsi="Times New Roman" w:cs="Times New Roman"/>
          <w:sz w:val="18"/>
          <w:szCs w:val="18"/>
        </w:rPr>
        <w:t xml:space="preserve">[PMID: 10958784]。PPAR-γ已经涉及许多疾病的病理学，包括肥胖症、糖尿病、动脉粥样硬化和癌症。与PPARG相关的疾病包括子宫内膜癌、皮肤癌、胃癌等。 </w:t>
      </w:r>
    </w:p>
    <w:p w14:paraId="2D3A3C6D">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E2CF944">
      <w:pPr>
        <w:spacing w:line="360" w:lineRule="auto"/>
        <w:ind w:left="420"/>
        <w:rPr>
          <w:rFonts w:ascii="Times New Roman" w:hAnsi="Times New Roman" w:cs="Times New Roman"/>
          <w:sz w:val="18"/>
          <w:szCs w:val="18"/>
        </w:rPr>
      </w:pPr>
      <w:r>
        <w:rPr>
          <w:rFonts w:ascii="Times New Roman" w:hAnsi="Times New Roman" w:cs="Times New Roman"/>
          <w:sz w:val="18"/>
          <w:szCs w:val="18"/>
        </w:rPr>
        <w:t>PAX8-PPARG基因融合在12/33滤泡性甲状腺癌样本中发现，但在甲状腺损伤细胞肿瘤中很少发现[PMID: 12727991]。临床试验阶段，已知激活PPAR-γ的配体，通常是噻唑烷二酮类，由于参与调节细胞周期和细胞存活/死亡的蛋白质的重新表达，使大量癌细胞对死亡受体(DR)介导的凋亡敏感，并且还作为血管生成的抑制剂[PMID: 15041792]。相反，据报道，PPAR-γ激动剂也增加了结肠癌APCMin/+小鼠模型中结肠肿瘤的频率和大小[PMID: 9734400]。</w:t>
      </w:r>
      <w:r>
        <w:rPr>
          <w:rFonts w:hint="eastAsia" w:ascii="Times New Roman" w:hAnsi="Times New Roman" w:cs="Times New Roman"/>
          <w:sz w:val="18"/>
          <w:szCs w:val="18"/>
        </w:rPr>
        <w:t>有研究表明，</w:t>
      </w:r>
      <w:r>
        <w:rPr>
          <w:rFonts w:ascii="Times New Roman" w:hAnsi="Times New Roman" w:cs="Times New Roman"/>
          <w:sz w:val="18"/>
          <w:szCs w:val="18"/>
        </w:rPr>
        <w:t>PPARG过表达的高浆液型卵巢癌患者的OS（总生存期）较差[PMID: 23200915]。</w:t>
      </w:r>
      <w:r>
        <w:rPr>
          <w:rFonts w:hint="eastAsia" w:ascii="Times New Roman" w:hAnsi="Times New Roman" w:cs="Times New Roman"/>
          <w:sz w:val="18"/>
          <w:szCs w:val="18"/>
        </w:rPr>
        <w:t>有研究表明，</w:t>
      </w:r>
      <w:r>
        <w:rPr>
          <w:rFonts w:ascii="Times New Roman" w:hAnsi="Times New Roman" w:cs="Times New Roman"/>
          <w:sz w:val="18"/>
          <w:szCs w:val="18"/>
        </w:rPr>
        <w:t>PPARG多态性可能影响肝癌的易感性[PMID: 30122956]。</w:t>
      </w:r>
    </w:p>
    <w:p w14:paraId="0E636D1D">
      <w:pPr>
        <w:spacing w:line="300" w:lineRule="auto"/>
        <w:ind w:left="420"/>
        <w:rPr>
          <w:rFonts w:ascii="Times New Roman" w:hAnsi="Times New Roman" w:cs="Times New Roman"/>
          <w:sz w:val="18"/>
          <w:szCs w:val="18"/>
        </w:rPr>
      </w:pPr>
    </w:p>
    <w:p w14:paraId="175DA8FC">
      <w:pPr>
        <w:spacing w:line="360" w:lineRule="auto"/>
        <w:rPr>
          <w:rFonts w:ascii="Times New Roman" w:hAnsi="Times New Roman" w:cs="Times New Roman"/>
          <w:b/>
        </w:rPr>
      </w:pPr>
      <w:r>
        <w:rPr>
          <w:rFonts w:ascii="Times New Roman" w:hAnsi="Times New Roman" w:cs="Times New Roman"/>
          <w:b/>
        </w:rPr>
        <mc:AlternateContent>
          <mc:Choice Requires="wps">
            <w:drawing>
              <wp:anchor distT="0" distB="0" distL="114300" distR="114300" simplePos="0" relativeHeight="251695104" behindDoc="1" locked="0" layoutInCell="1" allowOverlap="1">
                <wp:simplePos x="0" y="0"/>
                <wp:positionH relativeFrom="column">
                  <wp:posOffset>-30480</wp:posOffset>
                </wp:positionH>
                <wp:positionV relativeFrom="paragraph">
                  <wp:posOffset>159385</wp:posOffset>
                </wp:positionV>
                <wp:extent cx="5757545" cy="21590"/>
                <wp:effectExtent l="0" t="9525" r="5080" b="16510"/>
                <wp:wrapNone/>
                <wp:docPr id="37" name="直线 57"/>
                <wp:cNvGraphicFramePr/>
                <a:graphic xmlns:a="http://schemas.openxmlformats.org/drawingml/2006/main">
                  <a:graphicData uri="http://schemas.microsoft.com/office/word/2010/wordprocessingShape">
                    <wps:wsp>
                      <wps:cNvCnPr/>
                      <wps:spPr>
                        <a:xfrm>
                          <a:off x="0" y="0"/>
                          <a:ext cx="575754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7" o:spid="_x0000_s1026" o:spt="20" style="position:absolute;left:0pt;margin-left:-2.4pt;margin-top:12.55pt;height:1.7pt;width:453.35pt;z-index:-251621376;mso-width-relative:page;mso-height-relative:page;" filled="f" stroked="t" coordsize="21600,21600" o:gfxdata="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Oo&#10;u47YAAAACAEAAA8AAAAAAAAAAQAgAAAAIgAAAGRycy9kb3ducmV2LnhtbFBLAQIUABQAAAAIAIdO&#10;4kAXjrub6gEAAOADAAAOAAAAAAAAAAEAIAAAACc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PTEN                                                                          </w:t>
      </w:r>
    </w:p>
    <w:p w14:paraId="7F288EE7">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51FF3F6F">
      <w:pPr>
        <w:spacing w:line="300" w:lineRule="auto"/>
        <w:ind w:left="440" w:leftChars="200" w:firstLine="59" w:firstLineChars="33"/>
        <w:rPr>
          <w:rFonts w:ascii="Times New Roman" w:hAnsi="Times New Roman" w:cs="Times New Roman"/>
          <w:sz w:val="18"/>
          <w:szCs w:val="18"/>
        </w:rPr>
      </w:pPr>
      <w:r>
        <w:rPr>
          <w:rFonts w:ascii="Times New Roman" w:hAnsi="Times New Roman" w:cs="Times New Roman"/>
          <w:sz w:val="18"/>
          <w:szCs w:val="18"/>
        </w:rPr>
        <w:t>PTEN基因是编码具有磷酸酶活性产物的抑癌基因，在细胞的分化、增殖和凋亡过程中起重要作用，并参与细胞的黏附和运动。其不仅能诱导细胞凋亡及抑制细胞有丝分裂，还能调节细胞黏附、转移、分化等。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w:t>
      </w:r>
    </w:p>
    <w:p w14:paraId="4831678E">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A5E9172">
      <w:pPr>
        <w:spacing w:line="300" w:lineRule="auto"/>
        <w:ind w:left="420"/>
        <w:rPr>
          <w:rFonts w:ascii="Times New Roman" w:hAnsi="Times New Roman" w:cs="Times New Roman"/>
          <w:sz w:val="18"/>
          <w:szCs w:val="18"/>
        </w:rPr>
      </w:pPr>
      <w:r>
        <w:rPr>
          <w:rFonts w:ascii="Times New Roman" w:hAnsi="Times New Roman" w:cs="Times New Roman"/>
          <w:sz w:val="18"/>
          <w:szCs w:val="18"/>
        </w:rPr>
        <w:t>临床前研究表明，AKT/mTOR通路抑制剂（依维莫司、替西罗莫司等）可能具有抑制PTEN缺失导致的肿瘤增殖的作用。PTEN基因损伤可能对替西罗莫司 (mTOR抑制剂)、GSK2636771[PMID: 28645941]、AZD6482 (PI3Kβ 抑制剂)、MK-2206 (AKT抑制剂)、和17-AAG (HSP90抑制剂)敏感性增强</w:t>
      </w:r>
      <w:r>
        <w:rPr>
          <w:rFonts w:hint="eastAsia" w:ascii="Times New Roman" w:hAnsi="Times New Roman" w:cs="Times New Roman"/>
          <w:sz w:val="18"/>
          <w:szCs w:val="18"/>
        </w:rPr>
        <w:t>。非霍奇金淋巴瘤和多发性骨髓瘤中，</w:t>
      </w:r>
      <w:r>
        <w:rPr>
          <w:rFonts w:ascii="Times New Roman" w:hAnsi="Times New Roman" w:cs="Times New Roman"/>
          <w:sz w:val="18"/>
          <w:szCs w:val="18"/>
        </w:rPr>
        <w:t>PTEN失活突变对替西罗莫司敏感[PMID: 16916489]。</w:t>
      </w:r>
      <w:r>
        <w:rPr>
          <w:rFonts w:hint="eastAsia" w:ascii="Times New Roman" w:hAnsi="Times New Roman" w:cs="Times New Roman"/>
          <w:sz w:val="18"/>
          <w:szCs w:val="18"/>
        </w:rPr>
        <w:t>目前</w:t>
      </w:r>
      <w:r>
        <w:rPr>
          <w:rFonts w:ascii="Times New Roman" w:hAnsi="Times New Roman" w:cs="Times New Roman"/>
          <w:sz w:val="18"/>
          <w:szCs w:val="18"/>
        </w:rPr>
        <w:t>GSK2636771</w:t>
      </w:r>
      <w:r>
        <w:rPr>
          <w:rFonts w:hint="eastAsia" w:ascii="Times New Roman" w:hAnsi="Times New Roman" w:cs="Times New Roman"/>
          <w:sz w:val="18"/>
          <w:szCs w:val="18"/>
        </w:rPr>
        <w:t>、</w:t>
      </w:r>
      <w:r>
        <w:rPr>
          <w:rFonts w:ascii="Times New Roman" w:hAnsi="Times New Roman" w:cs="Times New Roman"/>
          <w:sz w:val="18"/>
          <w:szCs w:val="18"/>
        </w:rPr>
        <w:t>Copanlisib</w:t>
      </w:r>
      <w:r>
        <w:rPr>
          <w:rFonts w:hint="eastAsia" w:ascii="Times New Roman" w:hAnsi="Times New Roman" w:cs="Times New Roman"/>
          <w:sz w:val="18"/>
          <w:szCs w:val="18"/>
        </w:rPr>
        <w:t>、替西罗莫司、尼拉帕利等用于P</w:t>
      </w:r>
      <w:r>
        <w:rPr>
          <w:rFonts w:ascii="Times New Roman" w:hAnsi="Times New Roman" w:cs="Times New Roman"/>
          <w:sz w:val="18"/>
          <w:szCs w:val="18"/>
        </w:rPr>
        <w:t>TEN</w:t>
      </w:r>
      <w:r>
        <w:rPr>
          <w:rFonts w:hint="eastAsia" w:ascii="Times New Roman" w:hAnsi="Times New Roman" w:cs="Times New Roman"/>
          <w:sz w:val="18"/>
          <w:szCs w:val="18"/>
        </w:rPr>
        <w:t>突变实体瘤患者的临床试验正在开展。</w:t>
      </w:r>
    </w:p>
    <w:p w14:paraId="08FE9A9C">
      <w:pPr>
        <w:spacing w:line="300" w:lineRule="auto"/>
        <w:ind w:left="420"/>
        <w:rPr>
          <w:rFonts w:ascii="Times New Roman" w:hAnsi="Times New Roman" w:cs="Times New Roman"/>
          <w:sz w:val="18"/>
          <w:szCs w:val="18"/>
        </w:rPr>
      </w:pPr>
    </w:p>
    <w:p w14:paraId="2A7DFE22">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2272" behindDoc="0"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44" name="直线 58"/>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8" o:spid="_x0000_s1026" o:spt="20" style="position:absolute;left:0pt;margin-left:-2.6pt;margin-top:12.55pt;height:1.7pt;width:453.4pt;z-index:251702272;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al&#10;GuPXAAAACAEAAA8AAAAAAAAAAQAgAAAAIgAAAGRycy9kb3ducmV2LnhtbFBLAQIUABQAAAAIAIdO&#10;4kCUlvNr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RAF1                                                                          </w:t>
      </w:r>
    </w:p>
    <w:p w14:paraId="3E8B1F51">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7A3D2C68">
      <w:pPr>
        <w:spacing w:line="300" w:lineRule="auto"/>
        <w:ind w:left="420"/>
        <w:rPr>
          <w:rFonts w:ascii="Times New Roman" w:hAnsi="Times New Roman" w:cs="Times New Roman"/>
          <w:sz w:val="18"/>
          <w:szCs w:val="18"/>
        </w:rPr>
      </w:pPr>
      <w:r>
        <w:rPr>
          <w:rFonts w:ascii="Times New Roman" w:hAnsi="Times New Roman" w:cs="Times New Roman"/>
          <w:sz w:val="18"/>
          <w:szCs w:val="18"/>
        </w:rPr>
        <w:t>RAF1基因是病毒raf基因(v-raf)的细胞同源基因。RAF1（c-Raf）作为致癌基因，是细胞信号传导通路“Ras/Raf-1/ERK/MAPK”中Ras家族的一个下游因子，参与细胞生长、分化、增殖、凋亡、恶性转化及转移等过程的调控。RAF1突变与Noonan综合征5和LEOPARD综合征2的发生相关。编码的蛋白是MAP激酶激酶激酶(MAP3K)，它在Ras家族膜相关的GTPases的下游起作用，并直接与之结合。与RAF1相关的疾病包括子宫内膜癌、肠癌、胃癌等。</w:t>
      </w:r>
    </w:p>
    <w:p w14:paraId="17DD84A6">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8369951">
      <w:pPr>
        <w:spacing w:line="300" w:lineRule="auto"/>
        <w:ind w:left="420"/>
        <w:rPr>
          <w:rFonts w:ascii="Times New Roman" w:hAnsi="Times New Roman" w:cs="Times New Roman"/>
          <w:sz w:val="18"/>
          <w:szCs w:val="18"/>
        </w:rPr>
      </w:pPr>
      <w:r>
        <w:rPr>
          <w:rFonts w:ascii="Times New Roman" w:hAnsi="Times New Roman" w:cs="Times New Roman"/>
          <w:sz w:val="18"/>
          <w:szCs w:val="18"/>
        </w:rPr>
        <w:t>RAF1作为对细胞外刺激的反应，RAS介导的信号传导诱导了CRAF同源二聚体或CRAF/BRAF异源二聚体的形成，CRAF激活的MAPK信号也与黑色素瘤中BRAF抑制剂</w:t>
      </w:r>
      <w:r>
        <w:rPr>
          <w:rFonts w:hint="eastAsia" w:ascii="Times New Roman" w:hAnsi="Times New Roman" w:cs="Times New Roman"/>
          <w:sz w:val="18"/>
          <w:szCs w:val="18"/>
        </w:rPr>
        <w:t>维莫非尼</w:t>
      </w:r>
      <w:r>
        <w:rPr>
          <w:rFonts w:ascii="Times New Roman" w:hAnsi="Times New Roman" w:cs="Times New Roman"/>
          <w:sz w:val="18"/>
          <w:szCs w:val="18"/>
        </w:rPr>
        <w:t>的耐药性有关[PMID: 27327499]。在一项随机III期的回顾性临床试验中发现，119名黑色素瘤患者接受化疗方案（卡铂+多西他赛）联合索拉非尼方案的治疗，结果显示，在携带RAF1扩增的患者亚组中，化疗（卡铂+多西他赛）联合索拉非尼的治疗效果要比单独化疗方案（卡铂+多西他赛）有更长的PFS [PMID: 26307133]。</w:t>
      </w:r>
      <w:r>
        <w:rPr>
          <w:rFonts w:hint="eastAsia" w:ascii="Times New Roman" w:hAnsi="Times New Roman" w:cs="Times New Roman"/>
          <w:sz w:val="18"/>
          <w:szCs w:val="18"/>
        </w:rPr>
        <w:t>研究表明，</w:t>
      </w:r>
      <w:r>
        <w:rPr>
          <w:rFonts w:ascii="Times New Roman" w:hAnsi="Times New Roman" w:cs="Times New Roman"/>
          <w:sz w:val="18"/>
          <w:szCs w:val="18"/>
        </w:rPr>
        <w:t>RAF1过表达与非小细胞肺癌（NSCLC）的早期进展相关。RAF1可能成为改善NSCLC患者长期预后的新预后因子和潜在靶标[PMID: 29484414]。</w:t>
      </w:r>
      <w:r>
        <w:rPr>
          <w:rFonts w:hint="eastAsia" w:ascii="Times New Roman" w:hAnsi="Times New Roman" w:cs="Times New Roman"/>
          <w:sz w:val="18"/>
          <w:szCs w:val="18"/>
        </w:rPr>
        <w:t>目前瑞戈非尼、阿贝西利联合</w:t>
      </w:r>
      <w:r>
        <w:rPr>
          <w:rFonts w:ascii="Times New Roman" w:hAnsi="Times New Roman" w:cs="Times New Roman"/>
          <w:sz w:val="18"/>
          <w:szCs w:val="18"/>
        </w:rPr>
        <w:t>LY3214996</w:t>
      </w:r>
      <w:r>
        <w:rPr>
          <w:rFonts w:hint="eastAsia" w:ascii="Times New Roman" w:hAnsi="Times New Roman" w:cs="Times New Roman"/>
          <w:sz w:val="18"/>
          <w:szCs w:val="18"/>
        </w:rPr>
        <w:t>用于实体瘤的临床试验正在开展。</w:t>
      </w:r>
    </w:p>
    <w:p w14:paraId="51A47711">
      <w:pPr>
        <w:spacing w:line="300" w:lineRule="auto"/>
        <w:ind w:left="420"/>
        <w:rPr>
          <w:rFonts w:ascii="Times New Roman" w:hAnsi="Times New Roman" w:cs="Times New Roman"/>
          <w:sz w:val="18"/>
          <w:szCs w:val="18"/>
        </w:rPr>
      </w:pPr>
    </w:p>
    <w:p w14:paraId="2D789B52">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7632" behindDoc="0" locked="0" layoutInCell="1" allowOverlap="1">
                <wp:simplePos x="0" y="0"/>
                <wp:positionH relativeFrom="column">
                  <wp:posOffset>0</wp:posOffset>
                </wp:positionH>
                <wp:positionV relativeFrom="paragraph">
                  <wp:posOffset>147320</wp:posOffset>
                </wp:positionV>
                <wp:extent cx="5760085" cy="33020"/>
                <wp:effectExtent l="0" t="9525" r="2540" b="14605"/>
                <wp:wrapNone/>
                <wp:docPr id="66" name="直线 59"/>
                <wp:cNvGraphicFramePr/>
                <a:graphic xmlns:a="http://schemas.openxmlformats.org/drawingml/2006/main">
                  <a:graphicData uri="http://schemas.microsoft.com/office/word/2010/wordprocessingShape">
                    <wps:wsp>
                      <wps:cNvCnPr/>
                      <wps:spPr>
                        <a:xfrm flipV="1">
                          <a:off x="0" y="0"/>
                          <a:ext cx="5760085" cy="3302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9" o:spid="_x0000_s1026" o:spt="20" style="position:absolute;left:0pt;flip:y;margin-left:0pt;margin-top:11.6pt;height:2.6pt;width:453.55pt;z-index:251717632;mso-width-relative:page;mso-height-relative:page;" filled="f" stroked="t" coordsize="21600,21600" o:gfxdata="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FEVUvYAAAABgEAAA8AAAAAAAAAAQAgAAAAIgAAAGRycy9kb3ducmV2LnhtbFBLAQIU&#10;ABQAAAAIAIdO4kDGR5rL8wEAAOoDAAAOAAAAAAAAAAEAIAAAACcBAABkcnMvZTJvRG9jLnhtbFBL&#10;BQYAAAAABgAGAFkBAACMBQAAAAA=&#10;">
                <v:fill on="f" focussize="0,0"/>
                <v:stroke weight="1.5pt" color="#002060" joinstyle="miter"/>
                <v:imagedata o:title=""/>
                <o:lock v:ext="edit" aspectratio="f"/>
              </v:line>
            </w:pict>
          </mc:Fallback>
        </mc:AlternateContent>
      </w:r>
      <w:r>
        <w:rPr>
          <w:rFonts w:ascii="Times New Roman" w:hAnsi="Times New Roman" w:cs="Times New Roman"/>
          <w:b/>
        </w:rPr>
        <w:t xml:space="preserve">RET                                                                          </w:t>
      </w:r>
    </w:p>
    <w:p w14:paraId="06EB71F5">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17F7D54">
      <w:pPr>
        <w:spacing w:line="300" w:lineRule="auto"/>
        <w:ind w:left="420"/>
        <w:rPr>
          <w:rFonts w:ascii="Times New Roman" w:hAnsi="Times New Roman" w:cs="Times New Roman"/>
          <w:sz w:val="18"/>
          <w:szCs w:val="18"/>
        </w:rPr>
      </w:pPr>
      <w:r>
        <w:rPr>
          <w:rFonts w:ascii="Times New Roman" w:hAnsi="Times New Roman" w:cs="Times New Roman"/>
          <w:sz w:val="18"/>
          <w:szCs w:val="18"/>
        </w:rPr>
        <w:t>RET基因位于10q11.21，编码受体酪氨酸激酶，是钙粘蛋白超家族的成员，参与转导细胞生长和分化信号。 RET基因在神经嵴发展中起至关重要的作用，活化的RET可使其底物磷酸化，引起多个下游细胞通路激活。RET基因的激活点突变可引起遗传性癌症综合征、先天性巨肠症和多发性内分泌瘤，体细胞点突变与甲状腺髓样癌有关。已证实其两个不同亚型的突变均与疾病相关联：IIA型-多发性内分泌瘤，IIB型-巨结肠疾病和甲状腺髓样癌。约1%~2%的肺癌中发生RET基因融合，尤其是肺腺癌，可单独突变诱发肺癌的发生。非小细胞肺癌中，由 inv(10)(p11;q11)引起10号染色体上驱动蛋白家族基因KIF5B和受体酪氨酸激酶基因RET之间形成的融合驱动基因KIF5B-RET</w:t>
      </w:r>
      <w:r>
        <w:rPr>
          <w:rFonts w:hint="eastAsia" w:ascii="Times New Roman" w:hAnsi="Times New Roman" w:cs="Times New Roman"/>
          <w:sz w:val="18"/>
          <w:szCs w:val="18"/>
        </w:rPr>
        <w:t>，</w:t>
      </w:r>
      <w:r>
        <w:rPr>
          <w:rFonts w:ascii="Times New Roman" w:hAnsi="Times New Roman" w:cs="Times New Roman"/>
          <w:sz w:val="18"/>
          <w:szCs w:val="18"/>
        </w:rPr>
        <w:t>导致RET原癌基因的高表达。因此RET激活和过表达</w:t>
      </w:r>
      <w:r>
        <w:rPr>
          <w:rFonts w:hint="eastAsia" w:ascii="Times New Roman" w:hAnsi="Times New Roman" w:cs="Times New Roman"/>
          <w:sz w:val="18"/>
          <w:szCs w:val="18"/>
        </w:rPr>
        <w:t>常</w:t>
      </w:r>
      <w:r>
        <w:rPr>
          <w:rFonts w:ascii="Times New Roman" w:hAnsi="Times New Roman" w:cs="Times New Roman"/>
          <w:sz w:val="18"/>
          <w:szCs w:val="18"/>
        </w:rPr>
        <w:t>见于家族性甲状腺样瘤、肺癌、结直肠癌[PMID: 20930041</w:t>
      </w:r>
      <w:r>
        <w:rPr>
          <w:rFonts w:hint="eastAsia" w:ascii="Times New Roman" w:hAnsi="Times New Roman" w:cs="Times New Roman"/>
          <w:sz w:val="18"/>
          <w:szCs w:val="18"/>
        </w:rPr>
        <w:t>;</w:t>
      </w:r>
      <w:r>
        <w:rPr>
          <w:rFonts w:ascii="Times New Roman" w:hAnsi="Times New Roman" w:cs="Times New Roman"/>
          <w:sz w:val="18"/>
          <w:szCs w:val="18"/>
        </w:rPr>
        <w:t xml:space="preserve"> PMID: 30257958</w:t>
      </w:r>
      <w:r>
        <w:rPr>
          <w:rFonts w:hint="eastAsia" w:ascii="Times New Roman" w:hAnsi="Times New Roman" w:cs="Times New Roman"/>
          <w:sz w:val="18"/>
          <w:szCs w:val="18"/>
        </w:rPr>
        <w:t>;</w:t>
      </w:r>
      <w:r>
        <w:rPr>
          <w:rFonts w:ascii="Times New Roman" w:hAnsi="Times New Roman" w:cs="Times New Roman"/>
          <w:sz w:val="18"/>
          <w:szCs w:val="18"/>
        </w:rPr>
        <w:t xml:space="preserve"> PMID: 30210625]。RET重排在肺癌中是一种非小细胞肺癌的新的驱动癌基因，发现于1-2%的NSCLC患者中。</w:t>
      </w:r>
    </w:p>
    <w:p w14:paraId="62F7B144">
      <w:pPr>
        <w:spacing w:line="300" w:lineRule="auto"/>
        <w:ind w:left="420"/>
        <w:rPr>
          <w:rFonts w:ascii="Times New Roman" w:hAnsi="Times New Roman" w:cs="Times New Roman"/>
          <w:b/>
          <w:szCs w:val="18"/>
        </w:rPr>
      </w:pPr>
      <w:r>
        <w:rPr>
          <w:rFonts w:ascii="Times New Roman" w:hAnsi="Times New Roman" w:cs="Times New Roman"/>
          <w:b/>
          <w:szCs w:val="18"/>
        </w:rPr>
        <w:t>用药说明：</w:t>
      </w:r>
      <w:r>
        <w:rPr>
          <w:rFonts w:ascii="Times New Roman" w:hAnsi="Times New Roman" w:cs="Times New Roman"/>
          <w:b/>
          <w:color w:val="000000"/>
          <w:sz w:val="18"/>
          <w:szCs w:val="18"/>
        </w:rPr>
        <w:t>凡德他尼</w:t>
      </w:r>
      <w:r>
        <w:rPr>
          <w:rFonts w:ascii="Times New Roman" w:hAnsi="Times New Roman" w:cs="Times New Roman"/>
          <w:b/>
          <w:szCs w:val="18"/>
        </w:rPr>
        <w:t>、</w:t>
      </w:r>
      <w:r>
        <w:rPr>
          <w:rFonts w:ascii="Times New Roman" w:hAnsi="Times New Roman" w:cs="Times New Roman"/>
          <w:b/>
          <w:color w:val="000000"/>
          <w:sz w:val="18"/>
          <w:szCs w:val="18"/>
        </w:rPr>
        <w:t>卡博替尼</w:t>
      </w:r>
      <w:r>
        <w:rPr>
          <w:rFonts w:ascii="Times New Roman" w:hAnsi="Times New Roman" w:cs="Times New Roman"/>
          <w:b/>
          <w:szCs w:val="18"/>
        </w:rPr>
        <w:t>、</w:t>
      </w:r>
      <w:r>
        <w:rPr>
          <w:rFonts w:ascii="Times New Roman" w:hAnsi="Times New Roman" w:cs="Times New Roman"/>
          <w:b/>
          <w:color w:val="000000"/>
          <w:sz w:val="18"/>
          <w:szCs w:val="18"/>
        </w:rPr>
        <w:t>仑伐替尼*</w:t>
      </w:r>
      <w:r>
        <w:rPr>
          <w:rFonts w:ascii="Times New Roman" w:hAnsi="Times New Roman" w:cs="Times New Roman"/>
          <w:b/>
          <w:szCs w:val="18"/>
        </w:rPr>
        <w:t>、</w:t>
      </w:r>
      <w:r>
        <w:rPr>
          <w:rFonts w:hint="eastAsia" w:ascii="Times New Roman" w:hAnsi="Times New Roman" w:cs="Times New Roman"/>
          <w:b/>
          <w:color w:val="000000"/>
          <w:sz w:val="18"/>
          <w:szCs w:val="18"/>
        </w:rPr>
        <w:t>普拉替尼</w:t>
      </w:r>
      <w:r>
        <w:rPr>
          <w:rFonts w:ascii="Times New Roman" w:hAnsi="Times New Roman" w:cs="Times New Roman"/>
          <w:b/>
          <w:color w:val="000000"/>
          <w:sz w:val="18"/>
          <w:szCs w:val="18"/>
        </w:rPr>
        <w:t>*</w:t>
      </w:r>
      <w:r>
        <w:rPr>
          <w:rFonts w:hint="eastAsia" w:ascii="Times New Roman" w:hAnsi="Times New Roman" w:cs="Times New Roman"/>
          <w:b/>
          <w:color w:val="000000"/>
          <w:sz w:val="18"/>
          <w:szCs w:val="18"/>
        </w:rPr>
        <w:t>、</w:t>
      </w:r>
      <w:r>
        <w:rPr>
          <w:rFonts w:ascii="Times New Roman" w:hAnsi="Times New Roman" w:cs="Times New Roman"/>
          <w:b/>
          <w:color w:val="000000"/>
          <w:sz w:val="18"/>
          <w:szCs w:val="18"/>
        </w:rPr>
        <w:t>Selpercatinib</w:t>
      </w:r>
    </w:p>
    <w:p w14:paraId="53586EEB">
      <w:pPr>
        <w:adjustRightInd w:val="0"/>
        <w:snapToGrid w:val="0"/>
        <w:spacing w:line="300" w:lineRule="auto"/>
        <w:ind w:left="420"/>
        <w:rPr>
          <w:rFonts w:ascii="Times New Roman" w:hAnsi="Times New Roman" w:cs="Times New Roman"/>
          <w:sz w:val="18"/>
          <w:szCs w:val="18"/>
        </w:rPr>
      </w:pPr>
      <w:r>
        <w:rPr>
          <w:rFonts w:hint="eastAsia" w:ascii="Times New Roman" w:hAnsi="Times New Roman" w:cs="Times New Roman"/>
          <w:sz w:val="18"/>
          <w:szCs w:val="18"/>
        </w:rPr>
        <w:t>F</w:t>
      </w:r>
      <w:r>
        <w:rPr>
          <w:rFonts w:ascii="Times New Roman" w:hAnsi="Times New Roman" w:cs="Times New Roman"/>
          <w:sz w:val="18"/>
          <w:szCs w:val="18"/>
        </w:rPr>
        <w:t>DA/NMPA</w:t>
      </w:r>
      <w:r>
        <w:rPr>
          <w:rFonts w:hint="eastAsia" w:ascii="Times New Roman" w:hAnsi="Times New Roman" w:cs="Times New Roman"/>
          <w:sz w:val="18"/>
          <w:szCs w:val="18"/>
        </w:rPr>
        <w:t>批准普拉替尼用于治疗</w:t>
      </w:r>
      <w:r>
        <w:rPr>
          <w:rFonts w:ascii="Times New Roman" w:hAnsi="Times New Roman" w:cs="Times New Roman"/>
          <w:sz w:val="18"/>
          <w:szCs w:val="18"/>
        </w:rPr>
        <w:t>RET融合阳性</w:t>
      </w:r>
      <w:r>
        <w:rPr>
          <w:rFonts w:hint="eastAsia" w:ascii="Times New Roman" w:hAnsi="Times New Roman" w:cs="Times New Roman"/>
          <w:sz w:val="18"/>
          <w:szCs w:val="18"/>
        </w:rPr>
        <w:t>的</w:t>
      </w:r>
      <w:r>
        <w:rPr>
          <w:rFonts w:ascii="Times New Roman" w:hAnsi="Times New Roman" w:cs="Times New Roman"/>
          <w:sz w:val="18"/>
          <w:szCs w:val="18"/>
        </w:rPr>
        <w:t>非小细胞肺癌（NSCLC）成人患者</w:t>
      </w:r>
      <w:r>
        <w:rPr>
          <w:rFonts w:hint="eastAsia" w:ascii="Times New Roman" w:hAnsi="Times New Roman" w:cs="Times New Roman"/>
          <w:sz w:val="18"/>
          <w:szCs w:val="18"/>
        </w:rPr>
        <w:t>；</w:t>
      </w:r>
      <w:r>
        <w:rPr>
          <w:rFonts w:ascii="Times New Roman" w:hAnsi="Times New Roman" w:cs="Times New Roman"/>
          <w:sz w:val="18"/>
          <w:szCs w:val="18"/>
        </w:rPr>
        <w:t>FDA批准Selpercatinib用于RET融合阳性的转移性非小细胞肺癌（NSCLC）成人患者</w:t>
      </w:r>
      <w:r>
        <w:rPr>
          <w:rFonts w:hint="eastAsia" w:ascii="Times New Roman" w:hAnsi="Times New Roman" w:cs="Times New Roman"/>
          <w:sz w:val="18"/>
          <w:szCs w:val="18"/>
        </w:rPr>
        <w:t>；F</w:t>
      </w:r>
      <w:r>
        <w:rPr>
          <w:rFonts w:ascii="Times New Roman" w:hAnsi="Times New Roman" w:cs="Times New Roman"/>
          <w:sz w:val="18"/>
          <w:szCs w:val="18"/>
        </w:rPr>
        <w:t>DA</w:t>
      </w:r>
      <w:r>
        <w:rPr>
          <w:rFonts w:hint="eastAsia" w:ascii="Times New Roman" w:hAnsi="Times New Roman" w:cs="Times New Roman"/>
          <w:sz w:val="18"/>
          <w:szCs w:val="18"/>
        </w:rPr>
        <w:t>批准普拉替尼、</w:t>
      </w:r>
      <w:r>
        <w:rPr>
          <w:rFonts w:ascii="Times New Roman" w:hAnsi="Times New Roman" w:cs="Times New Roman"/>
          <w:sz w:val="18"/>
          <w:szCs w:val="18"/>
        </w:rPr>
        <w:t>Selpercatinib</w:t>
      </w:r>
      <w:r>
        <w:rPr>
          <w:rFonts w:hint="eastAsia" w:ascii="Times New Roman" w:hAnsi="Times New Roman" w:cs="Times New Roman"/>
          <w:sz w:val="18"/>
          <w:szCs w:val="18"/>
        </w:rPr>
        <w:t>用于</w:t>
      </w:r>
      <w:r>
        <w:rPr>
          <w:rFonts w:ascii="Times New Roman" w:hAnsi="Times New Roman" w:cs="Times New Roman"/>
          <w:sz w:val="18"/>
          <w:szCs w:val="18"/>
        </w:rPr>
        <w:t>12岁及以上儿童及成人需要全身治疗的晚期或转移性RET突变的甲状腺髓样癌（MTC）患者</w:t>
      </w:r>
      <w:r>
        <w:rPr>
          <w:rFonts w:hint="eastAsia" w:ascii="Times New Roman" w:hAnsi="Times New Roman" w:cs="Times New Roman"/>
          <w:sz w:val="18"/>
          <w:szCs w:val="18"/>
        </w:rPr>
        <w:t>或</w:t>
      </w:r>
      <w:r>
        <w:rPr>
          <w:rFonts w:ascii="Times New Roman" w:hAnsi="Times New Roman" w:cs="Times New Roman"/>
          <w:sz w:val="18"/>
          <w:szCs w:val="18"/>
        </w:rPr>
        <w:t>12岁及以上儿童及成人需要全身治疗且放射性碘难治性（如果放射性碘适合）、晚期或转移性RET融合阳性甲状腺癌患者。NCCN指南推荐携带RET融合的晚期非小细胞肺癌患者使用凡德他尼、卡博替尼</w:t>
      </w:r>
      <w:r>
        <w:rPr>
          <w:rFonts w:hint="eastAsia" w:ascii="Times New Roman" w:hAnsi="Times New Roman" w:cs="Times New Roman"/>
          <w:sz w:val="18"/>
          <w:szCs w:val="18"/>
        </w:rPr>
        <w:t>、</w:t>
      </w:r>
      <w:r>
        <w:rPr>
          <w:rFonts w:ascii="Times New Roman" w:hAnsi="Times New Roman" w:cs="Times New Roman"/>
          <w:sz w:val="18"/>
          <w:szCs w:val="18"/>
        </w:rPr>
        <w:t>Selpercatinib</w:t>
      </w:r>
      <w:r>
        <w:rPr>
          <w:rFonts w:hint="eastAsia" w:ascii="Times New Roman" w:hAnsi="Times New Roman" w:cs="Times New Roman"/>
          <w:sz w:val="18"/>
          <w:szCs w:val="18"/>
        </w:rPr>
        <w:t>、普拉替尼</w:t>
      </w:r>
      <w:r>
        <w:rPr>
          <w:rFonts w:ascii="Times New Roman" w:hAnsi="Times New Roman" w:cs="Times New Roman"/>
          <w:sz w:val="18"/>
          <w:szCs w:val="18"/>
        </w:rPr>
        <w:t>[NCCN_NSCLC_2021_V5]。II期临床试验显示，在25名RET阳性的肺癌患者中，13名KIF5B-RET融合，12名CCDC6-RET融合，仑伐替尼的客观缓解率达16%，其中KIF5B-RET融合患者的疾病控制率为61.5%，有2名PR，6名SD，中位PFS为3.6个月。该研究显示仑伐替尼对RET融合阳性肺癌患者具有潜在的临床抗肿瘤活性[PMID: 31710864]。II期临床试验显示，19名（10名KIF5B-RET，6名CCDC6-RET，3名RET未知融合）入组接受凡德他尼非小细胞肺癌患者中，17名可进行疗效分析，9名患者局部缓解达到主要研究终点，疾病控制率达88%，中位PFS为4.7月；其中CCDC6-RET融合亚型患者疾病客观缓解率为83%（5/6），中位PFS为8.3月，KIF5B-RET融合亚型患者疾病客观缓解率为20%（2/10），中位PFS为2.9月，提示凡德他尼对于RET重排非小细胞肺癌患者具有显著抗肿瘤活性[PMID: 27825616]。</w:t>
      </w:r>
      <w:r>
        <w:rPr>
          <w:rFonts w:hint="eastAsia" w:ascii="Times New Roman" w:hAnsi="Times New Roman" w:cs="Times New Roman"/>
          <w:sz w:val="18"/>
          <w:szCs w:val="18"/>
        </w:rPr>
        <w:t>卡博替尼治疗晚期</w:t>
      </w:r>
      <w:r>
        <w:rPr>
          <w:rFonts w:ascii="Times New Roman" w:hAnsi="Times New Roman" w:cs="Times New Roman"/>
          <w:sz w:val="18"/>
          <w:szCs w:val="18"/>
        </w:rPr>
        <w:t>RET重排肺癌患者中的II期临床研究中，26例RET重排肺腺癌患者接受卡博替尼治疗，KIF5B-RET是16例（62％）患者中发现的主要融合类型。在25例可评估反应的患者中有7例观察到确诊的部分反应（总缓解率为28％[95％CI 12–49％]），1例RET-ERC1融合肺腺癌患者疾病稳定[PMID: 27825636]。在I/II期试验（LIBRETTO-001）中，RET激酶抑制剂Selpercatinib（LOXO-292）治疗的RET融合阳性非小细胞肺癌患者，其中KIF5B占59%，先前接受过铂类化疗的105例患者客观缓解率为68%，先前未接受治疗的34例患者客观缓解率为85% [PMID: 31554640]。I/II期临床研究中，普拉替尼治疗RET融合NSCLC患者 (n=116; 72% KIF5B; 16% CCDC6; 12% 其他) ，先前接受过铂治疗患者ORR达到61 %，先前未接受系统性治疗患者ORR达到73%[J Clin Oncol 38: 2020 (suppl; abstr 9515) ]。</w:t>
      </w:r>
      <w:r>
        <w:rPr>
          <w:rFonts w:hint="eastAsia" w:ascii="Times New Roman" w:hAnsi="Times New Roman" w:cs="Times New Roman"/>
          <w:sz w:val="18"/>
          <w:szCs w:val="18"/>
        </w:rPr>
        <w:t>目前舒尼替尼、卡博替尼、索拉非尼、</w:t>
      </w:r>
      <w:r>
        <w:rPr>
          <w:rFonts w:ascii="Times New Roman" w:hAnsi="Times New Roman" w:cs="Times New Roman"/>
          <w:sz w:val="18"/>
          <w:szCs w:val="18"/>
        </w:rPr>
        <w:t>Selpercatinib</w:t>
      </w:r>
      <w:r>
        <w:rPr>
          <w:rFonts w:hint="eastAsia" w:ascii="Times New Roman" w:hAnsi="Times New Roman" w:cs="Times New Roman"/>
          <w:sz w:val="18"/>
          <w:szCs w:val="18"/>
        </w:rPr>
        <w:t>等用于R</w:t>
      </w:r>
      <w:r>
        <w:rPr>
          <w:rFonts w:ascii="Times New Roman" w:hAnsi="Times New Roman" w:cs="Times New Roman"/>
          <w:sz w:val="18"/>
          <w:szCs w:val="18"/>
        </w:rPr>
        <w:t>ET</w:t>
      </w:r>
      <w:r>
        <w:rPr>
          <w:rFonts w:hint="eastAsia" w:ascii="Times New Roman" w:hAnsi="Times New Roman" w:cs="Times New Roman"/>
          <w:sz w:val="18"/>
          <w:szCs w:val="18"/>
        </w:rPr>
        <w:t>突变/融合的实体瘤的临床试验正在开展。</w:t>
      </w:r>
    </w:p>
    <w:p w14:paraId="02A418D3">
      <w:pPr>
        <w:adjustRightInd w:val="0"/>
        <w:snapToGrid w:val="0"/>
        <w:spacing w:line="300" w:lineRule="auto"/>
        <w:ind w:left="420"/>
        <w:rPr>
          <w:rFonts w:ascii="Times New Roman" w:hAnsi="Times New Roman" w:cs="Times New Roman"/>
          <w:sz w:val="18"/>
          <w:szCs w:val="18"/>
        </w:rPr>
      </w:pPr>
    </w:p>
    <w:p w14:paraId="6C58F5E5">
      <w:pPr>
        <w:spacing w:line="360" w:lineRule="auto"/>
        <w:rPr>
          <w:rFonts w:ascii="Times New Roman" w:hAnsi="Times New Roman" w:cs="Times New Roman"/>
          <w:b/>
        </w:rPr>
      </w:pPr>
      <w:r>
        <w:rPr>
          <w:rFonts w:ascii="Times New Roman" w:hAnsi="Times New Roman" w:cs="Times New Roman"/>
          <w:b/>
        </w:rPr>
        <mc:AlternateContent>
          <mc:Choice Requires="wps">
            <w:drawing>
              <wp:anchor distT="0" distB="0" distL="114300" distR="114300" simplePos="0" relativeHeight="251669504" behindDoc="1" locked="0" layoutInCell="1" allowOverlap="1">
                <wp:simplePos x="0" y="0"/>
                <wp:positionH relativeFrom="column">
                  <wp:posOffset>-31115</wp:posOffset>
                </wp:positionH>
                <wp:positionV relativeFrom="paragraph">
                  <wp:posOffset>159385</wp:posOffset>
                </wp:positionV>
                <wp:extent cx="5756910" cy="21590"/>
                <wp:effectExtent l="0" t="9525" r="5715" b="16510"/>
                <wp:wrapNone/>
                <wp:docPr id="10" name="直线 60"/>
                <wp:cNvGraphicFramePr/>
                <a:graphic xmlns:a="http://schemas.openxmlformats.org/drawingml/2006/main">
                  <a:graphicData uri="http://schemas.microsoft.com/office/word/2010/wordprocessingShape">
                    <wps:wsp>
                      <wps:cNvCnPr/>
                      <wps:spPr>
                        <a:xfrm>
                          <a:off x="0" y="0"/>
                          <a:ext cx="575691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0" o:spid="_x0000_s1026" o:spt="20" style="position:absolute;left:0pt;margin-left:-2.45pt;margin-top:12.55pt;height:1.7pt;width:453.3pt;z-index:-251646976;mso-width-relative:page;mso-height-relative:page;" filled="f" stroked="t" coordsize="21600,21600" o:gfxdata="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wbSNrY&#10;AAAACAEAAA8AAAAAAAAAAQAgAAAAIgAAAGRycy9kb3ducmV2LnhtbFBLAQIUABQAAAAIAIdO4kCF&#10;XUBu5wEAAOADAAAOAAAAAAAAAAEAIAAAACcBAABkcnMvZTJvRG9jLnhtbFBLBQYAAAAABgAGAFkB&#10;AACABQAAAAA=&#10;">
                <v:fill on="f" focussize="0,0"/>
                <v:stroke weight="1.5pt" color="#002060" joinstyle="miter"/>
                <v:imagedata o:title=""/>
                <o:lock v:ext="edit" aspectratio="f"/>
              </v:line>
            </w:pict>
          </mc:Fallback>
        </mc:AlternateContent>
      </w:r>
      <w:r>
        <w:rPr>
          <w:rFonts w:ascii="Times New Roman" w:hAnsi="Times New Roman" w:cs="Times New Roman"/>
          <w:b/>
        </w:rPr>
        <w:t xml:space="preserve">RB1                                                                        </w:t>
      </w:r>
    </w:p>
    <w:p w14:paraId="2BDE4895">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9934663">
      <w:pPr>
        <w:spacing w:line="300" w:lineRule="auto"/>
        <w:ind w:left="420"/>
        <w:rPr>
          <w:rFonts w:ascii="Times New Roman" w:hAnsi="Times New Roman" w:cs="Times New Roman"/>
          <w:color w:val="404040"/>
        </w:rPr>
      </w:pPr>
      <w:r>
        <w:rPr>
          <w:rFonts w:ascii="Times New Roman" w:hAnsi="Times New Roman" w:cs="Times New Roman"/>
          <w:sz w:val="18"/>
          <w:szCs w:val="18"/>
        </w:rPr>
        <w:t>视网膜母细胞瘤基因1（RB1）是人类第一个分离克隆的抑癌基因，确认为视网膜母细胞瘤（RB）的唯一致病基因。RB1基因是细胞周期的负调控因子，通过与转录因子结合调节细胞增殖和分化所需基因的表达，从而维持细胞生长发育的平衡。RB1基因的突变不仅存在于视网膜母细胞瘤患者中，而且见于许多恶性肿瘤，如小细胞肺癌、骨肉瘤、膀胱癌、胰腺癌和乳腺癌等。大量研究表明，RB1的抑癌作用与其对细胞周期、细胞分化、细胞衰老、细胞凋亡和生长抑制等的调控是密切相关的。RB1基因的种系突变和体细胞突变均可导致肉瘤的易感性，如软组织肉瘤和骨肉瘤。90%以上的小细胞肺癌都存在RB1基因的异常。</w:t>
      </w:r>
      <w:r>
        <w:rPr>
          <w:rFonts w:ascii="Times New Roman" w:hAnsi="Times New Roman" w:cs="Times New Roman"/>
          <w:color w:val="404040"/>
          <w:sz w:val="18"/>
          <w:szCs w:val="18"/>
        </w:rPr>
        <w:t xml:space="preserve"> </w:t>
      </w:r>
    </w:p>
    <w:p w14:paraId="71FFF7AA">
      <w:pPr>
        <w:spacing w:line="300" w:lineRule="auto"/>
        <w:ind w:left="420"/>
        <w:rPr>
          <w:rFonts w:ascii="Times New Roman" w:hAnsi="Times New Roman" w:cs="Times New Roman"/>
          <w:b/>
          <w:szCs w:val="18"/>
        </w:rPr>
      </w:pPr>
      <w:r>
        <w:rPr>
          <w:rFonts w:ascii="Times New Roman" w:hAnsi="Times New Roman" w:cs="Times New Roman"/>
          <w:b/>
          <w:szCs w:val="18"/>
        </w:rPr>
        <w:t xml:space="preserve">用药说明： </w:t>
      </w:r>
    </w:p>
    <w:p w14:paraId="03CD1B57">
      <w:pPr>
        <w:spacing w:line="300" w:lineRule="auto"/>
        <w:ind w:left="420"/>
        <w:rPr>
          <w:rFonts w:ascii="Times New Roman" w:hAnsi="Times New Roman" w:cs="Times New Roman"/>
          <w:b/>
          <w:szCs w:val="18"/>
        </w:rPr>
      </w:pPr>
      <w:r>
        <w:rPr>
          <w:rFonts w:ascii="Times New Roman" w:hAnsi="Times New Roman" w:cs="Times New Roman"/>
          <w:sz w:val="18"/>
          <w:szCs w:val="18"/>
        </w:rPr>
        <w:t>目前，FDA尚未批准任何靶向RB1突变的抗癌药物。针对RB1失活的靶向药物（如AURORA激酶抑制剂、BCL-2 抑制剂和NOTCH 通路激活剂）均处于临床前</w:t>
      </w:r>
      <w:r>
        <w:rPr>
          <w:rFonts w:hint="eastAsia" w:ascii="Times New Roman" w:hAnsi="Times New Roman" w:cs="Times New Roman"/>
          <w:sz w:val="18"/>
          <w:szCs w:val="18"/>
        </w:rPr>
        <w:t>实</w:t>
      </w:r>
      <w:r>
        <w:rPr>
          <w:rFonts w:ascii="Times New Roman" w:hAnsi="Times New Roman" w:cs="Times New Roman"/>
          <w:sz w:val="18"/>
          <w:szCs w:val="18"/>
        </w:rPr>
        <w:t>验阶段。在非小细胞肺癌耐药的患者中，部分患者会展示出从非小细胞肺癌（NSCLC）到小细胞肺癌（SCLC）的组织学转变，这些患者存在RB1功能丢失。对来自抗EGFR突变治疗的患者的肿瘤样品和细胞系的分析显示RB缺失出现在这些小细胞肺癌转化的病例（100％），但很少在那些仍然是非小细胞肺癌的患者中。但是在EGFR突变细胞系中的RB敲低实验表明RB丢失不足以引起抗性或诱导神经内分泌（NE）分化[PMID: 25758528]。</w:t>
      </w:r>
      <w:r>
        <w:rPr>
          <w:rFonts w:hint="eastAsia" w:ascii="Times New Roman" w:hAnsi="Times New Roman" w:cs="Times New Roman"/>
          <w:sz w:val="18"/>
          <w:szCs w:val="18"/>
        </w:rPr>
        <w:t>临床前研究中，</w:t>
      </w:r>
      <w:r>
        <w:rPr>
          <w:rFonts w:ascii="Times New Roman" w:hAnsi="Times New Roman" w:cs="Times New Roman"/>
          <w:sz w:val="18"/>
          <w:szCs w:val="18"/>
        </w:rPr>
        <w:t>Trilaciclib和托泊替康的组合抑制RB1缺陷的小细胞肺癌（SCLC）异种移植模型中的肿瘤生长，比单独使用托泊替康更有效[PMID: 26826116]。临床前研究发现，RB1敲除的SCLC细胞系高度依赖与染色体分离相关的多种蛋白，包括Aurora B激酶，Aurora B激酶抑制剂在多种临床前SCLC模型中是有效的，提示RB1的缺失是SCLC对Aurora B激酶抑制剂敏感的预测生物标志物[PMID: 30373918]。紫杉醇加Alisertib或紫杉醇加安慰剂作为SCLC二线治疗的</w:t>
      </w:r>
      <w:r>
        <w:rPr>
          <w:rFonts w:hint="eastAsia" w:ascii="Times New Roman" w:hAnsi="Times New Roman" w:cs="Times New Roman"/>
          <w:sz w:val="18"/>
          <w:szCs w:val="18"/>
        </w:rPr>
        <w:t>随机</w:t>
      </w:r>
      <w:r>
        <w:rPr>
          <w:rFonts w:ascii="Times New Roman" w:hAnsi="Times New Roman" w:cs="Times New Roman"/>
          <w:sz w:val="18"/>
          <w:szCs w:val="18"/>
        </w:rPr>
        <w:t>II期研究中，在140名基因变异的患者中，细胞周期调节因子（CDK6、RBL1、RBL2、RB1）突变的患者使用Alisertib/紫杉醇显著改善PFS（分别为3.68和1.80个月, p = 0.0003）和总生存期（分别为7.20和4.47个月, p = 0.00085）[PMID: 31655296]。</w:t>
      </w:r>
    </w:p>
    <w:p w14:paraId="6E9E7F57">
      <w:pPr>
        <w:spacing w:line="300" w:lineRule="auto"/>
        <w:ind w:left="420"/>
        <w:rPr>
          <w:rFonts w:ascii="Times New Roman" w:hAnsi="Times New Roman" w:cs="Times New Roman"/>
          <w:sz w:val="18"/>
          <w:szCs w:val="18"/>
        </w:rPr>
      </w:pPr>
    </w:p>
    <w:p w14:paraId="51882949">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6672" behindDoc="1" locked="0" layoutInCell="1" allowOverlap="1">
                <wp:simplePos x="0" y="0"/>
                <wp:positionH relativeFrom="column">
                  <wp:posOffset>-33020</wp:posOffset>
                </wp:positionH>
                <wp:positionV relativeFrom="paragraph">
                  <wp:posOffset>159385</wp:posOffset>
                </wp:positionV>
                <wp:extent cx="5758180" cy="21590"/>
                <wp:effectExtent l="0" t="9525" r="4445" b="16510"/>
                <wp:wrapNone/>
                <wp:docPr id="19" name="直线 61"/>
                <wp:cNvGraphicFramePr/>
                <a:graphic xmlns:a="http://schemas.openxmlformats.org/drawingml/2006/main">
                  <a:graphicData uri="http://schemas.microsoft.com/office/word/2010/wordprocessingShape">
                    <wps:wsp>
                      <wps:cNvCnPr/>
                      <wps:spPr>
                        <a:xfrm>
                          <a:off x="0" y="0"/>
                          <a:ext cx="5758180"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1" o:spid="_x0000_s1026" o:spt="20" style="position:absolute;left:0pt;margin-left:-2.6pt;margin-top:12.55pt;height:1.7pt;width:453.4pt;z-index:-251639808;mso-width-relative:page;mso-height-relative:page;" filled="f" stroked="t" coordsize="21600,21600" o:gfxdata="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GpRrj&#10;1wAAAAgBAAAPAAAAAAAAAAEAIAAAACIAAABkcnMvZG93bnJldi54bWxQSwECFAAUAAAACACHTuJA&#10;M1qgl+kBAADg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cs="Times New Roman"/>
          <w:b/>
        </w:rPr>
        <w:t xml:space="preserve">SMO                                                                        </w:t>
      </w:r>
    </w:p>
    <w:p w14:paraId="6FA4B8F2">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D581D8B">
      <w:pPr>
        <w:spacing w:line="300" w:lineRule="auto"/>
        <w:ind w:left="420"/>
        <w:rPr>
          <w:rFonts w:ascii="Times New Roman" w:hAnsi="Times New Roman" w:cs="Times New Roman"/>
          <w:sz w:val="18"/>
          <w:szCs w:val="18"/>
        </w:rPr>
      </w:pPr>
      <w:r>
        <w:rPr>
          <w:rFonts w:ascii="Times New Roman" w:hAnsi="Times New Roman" w:cs="Times New Roman"/>
          <w:sz w:val="18"/>
          <w:szCs w:val="18"/>
        </w:rPr>
        <w:t xml:space="preserve">SMO编码一种G蛋白偶联受体蛋白，是Sonic Hedgehog信号通路的主要成员，在正常胚胎和神经元发育以及肿瘤发生中起重要作用[PMID: 26912893]。SMO蛋白是一种七跨膜结构域蛋白，与G蛋白偶联受体在结构和功能上有一些相似性[PMID: 23636324]。SMO活性通常受到patched (PTCH1)的抑制，patched是Hedgehog途径的上游成分[PMID: 23719536]。胞外Hedgehog配体与PTCH1的结合导致SMO的连续激活，这又诱导下游GLI转录因子的修饰，从而导致它们的激活。激活SMO突变导致GLI介导的重要致癌基因转录的组成性激活。SHH信号与肿瘤干细胞的自我复制、肿瘤血管和基质形成密切相关。SMO与散发性基底细胞癌[PMID: 26950094]和髓母细胞瘤[PMID: 21614026]有关，并且已经在许多其他肿瘤类型中被鉴定。 </w:t>
      </w:r>
    </w:p>
    <w:p w14:paraId="58721A43">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2C666218">
      <w:pPr>
        <w:adjustRightInd w:val="0"/>
        <w:snapToGrid w:val="0"/>
        <w:spacing w:line="300" w:lineRule="auto"/>
        <w:ind w:left="420"/>
        <w:rPr>
          <w:rFonts w:ascii="Times New Roman" w:hAnsi="Times New Roman" w:cs="Times New Roman"/>
          <w:sz w:val="18"/>
          <w:szCs w:val="18"/>
        </w:rPr>
      </w:pPr>
      <w:r>
        <w:rPr>
          <w:rFonts w:ascii="Times New Roman" w:hAnsi="Times New Roman" w:cs="Times New Roman"/>
          <w:sz w:val="18"/>
          <w:szCs w:val="18"/>
        </w:rPr>
        <w:t>在一项开放性临床研究中，携带对维莫德吉耐药的SMO Q477E突变的基底细胞癌患者使用索尼德吉治疗，疾病进展[PMID: 26546616]。在临床研究中，携带SMO D473H的髓母细胞瘤患者对Hedgehog通路抑制剂维莫德吉表现出继发耐药[PMID:</w:t>
      </w:r>
      <w:r>
        <w:rPr>
          <w:rFonts w:hint="eastAsia" w:ascii="Times New Roman" w:hAnsi="Times New Roman" w:cs="Times New Roman"/>
          <w:sz w:val="18"/>
          <w:szCs w:val="18"/>
        </w:rPr>
        <w:t xml:space="preserve"> </w:t>
      </w:r>
      <w:r>
        <w:rPr>
          <w:rFonts w:ascii="Times New Roman" w:hAnsi="Times New Roman" w:cs="Times New Roman"/>
          <w:sz w:val="18"/>
          <w:szCs w:val="18"/>
        </w:rPr>
        <w:t>19726788]。在体外研究中，与表达野生型SMO的C3H10T1/2细胞相比，表达SMO A459V突变的C3H10T1/2细胞系显示出对维莫德吉治疗的耐药性[PMID: 25759019]。除此之外，SMO的配体结合口袋中的一组独特的突变赋予了对SMO抑制剂例如维莫德单抗和相关环巴胺药物的抗性[PMID：26960983]。</w:t>
      </w:r>
      <w:r>
        <w:rPr>
          <w:rFonts w:hint="eastAsia" w:ascii="Times New Roman" w:hAnsi="Times New Roman" w:cs="Times New Roman"/>
          <w:sz w:val="18"/>
          <w:szCs w:val="18"/>
        </w:rPr>
        <w:t>研究表明，在结直肠癌中，</w:t>
      </w:r>
      <w:r>
        <w:rPr>
          <w:rFonts w:ascii="Times New Roman" w:hAnsi="Times New Roman" w:cs="Times New Roman"/>
          <w:sz w:val="18"/>
          <w:szCs w:val="18"/>
        </w:rPr>
        <w:t>SMO的表达与临床病理和预后有关[PMID: 25023548]。SMO过表达与结直肠癌患者吸烟、晚期疾病及淋巴结转移相关[PMID: 30784110]。结直肠癌中，激活SHH通路后，DFS更长(HR=0.49, p=0.032)[PMID: 30952759]。</w:t>
      </w:r>
      <w:r>
        <w:rPr>
          <w:rFonts w:hint="eastAsia" w:ascii="Times New Roman" w:hAnsi="Times New Roman" w:cs="Times New Roman"/>
          <w:sz w:val="18"/>
          <w:szCs w:val="18"/>
        </w:rPr>
        <w:t>目前维莫德吉用于S</w:t>
      </w:r>
      <w:r>
        <w:rPr>
          <w:rFonts w:ascii="Times New Roman" w:hAnsi="Times New Roman" w:cs="Times New Roman"/>
          <w:sz w:val="18"/>
          <w:szCs w:val="18"/>
        </w:rPr>
        <w:t>MO</w:t>
      </w:r>
      <w:r>
        <w:rPr>
          <w:rFonts w:hint="eastAsia" w:ascii="Times New Roman" w:hAnsi="Times New Roman" w:cs="Times New Roman"/>
          <w:sz w:val="18"/>
          <w:szCs w:val="18"/>
        </w:rPr>
        <w:t>突变的实体瘤的临床试验正在开展。</w:t>
      </w:r>
    </w:p>
    <w:p w14:paraId="6ECDFFD1">
      <w:pPr>
        <w:adjustRightInd w:val="0"/>
        <w:snapToGrid w:val="0"/>
        <w:spacing w:line="300" w:lineRule="auto"/>
        <w:ind w:left="420"/>
        <w:rPr>
          <w:rFonts w:ascii="Times New Roman" w:hAnsi="Times New Roman" w:cs="Times New Roman"/>
          <w:sz w:val="18"/>
          <w:szCs w:val="18"/>
        </w:rPr>
      </w:pPr>
    </w:p>
    <w:p w14:paraId="6FDBF19B">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6128" behindDoc="1"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38" name="直线 62"/>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2" o:spid="_x0000_s1026" o:spt="20" style="position:absolute;left:0pt;margin-left:-2.55pt;margin-top:12.55pt;height:1.7pt;width:453.45pt;z-index:-251620352;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AeCFLe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STK11                                                                         </w:t>
      </w:r>
    </w:p>
    <w:p w14:paraId="63D0AABD">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5732EFFF">
      <w:pPr>
        <w:adjustRightInd w:val="0"/>
        <w:snapToGrid w:val="0"/>
        <w:spacing w:line="300" w:lineRule="auto"/>
        <w:ind w:left="420"/>
        <w:jc w:val="both"/>
        <w:rPr>
          <w:rFonts w:ascii="Times New Roman" w:hAnsi="Times New Roman" w:cs="Times New Roman"/>
          <w:sz w:val="18"/>
          <w:szCs w:val="18"/>
        </w:rPr>
      </w:pPr>
      <w:r>
        <w:rPr>
          <w:rFonts w:ascii="Times New Roman" w:hAnsi="Times New Roman" w:cs="Times New Roman"/>
          <w:sz w:val="18"/>
          <w:szCs w:val="18"/>
        </w:rPr>
        <w:t>STK11基因（也称LKB1基因）位于染色体19p13.3，为一种抑癌基因，编码由433个氨基酸残基组成的丝氨酸/苏氨酸蛋白激酶，在体内广泛表达。只有与STRAD及MO25结合形成一种完整的复合物才能发挥正常的生物学效应，涉及调控细胞周期、调节细胞极性以及细胞基础能量代谢、DNA损伤响应等重要功能。非小细胞肺癌中STK11突变频率约为7%，STK11蛋白的失活促进肺癌发生、发展和转移。</w:t>
      </w:r>
    </w:p>
    <w:p w14:paraId="582DF396">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75E6952F">
      <w:pPr>
        <w:adjustRightInd w:val="0"/>
        <w:snapToGrid w:val="0"/>
        <w:spacing w:line="300" w:lineRule="auto"/>
        <w:ind w:left="420"/>
        <w:jc w:val="both"/>
        <w:rPr>
          <w:rFonts w:ascii="Times New Roman" w:hAnsi="Times New Roman" w:cs="Times New Roman"/>
          <w:sz w:val="18"/>
          <w:szCs w:val="18"/>
        </w:rPr>
      </w:pPr>
      <w:r>
        <w:rPr>
          <w:rFonts w:hint="eastAsia" w:ascii="Times New Roman" w:hAnsi="Times New Roman" w:cs="Times New Roman"/>
          <w:sz w:val="18"/>
          <w:szCs w:val="18"/>
        </w:rPr>
        <w:t>在一项</w:t>
      </w:r>
      <w:r>
        <w:rPr>
          <w:rFonts w:ascii="Times New Roman" w:hAnsi="Times New Roman" w:cs="Times New Roman"/>
          <w:sz w:val="18"/>
          <w:szCs w:val="18"/>
        </w:rPr>
        <w:t>Ib/II期试验中，携带STK11和/或KEAP1突变的非鳞NSCLC患者（n=14）接受卡瑞利珠单抗联合阿帕替尼治疗，相对于野生型STK11/KEAP1患者（n=32），12个月生存率得到了改善（85.1% vs 53.1%，p=0.01），客观有效率（42.9% vs 28.1%，p=0.33）、疾病控制率（92.9% vs 65.6%，p=0.053）和中位无进展生存期（9.4 vs 5.3个月，p=0.64）有改善的趋势，其中两例STK11移码突变患者获得部分缓解[PMID: 33323401]。临床前研究表明，西罗莫司 (Rapamune) 能够降低STK11（LKB1）缺陷型子宫内膜癌小鼠模型（包括晚期肿瘤模型）的S6K磷酸化水平并抑制肿瘤生长[PMID: 20142330]；人类肿瘤细胞系中STK11失活变异和STK11缺失表达与司美替尼（AZD6244）的敏感性增加有关[PMID: 27821489]；携带STK11失活突变的非小细胞肺癌细胞系对曲美替尼处理敏感[PMID: 27821489]；在一项临床前研究中，携带STK11突变的H1666细胞系接受Gedatolisib的处理后细胞生长受到抑制[PMID: 21325073]。</w:t>
      </w:r>
      <w:r>
        <w:rPr>
          <w:rFonts w:hint="eastAsia" w:ascii="Times New Roman" w:hAnsi="Times New Roman" w:cs="Times New Roman"/>
          <w:sz w:val="18"/>
          <w:szCs w:val="18"/>
        </w:rPr>
        <w:t>有研究表明，</w:t>
      </w:r>
      <w:r>
        <w:rPr>
          <w:rFonts w:ascii="Times New Roman" w:hAnsi="Times New Roman" w:cs="Times New Roman"/>
          <w:sz w:val="18"/>
          <w:szCs w:val="18"/>
        </w:rPr>
        <w:t>STK11 1-2号外显子突变与不良预后相关（P=0.002）[PMID: 26625312]。</w:t>
      </w:r>
      <w:r>
        <w:rPr>
          <w:rFonts w:hint="eastAsia" w:ascii="Times New Roman" w:hAnsi="Times New Roman" w:cs="Times New Roman"/>
          <w:sz w:val="18"/>
          <w:szCs w:val="18"/>
        </w:rPr>
        <w:t>目前替西罗莫司、</w:t>
      </w:r>
      <w:r>
        <w:rPr>
          <w:rFonts w:ascii="Times New Roman" w:hAnsi="Times New Roman" w:cs="Times New Roman"/>
          <w:sz w:val="18"/>
          <w:szCs w:val="18"/>
        </w:rPr>
        <w:t>Telaglenastat</w:t>
      </w:r>
      <w:r>
        <w:rPr>
          <w:rFonts w:hint="eastAsia" w:ascii="Times New Roman" w:hAnsi="Times New Roman" w:cs="Times New Roman"/>
          <w:sz w:val="18"/>
          <w:szCs w:val="18"/>
        </w:rPr>
        <w:t>、</w:t>
      </w:r>
      <w:r>
        <w:rPr>
          <w:rFonts w:ascii="Times New Roman" w:hAnsi="Times New Roman" w:cs="Times New Roman"/>
          <w:sz w:val="18"/>
          <w:szCs w:val="18"/>
        </w:rPr>
        <w:t>Sirpiglenastat</w:t>
      </w:r>
      <w:r>
        <w:rPr>
          <w:rFonts w:hint="eastAsia" w:ascii="Times New Roman" w:hAnsi="Times New Roman" w:cs="Times New Roman"/>
          <w:sz w:val="18"/>
          <w:szCs w:val="18"/>
        </w:rPr>
        <w:t>等用于S</w:t>
      </w:r>
      <w:r>
        <w:rPr>
          <w:rFonts w:ascii="Times New Roman" w:hAnsi="Times New Roman" w:cs="Times New Roman"/>
          <w:sz w:val="18"/>
          <w:szCs w:val="18"/>
        </w:rPr>
        <w:t>TK11</w:t>
      </w:r>
      <w:r>
        <w:rPr>
          <w:rFonts w:hint="eastAsia" w:ascii="Times New Roman" w:hAnsi="Times New Roman" w:cs="Times New Roman"/>
          <w:sz w:val="18"/>
          <w:szCs w:val="18"/>
        </w:rPr>
        <w:t>突变的实体瘤的临床试验正在开展。</w:t>
      </w:r>
    </w:p>
    <w:p w14:paraId="29F62828">
      <w:pPr>
        <w:adjustRightInd w:val="0"/>
        <w:snapToGrid w:val="0"/>
        <w:spacing w:line="300" w:lineRule="auto"/>
        <w:ind w:left="420"/>
        <w:jc w:val="both"/>
        <w:rPr>
          <w:rFonts w:ascii="Times New Roman" w:hAnsi="Times New Roman" w:cs="Times New Roman"/>
          <w:sz w:val="18"/>
          <w:szCs w:val="18"/>
        </w:rPr>
      </w:pPr>
    </w:p>
    <w:p w14:paraId="636F5893">
      <w:pPr>
        <w:spacing w:before="120" w:beforeLines="50"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03296" behindDoc="0" locked="0" layoutInCell="1" allowOverlap="1">
                <wp:simplePos x="0" y="0"/>
                <wp:positionH relativeFrom="column">
                  <wp:posOffset>0</wp:posOffset>
                </wp:positionH>
                <wp:positionV relativeFrom="paragraph">
                  <wp:posOffset>224155</wp:posOffset>
                </wp:positionV>
                <wp:extent cx="5760085" cy="33655"/>
                <wp:effectExtent l="0" t="9525" r="2540" b="13970"/>
                <wp:wrapNone/>
                <wp:docPr id="45" name="直线 63"/>
                <wp:cNvGraphicFramePr/>
                <a:graphic xmlns:a="http://schemas.openxmlformats.org/drawingml/2006/main">
                  <a:graphicData uri="http://schemas.microsoft.com/office/word/2010/wordprocessingShape">
                    <wps:wsp>
                      <wps:cNvCnPr/>
                      <wps:spPr>
                        <a:xfrm flipV="1">
                          <a:off x="0" y="0"/>
                          <a:ext cx="5760085" cy="33655"/>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3" o:spid="_x0000_s1026" o:spt="20" style="position:absolute;left:0pt;flip:y;margin-left:0pt;margin-top:17.65pt;height:2.65pt;width:453.55pt;z-index:251703296;mso-width-relative:page;mso-height-relative:page;" filled="f" stroked="t" coordsize="21600,21600" o:gfxdata="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Dxj342AAAAAYBAAAPAAAAAAAAAAEAIAAAACIAAABkcnMvZG93bnJldi54bWxQSwEC&#10;FAAUAAAACACHTuJAfdaN3fQBAADqAwAADgAAAAAAAAABACAAAAAnAQAAZHJzL2Uyb0RvYy54bWxQ&#10;SwUGAAAAAAYABgBZAQAAjQUAAAAA&#10;">
                <v:fill on="f" focussize="0,0"/>
                <v:stroke weight="1.5pt" color="#002060" joinstyle="miter"/>
                <v:imagedata o:title=""/>
                <o:lock v:ext="edit" aspectratio="f"/>
              </v:line>
            </w:pict>
          </mc:Fallback>
        </mc:AlternateContent>
      </w:r>
      <w:r>
        <w:rPr>
          <w:rFonts w:ascii="Times New Roman" w:hAnsi="Times New Roman" w:cs="Times New Roman"/>
          <w:b/>
        </w:rPr>
        <w:t xml:space="preserve">TP53                                                                               </w:t>
      </w:r>
    </w:p>
    <w:p w14:paraId="41A5FBA2">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17B355D6">
      <w:pPr>
        <w:adjustRightInd w:val="0"/>
        <w:snapToGrid w:val="0"/>
        <w:spacing w:line="300" w:lineRule="auto"/>
        <w:ind w:left="420"/>
        <w:jc w:val="both"/>
        <w:rPr>
          <w:rFonts w:ascii="Times New Roman" w:hAnsi="Times New Roman" w:cs="Times New Roman"/>
          <w:sz w:val="18"/>
          <w:szCs w:val="18"/>
        </w:rPr>
      </w:pPr>
      <w:r>
        <w:rPr>
          <w:rFonts w:ascii="Times New Roman" w:hAnsi="Times New Roman" w:cs="Times New Roman"/>
          <w:sz w:val="18"/>
          <w:szCs w:val="18"/>
        </w:rPr>
        <w:t>TP53是抑癌基因，编码一种包括转录激活、DNA结合及寡聚化结构域的肿瘤抑制蛋白。编码的蛋白响应不同的细胞压力，调节靶基因的表达，从而诱导细胞周期阻滞、凋亡、衰老、DNA修复或代谢变化。该基因的异常与多种人类癌症有关。TP53的胚系突变会导致家族性肉瘤综合征，从而导致成年人在早期发生乳腺癌、脑癌及白血病等。在正常细胞中p53表达较低，TP53功能缺失突变可能导致细胞核中p53表达增加且维持稳定。TP53基因突变高发于多种肿瘤类型中。</w:t>
      </w:r>
    </w:p>
    <w:p w14:paraId="55F0C05E">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010B6E2">
      <w:pPr>
        <w:adjustRightInd w:val="0"/>
        <w:snapToGrid w:val="0"/>
        <w:spacing w:line="300" w:lineRule="auto"/>
        <w:ind w:left="420"/>
        <w:jc w:val="both"/>
        <w:rPr>
          <w:rFonts w:ascii="Times New Roman" w:hAnsi="Times New Roman" w:cs="Times New Roman"/>
          <w:sz w:val="18"/>
          <w:szCs w:val="18"/>
          <w:lang w:bidi="zh-CN"/>
        </w:rPr>
      </w:pPr>
      <w:r>
        <w:rPr>
          <w:rFonts w:ascii="Times New Roman" w:hAnsi="Times New Roman" w:cs="Times New Roman"/>
          <w:sz w:val="18"/>
          <w:szCs w:val="18"/>
        </w:rPr>
        <w:t>目前，FDA尚未批准任何靶向TP53突变的药物。有研究报道KRAS和TP53都突变的患者，使用PD-1抗体的有效率高达33.3%。针对TP53突变的基因疗法、靶向肿瘤疫苗和抗癌药物正处于临床试验早期阶段。这些治疗方法包括NSC59984、Alisertib等，它们在晚期实体肿瘤的治疗中表现出一定的疗效。一项I期临床试验结果表明，培唑帕尼联合伏立诺他能够延长具有TP53热点突变的晚期实体瘤患者的PFS和OS，SD率为45%，而TP53野生型的SD率为16% [PMID: 25669829]。另有研究表明，携带TP53突变的癌细胞对极光激酶A抑制剂敏感[PMID: 23955083]。</w:t>
      </w:r>
      <w:r>
        <w:rPr>
          <w:rFonts w:hint="eastAsia" w:ascii="Times New Roman" w:hAnsi="Times New Roman" w:cs="Times New Roman"/>
          <w:sz w:val="18"/>
          <w:szCs w:val="18"/>
        </w:rPr>
        <w:t>在靶向</w:t>
      </w:r>
      <w:r>
        <w:rPr>
          <w:rFonts w:ascii="Times New Roman" w:hAnsi="Times New Roman" w:cs="Times New Roman"/>
          <w:sz w:val="18"/>
          <w:szCs w:val="18"/>
        </w:rPr>
        <w:t>MDSC治疗广泛期小细胞肺癌的临床试验，组A对照，组B接种转导野生型p53的树突细胞，组C以全反式维甲酸（ATRA）与MDSC靶向治疗联合接种。在来自组A的14名患者中，没有任何一位出现p53阳性反应。免疫后，组B中，15例患者中仅有3例（20%）出现p53特异性应答（p = 0.22）。相比之下，在组C中，12个病人中有5个（41.7%）有可检测到的p53反应（p = 0.012）[PMID: 23589106]。一项临床前研究表明，NSC59984可以增加具有TP53 S241F突变的结肠癌细胞系的TP53信号，促进细胞凋亡[PMID: 26294215]。顺铂联合NSC59984可以抑制具有TP53 R273H和P309S突变的结肠癌细胞的活性[PMID: 26294215]</w:t>
      </w:r>
      <w:r>
        <w:rPr>
          <w:rFonts w:ascii="Times New Roman" w:hAnsi="Times New Roman" w:cs="Times New Roman"/>
          <w:sz w:val="18"/>
          <w:szCs w:val="18"/>
          <w:lang w:bidi="zh-CN"/>
        </w:rPr>
        <w:t>。</w:t>
      </w:r>
      <w:r>
        <w:rPr>
          <w:rFonts w:hint="eastAsia" w:ascii="Times New Roman" w:hAnsi="Times New Roman" w:cs="Times New Roman"/>
          <w:sz w:val="18"/>
          <w:szCs w:val="18"/>
          <w:lang w:bidi="zh-CN"/>
        </w:rPr>
        <w:t>目前</w:t>
      </w:r>
      <w:r>
        <w:rPr>
          <w:rFonts w:ascii="Times New Roman" w:hAnsi="Times New Roman" w:cs="Times New Roman"/>
          <w:sz w:val="18"/>
          <w:szCs w:val="18"/>
          <w:lang w:bidi="zh-CN"/>
        </w:rPr>
        <w:t>APR246</w:t>
      </w:r>
      <w:r>
        <w:rPr>
          <w:rFonts w:hint="eastAsia" w:ascii="Times New Roman" w:hAnsi="Times New Roman" w:cs="Times New Roman"/>
          <w:sz w:val="18"/>
          <w:szCs w:val="18"/>
          <w:lang w:bidi="zh-CN"/>
        </w:rPr>
        <w:t>联合帕博利珠单抗治疗T</w:t>
      </w:r>
      <w:r>
        <w:rPr>
          <w:rFonts w:ascii="Times New Roman" w:hAnsi="Times New Roman" w:cs="Times New Roman"/>
          <w:sz w:val="18"/>
          <w:szCs w:val="18"/>
          <w:lang w:bidi="zh-CN"/>
        </w:rPr>
        <w:t>P53</w:t>
      </w:r>
      <w:r>
        <w:rPr>
          <w:rFonts w:hint="eastAsia" w:ascii="Times New Roman" w:hAnsi="Times New Roman" w:cs="Times New Roman"/>
          <w:sz w:val="18"/>
          <w:szCs w:val="18"/>
          <w:lang w:bidi="zh-CN"/>
        </w:rPr>
        <w:t>突变的实体瘤患者的临床试验正在开展。</w:t>
      </w:r>
    </w:p>
    <w:p w14:paraId="6C44C2AE">
      <w:pPr>
        <w:adjustRightInd w:val="0"/>
        <w:snapToGrid w:val="0"/>
        <w:spacing w:line="300" w:lineRule="auto"/>
        <w:ind w:left="420"/>
        <w:jc w:val="both"/>
        <w:rPr>
          <w:rFonts w:ascii="Times New Roman" w:hAnsi="Times New Roman" w:cs="Times New Roman"/>
          <w:sz w:val="18"/>
          <w:szCs w:val="18"/>
          <w:lang w:bidi="zh-CN"/>
        </w:rPr>
      </w:pPr>
    </w:p>
    <w:p w14:paraId="24ED9176">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83840" behindDoc="1"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26" name="直线 64"/>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4" o:spid="_x0000_s1026" o:spt="20" style="position:absolute;left:0pt;margin-left:-2.55pt;margin-top:12.55pt;height:1.7pt;width:453.45pt;z-index:-251632640;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XbAL7u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UGT1A1                                                                          </w:t>
      </w:r>
    </w:p>
    <w:p w14:paraId="48F22645">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CB30D12">
      <w:pPr>
        <w:spacing w:line="300" w:lineRule="auto"/>
        <w:ind w:left="420"/>
        <w:rPr>
          <w:rFonts w:ascii="Times New Roman" w:hAnsi="Times New Roman" w:cs="Times New Roman"/>
          <w:sz w:val="18"/>
          <w:szCs w:val="18"/>
        </w:rPr>
      </w:pPr>
      <w:r>
        <w:rPr>
          <w:rFonts w:ascii="Times New Roman" w:hAnsi="Times New Roman" w:cs="Times New Roman"/>
          <w:sz w:val="18"/>
          <w:szCs w:val="18"/>
        </w:rPr>
        <w:t>UGT1A1基因编码一种UDP-葡萄糖醛酸基转移酶，参与类固醇、胆红素、激素和药物等葡萄苷酸化代谢过程。UGT1A1是药物代谢相关基因，基因变异导致其表达的多态性影响药物的代谢和耐受。UGT1A1基因突变可导致Crigler-Najjar综合征和Gilbert综合</w:t>
      </w:r>
      <w:r>
        <w:rPr>
          <w:rFonts w:hint="eastAsia" w:ascii="Times New Roman" w:hAnsi="Times New Roman" w:cs="Times New Roman"/>
          <w:sz w:val="18"/>
          <w:szCs w:val="18"/>
        </w:rPr>
        <w:t>征（</w:t>
      </w:r>
      <w:r>
        <w:rPr>
          <w:rFonts w:ascii="Times New Roman" w:hAnsi="Times New Roman" w:cs="Times New Roman"/>
          <w:sz w:val="18"/>
          <w:szCs w:val="18"/>
        </w:rPr>
        <w:t>先天性非溶血性黄疸</w:t>
      </w:r>
      <w:r>
        <w:rPr>
          <w:rFonts w:hint="eastAsia" w:ascii="Times New Roman" w:hAnsi="Times New Roman" w:cs="Times New Roman"/>
          <w:sz w:val="18"/>
          <w:szCs w:val="18"/>
        </w:rPr>
        <w:t>）</w:t>
      </w:r>
      <w:r>
        <w:rPr>
          <w:rFonts w:ascii="Times New Roman" w:hAnsi="Times New Roman" w:cs="Times New Roman"/>
          <w:sz w:val="18"/>
          <w:szCs w:val="18"/>
        </w:rPr>
        <w:t>的发生。</w:t>
      </w:r>
    </w:p>
    <w:p w14:paraId="4C092383">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5A4265E">
      <w:pPr>
        <w:spacing w:line="300" w:lineRule="auto"/>
        <w:ind w:left="420"/>
        <w:rPr>
          <w:rFonts w:ascii="Times New Roman" w:hAnsi="Times New Roman" w:cs="Times New Roman"/>
          <w:sz w:val="18"/>
          <w:szCs w:val="18"/>
        </w:rPr>
      </w:pPr>
      <w:r>
        <w:rPr>
          <w:rFonts w:ascii="Times New Roman" w:hAnsi="Times New Roman" w:cs="Times New Roman"/>
          <w:sz w:val="18"/>
          <w:szCs w:val="18"/>
        </w:rPr>
        <w:t>美国FDA要求在伊立替康药品标签上加入警示，建议患者在使用伊立替康前应检测是否带有UGT1A1*28突变。临床试验研究表明，UGT1A1基因的遗传多态性对减轻化疗药物的毒副作用有重要的临床意义。携带 (TA)6/(TA)6 基因型的结直肠癌患者，相比于(TA)7/(TA)7基因型，嗜中性白血球减少症和腹泻风险可能减小[PMID:</w:t>
      </w:r>
      <w:r>
        <w:rPr>
          <w:rFonts w:hint="eastAsia" w:ascii="Times New Roman" w:hAnsi="Times New Roman" w:cs="Times New Roman"/>
          <w:sz w:val="18"/>
          <w:szCs w:val="18"/>
        </w:rPr>
        <w:t xml:space="preserve"> </w:t>
      </w:r>
      <w:r>
        <w:rPr>
          <w:rFonts w:ascii="Times New Roman" w:hAnsi="Times New Roman" w:cs="Times New Roman"/>
          <w:sz w:val="18"/>
          <w:szCs w:val="18"/>
        </w:rPr>
        <w:t>24519753</w:t>
      </w:r>
      <w:r>
        <w:rPr>
          <w:rFonts w:hint="eastAsia" w:ascii="Times New Roman" w:hAnsi="Times New Roman" w:cs="Times New Roman"/>
          <w:sz w:val="18"/>
          <w:szCs w:val="18"/>
        </w:rPr>
        <w:t>;</w:t>
      </w:r>
      <w:r>
        <w:rPr>
          <w:rFonts w:ascii="Times New Roman" w:hAnsi="Times New Roman" w:cs="Times New Roman"/>
          <w:sz w:val="18"/>
          <w:szCs w:val="18"/>
        </w:rPr>
        <w:t xml:space="preserve"> PMID:18300238</w:t>
      </w:r>
      <w:r>
        <w:rPr>
          <w:rFonts w:hint="eastAsia" w:ascii="Times New Roman" w:hAnsi="Times New Roman" w:cs="Times New Roman"/>
          <w:sz w:val="18"/>
          <w:szCs w:val="18"/>
        </w:rPr>
        <w:t>;</w:t>
      </w:r>
      <w:r>
        <w:rPr>
          <w:rFonts w:ascii="Times New Roman" w:hAnsi="Times New Roman" w:cs="Times New Roman"/>
          <w:sz w:val="18"/>
          <w:szCs w:val="18"/>
        </w:rPr>
        <w:t xml:space="preserve"> PMID:</w:t>
      </w:r>
      <w:r>
        <w:rPr>
          <w:rFonts w:hint="eastAsia" w:ascii="Times New Roman" w:hAnsi="Times New Roman" w:cs="Times New Roman"/>
          <w:sz w:val="18"/>
          <w:szCs w:val="18"/>
        </w:rPr>
        <w:t xml:space="preserve"> </w:t>
      </w:r>
      <w:r>
        <w:rPr>
          <w:rFonts w:ascii="Times New Roman" w:hAnsi="Times New Roman" w:cs="Times New Roman"/>
          <w:sz w:val="18"/>
          <w:szCs w:val="18"/>
        </w:rPr>
        <w:t>26862009]。携带 (TA)6/(TA)6 基因型的肿瘤患者，相比于(TA)6/(TA)7 和 (TA)7/(TA)7 基因型，毒副反应风险可能减小（包括嗜中性白血球减少症、腹泻、乏力）。文献证据支持嗜中性白血球减少症的毒副风险较腹泻和乏力更强[PMID:</w:t>
      </w:r>
      <w:r>
        <w:rPr>
          <w:rFonts w:hint="eastAsia" w:ascii="Times New Roman" w:hAnsi="Times New Roman" w:cs="Times New Roman"/>
          <w:sz w:val="18"/>
          <w:szCs w:val="18"/>
        </w:rPr>
        <w:t xml:space="preserve"> </w:t>
      </w:r>
      <w:r>
        <w:rPr>
          <w:rFonts w:ascii="Times New Roman" w:hAnsi="Times New Roman" w:cs="Times New Roman"/>
          <w:sz w:val="18"/>
          <w:szCs w:val="18"/>
        </w:rPr>
        <w:t>24519753</w:t>
      </w:r>
      <w:r>
        <w:rPr>
          <w:rFonts w:hint="eastAsia" w:ascii="Times New Roman" w:hAnsi="Times New Roman" w:cs="Times New Roman"/>
          <w:sz w:val="18"/>
          <w:szCs w:val="18"/>
        </w:rPr>
        <w:t>;</w:t>
      </w:r>
      <w:r>
        <w:rPr>
          <w:rFonts w:ascii="Times New Roman" w:hAnsi="Times New Roman" w:cs="Times New Roman"/>
          <w:sz w:val="18"/>
          <w:szCs w:val="18"/>
        </w:rPr>
        <w:t xml:space="preserve"> PMID:</w:t>
      </w:r>
      <w:r>
        <w:rPr>
          <w:rFonts w:hint="eastAsia" w:ascii="Times New Roman" w:hAnsi="Times New Roman" w:cs="Times New Roman"/>
          <w:sz w:val="18"/>
          <w:szCs w:val="18"/>
        </w:rPr>
        <w:t xml:space="preserve"> </w:t>
      </w:r>
      <w:r>
        <w:rPr>
          <w:rFonts w:ascii="Times New Roman" w:hAnsi="Times New Roman" w:cs="Times New Roman"/>
          <w:sz w:val="18"/>
          <w:szCs w:val="18"/>
        </w:rPr>
        <w:t>23529007</w:t>
      </w:r>
      <w:r>
        <w:rPr>
          <w:rFonts w:hint="eastAsia" w:ascii="Times New Roman" w:hAnsi="Times New Roman" w:cs="Times New Roman"/>
          <w:sz w:val="18"/>
          <w:szCs w:val="18"/>
        </w:rPr>
        <w:t>;</w:t>
      </w:r>
      <w:r>
        <w:rPr>
          <w:rFonts w:ascii="Times New Roman" w:hAnsi="Times New Roman" w:cs="Times New Roman"/>
          <w:sz w:val="18"/>
          <w:szCs w:val="18"/>
        </w:rPr>
        <w:t xml:space="preserve"> PMID:</w:t>
      </w:r>
      <w:r>
        <w:rPr>
          <w:rFonts w:hint="eastAsia" w:ascii="Times New Roman" w:hAnsi="Times New Roman" w:cs="Times New Roman"/>
          <w:sz w:val="18"/>
          <w:szCs w:val="18"/>
        </w:rPr>
        <w:t xml:space="preserve"> </w:t>
      </w:r>
      <w:r>
        <w:rPr>
          <w:rFonts w:ascii="Times New Roman" w:hAnsi="Times New Roman" w:cs="Times New Roman"/>
          <w:sz w:val="18"/>
          <w:szCs w:val="18"/>
        </w:rPr>
        <w:t>26862009]。</w:t>
      </w:r>
      <w:r>
        <w:rPr>
          <w:rFonts w:hint="eastAsia" w:ascii="Times New Roman" w:hAnsi="Times New Roman" w:cs="Times New Roman"/>
          <w:sz w:val="18"/>
          <w:szCs w:val="18"/>
        </w:rPr>
        <w:t>另外发现，</w:t>
      </w:r>
      <w:r>
        <w:rPr>
          <w:rFonts w:ascii="Times New Roman" w:hAnsi="Times New Roman" w:cs="Times New Roman"/>
          <w:sz w:val="18"/>
          <w:szCs w:val="18"/>
        </w:rPr>
        <w:t>UGT1A1的遗传多态性与血浆阿昔替尼水平显著相关，血浆阿昔替尼水平与转移性肾细胞癌（mRCC）患者的不良反应（AE）和总生存期（OS）显著相关[PMID: 29524031]。</w:t>
      </w:r>
    </w:p>
    <w:p w14:paraId="5560AC74">
      <w:pPr>
        <w:adjustRightInd w:val="0"/>
        <w:snapToGrid w:val="0"/>
        <w:spacing w:line="300" w:lineRule="auto"/>
        <w:jc w:val="both"/>
        <w:rPr>
          <w:rFonts w:ascii="Times New Roman" w:hAnsi="Times New Roman" w:cs="Times New Roman"/>
          <w:sz w:val="18"/>
          <w:szCs w:val="18"/>
          <w:lang w:bidi="zh-CN"/>
        </w:rPr>
      </w:pPr>
    </w:p>
    <w:p w14:paraId="78C4C2D7">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97152"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39" name="直线 65"/>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5" o:spid="_x0000_s1026" o:spt="20" style="position:absolute;left:0pt;margin-left:-2.55pt;margin-top:12.55pt;height:1.7pt;width:453.45pt;z-index:251697152;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t&#10;Zrnj1wAAAAgBAAAPAAAAAAAAAAEAIAAAACIAAABkcnMvZG93bnJldi54bWxQSwECFAAUAAAACACH&#10;TuJAdkn0Gu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cs="Times New Roman"/>
          <w:b/>
        </w:rPr>
        <w:t xml:space="preserve">FBXW7                                                                          </w:t>
      </w:r>
    </w:p>
    <w:p w14:paraId="2F73B71B">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05444A2C">
      <w:pPr>
        <w:spacing w:line="300" w:lineRule="auto"/>
        <w:ind w:left="420"/>
        <w:rPr>
          <w:rFonts w:ascii="Times New Roman" w:hAnsi="Times New Roman" w:cs="Times New Roman"/>
          <w:sz w:val="18"/>
          <w:szCs w:val="18"/>
        </w:rPr>
      </w:pPr>
      <w:r>
        <w:rPr>
          <w:rFonts w:ascii="Times New Roman" w:hAnsi="Times New Roman" w:cs="Times New Roman"/>
          <w:sz w:val="18"/>
          <w:szCs w:val="18"/>
        </w:rPr>
        <w:t>FBXW7编码的蛋白属于F框蛋白家族，F框蛋白的特点是有一个约40个氨基酸的基序，就是F框。F框蛋白构成了泛素连接酶的四个亚基之一，在依赖泛素的磷酸化中发挥作用。F框蛋白分为3个区域：FBWS包含WD40区域，FBLS包含多亮氨酸重复，FBXS包含不同的蛋白相互作用模块和可识别的基序。FBXW7基因编码F-box蛋白亚基，参与SCF（Skp1-Cul1-F-box 蛋白）型泛素连接酶复合物的底物识别。在识别底物后，该复合物会修饰底物，使其成为蛋白质降解的目标。FBXW7的底物包括蛋白质c-MYC、mTOR [PMID: 18787170]、NOTCH1、细胞周期蛋白-E 和 JUN，它们有助于调节细胞分裂、分化和生长，并且通常在癌症中被不适当地激活。由于大多数 FBXW7 底物是被SCF复合物处理降解的原癌基因，因此FBXW7起到肿瘤抑制因子的作用。通过突变或拷贝</w:t>
      </w:r>
      <w:r>
        <w:rPr>
          <w:rFonts w:hint="eastAsia" w:ascii="Times New Roman" w:hAnsi="Times New Roman" w:cs="Times New Roman"/>
          <w:sz w:val="18"/>
          <w:szCs w:val="18"/>
        </w:rPr>
        <w:t>数丢失使</w:t>
      </w:r>
      <w:r>
        <w:rPr>
          <w:rFonts w:ascii="Times New Roman" w:hAnsi="Times New Roman" w:cs="Times New Roman"/>
          <w:sz w:val="18"/>
          <w:szCs w:val="18"/>
        </w:rPr>
        <w:t xml:space="preserve"> FBXW7失活会导致癌蛋白的异常积累，进而导致恶性转化[PMID: 27399335]。FBXW7的交替剪接产生三种不同的蛋白质亚型（α、β、γ），每种都具有不同的定位</w:t>
      </w:r>
      <w:r>
        <w:rPr>
          <w:rFonts w:hint="eastAsia" w:ascii="Times New Roman" w:hAnsi="Times New Roman" w:cs="Times New Roman"/>
          <w:sz w:val="18"/>
          <w:szCs w:val="18"/>
        </w:rPr>
        <w:t>[</w:t>
      </w:r>
      <w:r>
        <w:rPr>
          <w:rFonts w:ascii="Times New Roman" w:hAnsi="Times New Roman" w:cs="Times New Roman"/>
          <w:sz w:val="18"/>
          <w:szCs w:val="18"/>
        </w:rPr>
        <w:t>PMID</w:t>
      </w:r>
      <w:r>
        <w:rPr>
          <w:rFonts w:hint="eastAsia" w:ascii="Times New Roman" w:hAnsi="Times New Roman" w:cs="Times New Roman"/>
          <w:sz w:val="18"/>
          <w:szCs w:val="18"/>
        </w:rPr>
        <w:t>:</w:t>
      </w:r>
      <w:r>
        <w:rPr>
          <w:rFonts w:ascii="Times New Roman" w:hAnsi="Times New Roman" w:cs="Times New Roman"/>
          <w:sz w:val="18"/>
          <w:szCs w:val="18"/>
        </w:rPr>
        <w:t xml:space="preserve"> 22673505</w:t>
      </w:r>
      <w:r>
        <w:rPr>
          <w:rFonts w:hint="eastAsia" w:ascii="Times New Roman" w:hAnsi="Times New Roman" w:cs="Times New Roman"/>
          <w:sz w:val="18"/>
          <w:szCs w:val="18"/>
        </w:rPr>
        <w:t>]</w:t>
      </w:r>
      <w:r>
        <w:rPr>
          <w:rFonts w:ascii="Times New Roman" w:hAnsi="Times New Roman" w:cs="Times New Roman"/>
          <w:sz w:val="18"/>
          <w:szCs w:val="18"/>
        </w:rPr>
        <w:t>。FBXW7中的突变会对同种型特异性功能、亚基二聚化、蛋白质定位、SCF组装或底物识别产生负面影响。FBXW7中的大多数突变是破坏底物结合的点突变，而&lt;10% 是小的缺失或插入</w:t>
      </w:r>
      <w:r>
        <w:rPr>
          <w:rFonts w:hint="eastAsia" w:ascii="Times New Roman" w:hAnsi="Times New Roman" w:cs="Times New Roman"/>
          <w:sz w:val="18"/>
          <w:szCs w:val="18"/>
        </w:rPr>
        <w:t>[</w:t>
      </w:r>
      <w:r>
        <w:rPr>
          <w:rFonts w:ascii="Times New Roman" w:hAnsi="Times New Roman" w:cs="Times New Roman"/>
          <w:sz w:val="18"/>
          <w:szCs w:val="18"/>
        </w:rPr>
        <w:t>PMID</w:t>
      </w:r>
      <w:r>
        <w:rPr>
          <w:rFonts w:hint="eastAsia" w:ascii="Times New Roman" w:hAnsi="Times New Roman" w:cs="Times New Roman"/>
          <w:sz w:val="18"/>
          <w:szCs w:val="18"/>
        </w:rPr>
        <w:t>:</w:t>
      </w:r>
      <w:r>
        <w:rPr>
          <w:rFonts w:ascii="Times New Roman" w:hAnsi="Times New Roman" w:cs="Times New Roman"/>
          <w:sz w:val="18"/>
          <w:szCs w:val="18"/>
        </w:rPr>
        <w:t xml:space="preserve"> 17909001</w:t>
      </w:r>
      <w:r>
        <w:rPr>
          <w:rFonts w:hint="eastAsia" w:ascii="Times New Roman" w:hAnsi="Times New Roman" w:cs="Times New Roman"/>
          <w:sz w:val="18"/>
          <w:szCs w:val="18"/>
        </w:rPr>
        <w:t>]</w:t>
      </w:r>
      <w:r>
        <w:rPr>
          <w:rFonts w:ascii="Times New Roman" w:hAnsi="Times New Roman" w:cs="Times New Roman"/>
          <w:sz w:val="18"/>
          <w:szCs w:val="18"/>
        </w:rPr>
        <w:t>。与FBXW7相关的疾病包括结直肠癌、非小细胞肺癌、乳腺癌等。</w:t>
      </w:r>
    </w:p>
    <w:p w14:paraId="27DE38C7">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334E604">
      <w:pPr>
        <w:spacing w:line="300" w:lineRule="auto"/>
        <w:ind w:left="420"/>
        <w:rPr>
          <w:rFonts w:ascii="Times New Roman" w:hAnsi="Times New Roman" w:cs="Times New Roman"/>
          <w:sz w:val="18"/>
          <w:szCs w:val="18"/>
        </w:rPr>
      </w:pPr>
      <w:r>
        <w:rPr>
          <w:rFonts w:hint="eastAsia" w:ascii="Times New Roman" w:hAnsi="Times New Roman" w:cs="Times New Roman"/>
          <w:sz w:val="18"/>
          <w:szCs w:val="18"/>
        </w:rPr>
        <w:t>在一项</w:t>
      </w:r>
      <w:r>
        <w:rPr>
          <w:rFonts w:ascii="Times New Roman" w:hAnsi="Times New Roman" w:cs="Times New Roman"/>
          <w:sz w:val="18"/>
          <w:szCs w:val="18"/>
        </w:rPr>
        <w:t>I期临床试验中，418例患者接受FBXW7检测，17例携带FBXW7突变。其中10例患者接受mTOR抑制剂（包括替西罗莫司，西罗莫司，依维莫司）的治疗，无部分或完全缓解，7例（70%）患者以疾病稳定（SD）为最佳响应，其中2例（20%）患者SD持续时间超过16周[PMID: 24586741]。</w:t>
      </w:r>
      <w:r>
        <w:rPr>
          <w:rFonts w:hint="eastAsia" w:ascii="Times New Roman" w:hAnsi="Times New Roman" w:cs="Times New Roman"/>
          <w:sz w:val="18"/>
          <w:szCs w:val="18"/>
        </w:rPr>
        <w:t>在一项案例研究中，携带</w:t>
      </w:r>
      <w:r>
        <w:rPr>
          <w:rFonts w:ascii="Times New Roman" w:hAnsi="Times New Roman" w:cs="Times New Roman"/>
          <w:sz w:val="18"/>
          <w:szCs w:val="18"/>
        </w:rPr>
        <w:t>FBXW7失活突变（例如R465H）的肺腺癌患者在已经接受多线系统治疗后，使用替西罗莫司治疗发现临床与影像学获益[PMID: 24360397]。</w:t>
      </w:r>
      <w:r>
        <w:rPr>
          <w:rFonts w:hint="eastAsia" w:ascii="Times New Roman" w:hAnsi="Times New Roman" w:cs="Times New Roman"/>
          <w:sz w:val="18"/>
          <w:szCs w:val="18"/>
        </w:rPr>
        <w:t>有个案报道</w:t>
      </w:r>
      <w:r>
        <w:rPr>
          <w:rFonts w:ascii="Times New Roman" w:hAnsi="Times New Roman" w:cs="Times New Roman"/>
          <w:sz w:val="18"/>
          <w:szCs w:val="18"/>
        </w:rPr>
        <w:t>FBXW7突变而EGFR和ALK阴性的肺癌患者对mTOR抑制剂敏感[PMID: 24360397]。</w:t>
      </w:r>
      <w:r>
        <w:rPr>
          <w:rFonts w:hint="eastAsia" w:ascii="Times New Roman" w:hAnsi="Times New Roman" w:cs="Times New Roman"/>
          <w:sz w:val="18"/>
          <w:szCs w:val="18"/>
        </w:rPr>
        <w:t>研究发现，</w:t>
      </w:r>
      <w:r>
        <w:rPr>
          <w:rFonts w:ascii="Times New Roman" w:hAnsi="Times New Roman" w:cs="Times New Roman"/>
          <w:sz w:val="18"/>
          <w:szCs w:val="18"/>
        </w:rPr>
        <w:t>FBXW7的缺失发生在30.9%的肺腺癌和63.5%的肺鳞癌中，FBXW7敲除显著促进非小细胞肺癌细胞的上皮-间质转化、迁移和侵袭。体外实验中，沉默FBXW7后，EGFR-TKI敏感细胞对吉非替尼产生了耐药性，这种耐药性被雷帕霉素逆转[PMID: 29633504]。临床前研究表明，沉默FBXW7的非小细胞肺癌细胞系显示增强的Entinostat敏感性和紫杉醇抗性。FBXW7介导非小细胞肺癌的化疗敏感性和预后[PMID: 24165483]。</w:t>
      </w:r>
      <w:r>
        <w:rPr>
          <w:rFonts w:hint="eastAsia" w:ascii="Times New Roman" w:hAnsi="Times New Roman" w:cs="Times New Roman"/>
          <w:sz w:val="18"/>
          <w:szCs w:val="18"/>
        </w:rPr>
        <w:t>目前替西罗莫司用于F</w:t>
      </w:r>
      <w:r>
        <w:rPr>
          <w:rFonts w:ascii="Times New Roman" w:hAnsi="Times New Roman" w:cs="Times New Roman"/>
          <w:sz w:val="18"/>
          <w:szCs w:val="18"/>
        </w:rPr>
        <w:t>BXW7</w:t>
      </w:r>
      <w:r>
        <w:rPr>
          <w:rFonts w:hint="eastAsia" w:ascii="Times New Roman" w:hAnsi="Times New Roman" w:cs="Times New Roman"/>
          <w:sz w:val="18"/>
          <w:szCs w:val="18"/>
        </w:rPr>
        <w:t>突变的实体瘤的临床试验正在开展。</w:t>
      </w:r>
    </w:p>
    <w:p w14:paraId="6F68D203">
      <w:pPr>
        <w:adjustRightInd w:val="0"/>
        <w:snapToGrid w:val="0"/>
        <w:spacing w:line="300" w:lineRule="auto"/>
        <w:ind w:left="420"/>
        <w:jc w:val="both"/>
        <w:rPr>
          <w:rFonts w:ascii="Times New Roman" w:hAnsi="Times New Roman" w:cs="Times New Roman"/>
          <w:sz w:val="18"/>
          <w:szCs w:val="18"/>
          <w:lang w:bidi="zh-CN"/>
        </w:rPr>
      </w:pPr>
    </w:p>
    <w:p w14:paraId="234D9D86">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711488" behindDoc="0"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60" name="直线 66"/>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6" o:spid="_x0000_s1026" o:spt="20" style="position:absolute;left:0pt;margin-left:-2.55pt;margin-top:12.55pt;height:1.7pt;width:453.45pt;z-index:251711488;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1m&#10;uePXAAAACAEAAA8AAAAAAAAAAQAgAAAAIgAAAGRycy9kb3ducmV2LnhtbFBLAQIUABQAAAAIAIdO&#10;4kBA9/wf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NOTCH1                                                                          </w:t>
      </w:r>
    </w:p>
    <w:p w14:paraId="73A0EED3">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7FF709FD">
      <w:pPr>
        <w:spacing w:line="300" w:lineRule="auto"/>
        <w:ind w:left="420"/>
        <w:rPr>
          <w:rFonts w:ascii="Times New Roman" w:hAnsi="Times New Roman" w:cs="Times New Roman"/>
          <w:sz w:val="18"/>
          <w:szCs w:val="18"/>
        </w:rPr>
      </w:pPr>
      <w:r>
        <w:rPr>
          <w:rFonts w:ascii="Times New Roman" w:hAnsi="Times New Roman" w:cs="Times New Roman"/>
          <w:sz w:val="18"/>
          <w:szCs w:val="18"/>
        </w:rPr>
        <w:t>NOTCH1编码的蛋白属于NOTCH家族成员。该蛋白作为受体行使功能，在发育过程中发挥多种作用。细胞水平的研究表明，该基因既可以作为癌基因又可以作为抑癌基因发挥功能。NOTCH1是一种跨膜受体，参与进化上保守的细胞间信号转导通路[PMID: 24651013]。NOTCH1受体与相邻细胞上的配体分子的相互作用导致NOTCH1被γ分泌酶蛋白水解切割 [PMID: 24651013]。然后，裂解的细胞内NOTCH1结构域可以激活细胞核中的基因表达并调节细胞分化、生长、增殖、存活和代谢的各个方面[PMID: 27507209]。NOTCH1信号的具体影响因蜂窝环境而异[PMID: 24651013</w:t>
      </w:r>
      <w:r>
        <w:rPr>
          <w:rFonts w:hint="eastAsia" w:ascii="Times New Roman" w:hAnsi="Times New Roman" w:cs="Times New Roman"/>
          <w:sz w:val="18"/>
          <w:szCs w:val="18"/>
        </w:rPr>
        <w:t>]</w:t>
      </w:r>
      <w:r>
        <w:rPr>
          <w:rFonts w:ascii="Times New Roman" w:hAnsi="Times New Roman" w:cs="Times New Roman"/>
          <w:sz w:val="18"/>
          <w:szCs w:val="18"/>
        </w:rPr>
        <w:t>。NOTCH家族成员经常在各种癌症中</w:t>
      </w:r>
      <w:r>
        <w:rPr>
          <w:rFonts w:hint="eastAsia" w:ascii="Times New Roman" w:hAnsi="Times New Roman" w:cs="Times New Roman"/>
          <w:sz w:val="18"/>
          <w:szCs w:val="18"/>
        </w:rPr>
        <w:t>发生突变，这些突变可以是功能获得或功能丧失突变</w:t>
      </w:r>
      <w:r>
        <w:rPr>
          <w:rFonts w:ascii="Times New Roman" w:hAnsi="Times New Roman" w:cs="Times New Roman"/>
          <w:sz w:val="18"/>
          <w:szCs w:val="18"/>
        </w:rPr>
        <w:t>[PMID: 21948802]。已在T细胞急性淋巴细胞白血病 (T-ALL)、慢性淋巴细胞白血病和腺样囊性癌[PMID: 27870570]中发现了NOTCH1的易位和激活突变。这些NOTCH1激活突变要么增强了γ-分泌酶对NOTCH1的切割，要么延长了细胞内NOTCH1的半衰期</w:t>
      </w:r>
      <w:r>
        <w:rPr>
          <w:rFonts w:hint="eastAsia" w:ascii="Times New Roman" w:hAnsi="Times New Roman" w:cs="Times New Roman"/>
          <w:sz w:val="18"/>
          <w:szCs w:val="18"/>
        </w:rPr>
        <w:t>[</w:t>
      </w:r>
      <w:r>
        <w:rPr>
          <w:rFonts w:ascii="Times New Roman" w:hAnsi="Times New Roman" w:cs="Times New Roman"/>
          <w:sz w:val="18"/>
          <w:szCs w:val="18"/>
        </w:rPr>
        <w:t>PMID: 15472075]。NOTCH1功能缺失突变在实体瘤中最常见，即鳞状细胞癌，并且在重要的NOTCH1功能域中以错义、移码或</w:t>
      </w:r>
      <w:r>
        <w:rPr>
          <w:rFonts w:hint="eastAsia" w:ascii="Times New Roman" w:hAnsi="Times New Roman" w:cs="Times New Roman"/>
          <w:sz w:val="18"/>
          <w:szCs w:val="18"/>
        </w:rPr>
        <w:t>无义突变的形式出现</w:t>
      </w:r>
      <w:r>
        <w:rPr>
          <w:rFonts w:ascii="Times New Roman" w:hAnsi="Times New Roman" w:cs="Times New Roman"/>
          <w:sz w:val="18"/>
          <w:szCs w:val="18"/>
        </w:rPr>
        <w:t>[PMID</w:t>
      </w:r>
      <w:r>
        <w:rPr>
          <w:rFonts w:hint="eastAsia" w:ascii="Times New Roman" w:hAnsi="Times New Roman" w:cs="Times New Roman"/>
          <w:sz w:val="18"/>
          <w:szCs w:val="18"/>
        </w:rPr>
        <w:t>:</w:t>
      </w:r>
      <w:r>
        <w:rPr>
          <w:rFonts w:ascii="Times New Roman" w:hAnsi="Times New Roman" w:cs="Times New Roman"/>
          <w:sz w:val="18"/>
          <w:szCs w:val="18"/>
        </w:rPr>
        <w:t xml:space="preserve"> 30087145</w:t>
      </w:r>
      <w:r>
        <w:rPr>
          <w:rFonts w:hint="eastAsia" w:ascii="Times New Roman" w:hAnsi="Times New Roman" w:cs="Times New Roman"/>
          <w:sz w:val="18"/>
          <w:szCs w:val="18"/>
        </w:rPr>
        <w:t>]</w:t>
      </w:r>
      <w:r>
        <w:rPr>
          <w:rFonts w:ascii="Times New Roman" w:hAnsi="Times New Roman" w:cs="Times New Roman"/>
          <w:sz w:val="18"/>
          <w:szCs w:val="18"/>
        </w:rPr>
        <w:t>。靶向γ-分泌酶的抑制剂目前正在进行临床试验，可能对激活NOTCH1突变的患者具有活性[PMID: 28539479]。</w:t>
      </w:r>
    </w:p>
    <w:p w14:paraId="43471A22">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19C2617F">
      <w:pPr>
        <w:spacing w:line="300" w:lineRule="auto"/>
        <w:ind w:left="420"/>
        <w:rPr>
          <w:rFonts w:ascii="Times New Roman" w:hAnsi="Times New Roman" w:cs="Times New Roman"/>
          <w:sz w:val="18"/>
          <w:szCs w:val="18"/>
        </w:rPr>
      </w:pPr>
      <w:r>
        <w:rPr>
          <w:rFonts w:hint="eastAsia" w:ascii="Times New Roman" w:hAnsi="Times New Roman" w:cs="Times New Roman"/>
          <w:sz w:val="18"/>
          <w:szCs w:val="18"/>
        </w:rPr>
        <w:t>在临床前研究中，γ分泌酶抑制剂</w:t>
      </w:r>
      <w:r>
        <w:rPr>
          <w:rFonts w:ascii="Times New Roman" w:hAnsi="Times New Roman" w:cs="Times New Roman"/>
          <w:sz w:val="18"/>
          <w:szCs w:val="18"/>
        </w:rPr>
        <w:t>Nirogacestat能够减少Notch1裂解，减弱Notch活性，并促进Notch活性增加的结直肠癌细胞凋亡[PMID: 23868008]。</w:t>
      </w:r>
      <w:r>
        <w:rPr>
          <w:rFonts w:hint="eastAsia" w:ascii="Times New Roman" w:hAnsi="Times New Roman" w:cs="Times New Roman"/>
          <w:sz w:val="18"/>
          <w:szCs w:val="18"/>
        </w:rPr>
        <w:t>临床前试验研究表明</w:t>
      </w:r>
      <w:r>
        <w:rPr>
          <w:rFonts w:ascii="Times New Roman" w:hAnsi="Times New Roman" w:cs="Times New Roman"/>
          <w:sz w:val="18"/>
          <w:szCs w:val="18"/>
        </w:rPr>
        <w:t>NOTCH1的失活突变被证实对LGK974敏感[PMID: 24277854]。</w:t>
      </w:r>
      <w:r>
        <w:rPr>
          <w:rFonts w:hint="eastAsia" w:ascii="Times New Roman" w:hAnsi="Times New Roman" w:cs="Times New Roman"/>
          <w:sz w:val="18"/>
          <w:szCs w:val="18"/>
        </w:rPr>
        <w:t>有研究表明，</w:t>
      </w:r>
      <w:r>
        <w:rPr>
          <w:rFonts w:ascii="Times New Roman" w:hAnsi="Times New Roman" w:cs="Times New Roman"/>
          <w:sz w:val="18"/>
          <w:szCs w:val="18"/>
        </w:rPr>
        <w:t>Notch信号成分与肺腺癌的预后相关，可作为潜在的肺腺癌预后的指示标志[PMID: 27196489]。</w:t>
      </w:r>
      <w:r>
        <w:rPr>
          <w:rFonts w:hint="eastAsia" w:ascii="Times New Roman" w:hAnsi="Times New Roman" w:cs="Times New Roman"/>
          <w:sz w:val="18"/>
          <w:szCs w:val="18"/>
        </w:rPr>
        <w:t>有研究表明，在小细胞肺癌中，</w:t>
      </w:r>
      <w:r>
        <w:rPr>
          <w:rFonts w:ascii="Times New Roman" w:hAnsi="Times New Roman" w:cs="Times New Roman"/>
          <w:sz w:val="18"/>
          <w:szCs w:val="18"/>
        </w:rPr>
        <w:t>NOTCH1高表达与预后良好相关[PMID: 28060745]。</w:t>
      </w:r>
      <w:r>
        <w:rPr>
          <w:rFonts w:hint="eastAsia" w:ascii="Times New Roman" w:hAnsi="Times New Roman" w:cs="Times New Roman"/>
          <w:sz w:val="18"/>
          <w:szCs w:val="18"/>
        </w:rPr>
        <w:t>高表达</w:t>
      </w:r>
      <w:r>
        <w:rPr>
          <w:rFonts w:ascii="Times New Roman" w:hAnsi="Times New Roman" w:cs="Times New Roman"/>
          <w:sz w:val="18"/>
          <w:szCs w:val="18"/>
        </w:rPr>
        <w:t>Notch1的结直肠癌患者的总生存率（OS）和无病生存率（DFS）均低于低表达Notch1的患者[PMID: 24312514]。结直肠癌中，分级、淋巴血管侵犯、淋巴细胞浸润程度、瘤周出芽、淋巴结比率、淋巴结转移和Notch1表达之间存在高度相关性（p&lt;0.001）。在AJCC分期和Notch1表达之间存在高度相关性（p&lt;0.001）[PMID: 30136202]。</w:t>
      </w:r>
    </w:p>
    <w:p w14:paraId="51230221">
      <w:pPr>
        <w:adjustRightInd w:val="0"/>
        <w:snapToGrid w:val="0"/>
        <w:spacing w:line="300" w:lineRule="auto"/>
        <w:ind w:left="420"/>
        <w:jc w:val="both"/>
        <w:rPr>
          <w:rFonts w:ascii="Times New Roman" w:hAnsi="Times New Roman" w:cs="Times New Roman"/>
          <w:sz w:val="18"/>
          <w:szCs w:val="18"/>
          <w:lang w:bidi="zh-CN"/>
        </w:rPr>
      </w:pPr>
    </w:p>
    <w:p w14:paraId="47158048">
      <w:pPr>
        <w:spacing w:line="360" w:lineRule="auto"/>
        <w:rPr>
          <w:rFonts w:ascii="Times New Roman" w:hAnsi="Times New Roman" w:cs="Times New Roman"/>
          <w:b/>
        </w:rPr>
      </w:pPr>
      <w:r>
        <w:rPr>
          <w:rFonts w:ascii="Times New Roman" w:hAnsi="Times New Roman" w:cs="Times New Roman"/>
        </w:rPr>
        <mc:AlternateContent>
          <mc:Choice Requires="wps">
            <w:drawing>
              <wp:anchor distT="0" distB="0" distL="114300" distR="114300" simplePos="0" relativeHeight="251670528" behindDoc="1" locked="0" layoutInCell="1" allowOverlap="1">
                <wp:simplePos x="0" y="0"/>
                <wp:positionH relativeFrom="column">
                  <wp:posOffset>-32385</wp:posOffset>
                </wp:positionH>
                <wp:positionV relativeFrom="paragraph">
                  <wp:posOffset>159385</wp:posOffset>
                </wp:positionV>
                <wp:extent cx="5758815" cy="21590"/>
                <wp:effectExtent l="0" t="9525" r="3810" b="16510"/>
                <wp:wrapNone/>
                <wp:docPr id="11" name="直线 67"/>
                <wp:cNvGraphicFramePr/>
                <a:graphic xmlns:a="http://schemas.openxmlformats.org/drawingml/2006/main">
                  <a:graphicData uri="http://schemas.microsoft.com/office/word/2010/wordprocessingShape">
                    <wps:wsp>
                      <wps:cNvCnPr/>
                      <wps:spPr>
                        <a:xfrm>
                          <a:off x="0" y="0"/>
                          <a:ext cx="575881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7" o:spid="_x0000_s1026" o:spt="20" style="position:absolute;left:0pt;margin-left:-2.55pt;margin-top:12.55pt;height:1.7pt;width:453.45pt;z-index:-251645952;mso-width-relative:page;mso-height-relative:page;" filled="f" stroked="t" coordsize="21600,21600" o:gfxdata="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1m&#10;uePXAAAACAEAAA8AAAAAAAAAAQAgAAAAIgAAAGRycy9kb3ducmV2LnhtbFBLAQIUABQAAAAIAIdO&#10;4kAnuLxQ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cs="Times New Roman"/>
          <w:b/>
        </w:rPr>
        <w:t xml:space="preserve">SMAD4                                                                          </w:t>
      </w:r>
    </w:p>
    <w:p w14:paraId="1EE73143">
      <w:pPr>
        <w:spacing w:line="300" w:lineRule="auto"/>
        <w:ind w:left="420"/>
        <w:rPr>
          <w:rFonts w:ascii="Times New Roman" w:hAnsi="Times New Roman" w:cs="Times New Roman"/>
          <w:b/>
          <w:szCs w:val="18"/>
        </w:rPr>
      </w:pPr>
      <w:r>
        <w:rPr>
          <w:rFonts w:ascii="Times New Roman" w:hAnsi="Times New Roman" w:cs="Times New Roman"/>
          <w:b/>
          <w:szCs w:val="18"/>
        </w:rPr>
        <w:t>基因说明：</w:t>
      </w:r>
    </w:p>
    <w:p w14:paraId="2659886B">
      <w:pPr>
        <w:spacing w:line="300" w:lineRule="auto"/>
        <w:ind w:left="420"/>
        <w:rPr>
          <w:rFonts w:ascii="Times New Roman" w:hAnsi="Times New Roman" w:cs="Times New Roman"/>
          <w:sz w:val="18"/>
          <w:szCs w:val="18"/>
        </w:rPr>
      </w:pPr>
      <w:r>
        <w:rPr>
          <w:rFonts w:ascii="Times New Roman" w:hAnsi="Times New Roman" w:cs="Times New Roman"/>
          <w:sz w:val="18"/>
          <w:szCs w:val="18"/>
        </w:rPr>
        <w:t>SMAD4是SMADs家族成员之一，是转导TGF信号的重要胞浆内信号级联分子，它与活化的受体激活型SMAD分子形成复合物，移位到细胞核，与其他转录因子协同作用，调节TGF应答基因的转录。SMAD4在肿瘤形成之初起到抑癌作用，而在肿瘤晚期浸润及转移过程中则起促进作用。SMAD4是一种转录因子，在转化生长因子β (TGFß)信号通路中起关键效应器的作用。TGFß信号控制多种生物过程，包括细胞增殖、分化和组织稳态[PMID: 11057902]。SMAD受体调节的信号分子（例如SMAD2和SMAD3）在与TGFß细胞因子超家族（例如TGFß1、TGFß2、TGFß3、激活素和节点）结合后被膜受体丝氨酸激酶激活</w:t>
      </w:r>
      <w:r>
        <w:rPr>
          <w:rFonts w:hint="eastAsia" w:ascii="Times New Roman" w:hAnsi="Times New Roman" w:cs="Times New Roman"/>
          <w:sz w:val="18"/>
          <w:szCs w:val="18"/>
        </w:rPr>
        <w:t>[</w:t>
      </w:r>
      <w:r>
        <w:rPr>
          <w:rFonts w:ascii="Times New Roman" w:hAnsi="Times New Roman" w:cs="Times New Roman"/>
          <w:sz w:val="18"/>
          <w:szCs w:val="18"/>
        </w:rPr>
        <w:t>PMID</w:t>
      </w:r>
      <w:r>
        <w:rPr>
          <w:rFonts w:hint="eastAsia" w:ascii="Times New Roman" w:hAnsi="Times New Roman" w:cs="Times New Roman"/>
          <w:sz w:val="18"/>
          <w:szCs w:val="18"/>
        </w:rPr>
        <w:t>:</w:t>
      </w:r>
      <w:r>
        <w:rPr>
          <w:rFonts w:ascii="Times New Roman" w:hAnsi="Times New Roman" w:cs="Times New Roman"/>
          <w:sz w:val="18"/>
          <w:szCs w:val="18"/>
        </w:rPr>
        <w:t xml:space="preserve"> 9759503</w:t>
      </w:r>
      <w:r>
        <w:rPr>
          <w:rFonts w:hint="eastAsia" w:ascii="Times New Roman" w:hAnsi="Times New Roman" w:cs="Times New Roman"/>
          <w:sz w:val="18"/>
          <w:szCs w:val="18"/>
        </w:rPr>
        <w:t>]</w:t>
      </w:r>
      <w:r>
        <w:rPr>
          <w:rFonts w:ascii="Times New Roman" w:hAnsi="Times New Roman" w:cs="Times New Roman"/>
          <w:sz w:val="18"/>
          <w:szCs w:val="18"/>
        </w:rPr>
        <w:t>。在TGFß受体二聚化和激活后，两种磷酸化受体调节的SMAD蛋白与SMAD4形成三聚体复合物，以允</w:t>
      </w:r>
      <w:r>
        <w:rPr>
          <w:rFonts w:hint="eastAsia" w:ascii="Times New Roman" w:hAnsi="Times New Roman" w:cs="Times New Roman"/>
          <w:sz w:val="18"/>
          <w:szCs w:val="18"/>
        </w:rPr>
        <w:t>许与</w:t>
      </w:r>
      <w:r>
        <w:rPr>
          <w:rFonts w:ascii="Times New Roman" w:hAnsi="Times New Roman" w:cs="Times New Roman"/>
          <w:sz w:val="18"/>
          <w:szCs w:val="18"/>
        </w:rPr>
        <w:t>DNA结合 [PMID: 9759503</w:t>
      </w:r>
      <w:r>
        <w:rPr>
          <w:rFonts w:hint="eastAsia" w:ascii="Times New Roman" w:hAnsi="Times New Roman" w:cs="Times New Roman"/>
          <w:sz w:val="18"/>
          <w:szCs w:val="18"/>
        </w:rPr>
        <w:t>]</w:t>
      </w:r>
      <w:r>
        <w:rPr>
          <w:rFonts w:ascii="Times New Roman" w:hAnsi="Times New Roman" w:cs="Times New Roman"/>
          <w:sz w:val="18"/>
          <w:szCs w:val="18"/>
        </w:rPr>
        <w:t>。SMAD三聚体复合物可以转移到细胞核并以细胞类型依赖的方式调节TGFß介导的基因转录，部分原因是转录共激活因子的可用性和染色质可及性[PMID: 9759503]。TGFß依赖性转录的性质允许TGFß途径抑制癌前状态的肿瘤发生并促进癌症进展过程中的侵袭和转移[ PMID: 20495575]。SMAD4中的种系突变与幼年性息肉病综合征 (JPS) [PMID: 18662538]相关。在胰腺癌中发现SMAD4表达</w:t>
      </w:r>
      <w:r>
        <w:rPr>
          <w:rFonts w:hint="eastAsia" w:ascii="Times New Roman" w:hAnsi="Times New Roman" w:cs="Times New Roman"/>
          <w:sz w:val="18"/>
          <w:szCs w:val="18"/>
        </w:rPr>
        <w:t>缺失或</w:t>
      </w:r>
      <w:r>
        <w:rPr>
          <w:rFonts w:ascii="Times New Roman" w:hAnsi="Times New Roman" w:cs="Times New Roman"/>
          <w:sz w:val="18"/>
          <w:szCs w:val="18"/>
        </w:rPr>
        <w:t>SMAD4 体细胞突变，并且与肿瘤分级相关[PMID: 12821112</w:t>
      </w:r>
      <w:r>
        <w:rPr>
          <w:rFonts w:hint="eastAsia" w:ascii="Times New Roman" w:hAnsi="Times New Roman" w:cs="Times New Roman"/>
          <w:sz w:val="18"/>
          <w:szCs w:val="18"/>
        </w:rPr>
        <w:t>]</w:t>
      </w:r>
      <w:r>
        <w:rPr>
          <w:rFonts w:ascii="Times New Roman" w:hAnsi="Times New Roman" w:cs="Times New Roman"/>
          <w:sz w:val="18"/>
          <w:szCs w:val="18"/>
        </w:rPr>
        <w:t>。在包括结肠和肺腺癌在内的多种肿瘤类型中，以较低频率观察到SMAD4的体细胞改变[PMID: 25890228]。</w:t>
      </w:r>
    </w:p>
    <w:p w14:paraId="53D349BC">
      <w:pPr>
        <w:spacing w:line="300" w:lineRule="auto"/>
        <w:ind w:left="420"/>
        <w:rPr>
          <w:rFonts w:ascii="Times New Roman" w:hAnsi="Times New Roman" w:cs="Times New Roman"/>
          <w:b/>
          <w:szCs w:val="18"/>
        </w:rPr>
      </w:pPr>
      <w:r>
        <w:rPr>
          <w:rFonts w:ascii="Times New Roman" w:hAnsi="Times New Roman" w:cs="Times New Roman"/>
          <w:b/>
          <w:szCs w:val="18"/>
        </w:rPr>
        <w:t>用药说明：</w:t>
      </w:r>
    </w:p>
    <w:p w14:paraId="6BC09B78">
      <w:pPr>
        <w:spacing w:line="300" w:lineRule="auto"/>
        <w:ind w:left="420"/>
        <w:rPr>
          <w:rFonts w:ascii="Times New Roman" w:hAnsi="Times New Roman" w:cs="Times New Roman"/>
          <w:sz w:val="18"/>
          <w:szCs w:val="18"/>
        </w:rPr>
      </w:pPr>
      <w:r>
        <w:rPr>
          <w:rFonts w:ascii="Times New Roman" w:hAnsi="Times New Roman" w:cs="Times New Roman"/>
          <w:sz w:val="18"/>
          <w:szCs w:val="18"/>
        </w:rPr>
        <w:t>在一项临床研究中，携带SMAD4突变的中国转移性结直肠癌患者对西妥昔单抗治疗没有反应，并显示了较短的无进展生存期(中位：90天 vs 250天，p=0.0081) [PMID: 29703253]</w:t>
      </w:r>
      <w:r>
        <w:rPr>
          <w:rFonts w:hint="eastAsia"/>
        </w:rPr>
        <w:t>。</w:t>
      </w:r>
      <w:r>
        <w:rPr>
          <w:rFonts w:hint="eastAsia" w:ascii="Times New Roman" w:hAnsi="Times New Roman" w:cs="Times New Roman"/>
          <w:sz w:val="18"/>
          <w:szCs w:val="18"/>
        </w:rPr>
        <w:t>一项结直肠癌相关研究报道，</w:t>
      </w:r>
      <w:r>
        <w:rPr>
          <w:rFonts w:ascii="Times New Roman" w:hAnsi="Times New Roman" w:cs="Times New Roman"/>
          <w:sz w:val="18"/>
          <w:szCs w:val="18"/>
        </w:rPr>
        <w:t>SMAD4的缺失与较差的临床结果、对化疗的耐药性和免疫浸润的减少相关[PMID: 30587545]。</w:t>
      </w:r>
      <w:r>
        <w:rPr>
          <w:rFonts w:hint="eastAsia" w:ascii="Times New Roman" w:hAnsi="Times New Roman" w:cs="Times New Roman"/>
          <w:sz w:val="18"/>
          <w:szCs w:val="18"/>
        </w:rPr>
        <w:t>究报道，</w:t>
      </w:r>
      <w:r>
        <w:rPr>
          <w:rFonts w:ascii="Times New Roman" w:hAnsi="Times New Roman" w:cs="Times New Roman"/>
          <w:sz w:val="18"/>
          <w:szCs w:val="18"/>
        </w:rPr>
        <w:t>SMAD4表达降低与结直肠癌不良预后相关[PMID: 25749173; PMID: 19478385; PMID: 25681512; PMID: 26861460]。</w:t>
      </w:r>
      <w:r>
        <w:rPr>
          <w:rFonts w:hint="eastAsia" w:ascii="Times New Roman" w:hAnsi="Times New Roman" w:cs="Times New Roman"/>
          <w:sz w:val="18"/>
          <w:szCs w:val="18"/>
        </w:rPr>
        <w:t>临床前研究表明，</w:t>
      </w:r>
      <w:r>
        <w:rPr>
          <w:rFonts w:ascii="Times New Roman" w:hAnsi="Times New Roman" w:cs="Times New Roman"/>
          <w:sz w:val="18"/>
          <w:szCs w:val="18"/>
        </w:rPr>
        <w:t>SMAD4缺失促进肺癌的形成，但增加了对DNA拓扑异构酶抑制剂的敏感性[PMID: 25893305]。</w:t>
      </w:r>
      <w:r>
        <w:rPr>
          <w:rFonts w:hint="eastAsia" w:ascii="Times New Roman" w:hAnsi="Times New Roman" w:cs="Times New Roman"/>
          <w:sz w:val="18"/>
          <w:szCs w:val="18"/>
        </w:rPr>
        <w:t>肺腺癌中，</w:t>
      </w:r>
      <w:r>
        <w:rPr>
          <w:rFonts w:ascii="Times New Roman" w:hAnsi="Times New Roman" w:cs="Times New Roman"/>
          <w:sz w:val="18"/>
          <w:szCs w:val="18"/>
        </w:rPr>
        <w:t>SMAD4表达缺失与肿瘤大小（P=0.033）、淋巴结转移（P=0.014）、病理分期（P=0.017）和肿瘤分化（P=0.022）有关，p16或SMAD4表达的缺失（P&lt;0.001）与总生存时间缩短显著相关[PMID: 25890228]。</w:t>
      </w:r>
    </w:p>
    <w:p w14:paraId="57193331">
      <w:pPr>
        <w:rPr>
          <w:rFonts w:ascii="Times New Roman" w:hAnsi="Times New Roman" w:eastAsia="微软雅黑" w:cs="Times New Roman"/>
          <w:b/>
          <w:sz w:val="13"/>
        </w:rPr>
      </w:pPr>
    </w:p>
    <w:sectPr>
      <w:headerReference r:id="rId5" w:type="default"/>
      <w:footerReference r:id="rId6" w:type="default"/>
      <w:pgSz w:w="11910" w:h="16840"/>
      <w:pgMar w:top="1440" w:right="1418" w:bottom="1440" w:left="1418" w:header="558" w:footer="68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font-weight : 400">
    <w:altName w:val="苹方-简"/>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2000019F" w:csb1="00000000"/>
  </w:font>
  <w:font w:name="DINPro-Regular">
    <w:altName w:val="苹方-简"/>
    <w:panose1 w:val="00000000000000000000"/>
    <w:charset w:val="00"/>
    <w:family w:val="auto"/>
    <w:pitch w:val="default"/>
    <w:sig w:usb0="00000000" w:usb1="00000000" w:usb2="00000000" w:usb3="00000000" w:csb0="00000000" w:csb1="00000000"/>
  </w:font>
  <w:font w:name="FZLTXHJW--GB1-0">
    <w:altName w:val="苹方-简"/>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1EB3E">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9D4BE">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027923">
                          <w:pPr>
                            <w:pStyle w:val="1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F027923">
                    <w:pPr>
                      <w:pStyle w:val="13"/>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6CA50">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44E9B">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79267F"/>
    <w:multiLevelType w:val="singleLevel"/>
    <w:tmpl w:val="6979267F"/>
    <w:lvl w:ilvl="0" w:tentative="0">
      <w:start w:val="1"/>
      <w:numFmt w:val="decimal"/>
      <w:lvlText w:val="%1."/>
      <w:lvlJc w:val="left"/>
      <w:pPr>
        <w:ind w:left="425" w:hanging="425"/>
      </w:pPr>
      <w:rPr>
        <w:rFonts w:hint="default"/>
      </w:rPr>
    </w:lvl>
  </w:abstractNum>
  <w:abstractNum w:abstractNumId="1">
    <w:nsid w:val="6EF75A2D"/>
    <w:multiLevelType w:val="singleLevel"/>
    <w:tmpl w:val="6EF75A2D"/>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yN2RjY2U1ZDAzZWMyYzFlOTBlZjhiNjIyZTM0MTE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54D6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47CAC"/>
    <w:rsid w:val="00B60F8C"/>
    <w:rsid w:val="00B720E9"/>
    <w:rsid w:val="00B970D4"/>
    <w:rsid w:val="00BA0AFE"/>
    <w:rsid w:val="00BB4B87"/>
    <w:rsid w:val="00BB4BB9"/>
    <w:rsid w:val="00BD2FFA"/>
    <w:rsid w:val="00BD3A5B"/>
    <w:rsid w:val="00BE1879"/>
    <w:rsid w:val="00C1426D"/>
    <w:rsid w:val="00C26F90"/>
    <w:rsid w:val="00C2709E"/>
    <w:rsid w:val="00C27D2F"/>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9705A5"/>
    <w:rsid w:val="02711243"/>
    <w:rsid w:val="030A1074"/>
    <w:rsid w:val="035C523B"/>
    <w:rsid w:val="03643579"/>
    <w:rsid w:val="03B74961"/>
    <w:rsid w:val="053027D8"/>
    <w:rsid w:val="066A44EA"/>
    <w:rsid w:val="084E6FBF"/>
    <w:rsid w:val="0AA910DA"/>
    <w:rsid w:val="0ACD30F7"/>
    <w:rsid w:val="0B697485"/>
    <w:rsid w:val="0F6A208A"/>
    <w:rsid w:val="10286214"/>
    <w:rsid w:val="10952DF6"/>
    <w:rsid w:val="130C6140"/>
    <w:rsid w:val="134645CE"/>
    <w:rsid w:val="15AA1C40"/>
    <w:rsid w:val="175A7638"/>
    <w:rsid w:val="1836136A"/>
    <w:rsid w:val="195F7EBC"/>
    <w:rsid w:val="1A627D5C"/>
    <w:rsid w:val="1B125754"/>
    <w:rsid w:val="1C46724D"/>
    <w:rsid w:val="1EDA2B4A"/>
    <w:rsid w:val="20A0049E"/>
    <w:rsid w:val="21E4370A"/>
    <w:rsid w:val="23AC2FFD"/>
    <w:rsid w:val="269E134D"/>
    <w:rsid w:val="271D2C97"/>
    <w:rsid w:val="293140D5"/>
    <w:rsid w:val="29CF0D5E"/>
    <w:rsid w:val="2CAB7CC5"/>
    <w:rsid w:val="2CF7541B"/>
    <w:rsid w:val="2F2B0C86"/>
    <w:rsid w:val="2F34284F"/>
    <w:rsid w:val="317F3B29"/>
    <w:rsid w:val="319B5F0A"/>
    <w:rsid w:val="31EE517C"/>
    <w:rsid w:val="32A777DC"/>
    <w:rsid w:val="340C0A8D"/>
    <w:rsid w:val="343949EB"/>
    <w:rsid w:val="37934412"/>
    <w:rsid w:val="387A7805"/>
    <w:rsid w:val="39FA584D"/>
    <w:rsid w:val="3A0504C9"/>
    <w:rsid w:val="3A670D93"/>
    <w:rsid w:val="3A6D6FBD"/>
    <w:rsid w:val="3B361E49"/>
    <w:rsid w:val="3C573483"/>
    <w:rsid w:val="3ED529B9"/>
    <w:rsid w:val="3F2D78C6"/>
    <w:rsid w:val="410A496E"/>
    <w:rsid w:val="41146FE8"/>
    <w:rsid w:val="415617C0"/>
    <w:rsid w:val="41CA0DF1"/>
    <w:rsid w:val="42AB2BD6"/>
    <w:rsid w:val="42E2656E"/>
    <w:rsid w:val="43C2164A"/>
    <w:rsid w:val="43E31A09"/>
    <w:rsid w:val="44167D08"/>
    <w:rsid w:val="44D12FF3"/>
    <w:rsid w:val="451832ED"/>
    <w:rsid w:val="46862F64"/>
    <w:rsid w:val="4ACE6BD0"/>
    <w:rsid w:val="4BAD2017"/>
    <w:rsid w:val="4C7F4215"/>
    <w:rsid w:val="4D1F7D6E"/>
    <w:rsid w:val="4D2575CC"/>
    <w:rsid w:val="4E4361B3"/>
    <w:rsid w:val="4F1700B8"/>
    <w:rsid w:val="4FA06224"/>
    <w:rsid w:val="4FC374CC"/>
    <w:rsid w:val="500619DA"/>
    <w:rsid w:val="5081012C"/>
    <w:rsid w:val="518B7F68"/>
    <w:rsid w:val="518D6A44"/>
    <w:rsid w:val="51FC6DA4"/>
    <w:rsid w:val="56D35F07"/>
    <w:rsid w:val="570B25AE"/>
    <w:rsid w:val="57117FB5"/>
    <w:rsid w:val="57307DE4"/>
    <w:rsid w:val="57974C8E"/>
    <w:rsid w:val="58162B65"/>
    <w:rsid w:val="58E35061"/>
    <w:rsid w:val="58FC26D7"/>
    <w:rsid w:val="59A860E0"/>
    <w:rsid w:val="5A33044A"/>
    <w:rsid w:val="5A3A4E3F"/>
    <w:rsid w:val="5B356BDD"/>
    <w:rsid w:val="5B976FC1"/>
    <w:rsid w:val="5D6D5411"/>
    <w:rsid w:val="5DF53F95"/>
    <w:rsid w:val="5E0448E8"/>
    <w:rsid w:val="5E3877B6"/>
    <w:rsid w:val="5E574FB2"/>
    <w:rsid w:val="5E59788A"/>
    <w:rsid w:val="60095BA6"/>
    <w:rsid w:val="60654544"/>
    <w:rsid w:val="62255007"/>
    <w:rsid w:val="635147E4"/>
    <w:rsid w:val="654F43C0"/>
    <w:rsid w:val="65B53A3E"/>
    <w:rsid w:val="6822110B"/>
    <w:rsid w:val="69182419"/>
    <w:rsid w:val="6976772C"/>
    <w:rsid w:val="69DB74AC"/>
    <w:rsid w:val="6BFA5082"/>
    <w:rsid w:val="6E75472D"/>
    <w:rsid w:val="6E9A7A0A"/>
    <w:rsid w:val="6F4C2AA5"/>
    <w:rsid w:val="70CF12BD"/>
    <w:rsid w:val="71BA61B5"/>
    <w:rsid w:val="71DF3A36"/>
    <w:rsid w:val="71F44ACA"/>
    <w:rsid w:val="723E266C"/>
    <w:rsid w:val="72653CB7"/>
    <w:rsid w:val="73BB2205"/>
    <w:rsid w:val="73F9408B"/>
    <w:rsid w:val="74692B38"/>
    <w:rsid w:val="74BA57F9"/>
    <w:rsid w:val="74C23FF5"/>
    <w:rsid w:val="75611117"/>
    <w:rsid w:val="765B0A6B"/>
    <w:rsid w:val="76CD26D9"/>
    <w:rsid w:val="78BA0E7B"/>
    <w:rsid w:val="7A9C7AB4"/>
    <w:rsid w:val="7B3E7DA0"/>
    <w:rsid w:val="7BA16014"/>
    <w:rsid w:val="7C735456"/>
    <w:rsid w:val="7DC37B21"/>
    <w:rsid w:val="7FCE7BBB"/>
    <w:rsid w:val="7FEB4435"/>
    <w:rsid w:val="B7DBDDC0"/>
    <w:rsid w:val="DFFD102F"/>
    <w:rsid w:val="E28E459A"/>
    <w:rsid w:val="E7F377CA"/>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pPr>
    <w:rPr>
      <w:rFonts w:ascii="宋体" w:hAnsi="宋体" w:eastAsia="宋体" w:cs="宋体"/>
      <w:sz w:val="22"/>
      <w:szCs w:val="22"/>
      <w:lang w:val="en-US" w:eastAsia="zh-CN" w:bidi="ar-SA"/>
    </w:rPr>
  </w:style>
  <w:style w:type="paragraph" w:styleId="2">
    <w:name w:val="heading 1"/>
    <w:basedOn w:val="1"/>
    <w:next w:val="1"/>
    <w:autoRedefine/>
    <w:qFormat/>
    <w:uiPriority w:val="0"/>
    <w:pPr>
      <w:ind w:left="153"/>
      <w:jc w:val="center"/>
      <w:outlineLvl w:val="0"/>
    </w:pPr>
    <w:rPr>
      <w:rFonts w:ascii="黑体" w:hAnsi="黑体" w:eastAsia="黑体" w:cs="黑体"/>
      <w:b/>
      <w:sz w:val="36"/>
      <w:szCs w:val="36"/>
    </w:rPr>
  </w:style>
  <w:style w:type="paragraph" w:styleId="3">
    <w:name w:val="heading 2"/>
    <w:basedOn w:val="1"/>
    <w:next w:val="1"/>
    <w:autoRedefine/>
    <w:qFormat/>
    <w:uiPriority w:val="0"/>
    <w:pPr>
      <w:ind w:left="412"/>
      <w:outlineLvl w:val="1"/>
    </w:pPr>
    <w:rPr>
      <w:rFonts w:ascii="黑体" w:hAnsi="黑体" w:eastAsia="黑体" w:cs="黑体"/>
      <w:b/>
      <w:sz w:val="30"/>
      <w:szCs w:val="30"/>
    </w:rPr>
  </w:style>
  <w:style w:type="paragraph" w:styleId="4">
    <w:name w:val="heading 3"/>
    <w:basedOn w:val="1"/>
    <w:next w:val="1"/>
    <w:link w:val="24"/>
    <w:autoRedefine/>
    <w:qFormat/>
    <w:uiPriority w:val="0"/>
    <w:pPr>
      <w:ind w:left="1528"/>
      <w:outlineLvl w:val="2"/>
    </w:pPr>
    <w:rPr>
      <w:sz w:val="30"/>
      <w:szCs w:val="30"/>
    </w:rPr>
  </w:style>
  <w:style w:type="paragraph" w:styleId="5">
    <w:name w:val="heading 4"/>
    <w:basedOn w:val="1"/>
    <w:next w:val="1"/>
    <w:autoRedefine/>
    <w:qFormat/>
    <w:uiPriority w:val="0"/>
    <w:pPr>
      <w:ind w:left="412"/>
      <w:outlineLvl w:val="3"/>
    </w:pPr>
    <w:rPr>
      <w:rFonts w:ascii="黑体" w:hAnsi="黑体" w:eastAsia="黑体" w:cs="黑体"/>
      <w:b/>
      <w:sz w:val="24"/>
      <w:szCs w:val="24"/>
    </w:rPr>
  </w:style>
  <w:style w:type="paragraph" w:styleId="6">
    <w:name w:val="heading 5"/>
    <w:basedOn w:val="1"/>
    <w:next w:val="1"/>
    <w:autoRedefine/>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autoRedefine/>
    <w:qFormat/>
    <w:uiPriority w:val="0"/>
    <w:pPr>
      <w:ind w:left="113"/>
      <w:outlineLvl w:val="5"/>
    </w:pPr>
    <w:rPr>
      <w:sz w:val="21"/>
      <w:szCs w:val="21"/>
    </w:rPr>
  </w:style>
  <w:style w:type="paragraph" w:styleId="8">
    <w:name w:val="heading 7"/>
    <w:basedOn w:val="1"/>
    <w:next w:val="1"/>
    <w:autoRedefine/>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5"/>
    <w:autoRedefine/>
    <w:qFormat/>
    <w:uiPriority w:val="0"/>
  </w:style>
  <w:style w:type="paragraph" w:styleId="10">
    <w:name w:val="Body Text"/>
    <w:basedOn w:val="1"/>
    <w:autoRedefine/>
    <w:qFormat/>
    <w:uiPriority w:val="0"/>
    <w:rPr>
      <w:sz w:val="18"/>
      <w:szCs w:val="18"/>
    </w:rPr>
  </w:style>
  <w:style w:type="paragraph" w:styleId="11">
    <w:name w:val="toc 3"/>
    <w:basedOn w:val="1"/>
    <w:next w:val="1"/>
    <w:autoRedefine/>
    <w:qFormat/>
    <w:uiPriority w:val="0"/>
    <w:pPr>
      <w:ind w:left="840" w:leftChars="400"/>
    </w:pPr>
  </w:style>
  <w:style w:type="paragraph" w:styleId="12">
    <w:name w:val="Balloon Text"/>
    <w:basedOn w:val="1"/>
    <w:link w:val="26"/>
    <w:autoRedefine/>
    <w:qFormat/>
    <w:uiPriority w:val="0"/>
    <w:rPr>
      <w:sz w:val="18"/>
      <w:szCs w:val="18"/>
    </w:rPr>
  </w:style>
  <w:style w:type="paragraph" w:styleId="13">
    <w:name w:val="footer"/>
    <w:basedOn w:val="1"/>
    <w:link w:val="27"/>
    <w:autoRedefine/>
    <w:qFormat/>
    <w:uiPriority w:val="0"/>
    <w:pPr>
      <w:snapToGrid w:val="0"/>
    </w:pPr>
    <w:rPr>
      <w:sz w:val="18"/>
      <w:szCs w:val="18"/>
    </w:rPr>
  </w:style>
  <w:style w:type="paragraph" w:styleId="14">
    <w:name w:val="header"/>
    <w:basedOn w:val="1"/>
    <w:link w:val="28"/>
    <w:autoRedefine/>
    <w:qFormat/>
    <w:uiPriority w:val="0"/>
    <w:pPr>
      <w:pBdr>
        <w:bottom w:val="single" w:color="auto" w:sz="6" w:space="1"/>
      </w:pBdr>
      <w:snapToGrid w:val="0"/>
      <w:jc w:val="center"/>
    </w:pPr>
    <w:rPr>
      <w:sz w:val="18"/>
      <w:szCs w:val="18"/>
    </w:rPr>
  </w:style>
  <w:style w:type="paragraph" w:styleId="15">
    <w:name w:val="toc 1"/>
    <w:basedOn w:val="1"/>
    <w:next w:val="1"/>
    <w:autoRedefine/>
    <w:qFormat/>
    <w:uiPriority w:val="0"/>
  </w:style>
  <w:style w:type="paragraph" w:styleId="16">
    <w:name w:val="toc 2"/>
    <w:basedOn w:val="1"/>
    <w:next w:val="1"/>
    <w:autoRedefine/>
    <w:qFormat/>
    <w:uiPriority w:val="0"/>
    <w:pPr>
      <w:ind w:left="420" w:leftChars="200"/>
    </w:pPr>
  </w:style>
  <w:style w:type="paragraph" w:styleId="17">
    <w:name w:val="Normal (Web)"/>
    <w:basedOn w:val="1"/>
    <w:autoRedefine/>
    <w:qFormat/>
    <w:uiPriority w:val="0"/>
    <w:pPr>
      <w:widowControl/>
      <w:spacing w:before="100" w:beforeAutospacing="1" w:after="100" w:afterAutospacing="1"/>
    </w:pPr>
    <w:rPr>
      <w:sz w:val="24"/>
      <w:szCs w:val="24"/>
    </w:rPr>
  </w:style>
  <w:style w:type="paragraph" w:styleId="18">
    <w:name w:val="annotation subject"/>
    <w:basedOn w:val="9"/>
    <w:next w:val="9"/>
    <w:link w:val="29"/>
    <w:autoRedefine/>
    <w:qFormat/>
    <w:uiPriority w:val="0"/>
    <w:rPr>
      <w:b/>
      <w:bCs/>
    </w:rPr>
  </w:style>
  <w:style w:type="table" w:styleId="20">
    <w:name w:val="Table Grid"/>
    <w:basedOn w:val="1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autoRedefine/>
    <w:qFormat/>
    <w:uiPriority w:val="0"/>
    <w:rPr>
      <w:color w:val="0000FF"/>
      <w:u w:val="single"/>
    </w:rPr>
  </w:style>
  <w:style w:type="character" w:styleId="23">
    <w:name w:val="annotation reference"/>
    <w:autoRedefine/>
    <w:qFormat/>
    <w:uiPriority w:val="0"/>
    <w:rPr>
      <w:sz w:val="21"/>
      <w:szCs w:val="21"/>
    </w:rPr>
  </w:style>
  <w:style w:type="character" w:customStyle="1" w:styleId="24">
    <w:name w:val="标题 3 字符"/>
    <w:basedOn w:val="21"/>
    <w:link w:val="4"/>
    <w:autoRedefine/>
    <w:qFormat/>
    <w:uiPriority w:val="0"/>
    <w:rPr>
      <w:rFonts w:ascii="宋体" w:hAnsi="宋体" w:cs="宋体"/>
      <w:sz w:val="30"/>
      <w:szCs w:val="30"/>
    </w:rPr>
  </w:style>
  <w:style w:type="character" w:customStyle="1" w:styleId="25">
    <w:name w:val="批注文字 字符"/>
    <w:basedOn w:val="21"/>
    <w:link w:val="9"/>
    <w:autoRedefine/>
    <w:qFormat/>
    <w:uiPriority w:val="0"/>
    <w:rPr>
      <w:rFonts w:ascii="宋体" w:hAnsi="宋体" w:cs="宋体"/>
      <w:sz w:val="22"/>
      <w:szCs w:val="22"/>
    </w:rPr>
  </w:style>
  <w:style w:type="character" w:customStyle="1" w:styleId="26">
    <w:name w:val="批注框文本 字符"/>
    <w:link w:val="12"/>
    <w:autoRedefine/>
    <w:qFormat/>
    <w:uiPriority w:val="0"/>
    <w:rPr>
      <w:rFonts w:hint="default" w:ascii="宋体" w:hAnsi="宋体" w:cs="宋体"/>
      <w:sz w:val="18"/>
      <w:szCs w:val="18"/>
      <w:lang w:eastAsia="en-US"/>
    </w:rPr>
  </w:style>
  <w:style w:type="character" w:customStyle="1" w:styleId="27">
    <w:name w:val="页脚 字符"/>
    <w:link w:val="13"/>
    <w:autoRedefine/>
    <w:qFormat/>
    <w:uiPriority w:val="0"/>
    <w:rPr>
      <w:rFonts w:hint="default" w:ascii="宋体" w:hAnsi="宋体" w:eastAsia="宋体" w:cs="宋体"/>
      <w:sz w:val="18"/>
      <w:szCs w:val="18"/>
    </w:rPr>
  </w:style>
  <w:style w:type="character" w:customStyle="1" w:styleId="28">
    <w:name w:val="页眉 字符"/>
    <w:link w:val="14"/>
    <w:autoRedefine/>
    <w:qFormat/>
    <w:uiPriority w:val="0"/>
    <w:rPr>
      <w:rFonts w:hint="default" w:ascii="宋体" w:hAnsi="宋体" w:eastAsia="宋体" w:cs="宋体"/>
      <w:sz w:val="18"/>
      <w:szCs w:val="18"/>
    </w:rPr>
  </w:style>
  <w:style w:type="character" w:customStyle="1" w:styleId="29">
    <w:name w:val="批注主题 字符"/>
    <w:basedOn w:val="25"/>
    <w:link w:val="18"/>
    <w:autoRedefine/>
    <w:qFormat/>
    <w:uiPriority w:val="0"/>
    <w:rPr>
      <w:rFonts w:ascii="宋体" w:hAnsi="宋体" w:cs="宋体"/>
      <w:b/>
      <w:bCs/>
      <w:sz w:val="22"/>
      <w:szCs w:val="22"/>
    </w:rPr>
  </w:style>
  <w:style w:type="table" w:customStyle="1" w:styleId="30">
    <w:name w:val="Table Normal"/>
    <w:autoRedefine/>
    <w:qFormat/>
    <w:uiPriority w:val="0"/>
    <w:tblPr>
      <w:tblCellMar>
        <w:top w:w="0" w:type="dxa"/>
        <w:left w:w="0" w:type="dxa"/>
        <w:bottom w:w="0" w:type="dxa"/>
        <w:right w:w="0" w:type="dxa"/>
      </w:tblCellMar>
    </w:tblPr>
  </w:style>
  <w:style w:type="paragraph" w:customStyle="1" w:styleId="31">
    <w:name w:val="列出段落1"/>
    <w:basedOn w:val="1"/>
    <w:autoRedefine/>
    <w:qFormat/>
    <w:uiPriority w:val="0"/>
    <w:pPr>
      <w:spacing w:before="36"/>
      <w:ind w:left="311" w:hanging="158"/>
    </w:pPr>
    <w:rPr>
      <w:rFonts w:ascii="Times New Roman" w:hAnsi="Times New Roman" w:eastAsia="Times New Roman" w:cs="Times New Roman"/>
    </w:rPr>
  </w:style>
  <w:style w:type="paragraph" w:customStyle="1" w:styleId="32">
    <w:name w:val="Table Paragraph"/>
    <w:basedOn w:val="1"/>
    <w:autoRedefine/>
    <w:qFormat/>
    <w:uiPriority w:val="0"/>
  </w:style>
  <w:style w:type="character" w:customStyle="1" w:styleId="33">
    <w:name w:val="font21"/>
    <w:autoRedefine/>
    <w:qFormat/>
    <w:uiPriority w:val="0"/>
    <w:rPr>
      <w:rFonts w:hint="default" w:ascii="font-weight : 400" w:hAnsi="font-weight : 400" w:eastAsia="font-weight : 400" w:cs="font-weight : 400"/>
      <w:color w:val="FF0000"/>
      <w:sz w:val="22"/>
      <w:szCs w:val="22"/>
      <w:u w:val="none"/>
    </w:rPr>
  </w:style>
  <w:style w:type="character" w:customStyle="1" w:styleId="34">
    <w:name w:val="font01"/>
    <w:autoRedefine/>
    <w:qFormat/>
    <w:uiPriority w:val="0"/>
    <w:rPr>
      <w:rFonts w:hint="default" w:ascii="font-weight : 400" w:hAnsi="font-weight : 400" w:eastAsia="font-weight : 400" w:cs="font-weight : 400"/>
      <w:color w:val="000000"/>
      <w:sz w:val="22"/>
      <w:szCs w:val="22"/>
      <w:u w:val="none"/>
    </w:rPr>
  </w:style>
  <w:style w:type="character" w:customStyle="1" w:styleId="35">
    <w:name w:val="font11"/>
    <w:autoRedefine/>
    <w:qFormat/>
    <w:uiPriority w:val="0"/>
    <w:rPr>
      <w:rFonts w:hint="eastAsia" w:ascii="宋体" w:hAnsi="宋体" w:eastAsia="宋体" w:cs="宋体"/>
      <w:color w:val="FF0000"/>
      <w:sz w:val="22"/>
      <w:szCs w:val="22"/>
      <w:u w:val="none"/>
    </w:rPr>
  </w:style>
  <w:style w:type="paragraph" w:customStyle="1" w:styleId="36">
    <w:name w:val="TOC 标题1"/>
    <w:basedOn w:val="2"/>
    <w:next w:val="1"/>
    <w:autoRedefine/>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7">
    <w:name w:val="List Paragraph"/>
    <w:basedOn w:val="1"/>
    <w:autoRedefine/>
    <w:qFormat/>
    <w:uiPriority w:val="0"/>
    <w:pPr>
      <w:ind w:firstLine="420" w:firstLineChars="200"/>
    </w:pPr>
  </w:style>
  <w:style w:type="table" w:customStyle="1" w:styleId="38">
    <w:name w:val="网格型浅色11"/>
    <w:basedOn w:val="19"/>
    <w:autoRedefine/>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paragraph" w:customStyle="1" w:styleId="39">
    <w:name w:val="正文文本1"/>
    <w:autoRedefine/>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0">
    <w:name w:val="Table Normal2"/>
    <w:autoRedefine/>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1">
    <w:name w:val="正文1"/>
    <w:autoRedefine/>
    <w:qFormat/>
    <w:uiPriority w:val="0"/>
    <w:rPr>
      <w:rFonts w:ascii="Times New Roman" w:hAnsi="Times New Roman" w:eastAsia="宋体" w:cs="Times New Roman"/>
      <w:sz w:val="24"/>
      <w:szCs w:val="24"/>
      <w:lang w:val="en-US" w:eastAsia="zh-CN" w:bidi="ar-SA"/>
    </w:rPr>
  </w:style>
  <w:style w:type="paragraph" w:customStyle="1" w:styleId="42">
    <w:name w:val="普通(网站)2"/>
    <w:autoRedefine/>
    <w:qFormat/>
    <w:uiPriority w:val="0"/>
    <w:rPr>
      <w:rFonts w:ascii="Times New Roman" w:hAnsi="Times New Roman" w:eastAsia="宋体" w:cs="Times New Roman"/>
      <w:sz w:val="24"/>
      <w:szCs w:val="24"/>
      <w:lang w:val="en-US" w:eastAsia="zh-CN" w:bidi="ar-SA"/>
    </w:rPr>
  </w:style>
  <w:style w:type="character" w:customStyle="1" w:styleId="43">
    <w:name w:val="fontstyle01"/>
    <w:autoRedefine/>
    <w:qFormat/>
    <w:uiPriority w:val="0"/>
    <w:rPr>
      <w:rFonts w:hint="default" w:ascii="DINPro-Regular" w:hAnsi="DINPro-Regular"/>
      <w:color w:val="404040"/>
      <w:sz w:val="20"/>
      <w:szCs w:val="20"/>
    </w:rPr>
  </w:style>
  <w:style w:type="character" w:customStyle="1" w:styleId="44">
    <w:name w:val="fontstyle21"/>
    <w:autoRedefine/>
    <w:qFormat/>
    <w:uiPriority w:val="0"/>
    <w:rPr>
      <w:rFonts w:hint="default" w:ascii="FZLTXHJW--GB1-0" w:hAnsi="FZLTXHJW--GB1-0"/>
      <w:color w:val="404040"/>
      <w:sz w:val="18"/>
      <w:szCs w:val="18"/>
    </w:rPr>
  </w:style>
  <w:style w:type="paragraph" w:customStyle="1" w:styleId="45">
    <w:name w:val="修订1"/>
    <w:autoRedefine/>
    <w:hidden/>
    <w:semiHidden/>
    <w:qFormat/>
    <w:uiPriority w:val="99"/>
    <w:rPr>
      <w:rFonts w:ascii="宋体" w:hAnsi="宋体" w:eastAsia="宋体" w:cs="宋体"/>
      <w:sz w:val="22"/>
      <w:szCs w:val="22"/>
      <w:lang w:val="en-US" w:eastAsia="zh-CN" w:bidi="ar-SA"/>
    </w:rPr>
  </w:style>
  <w:style w:type="table" w:customStyle="1" w:styleId="46">
    <w:name w:val="网格表 4 - 着色 11"/>
    <w:basedOn w:val="19"/>
    <w:autoRedefine/>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7">
    <w:name w:val="网格表 4 - 着色 12"/>
    <w:basedOn w:val="19"/>
    <w:autoRedefine/>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48">
    <w:name w:val="样式1"/>
    <w:basedOn w:val="10"/>
    <w:autoRedefine/>
    <w:qFormat/>
    <w:uiPriority w:val="1"/>
    <w:pPr>
      <w:spacing w:line="276" w:lineRule="auto"/>
    </w:pPr>
    <w:rPr>
      <w:rFonts w:ascii="Times New Roman" w:hAnsi="Times New Roman" w:eastAsia="微软雅黑" w:cs="Times New Roman"/>
      <w:b/>
      <w:color w:val="45A3A7"/>
      <w:sz w:val="24"/>
      <w:szCs w:val="24"/>
    </w:rPr>
  </w:style>
  <w:style w:type="paragraph" w:customStyle="1" w:styleId="49">
    <w:name w:val="p1"/>
    <w:basedOn w:val="1"/>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apple/Library/Containers/com.kingsoft.wpsoffice.mac/Data/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34</Pages>
  <Words>36059</Words>
  <Characters>54279</Characters>
  <Lines>436</Lines>
  <Paragraphs>122</Paragraphs>
  <TotalTime>0</TotalTime>
  <ScaleCrop>false</ScaleCrop>
  <LinksUpToDate>false</LinksUpToDate>
  <CharactersWithSpaces>60861</CharactersWithSpaces>
  <Application>WPS Office_6.12.0.8899_F1E327BC-269C-435d-A152-05C5408002CA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2021-06-30T18:32:00Z</dcterms:created>
  <dc:creator>Administrator</dc:creator>
  <cp:lastModifiedBy>Levi</cp:lastModifiedBy>
  <dcterms:modified xsi:type="dcterms:W3CDTF">2024-11-12T17:11:18Z</dcterms:modified>
  <cp:revision>111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2052-6.12.0.8899</vt:lpwstr>
  </property>
  <property fmtid="{D5CDD505-2E9C-101B-9397-08002B2CF9AE}" pid="3" name="ICV">
    <vt:lpwstr>D8067B79DB7549E69B5AB4B4C10E9CA6_13</vt:lpwstr>
  </property>
</Properties>
</file>