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2D6F1DB0">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379A0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13B2ED8">
            <w:pPr>
              <w:jc w:val="right"/>
              <w:rPr>
                <w:rFonts w:ascii="Times New Roman" w:hAnsi="Times New Roman" w:eastAsia="微软雅黑" w:cs="Times New Roman"/>
                <w:b/>
                <w:bCs/>
                <w:color w:val="1F497D"/>
                <w:sz w:val="36"/>
                <w:szCs w:val="36"/>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2680D5E2">
            <w:pPr>
              <w:jc w:val="center"/>
              <w:rPr>
                <w:rFonts w:ascii="Times New Roman" w:hAnsi="Times New Roman" w:eastAsia="微软雅黑" w:cs="Times New Roman"/>
                <w:b/>
                <w:bCs/>
                <w:color w:val="1F497D"/>
                <w:sz w:val="36"/>
                <w:szCs w:val="36"/>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8066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B46238C">
            <w:pPr>
              <w:jc w:val="both"/>
              <w:rPr>
                <w:rFonts w:ascii="Times New Roman" w:hAnsi="Times New Roman" w:eastAsia="微软雅黑" w:cs="Times New Roman"/>
                <w:b/>
                <w:bCs/>
                <w:color w:val="1F497D"/>
                <w:sz w:val="36"/>
                <w:szCs w:val="36"/>
              </w:rPr>
            </w:pPr>
          </w:p>
        </w:tc>
        <w:tc>
          <w:tcPr>
            <w:tcW w:w="8060" w:type="dxa"/>
            <w:vAlign w:val="center"/>
          </w:tcPr>
          <w:p w14:paraId="3CCE790B">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1AB96777">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39FFCE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本检测项目为骨及软组织肿瘤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1166</w:t>
            </w:r>
            <w:r>
              <w:rPr>
                <w:rFonts w:hint="eastAsia" w:ascii="微软雅黑" w:hAnsi="微软雅黑" w:eastAsia="微软雅黑" w:cs="微软雅黑"/>
                <w:color w:val="000000" w:themeColor="text1"/>
                <w:sz w:val="21"/>
                <w:szCs w:val="21"/>
                <w14:textFill>
                  <w14:solidFill>
                    <w14:schemeClr w14:val="tx1"/>
                  </w14:solidFill>
                </w14:textFill>
              </w:rPr>
              <w:t>基因检测，针对与肿瘤密切相关的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1166</w:t>
            </w:r>
            <w:r>
              <w:rPr>
                <w:rFonts w:hint="eastAsia" w:ascii="微软雅黑" w:hAnsi="微软雅黑" w:eastAsia="微软雅黑" w:cs="微软雅黑"/>
                <w:color w:val="000000" w:themeColor="text1"/>
                <w:sz w:val="21"/>
                <w:szCs w:val="21"/>
                <w14:textFill>
                  <w14:solidFill>
                    <w14:schemeClr w14:val="tx1"/>
                  </w14:solidFill>
                </w14:textFill>
              </w:rPr>
              <w:t>个基因进行高通量测序{% if PDInfo != undefined %}，同时，本项目也通过免疫组化检测PD-L1表达情况{% endif %}。基于RNA水平精准检测多种重排，包括已知、未知以及复杂融合变异类型，尤其适用尤文肉瘤、滑膜肉瘤等肉瘤分型辅助诊断。</w:t>
            </w:r>
          </w:p>
          <w:p w14:paraId="2A3E975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Times New Roman" w:hAnsi="Times New Roman" w:eastAsia="微软雅黑" w:cs="Times New Roman"/>
                <w:bCs/>
                <w:sz w:val="21"/>
                <w:szCs w:val="21"/>
                <w:lang w:eastAsia="zh-CN"/>
              </w:rPr>
              <w:t>本报告全面分析基因融合变异，可以辅助肉瘤分型诊断，从而为临床制定治疗方案提供参考信息。</w:t>
            </w:r>
          </w:p>
        </w:tc>
      </w:tr>
    </w:tbl>
    <w:p w14:paraId="04880570">
      <w:pPr>
        <w:rPr>
          <w:rFonts w:ascii="Times New Roman" w:hAnsi="Times New Roman" w:eastAsia="微软雅黑" w:cs="Times New Roman"/>
        </w:rPr>
      </w:pPr>
    </w:p>
    <w:p w14:paraId="25FBA758">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cols w:space="720" w:num="1"/>
        </w:sectPr>
      </w:pPr>
    </w:p>
    <w:p w14:paraId="008CFE06">
      <w:pPr>
        <w:pStyle w:val="2"/>
        <w:rPr>
          <w:rFonts w:ascii="Times New Roman" w:hAnsi="Times New Roman" w:eastAsia="微软雅黑" w:cs="Times New Roman"/>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3BF9CB93">
      <w:pPr>
        <w:outlineLvl w:val="1"/>
        <w:rPr>
          <w:rFonts w:ascii="Times New Roman" w:hAnsi="Times New Roman" w:eastAsia="微软雅黑" w:cs="Times New Roman"/>
          <w:b/>
          <w:color w:val="00B050"/>
          <w:sz w:val="32"/>
          <w:szCs w:val="32"/>
        </w:rPr>
      </w:pPr>
      <w:r>
        <w:rPr>
          <w:rFonts w:hint="eastAsia" w:ascii="Times New Roman" w:hAnsi="Times New Roman" w:eastAsia="微软雅黑" w:cs="黑体"/>
          <w:b/>
          <w:bCs/>
          <w:color w:val="254061" w:themeColor="accent1" w:themeShade="80"/>
          <w:sz w:val="32"/>
          <w:szCs w:val="32"/>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Layout w:type="fixed"/>
        <w:tblCellMar>
          <w:top w:w="0" w:type="dxa"/>
          <w:left w:w="0" w:type="dxa"/>
          <w:bottom w:w="0" w:type="dxa"/>
          <w:right w:w="0" w:type="dxa"/>
        </w:tblCellMar>
      </w:tblPr>
      <w:tblGrid>
        <w:gridCol w:w="4285"/>
        <w:gridCol w:w="5273"/>
      </w:tblGrid>
      <w:tr w14:paraId="7E15AFE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4285" w:type="dxa"/>
            <w:tcBorders>
              <w:tl2br w:val="nil"/>
              <w:tr2bl w:val="nil"/>
            </w:tcBorders>
            <w:shd w:val="clear" w:color="auto" w:fill="auto"/>
            <w:vAlign w:val="center"/>
          </w:tcPr>
          <w:p w14:paraId="7903A45C">
            <w:pPr>
              <w:jc w:val="center"/>
              <w:rPr>
                <w:rFonts w:hint="eastAsia" w:ascii="微软雅黑" w:eastAsia="微软雅黑"/>
                <w:b/>
                <w:color w:val="244061"/>
                <w:sz w:val="21"/>
              </w:rPr>
            </w:pPr>
            <w:bookmarkStart w:id="3" w:name="_Toc534807930"/>
            <w:r>
              <w:rPr>
                <w:rFonts w:hint="eastAsia" w:cs="黑体"/>
                <w:b/>
                <w:bCs/>
                <w:color w:val="244061"/>
                <w:sz w:val="28"/>
                <w:szCs w:val="36"/>
              </w:rPr>
              <w:br w:type="page"/>
            </w:r>
            <w:r>
              <w:rPr>
                <w:rFonts w:hint="eastAsia" w:ascii="微软雅黑" w:eastAsia="微软雅黑"/>
                <w:b/>
                <w:color w:val="244061"/>
                <w:sz w:val="21"/>
              </w:rPr>
              <w:t>检测类型</w:t>
            </w:r>
          </w:p>
        </w:tc>
        <w:tc>
          <w:tcPr>
            <w:tcW w:w="5273" w:type="dxa"/>
            <w:tcBorders>
              <w:tl2br w:val="nil"/>
              <w:tr2bl w:val="nil"/>
            </w:tcBorders>
            <w:shd w:val="clear" w:color="auto" w:fill="auto"/>
            <w:vAlign w:val="center"/>
          </w:tcPr>
          <w:p w14:paraId="1BC5608D">
            <w:pPr>
              <w:jc w:val="center"/>
              <w:rPr>
                <w:rFonts w:hint="eastAsia" w:ascii="微软雅黑" w:eastAsia="微软雅黑"/>
                <w:b/>
                <w:color w:val="244061"/>
              </w:rPr>
            </w:pPr>
            <w:r>
              <w:rPr>
                <w:rFonts w:ascii="Times New Roman" w:hAnsi="Times New Roman" w:eastAsia="微软雅黑" w:cs="黑体"/>
                <w:b/>
                <w:color w:val="244061"/>
                <w:sz w:val="21"/>
              </w:rPr>
              <w:t>检测结果</w:t>
            </w:r>
          </w:p>
        </w:tc>
      </w:tr>
      <w:tr w14:paraId="42404DD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tcBorders>
              <w:tl2br w:val="nil"/>
              <w:tr2bl w:val="nil"/>
            </w:tcBorders>
            <w:shd w:val="clear" w:color="auto" w:fill="auto"/>
            <w:vAlign w:val="center"/>
          </w:tcPr>
          <w:p w14:paraId="210A10FA">
            <w:pPr>
              <w:pStyle w:val="33"/>
              <w:spacing w:before="40"/>
              <w:ind w:left="119"/>
              <w:rPr>
                <w:rFonts w:ascii="Times New Roman" w:hAnsi="Times New Roman" w:eastAsia="微软雅黑" w:cs="黑体"/>
                <w:sz w:val="21"/>
              </w:rPr>
            </w:pPr>
            <w:r>
              <w:rPr>
                <w:rFonts w:hint="eastAsia" w:ascii="Times New Roman" w:hAnsi="Times New Roman" w:eastAsia="微软雅黑" w:cs="黑体"/>
                <w:sz w:val="21"/>
              </w:rPr>
              <w:t>辅助肉瘤诊断</w:t>
            </w:r>
          </w:p>
        </w:tc>
        <w:tc>
          <w:tcPr>
            <w:tcW w:w="5273" w:type="dxa"/>
            <w:tcBorders>
              <w:tl2br w:val="nil"/>
              <w:tr2bl w:val="nil"/>
            </w:tcBorders>
            <w:shd w:val="clear" w:color="auto" w:fill="auto"/>
            <w:vAlign w:val="center"/>
          </w:tcPr>
          <w:p w14:paraId="1A3A1B91">
            <w:pPr>
              <w:pStyle w:val="33"/>
              <w:spacing w:before="40"/>
              <w:ind w:left="119"/>
              <w:rPr>
                <w:rFonts w:ascii="Times New Roman" w:hAnsi="Times New Roman" w:eastAsia="微软雅黑" w:cs="黑体"/>
                <w:sz w:val="21"/>
              </w:rPr>
            </w:pPr>
            <w:r>
              <w:rPr>
                <w:rFonts w:hint="eastAsia" w:ascii="Times New Roman" w:hAnsi="Times New Roman" w:eastAsia="微软雅黑" w:cs="黑体"/>
                <w:sz w:val="21"/>
              </w:rPr>
              <w:t>共有{{ summaryOfRresults.geneRearrangementSize }}个基因重排，其中{{ summaryOfRresults.geneRearrangementVariationSize2 }}个基因重排是分类/指南/专家共识中提及的辅助肉瘤诊断的基因变异。</w:t>
            </w:r>
          </w:p>
        </w:tc>
      </w:tr>
      <w:tr w14:paraId="49FE528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4C0499E0">
            <w:pPr>
              <w:pStyle w:val="33"/>
              <w:ind w:left="119" w:right="119"/>
              <w:jc w:val="both"/>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PDInfo != undefined %}</w:t>
            </w:r>
          </w:p>
        </w:tc>
      </w:tr>
      <w:tr w14:paraId="6DB96A5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tcBorders>
              <w:tl2br w:val="nil"/>
              <w:tr2bl w:val="nil"/>
            </w:tcBorders>
            <w:shd w:val="clear" w:color="auto" w:fill="auto"/>
            <w:vAlign w:val="center"/>
          </w:tcPr>
          <w:p w14:paraId="10E23B93">
            <w:pPr>
              <w:pStyle w:val="33"/>
              <w:ind w:left="119" w:leftChars="0"/>
              <w:rPr>
                <w:rFonts w:ascii="Times New Roman" w:hAnsi="Times New Roman" w:eastAsia="微软雅黑" w:cs="黑体"/>
                <w:sz w:val="21"/>
              </w:rPr>
            </w:pPr>
            <w:r>
              <w:rPr>
                <w:rFonts w:ascii="Times New Roman" w:hAnsi="Times New Roman" w:eastAsia="微软雅黑" w:cs="Times New Roman"/>
                <w:b w:val="0"/>
                <w:bCs w:val="0"/>
                <w:sz w:val="21"/>
                <w:szCs w:val="21"/>
              </w:rPr>
              <w:t>PD-L1蛋白表达水平</w:t>
            </w:r>
          </w:p>
        </w:tc>
        <w:tc>
          <w:tcPr>
            <w:tcW w:w="5273" w:type="dxa"/>
            <w:tcBorders>
              <w:tl2br w:val="nil"/>
              <w:tr2bl w:val="nil"/>
            </w:tcBorders>
            <w:shd w:val="clear" w:color="auto" w:fill="auto"/>
            <w:vAlign w:val="center"/>
          </w:tcPr>
          <w:p w14:paraId="52143EC8">
            <w:pPr>
              <w:pStyle w:val="33"/>
              <w:ind w:left="119" w:leftChars="0" w:right="119" w:rightChars="0"/>
              <w:rPr>
                <w:rFonts w:ascii="Times New Roman" w:hAnsi="Times New Roman" w:eastAsia="微软雅黑" w:cs="黑体"/>
                <w:sz w:val="21"/>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642127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553CEA55">
            <w:pPr>
              <w:pStyle w:val="33"/>
              <w:ind w:left="119" w:right="119"/>
              <w:jc w:val="both"/>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r w14:paraId="3D8EBE6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tcBorders>
              <w:tl2br w:val="nil"/>
              <w:tr2bl w:val="nil"/>
            </w:tcBorders>
            <w:shd w:val="clear" w:color="auto" w:fill="auto"/>
            <w:vAlign w:val="center"/>
          </w:tcPr>
          <w:p w14:paraId="7D30F307">
            <w:pPr>
              <w:pStyle w:val="33"/>
              <w:ind w:left="119"/>
              <w:rPr>
                <w:rFonts w:ascii="Times New Roman" w:hAnsi="Times New Roman" w:eastAsia="微软雅黑" w:cs="黑体"/>
                <w:sz w:val="21"/>
              </w:rPr>
            </w:pPr>
            <w:r>
              <w:rPr>
                <w:rFonts w:ascii="Times New Roman" w:hAnsi="Times New Roman" w:eastAsia="微软雅黑" w:cs="黑体"/>
                <w:sz w:val="21"/>
              </w:rPr>
              <w:t>样品总体质量评估</w:t>
            </w:r>
          </w:p>
        </w:tc>
        <w:tc>
          <w:tcPr>
            <w:tcW w:w="5273" w:type="dxa"/>
            <w:tcBorders>
              <w:tl2br w:val="nil"/>
              <w:tr2bl w:val="nil"/>
            </w:tcBorders>
            <w:shd w:val="clear" w:color="auto" w:fill="auto"/>
            <w:vAlign w:val="center"/>
          </w:tcPr>
          <w:p w14:paraId="59E83D91">
            <w:pPr>
              <w:pStyle w:val="33"/>
              <w:ind w:left="119" w:right="119"/>
              <w:jc w:val="both"/>
              <w:rPr>
                <w:rFonts w:ascii="Times New Roman" w:hAnsi="Times New Roman" w:eastAsia="微软雅黑" w:cs="黑体"/>
                <w:sz w:val="21"/>
              </w:rPr>
            </w:pPr>
            <w:r>
              <w:rPr>
                <w:rFonts w:hint="eastAsia" w:ascii="Times New Roman" w:hAnsi="Times New Roman" w:eastAsia="微软雅黑" w:cs="黑体"/>
                <w:sz w:val="21"/>
              </w:rPr>
              <w:t>{%if rna != undefined%}{{ rna.total_reads | oqa(12000000,10000000) }}{%endif%}</w:t>
            </w:r>
          </w:p>
        </w:tc>
      </w:tr>
    </w:tbl>
    <w:p w14:paraId="282BC113">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bidi="ar"/>
        </w:rPr>
        <w:t>说明</w:t>
      </w:r>
      <w:r>
        <w:rPr>
          <w:rFonts w:ascii="微软雅黑" w:hAnsi="微软雅黑" w:eastAsia="微软雅黑" w:cs="微软雅黑"/>
          <w:sz w:val="18"/>
          <w:szCs w:val="18"/>
          <w:lang w:bidi="ar"/>
        </w:rPr>
        <w:t>：</w:t>
      </w:r>
    </w:p>
    <w:p w14:paraId="1965D19D">
      <w:pPr>
        <w:numPr>
          <w:ilvl w:val="0"/>
          <w:numId w:val="2"/>
        </w:numPr>
        <w:ind w:left="330" w:leftChars="150"/>
        <w:rPr>
          <w:rFonts w:hint="eastAsia" w:ascii="微软雅黑" w:hAnsi="微软雅黑" w:eastAsia="微软雅黑" w:cs="微软雅黑"/>
          <w:sz w:val="18"/>
          <w:szCs w:val="18"/>
          <w:lang w:bidi="ar"/>
        </w:rPr>
      </w:pPr>
      <w:r>
        <w:rPr>
          <w:rFonts w:ascii="Times New Roman" w:hAnsi="Times New Roman" w:eastAsia="微软雅黑" w:cs="Times New Roman"/>
          <w:sz w:val="18"/>
          <w:szCs w:val="18"/>
          <w:lang w:eastAsia="zh-CN" w:bidi="ar"/>
        </w:rPr>
        <w:t>检测结果仅供医生参考，不作为临床诊断的依据。</w:t>
      </w:r>
    </w:p>
    <w:p w14:paraId="72273BE3">
      <w:pPr>
        <w:numPr>
          <w:ilvl w:val="0"/>
          <w:numId w:val="2"/>
        </w:numPr>
        <w:ind w:left="330" w:leftChars="150"/>
        <w:rPr>
          <w:rFonts w:hint="eastAsia" w:ascii="微软雅黑" w:hAnsi="微软雅黑" w:eastAsia="微软雅黑" w:cs="微软雅黑"/>
          <w:sz w:val="18"/>
          <w:szCs w:val="18"/>
          <w:lang w:bidi="ar"/>
        </w:rPr>
      </w:pPr>
      <w:r>
        <w:rPr>
          <w:rFonts w:ascii="微软雅黑" w:hAnsi="微软雅黑" w:eastAsia="微软雅黑" w:cs="微软雅黑"/>
          <w:sz w:val="18"/>
          <w:szCs w:val="18"/>
          <w:lang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C093537">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134BCC25">
      <w:pPr>
        <w:outlineLvl w:val="1"/>
        <w:rPr>
          <w:rFonts w:ascii="Times New Roman" w:hAnsi="Times New Roman" w:eastAsia="微软雅黑" w:cs="黑体"/>
          <w:b/>
          <w:bCs/>
          <w:color w:val="244061"/>
          <w:sz w:val="32"/>
          <w:szCs w:val="32"/>
        </w:rPr>
      </w:pPr>
      <w:bookmarkStart w:id="4" w:name="_Toc22132"/>
      <w:bookmarkStart w:id="5" w:name="_Toc2819"/>
      <w:bookmarkStart w:id="6" w:name="_Toc19898_WPSOffice_Level1"/>
      <w:bookmarkStart w:id="7" w:name="_Toc499"/>
      <w:bookmarkStart w:id="8" w:name="_Toc2781"/>
      <w:bookmarkStart w:id="9" w:name="_Toc20136_WPSOffice_Level1"/>
      <w:r>
        <w:rPr>
          <w:rFonts w:hint="eastAsia" w:ascii="Times New Roman" w:hAnsi="Times New Roman" w:eastAsia="微软雅黑" w:cs="黑体"/>
          <w:b/>
          <w:bCs/>
          <w:color w:val="254061" w:themeColor="accent1" w:themeShade="80"/>
          <w:sz w:val="32"/>
          <w:szCs w:val="32"/>
        </w:rPr>
        <w:t xml:space="preserve">二 </w:t>
      </w:r>
      <w:r>
        <w:rPr>
          <w:rFonts w:hint="eastAsia" w:ascii="Times New Roman" w:hAnsi="Times New Roman" w:eastAsia="微软雅黑" w:cs="黑体"/>
          <w:b/>
          <w:bCs/>
          <w:color w:val="244061"/>
          <w:sz w:val="32"/>
          <w:szCs w:val="32"/>
        </w:rPr>
        <w:t>检测结果</w:t>
      </w:r>
    </w:p>
    <w:bookmarkEnd w:id="3"/>
    <w:bookmarkEnd w:id="4"/>
    <w:bookmarkEnd w:id="5"/>
    <w:bookmarkEnd w:id="6"/>
    <w:bookmarkEnd w:id="7"/>
    <w:bookmarkEnd w:id="8"/>
    <w:bookmarkEnd w:id="9"/>
    <w:p w14:paraId="7A5617A9">
      <w:pPr>
        <w:ind w:firstLine="720" w:firstLineChars="0"/>
        <w:rPr>
          <w:rFonts w:hint="eastAsia" w:ascii="微软雅黑" w:hAnsi="微软雅黑" w:eastAsia="微软雅黑" w:cs="微软雅黑"/>
          <w:color w:val="254061" w:themeColor="accent1" w:themeShade="80"/>
        </w:rPr>
      </w:pPr>
      <w:bookmarkStart w:id="10" w:name="_Toc23375"/>
      <w:bookmarkStart w:id="11" w:name="_Toc11015_WPSOffice_Level2"/>
      <w:bookmarkStart w:id="12" w:name="_Toc18062_WPSOffice_Level2"/>
      <w:bookmarkStart w:id="13" w:name="_Toc10877"/>
      <w:bookmarkStart w:id="14" w:name="_Toc3049"/>
      <w:bookmarkStart w:id="15" w:name="_Toc9088"/>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2</w:t>
      </w:r>
      <w:r>
        <w:rPr>
          <w:rFonts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}}个基因重排是分类/指南/专家共识中提及的辅助肉瘤诊断的基因变异。具体信息详见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49"/>
        <w:tblpPr w:leftFromText="181" w:rightFromText="181" w:vertAnchor="text" w:horzAnchor="page" w:tblpXSpec="center" w:tblpY="1"/>
        <w:tblOverlap w:val="never"/>
        <w:tblW w:w="1002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4434"/>
        <w:gridCol w:w="1300"/>
        <w:gridCol w:w="2469"/>
        <w:gridCol w:w="1825"/>
      </w:tblGrid>
      <w:tr w14:paraId="0B6CC1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58" w:hRule="exact"/>
          <w:tblHeader/>
          <w:jc w:val="center"/>
        </w:trPr>
        <w:tc>
          <w:tcPr>
            <w:tcW w:w="4436" w:type="dxa"/>
            <w:shd w:val="clear" w:color="auto" w:fill="auto"/>
            <w:vAlign w:val="center"/>
          </w:tcPr>
          <w:p w14:paraId="0B2A691B">
            <w:pPr>
              <w:pStyle w:val="33"/>
              <w:jc w:val="center"/>
              <w:rPr>
                <w:rFonts w:ascii="Times New Roman" w:hAnsi="Times New Roman" w:eastAsia="微软雅黑" w:cs="Times New Roman"/>
                <w:b/>
                <w:color w:val="244061"/>
                <w:sz w:val="21"/>
                <w:szCs w:val="21"/>
              </w:rPr>
            </w:pPr>
            <w:bookmarkStart w:id="34" w:name="_GoBack"/>
            <w:r>
              <w:rPr>
                <w:rFonts w:ascii="Times New Roman" w:hAnsi="Times New Roman" w:eastAsia="微软雅黑" w:cs="Times New Roman"/>
                <w:b/>
                <w:color w:val="244061"/>
                <w:sz w:val="21"/>
                <w:szCs w:val="21"/>
              </w:rPr>
              <w:t>检测结果</w:t>
            </w:r>
          </w:p>
        </w:tc>
        <w:tc>
          <w:tcPr>
            <w:tcW w:w="1300" w:type="dxa"/>
            <w:shd w:val="clear" w:color="auto" w:fill="auto"/>
            <w:vAlign w:val="center"/>
          </w:tcPr>
          <w:p w14:paraId="25CEF2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融合reads数</w:t>
            </w:r>
          </w:p>
        </w:tc>
        <w:tc>
          <w:tcPr>
            <w:tcW w:w="2469" w:type="dxa"/>
            <w:shd w:val="clear" w:color="auto" w:fill="auto"/>
            <w:vAlign w:val="center"/>
          </w:tcPr>
          <w:p w14:paraId="3872A357">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基因变异相关肉瘤亚型</w:t>
            </w:r>
          </w:p>
        </w:tc>
        <w:tc>
          <w:tcPr>
            <w:tcW w:w="1823" w:type="dxa"/>
            <w:shd w:val="clear" w:color="auto" w:fill="auto"/>
            <w:vAlign w:val="center"/>
          </w:tcPr>
          <w:p w14:paraId="24A70F48">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Hans"/>
              </w:rPr>
              <w:t>证据等级</w:t>
            </w:r>
          </w:p>
        </w:tc>
      </w:tr>
      <w:tr w14:paraId="054470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3" w:hRule="atLeast"/>
          <w:jc w:val="center"/>
        </w:trPr>
        <w:tc>
          <w:tcPr>
            <w:tcW w:w="10028" w:type="dxa"/>
            <w:gridSpan w:val="4"/>
            <w:shd w:val="clear" w:color="auto" w:fill="auto"/>
            <w:vAlign w:val="center"/>
          </w:tcPr>
          <w:p w14:paraId="6F736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6DF36C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86" w:hRule="atLeast"/>
          <w:jc w:val="center"/>
        </w:trPr>
        <w:tc>
          <w:tcPr>
            <w:tcW w:w="10028" w:type="dxa"/>
            <w:gridSpan w:val="4"/>
            <w:shd w:val="clear" w:color="auto" w:fill="auto"/>
            <w:vAlign w:val="center"/>
          </w:tcPr>
          <w:p w14:paraId="3FF077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36FDEC9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227" w:hRule="atLeast"/>
          <w:jc w:val="center"/>
        </w:trPr>
        <w:tc>
          <w:tcPr>
            <w:tcW w:w="4436" w:type="dxa"/>
            <w:shd w:val="clear" w:color="auto" w:fill="auto"/>
            <w:vAlign w:val="center"/>
          </w:tcPr>
          <w:p w14:paraId="23807A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21A76A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shd w:val="clear" w:color="auto" w:fill="auto"/>
            <w:vAlign w:val="center"/>
          </w:tcPr>
          <w:p w14:paraId="4D51B7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shd w:val="clear" w:color="auto" w:fill="auto"/>
            <w:vAlign w:val="center"/>
          </w:tcPr>
          <w:p w14:paraId="37C91C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A8A3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shd w:val="clear" w:color="auto" w:fill="auto"/>
            <w:vAlign w:val="center"/>
          </w:tcPr>
          <w:p w14:paraId="25B6019D">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010D486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1191" w:hRule="atLeast"/>
          <w:jc w:val="center"/>
        </w:trPr>
        <w:tc>
          <w:tcPr>
            <w:tcW w:w="10028" w:type="dxa"/>
            <w:gridSpan w:val="4"/>
            <w:shd w:val="clear" w:color="auto" w:fill="auto"/>
            <w:vAlign w:val="center"/>
          </w:tcPr>
          <w:p w14:paraId="3DACC21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5F3D3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93" w:hRule="atLeast"/>
          <w:jc w:val="center"/>
        </w:trPr>
        <w:tc>
          <w:tcPr>
            <w:tcW w:w="10028" w:type="dxa"/>
            <w:gridSpan w:val="4"/>
            <w:shd w:val="clear" w:color="auto" w:fill="auto"/>
            <w:vAlign w:val="center"/>
          </w:tcPr>
          <w:p w14:paraId="1767E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58AD10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57" w:hRule="atLeast"/>
          <w:jc w:val="center"/>
        </w:trPr>
        <w:tc>
          <w:tcPr>
            <w:tcW w:w="4436" w:type="dxa"/>
            <w:shd w:val="clear" w:color="auto" w:fill="auto"/>
            <w:vAlign w:val="center"/>
          </w:tcPr>
          <w:p w14:paraId="7751267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shd w:val="clear" w:color="auto" w:fill="auto"/>
            <w:vAlign w:val="center"/>
          </w:tcPr>
          <w:p w14:paraId="4461326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shd w:val="clear" w:color="auto" w:fill="auto"/>
            <w:vAlign w:val="center"/>
          </w:tcPr>
          <w:p w14:paraId="2F178F7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shd w:val="clear" w:color="auto" w:fill="auto"/>
            <w:vAlign w:val="center"/>
          </w:tcPr>
          <w:p w14:paraId="3B7B653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B7CD57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12" w:hRule="atLeast"/>
          <w:jc w:val="center"/>
        </w:trPr>
        <w:tc>
          <w:tcPr>
            <w:tcW w:w="10028" w:type="dxa"/>
            <w:gridSpan w:val="4"/>
            <w:shd w:val="clear" w:color="auto" w:fill="auto"/>
            <w:vAlign w:val="center"/>
          </w:tcPr>
          <w:p w14:paraId="5D51A4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bookmarkEnd w:id="34"/>
    </w:tbl>
    <w:p w14:paraId="3F3F17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694DA72">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260E9AD6">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6704D2AE">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25DF01B5">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DA7093C">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AD370F4">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7292E390">
      <w:pPr>
        <w:numPr>
          <w:ilvl w:val="0"/>
          <w:numId w:val="3"/>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43CC8CAA">
      <w:pPr>
        <w:rPr>
          <w:rFonts w:hint="eastAsia"/>
        </w:rPr>
      </w:pPr>
      <w:r>
        <w:rPr>
          <w:rFonts w:hint="eastAsia"/>
        </w:rPr>
        <w:br w:type="page"/>
      </w:r>
    </w:p>
    <w:bookmarkEnd w:id="10"/>
    <w:bookmarkEnd w:id="11"/>
    <w:bookmarkEnd w:id="12"/>
    <w:bookmarkEnd w:id="13"/>
    <w:bookmarkEnd w:id="14"/>
    <w:bookmarkEnd w:id="15"/>
    <w:p w14:paraId="60695AE4">
      <w:p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24"/>
          <w:szCs w:val="24"/>
        </w:rPr>
        <w:t xml:space="preserve">{%if </w:t>
      </w:r>
      <w:r>
        <w:rPr>
          <w:rFonts w:ascii="Times New Roman" w:hAnsi="Times New Roman" w:eastAsia="微软雅黑" w:cs="Times New Roman"/>
          <w:sz w:val="24"/>
          <w:szCs w:val="24"/>
        </w:rPr>
        <w:t>PDInfo</w:t>
      </w:r>
      <w:r>
        <w:rPr>
          <w:rFonts w:hint="eastAsia" w:ascii="Times New Roman" w:hAnsi="Times New Roman" w:eastAsia="微软雅黑" w:cs="Times New Roman"/>
          <w:sz w:val="24"/>
          <w:szCs w:val="24"/>
        </w:rPr>
        <w:t xml:space="preserve"> != </w:t>
      </w:r>
      <w:r>
        <w:rPr>
          <w:rFonts w:ascii="Times New Roman" w:hAnsi="Times New Roman" w:eastAsia="微软雅黑" w:cs="Times New Roman"/>
          <w:sz w:val="24"/>
          <w:szCs w:val="24"/>
        </w:rPr>
        <w:t>undefined</w:t>
      </w:r>
      <w:r>
        <w:rPr>
          <w:rFonts w:hint="eastAsia" w:ascii="Times New Roman" w:hAnsi="Times New Roman" w:eastAsia="微软雅黑" w:cs="Times New Roman"/>
          <w:sz w:val="24"/>
          <w:szCs w:val="24"/>
        </w:rPr>
        <w:t xml:space="preserve"> %}</w:t>
      </w:r>
    </w:p>
    <w:p w14:paraId="44D0B6D1">
      <w:pPr>
        <w:pStyle w:val="3"/>
        <w:jc w:val="both"/>
        <w:rPr>
          <w:rFonts w:hint="eastAsia" w:ascii="微软雅黑" w:hAnsi="微软雅黑" w:eastAsia="微软雅黑" w:cs="微软雅黑"/>
          <w:color w:val="254061" w:themeColor="accent1" w:themeShade="80"/>
        </w:rPr>
      </w:pPr>
      <w:bookmarkStart w:id="16" w:name="_Toc20034"/>
      <w:bookmarkStart w:id="17" w:name="_Toc106719764"/>
      <w:bookmarkStart w:id="18" w:name="_Toc9387"/>
      <w:bookmarkStart w:id="19" w:name="_Toc10223"/>
      <w:r>
        <w:rPr>
          <w:rFonts w:hint="eastAsia" w:ascii="微软雅黑" w:hAnsi="微软雅黑" w:eastAsia="微软雅黑" w:cs="微软雅黑"/>
          <w:color w:val="254061" w:themeColor="accent1" w:themeShade="80"/>
        </w:rPr>
        <w:t>PD-L1检测结果</w:t>
      </w:r>
      <w:bookmarkEnd w:id="16"/>
      <w:bookmarkEnd w:id="17"/>
      <w:bookmarkEnd w:id="18"/>
      <w:bookmarkEnd w:id="19"/>
    </w:p>
    <w:p w14:paraId="16024F8A">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0859EC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71B20BEA">
            <w:pPr>
              <w:jc w:val="center"/>
              <w:rPr>
                <w:rFonts w:ascii="Times New Roman" w:hAnsi="Times New Roman" w:eastAsia="微软雅黑" w:cs="Times New Roman"/>
                <w:bCs/>
                <w:color w:val="000000"/>
                <w:sz w:val="18"/>
                <w:szCs w:val="18"/>
              </w:rPr>
            </w:pPr>
            <w:r>
              <w:rPr>
                <w:rFonts w:ascii="Times New Roman" w:hAnsi="Times New Roman" w:eastAsia="微软雅黑" w:cs="Times New Roman"/>
                <w:bCs/>
                <w:color w:val="000000"/>
                <w:sz w:val="18"/>
                <w:szCs w:val="18"/>
              </w:rPr>
              <w:t>肿瘤细胞数是否大于</w:t>
            </w:r>
            <w:r>
              <w:rPr>
                <w:rFonts w:hint="eastAsia" w:ascii="Times New Roman" w:hAnsi="Times New Roman" w:eastAsia="微软雅黑" w:cs="Times New Roman"/>
                <w:bCs/>
                <w:color w:val="000000"/>
                <w:sz w:val="18"/>
                <w:szCs w:val="18"/>
              </w:rPr>
              <w:t>1</w:t>
            </w:r>
            <w:r>
              <w:rPr>
                <w:rFonts w:ascii="Times New Roman" w:hAnsi="Times New Roman" w:eastAsia="微软雅黑" w:cs="Times New Roman"/>
                <w:bCs/>
                <w:color w:val="000000"/>
                <w:sz w:val="18"/>
                <w:szCs w:val="18"/>
              </w:rPr>
              <w:t>00个</w:t>
            </w:r>
          </w:p>
        </w:tc>
        <w:tc>
          <w:tcPr>
            <w:tcW w:w="6775" w:type="dxa"/>
            <w:tcBorders>
              <w:tl2br w:val="nil"/>
              <w:tr2bl w:val="nil"/>
            </w:tcBorders>
            <w:vAlign w:val="center"/>
          </w:tcPr>
          <w:p w14:paraId="56800558">
            <w:pPr>
              <w:pStyle w:val="57"/>
            </w:pPr>
            <w:r>
              <w:rPr>
                <w:rFonts w:hint="eastAsia"/>
              </w:rPr>
              <w:t>{{</w:t>
            </w:r>
            <w:r>
              <w:t xml:space="preserve"> PDInfo</w:t>
            </w:r>
            <w:r>
              <w:rPr>
                <w:rFonts w:hint="eastAsia"/>
              </w:rPr>
              <w:t>.</w:t>
            </w:r>
            <w:r>
              <w:t>Tumor_cell_count</w:t>
            </w:r>
            <w:r>
              <w:rPr>
                <w:rFonts w:hint="eastAsia"/>
              </w:rPr>
              <w:t xml:space="preserve"> }}</w:t>
            </w:r>
          </w:p>
        </w:tc>
      </w:tr>
      <w:tr w14:paraId="762D23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CC6EADD">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3CA5E8C3">
      <w:pPr>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if</w:t>
      </w:r>
      <w:r>
        <w:rPr>
          <w:rFonts w:ascii="Times New Roman" w:hAnsi="Times New Roman" w:eastAsia="微软雅黑" w:cs="Times New Roman"/>
          <w:b/>
          <w:sz w:val="21"/>
          <w:szCs w:val="21"/>
        </w:rPr>
        <w:t xml:space="preserve"> PDInfo</w:t>
      </w:r>
      <w:r>
        <w:rPr>
          <w:rFonts w:hint="eastAsia" w:ascii="Times New Roman" w:hAnsi="Times New Roman" w:eastAsia="微软雅黑" w:cs="Times New Roman"/>
          <w:b/>
          <w:sz w:val="21"/>
          <w:szCs w:val="21"/>
        </w:rPr>
        <w:t>.</w:t>
      </w:r>
      <w:r>
        <w:rPr>
          <w:rFonts w:ascii="Times New Roman" w:hAnsi="Times New Roman" w:eastAsia="微软雅黑" w:cs="Times New Roman"/>
          <w:b/>
          <w:sz w:val="21"/>
          <w:szCs w:val="21"/>
        </w:rPr>
        <w:t>he_PIC_status</w:t>
      </w:r>
      <w:r>
        <w:rPr>
          <w:rFonts w:hint="eastAsia" w:ascii="Times New Roman" w:hAnsi="Times New Roman" w:eastAsia="微软雅黑" w:cs="Times New Roman"/>
          <w:b/>
          <w:sz w:val="21"/>
          <w:szCs w:val="21"/>
        </w:rPr>
        <w:t xml:space="preserve"> %}</w:t>
      </w:r>
    </w:p>
    <w:p w14:paraId="43DF483F">
      <w:pPr>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xml:space="preserve">{{ </w:t>
      </w:r>
      <w:r>
        <w:rPr>
          <w:rFonts w:ascii="Times New Roman" w:hAnsi="Times New Roman" w:eastAsia="微软雅黑" w:cs="Times New Roman"/>
          <w:b/>
          <w:sz w:val="21"/>
          <w:szCs w:val="21"/>
        </w:rPr>
        <w:t>PDInfo</w:t>
      </w:r>
      <w:r>
        <w:rPr>
          <w:rFonts w:hint="eastAsia" w:ascii="Times New Roman" w:hAnsi="Times New Roman" w:eastAsia="微软雅黑" w:cs="Times New Roman"/>
          <w:b/>
          <w:sz w:val="21"/>
          <w:szCs w:val="21"/>
        </w:rPr>
        <w:t>.</w:t>
      </w:r>
      <w:r>
        <w:rPr>
          <w:rFonts w:ascii="Times New Roman" w:hAnsi="Times New Roman" w:eastAsia="微软雅黑" w:cs="Times New Roman"/>
          <w:b/>
          <w:sz w:val="21"/>
          <w:szCs w:val="21"/>
        </w:rPr>
        <w:t>he_PIC</w:t>
      </w:r>
      <w:r>
        <w:rPr>
          <w:rFonts w:hint="eastAsia" w:ascii="Times New Roman" w:hAnsi="Times New Roman" w:eastAsia="微软雅黑" w:cs="Times New Roman"/>
          <w:b/>
          <w:sz w:val="21"/>
          <w:szCs w:val="21"/>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rPr>
        <w:t xml:space="preserve"> }}{% endif %}</w:t>
      </w:r>
    </w:p>
    <w:p w14:paraId="67E376B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1C4D7464">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194"/>
        <w:gridCol w:w="2127"/>
        <w:gridCol w:w="2190"/>
        <w:gridCol w:w="3693"/>
      </w:tblGrid>
      <w:tr w14:paraId="6C2E24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276DF1E">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检测项目</w:t>
            </w:r>
          </w:p>
        </w:tc>
        <w:tc>
          <w:tcPr>
            <w:tcW w:w="2127" w:type="dxa"/>
            <w:tcBorders>
              <w:tl2br w:val="nil"/>
              <w:tr2bl w:val="nil"/>
            </w:tcBorders>
            <w:shd w:val="clear" w:color="auto" w:fill="auto"/>
            <w:vAlign w:val="center"/>
          </w:tcPr>
          <w:p w14:paraId="055A63FC">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检测方法</w:t>
            </w:r>
          </w:p>
        </w:tc>
        <w:tc>
          <w:tcPr>
            <w:tcW w:w="2190" w:type="dxa"/>
            <w:tcBorders>
              <w:tl2br w:val="nil"/>
              <w:tr2bl w:val="nil"/>
            </w:tcBorders>
            <w:shd w:val="clear" w:color="auto" w:fill="auto"/>
          </w:tcPr>
          <w:p w14:paraId="77BA651A">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检测抗体</w:t>
            </w:r>
          </w:p>
        </w:tc>
        <w:tc>
          <w:tcPr>
            <w:tcW w:w="3693" w:type="dxa"/>
            <w:tcBorders>
              <w:tl2br w:val="nil"/>
              <w:tr2bl w:val="nil"/>
            </w:tcBorders>
            <w:shd w:val="clear" w:color="auto" w:fill="auto"/>
            <w:vAlign w:val="center"/>
          </w:tcPr>
          <w:p w14:paraId="44C59D3E">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检测结果</w:t>
            </w:r>
          </w:p>
        </w:tc>
      </w:tr>
      <w:tr w14:paraId="17E48F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141A97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0F0ED8B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479D2EA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7412FF99">
            <w:pPr>
              <w:pStyle w:val="59"/>
              <w:rPr>
                <w:rFonts w:hint="eastAsia"/>
              </w:rPr>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850A3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365CA326">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AEBC3C5">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61C223AC">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6FDF65C8">
            <w:pPr>
              <w:pStyle w:val="59"/>
              <w:rPr>
                <w:rFonts w:hint="eastAsia"/>
              </w:rPr>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AB3903">
      <w:pPr>
        <w:spacing w:line="276" w:lineRule="auto"/>
        <w:ind w:right="449" w:rightChars="204"/>
        <w:rPr>
          <w:rFonts w:hint="eastAsia" w:ascii="微软雅黑" w:hAnsi="微软雅黑" w:eastAsia="微软雅黑" w:cs="微软雅黑"/>
          <w:b/>
          <w:color w:val="000000"/>
          <w:sz w:val="18"/>
          <w:szCs w:val="18"/>
        </w:rPr>
      </w:pPr>
    </w:p>
    <w:p w14:paraId="5BB71F39">
      <w:pPr>
        <w:pStyle w:val="3"/>
        <w:numPr>
          <w:ilvl w:val="1"/>
          <w:numId w:val="0"/>
        </w:numPr>
        <w:ind w:left="1113" w:hanging="673"/>
        <w:jc w:val="both"/>
        <w:rPr>
          <w:rFonts w:hint="eastAsia" w:ascii="微软雅黑" w:hAnsi="微软雅黑" w:eastAsia="微软雅黑" w:cs="微软雅黑"/>
          <w:bCs/>
          <w:color w:val="244061"/>
          <w:sz w:val="28"/>
          <w:szCs w:val="28"/>
        </w:rPr>
      </w:pPr>
      <w:r>
        <w:rPr>
          <w:rFonts w:hint="eastAsia" w:ascii="微软雅黑" w:hAnsi="微软雅黑" w:eastAsia="微软雅黑" w:cs="微软雅黑"/>
          <w:color w:val="254061" w:themeColor="accent1" w:themeShade="80"/>
          <w:sz w:val="28"/>
          <w:szCs w:val="28"/>
        </w:rPr>
        <w:t>检测图谱：</w:t>
      </w:r>
      <w:r>
        <w:rPr>
          <w:rFonts w:hint="eastAsia" w:ascii="微软雅黑" w:hAnsi="微软雅黑" w:eastAsia="微软雅黑" w:cs="微软雅黑"/>
          <w:bCs/>
          <w:color w:val="244061"/>
          <w:sz w:val="28"/>
          <w:szCs w:val="28"/>
        </w:rPr>
        <w:t xml:space="preserve"> </w:t>
      </w:r>
    </w:p>
    <w:p w14:paraId="1B35C6B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A6C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91541BA">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pdi(131,94.4) }}{% endif %}</w:t>
            </w:r>
          </w:p>
        </w:tc>
        <w:tc>
          <w:tcPr>
            <w:tcW w:w="3118" w:type="dxa"/>
            <w:vAlign w:val="center"/>
          </w:tcPr>
          <w:p w14:paraId="3F878850">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pdi(131,94.4) }}{% endif %}</w:t>
            </w:r>
          </w:p>
        </w:tc>
        <w:tc>
          <w:tcPr>
            <w:tcW w:w="3118" w:type="dxa"/>
            <w:vAlign w:val="center"/>
          </w:tcPr>
          <w:p w14:paraId="4D8535C3">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pdi(131,94.4) }}{% endif %}</w:t>
            </w:r>
          </w:p>
        </w:tc>
      </w:tr>
      <w:tr w14:paraId="6334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6AE049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F2B56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24F76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79E1DBD">
      <w:pPr>
        <w:spacing w:line="276" w:lineRule="auto"/>
        <w:ind w:left="1252" w:leftChars="78" w:right="449" w:rightChars="204" w:hanging="1080" w:hangingChars="600"/>
        <w:rPr>
          <w:rFonts w:ascii="Times New Roman" w:hAnsi="Times New Roman" w:eastAsia="微软雅黑" w:cs="Times New Roman"/>
          <w:sz w:val="18"/>
          <w:szCs w:val="18"/>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64D87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E7D725">
            <w:pPr>
              <w:wordWrap w:val="0"/>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TPS（Tumor Proportion Score）=</w:t>
            </w:r>
          </w:p>
        </w:tc>
        <w:tc>
          <w:tcPr>
            <w:tcW w:w="4318" w:type="dxa"/>
            <w:tcBorders>
              <w:bottom w:val="single" w:color="auto" w:sz="4" w:space="0"/>
            </w:tcBorders>
            <w:vAlign w:val="center"/>
          </w:tcPr>
          <w:p w14:paraId="6435671A">
            <w:pPr>
              <w:spacing w:line="276" w:lineRule="auto"/>
              <w:jc w:val="center"/>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P</w:t>
            </w:r>
            <w:r>
              <w:rPr>
                <w:rFonts w:hint="eastAsia" w:ascii="Times New Roman" w:hAnsi="Times New Roman" w:eastAsia="微软雅黑" w:cs="Times New Roman"/>
                <w:sz w:val="18"/>
                <w:szCs w:val="18"/>
                <w:shd w:val="clear" w:color="auto" w:fill="FFFFFF"/>
              </w:rPr>
              <w:t>D-L1染色细胞(肿瘤细胞)数量</w:t>
            </w:r>
          </w:p>
        </w:tc>
        <w:tc>
          <w:tcPr>
            <w:tcW w:w="2168" w:type="dxa"/>
            <w:gridSpan w:val="2"/>
            <w:vMerge w:val="restart"/>
            <w:vAlign w:val="center"/>
          </w:tcPr>
          <w:p w14:paraId="6FC14747">
            <w:pPr>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×100%</w:t>
            </w:r>
          </w:p>
        </w:tc>
      </w:tr>
      <w:tr w14:paraId="6ABF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E9FB8F3">
            <w:pPr>
              <w:spacing w:line="276" w:lineRule="auto"/>
              <w:jc w:val="both"/>
              <w:rPr>
                <w:rFonts w:ascii="Times New Roman" w:hAnsi="Times New Roman" w:eastAsia="微软雅黑" w:cs="Times New Roman"/>
                <w:sz w:val="18"/>
                <w:szCs w:val="18"/>
                <w:shd w:val="clear" w:color="auto" w:fill="FFFFFF"/>
              </w:rPr>
            </w:pPr>
          </w:p>
        </w:tc>
        <w:tc>
          <w:tcPr>
            <w:tcW w:w="4318" w:type="dxa"/>
            <w:tcBorders>
              <w:top w:val="single" w:color="auto" w:sz="4" w:space="0"/>
            </w:tcBorders>
            <w:vAlign w:val="center"/>
          </w:tcPr>
          <w:p w14:paraId="3087355E">
            <w:pPr>
              <w:spacing w:line="276" w:lineRule="auto"/>
              <w:jc w:val="center"/>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活的肿瘤细胞总数</w:t>
            </w:r>
          </w:p>
        </w:tc>
        <w:tc>
          <w:tcPr>
            <w:tcW w:w="2168" w:type="dxa"/>
            <w:gridSpan w:val="2"/>
            <w:vMerge w:val="continue"/>
          </w:tcPr>
          <w:p w14:paraId="4E1730FD">
            <w:pPr>
              <w:spacing w:line="276" w:lineRule="auto"/>
              <w:jc w:val="left"/>
              <w:rPr>
                <w:rFonts w:ascii="Times New Roman" w:hAnsi="Times New Roman" w:eastAsia="微软雅黑" w:cs="Times New Roman"/>
                <w:sz w:val="18"/>
                <w:szCs w:val="18"/>
                <w:shd w:val="clear" w:color="auto" w:fill="FFFFFF"/>
              </w:rPr>
            </w:pPr>
          </w:p>
        </w:tc>
      </w:tr>
      <w:tr w14:paraId="39C4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2F7CC85">
            <w:pPr>
              <w:wordWrap w:val="0"/>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CPS（Combined Positive Score）=</w:t>
            </w:r>
          </w:p>
        </w:tc>
        <w:tc>
          <w:tcPr>
            <w:tcW w:w="5710" w:type="dxa"/>
            <w:gridSpan w:val="2"/>
            <w:tcBorders>
              <w:bottom w:val="single" w:color="auto" w:sz="4" w:space="0"/>
            </w:tcBorders>
            <w:vAlign w:val="center"/>
          </w:tcPr>
          <w:p w14:paraId="376DD88B">
            <w:pPr>
              <w:spacing w:line="276" w:lineRule="auto"/>
              <w:jc w:val="cente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PD-L1染色细胞(肿瘤细胞+淋巴细胞+巨噬细胞)数量</w:t>
            </w:r>
          </w:p>
        </w:tc>
        <w:tc>
          <w:tcPr>
            <w:tcW w:w="776" w:type="dxa"/>
            <w:vMerge w:val="restart"/>
            <w:vAlign w:val="center"/>
          </w:tcPr>
          <w:p w14:paraId="0C191841">
            <w:pPr>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×100</w:t>
            </w:r>
          </w:p>
        </w:tc>
      </w:tr>
      <w:tr w14:paraId="4226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35560F4">
            <w:pPr>
              <w:spacing w:line="276" w:lineRule="auto"/>
              <w:jc w:val="left"/>
              <w:rPr>
                <w:rFonts w:ascii="Times New Roman" w:hAnsi="Times New Roman" w:eastAsia="微软雅黑" w:cs="Times New Roman"/>
                <w:sz w:val="18"/>
                <w:szCs w:val="18"/>
                <w:shd w:val="clear" w:color="auto" w:fill="FFFFFF"/>
              </w:rPr>
            </w:pPr>
          </w:p>
        </w:tc>
        <w:tc>
          <w:tcPr>
            <w:tcW w:w="5710" w:type="dxa"/>
            <w:gridSpan w:val="2"/>
            <w:tcBorders>
              <w:top w:val="single" w:color="auto" w:sz="4" w:space="0"/>
            </w:tcBorders>
            <w:vAlign w:val="center"/>
          </w:tcPr>
          <w:p w14:paraId="6D754528">
            <w:pPr>
              <w:spacing w:line="276" w:lineRule="auto"/>
              <w:jc w:val="cente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活的肿瘤细胞总数</w:t>
            </w:r>
          </w:p>
        </w:tc>
        <w:tc>
          <w:tcPr>
            <w:tcW w:w="776" w:type="dxa"/>
            <w:vMerge w:val="continue"/>
          </w:tcPr>
          <w:p w14:paraId="46EB0B8A">
            <w:pPr>
              <w:spacing w:line="276" w:lineRule="auto"/>
              <w:jc w:val="left"/>
              <w:rPr>
                <w:rFonts w:ascii="Times New Roman" w:hAnsi="Times New Roman" w:eastAsia="微软雅黑" w:cs="Times New Roman"/>
                <w:sz w:val="18"/>
                <w:szCs w:val="18"/>
                <w:shd w:val="clear" w:color="auto" w:fill="FFFFFF"/>
              </w:rPr>
            </w:pPr>
          </w:p>
        </w:tc>
      </w:tr>
    </w:tbl>
    <w:p w14:paraId="58E1697A">
      <w:pPr>
        <w:spacing w:line="276" w:lineRule="auto"/>
        <w:ind w:firstLine="360" w:firstLineChars="200"/>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ab/>
      </w:r>
      <w:r>
        <w:rPr>
          <w:rFonts w:hint="eastAsia" w:ascii="Times New Roman" w:hAnsi="Times New Roman" w:eastAsia="微软雅黑" w:cs="Times New Roman"/>
          <w:sz w:val="18"/>
          <w:szCs w:val="18"/>
          <w:shd w:val="clear" w:color="auto" w:fill="FFFFFF"/>
        </w:rPr>
        <w:t>CPS</w:t>
      </w:r>
      <w:r>
        <w:rPr>
          <w:rFonts w:ascii="Times New Roman" w:hAnsi="Times New Roman" w:eastAsia="微软雅黑" w:cs="Times New Roman"/>
          <w:sz w:val="18"/>
          <w:szCs w:val="18"/>
          <w:shd w:val="clear" w:color="auto" w:fill="FFFFFF"/>
        </w:rPr>
        <w:t>结果采用0~100数值来表示</w:t>
      </w:r>
      <w:r>
        <w:rPr>
          <w:rFonts w:hint="eastAsia" w:ascii="Times New Roman" w:hAnsi="Times New Roman" w:eastAsia="微软雅黑" w:cs="Times New Roman"/>
          <w:sz w:val="18"/>
          <w:szCs w:val="18"/>
          <w:shd w:val="clear" w:color="auto" w:fill="FFFFFF"/>
        </w:rPr>
        <w:t>，</w:t>
      </w:r>
      <w:r>
        <w:rPr>
          <w:rFonts w:ascii="Times New Roman" w:hAnsi="Times New Roman" w:eastAsia="微软雅黑" w:cs="Times New Roman"/>
          <w:sz w:val="18"/>
          <w:szCs w:val="18"/>
          <w:shd w:val="clear" w:color="auto" w:fill="FFFFFF"/>
        </w:rPr>
        <w:t>当计算结果超过100时，最终结果按照100来计算。</w:t>
      </w:r>
    </w:p>
    <w:p w14:paraId="5A9848CE">
      <w:pPr>
        <w:spacing w:line="276" w:lineRule="auto"/>
        <w:ind w:left="172" w:leftChars="78" w:right="449" w:rightChars="204" w:firstLine="248"/>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程序性死亡</w:t>
      </w:r>
      <w:r>
        <w:rPr>
          <w:rFonts w:hint="eastAsia" w:ascii="Times New Roman" w:hAnsi="Times New Roman" w:eastAsia="微软雅黑" w:cs="Times New Roman"/>
          <w:sz w:val="18"/>
          <w:szCs w:val="18"/>
          <w:shd w:val="clear" w:color="auto" w:fill="FFFFFF"/>
        </w:rPr>
        <w:t>受体</w:t>
      </w:r>
      <w:r>
        <w:rPr>
          <w:rFonts w:ascii="Times New Roman" w:hAnsi="Times New Roman" w:eastAsia="微软雅黑" w:cs="Times New Roman"/>
          <w:sz w:val="18"/>
          <w:szCs w:val="18"/>
          <w:shd w:val="clear" w:color="auto" w:fill="FFFFFF"/>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rPr>
        <w:t>,其中</w:t>
      </w:r>
      <w:r>
        <w:rPr>
          <w:rFonts w:ascii="Times New Roman" w:hAnsi="Times New Roman" w:eastAsia="微软雅黑" w:cs="Times New Roman"/>
          <w:sz w:val="18"/>
          <w:szCs w:val="18"/>
          <w:shd w:val="clear" w:color="auto" w:fill="FFFFFF"/>
        </w:rPr>
        <w:t>肿瘤组织中PD-L1的表达水平对预测PD-1和PD-L1抑制剂疗效具有重要意义</w:t>
      </w:r>
      <w:r>
        <w:rPr>
          <w:rFonts w:hint="eastAsia" w:ascii="Times New Roman" w:hAnsi="Times New Roman" w:eastAsia="微软雅黑" w:cs="Times New Roman"/>
          <w:sz w:val="18"/>
          <w:szCs w:val="18"/>
          <w:shd w:val="clear" w:color="auto" w:fill="FFFFFF"/>
        </w:rPr>
        <w:t>。</w:t>
      </w:r>
    </w:p>
    <w:p w14:paraId="1F2DFEB9">
      <w:pPr>
        <w:rPr>
          <w:rFonts w:ascii="Times New Roman" w:hAnsi="Times New Roman" w:eastAsia="微软雅黑" w:cs="Times New Roman"/>
          <w:b/>
          <w:bCs/>
        </w:rPr>
      </w:pPr>
      <w:r>
        <w:rPr>
          <w:rFonts w:ascii="Times New Roman" w:hAnsi="Times New Roman" w:eastAsia="微软雅黑" w:cs="Times New Roman"/>
          <w:b/>
          <w:bCs/>
        </w:rPr>
        <w:br w:type="page"/>
      </w:r>
    </w:p>
    <w:p w14:paraId="4291CAA9">
      <w:pPr>
        <w:rPr>
          <w:rFonts w:ascii="Times New Roman" w:hAnsi="Times New Roman" w:eastAsia="微软雅黑" w:cs="Times New Roman"/>
          <w:sz w:val="24"/>
          <w:szCs w:val="24"/>
        </w:rPr>
      </w:pPr>
      <w:r>
        <w:rPr>
          <w:rFonts w:hint="eastAsia" w:ascii="Times New Roman" w:hAnsi="Times New Roman" w:eastAsia="微软雅黑" w:cs="Times New Roman"/>
          <w:sz w:val="24"/>
          <w:szCs w:val="24"/>
        </w:rPr>
        <w:t xml:space="preserve">{%if </w:t>
      </w:r>
      <w:r>
        <w:rPr>
          <w:rFonts w:ascii="Times New Roman" w:hAnsi="Times New Roman" w:eastAsia="微软雅黑" w:cs="Times New Roman"/>
          <w:sz w:val="24"/>
          <w:szCs w:val="24"/>
        </w:rPr>
        <w:t>PDInfo</w:t>
      </w:r>
      <w:r>
        <w:rPr>
          <w:rFonts w:hint="eastAsia" w:ascii="Times New Roman" w:hAnsi="Times New Roman" w:eastAsia="微软雅黑" w:cs="Times New Roman"/>
          <w:sz w:val="24"/>
          <w:szCs w:val="24"/>
        </w:rPr>
        <w:t>.pdInfoTable != [] %}</w:t>
      </w:r>
    </w:p>
    <w:p w14:paraId="6E188BDC">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PD-L1表达阳性阈值：</w:t>
      </w:r>
    </w:p>
    <w:p w14:paraId="3EBA684A">
      <w:pPr>
        <w:pStyle w:val="10"/>
        <w:spacing w:before="18"/>
        <w:rPr>
          <w:rFonts w:hint="eastAsia"/>
          <w:b/>
          <w:sz w:val="6"/>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33632D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103FB1FB">
            <w:pPr>
              <w:pStyle w:val="33"/>
              <w:autoSpaceDE w:val="0"/>
              <w:autoSpaceDN w:val="0"/>
              <w:ind w:right="164"/>
              <w:jc w:val="center"/>
              <w:rPr>
                <w:rFonts w:hint="eastAsia" w:ascii="微软雅黑" w:hAnsi="微软雅黑" w:eastAsia="微软雅黑" w:cs="微软雅黑"/>
                <w:b/>
                <w:color w:val="244061"/>
                <w:lang w:val="zh-CN" w:bidi="zh-CN"/>
              </w:rPr>
            </w:pPr>
            <w:r>
              <w:rPr>
                <w:rFonts w:ascii="微软雅黑" w:hAnsi="微软雅黑" w:eastAsia="微软雅黑" w:cs="微软雅黑"/>
                <w:b/>
                <w:color w:val="244061"/>
                <w:lang w:val="zh-CN" w:bidi="zh-CN"/>
              </w:rPr>
              <w:t>癌种</w:t>
            </w:r>
          </w:p>
        </w:tc>
        <w:tc>
          <w:tcPr>
            <w:tcW w:w="2093" w:type="dxa"/>
            <w:shd w:val="clear" w:color="auto" w:fill="auto"/>
            <w:vAlign w:val="center"/>
          </w:tcPr>
          <w:p w14:paraId="769BAE84">
            <w:pPr>
              <w:pStyle w:val="33"/>
              <w:autoSpaceDE w:val="0"/>
              <w:autoSpaceDN w:val="0"/>
              <w:ind w:right="164"/>
              <w:jc w:val="center"/>
              <w:rPr>
                <w:rFonts w:hint="eastAsia" w:ascii="微软雅黑" w:hAnsi="微软雅黑" w:eastAsia="微软雅黑" w:cs="微软雅黑"/>
                <w:b/>
                <w:color w:val="244061"/>
                <w:lang w:val="zh-CN" w:bidi="zh-CN"/>
              </w:rPr>
            </w:pPr>
            <w:r>
              <w:rPr>
                <w:rFonts w:ascii="微软雅黑" w:hAnsi="微软雅黑" w:eastAsia="微软雅黑" w:cs="微软雅黑"/>
                <w:b/>
                <w:color w:val="244061"/>
                <w:lang w:val="zh-CN" w:bidi="zh-CN"/>
              </w:rPr>
              <w:t>判读标准</w:t>
            </w:r>
          </w:p>
        </w:tc>
        <w:tc>
          <w:tcPr>
            <w:tcW w:w="5504" w:type="dxa"/>
            <w:shd w:val="clear" w:color="auto" w:fill="auto"/>
            <w:vAlign w:val="center"/>
          </w:tcPr>
          <w:p w14:paraId="4D82F0F8">
            <w:pPr>
              <w:pStyle w:val="33"/>
              <w:autoSpaceDE w:val="0"/>
              <w:autoSpaceDN w:val="0"/>
              <w:ind w:right="164"/>
              <w:jc w:val="center"/>
              <w:rPr>
                <w:rFonts w:hint="eastAsia" w:ascii="微软雅黑" w:hAnsi="微软雅黑" w:eastAsia="微软雅黑" w:cs="微软雅黑"/>
                <w:b/>
                <w:color w:val="244061"/>
                <w:lang w:val="zh-CN" w:bidi="zh-CN"/>
              </w:rPr>
            </w:pPr>
            <w:r>
              <w:rPr>
                <w:rFonts w:hint="eastAsia" w:ascii="微软雅黑" w:hAnsi="微软雅黑" w:eastAsia="微软雅黑" w:cs="微软雅黑"/>
                <w:b/>
                <w:color w:val="244061"/>
                <w:lang w:val="zh-CN" w:bidi="zh-CN"/>
              </w:rPr>
              <w:t>临床意义</w:t>
            </w:r>
          </w:p>
        </w:tc>
      </w:tr>
      <w:tr w14:paraId="3512B8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EC3B564">
            <w:pPr>
              <w:pStyle w:val="33"/>
              <w:autoSpaceDE w:val="0"/>
              <w:autoSpaceDN w:val="0"/>
              <w:spacing w:before="1"/>
              <w:ind w:right="115"/>
              <w:jc w:val="center"/>
              <w:rPr>
                <w:rFonts w:hint="eastAsia" w:ascii="微软雅黑" w:hAnsi="微软雅黑" w:eastAsia="微软雅黑" w:cs="微软雅黑"/>
                <w:sz w:val="18"/>
                <w:szCs w:val="18"/>
                <w:lang w:bidi="zh-CN"/>
              </w:rPr>
            </w:pPr>
            <w:r>
              <w:rPr>
                <w:rFonts w:hint="eastAsia" w:ascii="Times New Roman" w:hAnsi="Times New Roman" w:eastAsia="微软雅黑" w:cs="Times New Roman"/>
                <w:bCs/>
                <w:sz w:val="18"/>
                <w:szCs w:val="18"/>
              </w:rPr>
              <w:t>{%tr for pd in PDInfo.pdInfoTable %}</w:t>
            </w:r>
          </w:p>
        </w:tc>
      </w:tr>
      <w:tr w14:paraId="01B78C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jc w:val="center"/>
        </w:trPr>
        <w:tc>
          <w:tcPr>
            <w:tcW w:w="2043" w:type="dxa"/>
            <w:vAlign w:val="center"/>
          </w:tcPr>
          <w:p w14:paraId="2A4024B1">
            <w:pPr>
              <w:pStyle w:val="33"/>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pd.disease_name }}</w:t>
            </w:r>
          </w:p>
        </w:tc>
        <w:tc>
          <w:tcPr>
            <w:tcW w:w="2093" w:type="dxa"/>
            <w:vAlign w:val="center"/>
          </w:tcPr>
          <w:p w14:paraId="79CC57BD">
            <w:pPr>
              <w:pStyle w:val="33"/>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pd.interpretive_standard }}</w:t>
            </w:r>
          </w:p>
        </w:tc>
        <w:tc>
          <w:tcPr>
            <w:tcW w:w="5504" w:type="dxa"/>
            <w:vAlign w:val="center"/>
          </w:tcPr>
          <w:p w14:paraId="2F4EEBC4">
            <w:pPr>
              <w:pStyle w:val="33"/>
              <w:autoSpaceDE w:val="0"/>
              <w:autoSpaceDN w:val="0"/>
              <w:spacing w:before="24" w:beforeLines="10" w:after="24" w:afterLines="10"/>
              <w:ind w:left="88" w:leftChars="40" w:right="113"/>
              <w:rPr>
                <w:rFonts w:hint="eastAsia" w:ascii="微软雅黑" w:hAnsi="微软雅黑" w:eastAsia="微软雅黑" w:cs="微软雅黑"/>
                <w:sz w:val="18"/>
                <w:szCs w:val="18"/>
                <w:lang w:bidi="zh-CN"/>
              </w:rPr>
            </w:pPr>
            <w:r>
              <w:rPr>
                <w:rFonts w:hint="eastAsia" w:ascii="微软雅黑" w:hAnsi="微软雅黑" w:eastAsia="微软雅黑" w:cs="微软雅黑"/>
                <w:sz w:val="18"/>
                <w:szCs w:val="18"/>
              </w:rPr>
              <w:t>{{ pd.clinical_significance }}</w:t>
            </w:r>
            <w:r>
              <w:rPr>
                <w:rFonts w:hint="eastAsia" w:ascii="微软雅黑" w:hAnsi="微软雅黑" w:eastAsia="微软雅黑" w:cs="微软雅黑"/>
                <w:sz w:val="18"/>
                <w:szCs w:val="18"/>
                <w:vertAlign w:val="superscript"/>
              </w:rPr>
              <w:t>{{ pd.superscript }}</w:t>
            </w:r>
          </w:p>
        </w:tc>
      </w:tr>
      <w:tr w14:paraId="67A12D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99BC353">
            <w:pPr>
              <w:pStyle w:val="33"/>
              <w:autoSpaceDE w:val="0"/>
              <w:autoSpaceDN w:val="0"/>
              <w:spacing w:before="1"/>
              <w:ind w:right="115"/>
              <w:jc w:val="center"/>
              <w:rPr>
                <w:rFonts w:hint="eastAsia" w:ascii="微软雅黑" w:hAnsi="微软雅黑" w:eastAsia="微软雅黑" w:cs="微软雅黑"/>
                <w:sz w:val="18"/>
                <w:szCs w:val="18"/>
                <w:lang w:bidi="zh-CN"/>
              </w:rPr>
            </w:pPr>
            <w:r>
              <w:rPr>
                <w:rFonts w:hint="eastAsia" w:ascii="Times New Roman" w:hAnsi="Times New Roman" w:eastAsia="微软雅黑" w:cs="Times New Roman"/>
                <w:bCs/>
                <w:sz w:val="18"/>
                <w:szCs w:val="18"/>
              </w:rPr>
              <w:t>{%tr endfor %}</w:t>
            </w:r>
          </w:p>
        </w:tc>
      </w:tr>
    </w:tbl>
    <w:p w14:paraId="2D4D4400">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rPr>
        <w:t xml:space="preserve">{%if </w:t>
      </w:r>
      <w:r>
        <w:rPr>
          <w:rFonts w:hint="eastAsia" w:ascii="Times New Roman" w:hAnsi="Times New Roman" w:eastAsia="微软雅黑" w:cs="Times New Roman"/>
          <w:bCs/>
          <w:sz w:val="18"/>
          <w:szCs w:val="18"/>
        </w:rPr>
        <w:t>PDInfo.superscript_remark == True %</w:t>
      </w:r>
      <w:r>
        <w:rPr>
          <w:rFonts w:hint="eastAsia" w:ascii="Times New Roman" w:hAnsi="Times New Roman" w:eastAsia="微软雅黑" w:cs="Times New Roman"/>
          <w:sz w:val="18"/>
          <w:szCs w:val="18"/>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rPr>
        <w:t>{% endif %}</w:t>
      </w:r>
    </w:p>
    <w:p w14:paraId="083674E4">
      <w:pPr>
        <w:widowControl/>
        <w:rPr>
          <w:rFonts w:ascii="Times New Roman" w:hAnsi="Times New Roman" w:eastAsia="微软雅黑" w:cs="Times New Roman"/>
          <w:b/>
          <w:bCs/>
        </w:rPr>
      </w:pPr>
      <w:r>
        <w:rPr>
          <w:rFonts w:ascii="Times New Roman" w:hAnsi="Times New Roman" w:eastAsia="微软雅黑" w:cs="Times New Roman"/>
          <w:b/>
          <w:bCs/>
        </w:rPr>
        <w:br w:type="page"/>
      </w:r>
      <w:r>
        <w:rPr>
          <w:rFonts w:hint="eastAsia" w:ascii="Times New Roman" w:hAnsi="Times New Roman" w:eastAsia="微软雅黑" w:cs="Times New Roman"/>
          <w:sz w:val="24"/>
          <w:szCs w:val="24"/>
        </w:rPr>
        <w:t>{% endif %}{% endif %}</w:t>
      </w:r>
    </w:p>
    <w:p w14:paraId="2C2F0DD8">
      <w:pPr>
        <w:jc w:val="center"/>
        <w:outlineLvl w:val="0"/>
        <w:rPr>
          <w:rFonts w:hint="eastAsia" w:ascii="微软雅黑" w:hAnsi="微软雅黑" w:eastAsia="微软雅黑" w:cs="微软雅黑"/>
          <w:b/>
          <w:bCs/>
          <w:color w:val="FFFFFF"/>
          <w:sz w:val="36"/>
          <w:szCs w:val="36"/>
          <w:shd w:val="clear" w:color="auto" w:fill="1F3864"/>
        </w:rPr>
      </w:pPr>
      <w:bookmarkStart w:id="20" w:name="_Toc25428"/>
      <w:bookmarkStart w:id="21" w:name="_Toc534637498"/>
      <w:bookmarkStart w:id="22" w:name="_Toc526855037"/>
      <w:bookmarkStart w:id="23" w:name="_Toc527112385"/>
      <w:r>
        <w:rPr>
          <w:rFonts w:hint="eastAsia" w:ascii="微软雅黑" w:hAnsi="微软雅黑" w:eastAsia="微软雅黑" w:cs="微软雅黑"/>
          <w:b/>
          <w:bCs/>
          <w:color w:val="FFFFFF"/>
          <w:sz w:val="36"/>
          <w:szCs w:val="36"/>
          <w:shd w:val="clear" w:color="auto" w:fill="1F3864"/>
        </w:rPr>
        <w:t>检测结果详细解析</w:t>
      </w:r>
    </w:p>
    <w:p w14:paraId="2432E818">
      <w:pPr>
        <w:outlineLvl w:val="1"/>
        <w:rPr>
          <w:rFonts w:ascii="Times New Roman" w:hAnsi="Times New Roman" w:eastAsia="微软雅黑" w:cs="黑体"/>
          <w:b/>
          <w:bCs/>
          <w:color w:val="254061" w:themeColor="accent1" w:themeShade="80"/>
          <w:sz w:val="32"/>
          <w:szCs w:val="32"/>
        </w:rPr>
      </w:pPr>
      <w:r>
        <w:rPr>
          <w:rFonts w:hint="eastAsia" w:ascii="Times New Roman" w:hAnsi="Times New Roman" w:eastAsia="微软雅黑" w:cs="黑体"/>
          <w:b/>
          <w:bCs/>
          <w:color w:val="254061" w:themeColor="accent1" w:themeShade="80"/>
          <w:sz w:val="32"/>
          <w:szCs w:val="32"/>
        </w:rPr>
        <w:t>三 检测结果详细解析</w:t>
      </w:r>
    </w:p>
    <w:p w14:paraId="1FBA58D6">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if sarcomaTyping != [] %}{% for st in sarcomaTyping %}</w:t>
      </w:r>
    </w:p>
    <w:p w14:paraId="38A45F3F">
      <w:pPr>
        <w:spacing w:before="26"/>
        <w:rPr>
          <w:rFonts w:ascii="Times New Roman" w:hAnsi="Times New Roman"/>
          <w:color w:val="62B541"/>
          <w:sz w:val="32"/>
          <w14:shadow w14:blurRad="50800" w14:dist="38100" w14:dir="10800000" w14:sx="100000" w14:sy="100000" w14:kx="0" w14:ky="0" w14:algn="r">
            <w14:srgbClr w14:val="62B541">
              <w14:alpha w14:val="60000"/>
            </w14:srgbClr>
          </w14:shadow>
        </w:rPr>
      </w:pPr>
      <w:r>
        <w:rPr>
          <w:rFonts w:hint="eastAsia" w:ascii="Times New Roman" w:hAnsi="Times New Roman" w:cs="Times New Roman"/>
          <w:b/>
          <w:color w:val="000000" w:themeColor="text1"/>
          <w:sz w:val="24"/>
          <w:szCs w:val="24"/>
          <w:lang w:eastAsia="zh-CN"/>
          <w14:textFill>
            <w14:solidFill>
              <w14:schemeClr w14:val="tx1"/>
            </w14:solidFill>
          </w14:textFill>
        </w:rPr>
        <w:t>{{ st.ori_variant }}</w:t>
      </w:r>
    </w:p>
    <w:tbl>
      <w:tblPr>
        <w:tblStyle w:val="19"/>
        <w:tblpPr w:leftFromText="180" w:rightFromText="180" w:vertAnchor="text" w:tblpXSpec="center" w:tblpY="1"/>
        <w:tblOverlap w:val="never"/>
        <w:tblW w:w="9870" w:type="dxa"/>
        <w:jc w:val="center"/>
        <w:tblBorders>
          <w:top w:val="dashed" w:color="244061" w:sz="4" w:space="0"/>
          <w:left w:val="dashed" w:color="244061" w:sz="4" w:space="0"/>
          <w:bottom w:val="dashed" w:color="244061" w:sz="4" w:space="0"/>
          <w:right w:val="dashed" w:color="244061" w:sz="4"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009F1263">
        <w:tblPrEx>
          <w:tblBorders>
            <w:top w:val="dashed" w:color="244061" w:sz="4" w:space="0"/>
            <w:left w:val="dashed" w:color="244061" w:sz="4" w:space="0"/>
            <w:bottom w:val="dashed" w:color="244061" w:sz="4" w:space="0"/>
            <w:right w:val="dashed" w:color="244061" w:sz="4"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top w:val="single" w:color="244061" w:sz="18" w:space="0"/>
              <w:left w:val="nil"/>
            </w:tcBorders>
            <w:shd w:val="clear" w:color="auto" w:fill="auto"/>
            <w:vAlign w:val="center"/>
          </w:tcPr>
          <w:p w14:paraId="4C43E1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right w:val="nil"/>
            </w:tcBorders>
            <w:vAlign w:val="center"/>
          </w:tcPr>
          <w:p w14:paraId="1E876D8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st.ori_variant }}</w:t>
            </w:r>
          </w:p>
        </w:tc>
      </w:tr>
      <w:tr w14:paraId="06F28152">
        <w:tblPrEx>
          <w:tblBorders>
            <w:top w:val="dashed" w:color="244061" w:sz="4" w:space="0"/>
            <w:left w:val="dashed" w:color="244061" w:sz="4" w:space="0"/>
            <w:bottom w:val="dashed" w:color="244061" w:sz="4" w:space="0"/>
            <w:right w:val="dashed" w:color="244061" w:sz="4"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tcBorders>
              <w:left w:val="nil"/>
            </w:tcBorders>
            <w:shd w:val="clear" w:color="auto" w:fill="auto"/>
            <w:vAlign w:val="center"/>
          </w:tcPr>
          <w:p w14:paraId="056B21E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w:t>
            </w:r>
            <w:r>
              <w:rPr>
                <w:rFonts w:hint="eastAsia" w:ascii="Times New Roman" w:hAnsi="Times New Roman" w:eastAsia="微软雅黑" w:cs="Times New Roman"/>
                <w:b/>
                <w:color w:val="244061"/>
                <w:sz w:val="18"/>
                <w:szCs w:val="18"/>
                <w:lang w:eastAsia="zh-CN"/>
              </w:rPr>
              <w:t>说明</w:t>
            </w:r>
          </w:p>
        </w:tc>
        <w:tc>
          <w:tcPr>
            <w:tcW w:w="8247" w:type="dxa"/>
            <w:tcBorders>
              <w:right w:val="nil"/>
            </w:tcBorders>
            <w:vAlign w:val="center"/>
          </w:tcPr>
          <w:p w14:paraId="28F78923">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st.mutDesc2 }}</w:t>
            </w:r>
          </w:p>
        </w:tc>
      </w:tr>
      <w:tr w14:paraId="7ED8A407">
        <w:tblPrEx>
          <w:tblBorders>
            <w:top w:val="dashed" w:color="244061" w:sz="4" w:space="0"/>
            <w:left w:val="dashed" w:color="244061" w:sz="4" w:space="0"/>
            <w:bottom w:val="dashed" w:color="244061" w:sz="4" w:space="0"/>
            <w:right w:val="dashed" w:color="244061" w:sz="4"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tcBorders>
              <w:left w:val="nil"/>
            </w:tcBorders>
            <w:shd w:val="clear" w:color="auto" w:fill="auto"/>
            <w:vAlign w:val="center"/>
          </w:tcPr>
          <w:p w14:paraId="2D4DA7B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变异</w:t>
            </w:r>
            <w:r>
              <w:rPr>
                <w:rFonts w:hint="eastAsia" w:ascii="Times New Roman" w:hAnsi="Times New Roman" w:eastAsia="微软雅黑" w:cs="Times New Roman"/>
                <w:b/>
                <w:color w:val="244061"/>
                <w:sz w:val="18"/>
                <w:szCs w:val="18"/>
                <w:lang w:eastAsia="zh-CN"/>
              </w:rPr>
              <w:t>解析</w:t>
            </w:r>
          </w:p>
        </w:tc>
        <w:tc>
          <w:tcPr>
            <w:tcW w:w="8247" w:type="dxa"/>
            <w:tcBorders>
              <w:right w:val="nil"/>
            </w:tcBorders>
            <w:vAlign w:val="center"/>
          </w:tcPr>
          <w:p w14:paraId="0FA1254E">
            <w:pPr>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eastAsia="zh-CN"/>
              </w:rPr>
              <w:t>{{ st.mutationAnalysis }}</w:t>
            </w:r>
          </w:p>
        </w:tc>
      </w:tr>
    </w:tbl>
    <w:p w14:paraId="731654E0">
      <w:pPr>
        <w:numPr>
          <w:ilvl w:val="0"/>
          <w:numId w:val="0"/>
        </w:numPr>
        <w:ind w:leftChars="0"/>
        <w:rPr>
          <w:rFonts w:ascii="Times New Roman" w:hAnsi="Times New Roman" w:eastAsia="微软雅黑" w:cs="Times New Roman"/>
          <w:sz w:val="18"/>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未检出可用于辅助肉瘤分子分型的基因变异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431C3B0">
      <w:pPr>
        <w:rPr>
          <w:rFonts w:ascii="Times New Roman" w:hAnsi="Times New Roman" w:eastAsia="微软雅黑" w:cs="Times New Roman"/>
          <w:sz w:val="18"/>
        </w:rPr>
      </w:pPr>
      <w:r>
        <w:rPr>
          <w:rFonts w:ascii="Times New Roman" w:hAnsi="Times New Roman" w:eastAsia="微软雅黑" w:cs="Times New Roman"/>
          <w:sz w:val="18"/>
        </w:rPr>
        <w:br w:type="page"/>
      </w:r>
    </w:p>
    <w:p w14:paraId="542D02D7">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5DD2CC05">
      <w:pPr>
        <w:pStyle w:val="3"/>
        <w:numPr>
          <w:ilvl w:val="0"/>
          <w:numId w:val="4"/>
        </w:numPr>
        <w:jc w:val="both"/>
        <w:rPr>
          <w:rFonts w:hint="eastAsia" w:ascii="微软雅黑" w:hAnsi="微软雅黑" w:eastAsia="微软雅黑" w:cs="微软雅黑"/>
          <w:color w:val="254061" w:themeColor="accent1" w:themeShade="80"/>
        </w:rPr>
      </w:pPr>
      <w:bookmarkStart w:id="24" w:name="_Toc534637499"/>
      <w:bookmarkStart w:id="25" w:name="_Toc527112386"/>
      <w:bookmarkStart w:id="26" w:name="_Toc526855038"/>
      <w:r>
        <w:rPr>
          <w:rFonts w:hint="eastAsia" w:ascii="微软雅黑" w:hAnsi="微软雅黑" w:eastAsia="微软雅黑" w:cs="微软雅黑"/>
          <w:color w:val="254061" w:themeColor="accent1" w:themeShade="80"/>
        </w:rPr>
        <w:t>样本质控情况</w:t>
      </w:r>
    </w:p>
    <w:tbl>
      <w:tblPr>
        <w:tblStyle w:val="19"/>
        <w:tblpPr w:leftFromText="181" w:rightFromText="181" w:vertAnchor="text" w:horzAnchor="page" w:tblpXSpec="center" w:tblpY="1"/>
        <w:tblOverlap w:val="never"/>
        <w:tblW w:w="9926" w:type="dxa"/>
        <w:jc w:val="center"/>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2103" w:type="dxa"/>
            <w:tcBorders>
              <w:bottom w:val="dashed" w:color="244061" w:sz="4" w:space="0"/>
              <w:right w:val="dashed" w:color="244061" w:sz="4" w:space="0"/>
            </w:tcBorders>
            <w:shd w:val="clear" w:color="auto" w:fill="auto"/>
            <w:vAlign w:val="center"/>
          </w:tcPr>
          <w:p w14:paraId="6813E6AD">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left w:val="dashed" w:color="244061" w:sz="4" w:space="0"/>
              <w:bottom w:val="dashed" w:color="244061" w:sz="4" w:space="0"/>
              <w:right w:val="dashed" w:color="244061" w:sz="4" w:space="0"/>
            </w:tcBorders>
            <w:shd w:val="clear" w:color="auto" w:fill="auto"/>
            <w:vAlign w:val="center"/>
          </w:tcPr>
          <w:p w14:paraId="5CEE6847">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left w:val="dashed" w:color="244061" w:sz="4" w:space="0"/>
              <w:bottom w:val="dashed" w:color="244061" w:sz="4" w:space="0"/>
              <w:right w:val="dashed" w:color="244061" w:sz="4" w:space="0"/>
            </w:tcBorders>
            <w:shd w:val="clear" w:color="auto" w:fill="auto"/>
            <w:vAlign w:val="center"/>
          </w:tcPr>
          <w:p w14:paraId="43E2E2C7">
            <w:pPr>
              <w:ind w:left="119"/>
              <w:jc w:val="center"/>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left w:val="dashed" w:color="244061" w:sz="4" w:space="0"/>
              <w:bottom w:val="dashed" w:color="244061" w:sz="4" w:space="0"/>
            </w:tcBorders>
            <w:shd w:val="clear" w:color="auto" w:fill="auto"/>
            <w:vAlign w:val="center"/>
          </w:tcPr>
          <w:p w14:paraId="62EAC071">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2786E1F6">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103" w:type="dxa"/>
            <w:tcBorders>
              <w:top w:val="dashed" w:color="244061" w:sz="4" w:space="0"/>
              <w:bottom w:val="dashed" w:color="244061" w:sz="4" w:space="0"/>
              <w:right w:val="dashed" w:color="244061" w:sz="4" w:space="0"/>
            </w:tcBorders>
            <w:vAlign w:val="center"/>
          </w:tcPr>
          <w:p w14:paraId="4956BF6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dashed" w:color="244061" w:sz="4" w:space="0"/>
              <w:left w:val="dashed" w:color="244061" w:sz="4" w:space="0"/>
              <w:bottom w:val="dashed" w:color="244061" w:sz="4" w:space="0"/>
              <w:right w:val="dashed" w:color="244061" w:sz="4" w:space="0"/>
            </w:tcBorders>
            <w:vAlign w:val="center"/>
          </w:tcPr>
          <w:p w14:paraId="753750F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dashed" w:color="244061" w:sz="4" w:space="0"/>
              <w:left w:val="dashed" w:color="244061" w:sz="4" w:space="0"/>
              <w:bottom w:val="dashed" w:color="244061" w:sz="4" w:space="0"/>
              <w:right w:val="dashed" w:color="244061" w:sz="4" w:space="0"/>
            </w:tcBorders>
            <w:vAlign w:val="center"/>
          </w:tcPr>
          <w:p w14:paraId="27CCB73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dashed" w:color="244061" w:sz="4" w:space="0"/>
              <w:left w:val="dashed" w:color="244061" w:sz="4" w:space="0"/>
              <w:bottom w:val="dashed" w:color="244061" w:sz="4" w:space="0"/>
            </w:tcBorders>
            <w:vAlign w:val="center"/>
          </w:tcPr>
          <w:p w14:paraId="31AA715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30E2F246">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restart"/>
            <w:tcBorders>
              <w:top w:val="dashed" w:color="244061" w:sz="4" w:space="0"/>
              <w:bottom w:val="dashed" w:color="244061" w:sz="4" w:space="0"/>
              <w:right w:val="dashed" w:color="244061" w:sz="4" w:space="0"/>
            </w:tcBorders>
            <w:vAlign w:val="center"/>
          </w:tcPr>
          <w:p w14:paraId="060C94F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tcBorders>
              <w:top w:val="dashed" w:color="244061" w:sz="4" w:space="0"/>
              <w:left w:val="dashed" w:color="244061" w:sz="4" w:space="0"/>
              <w:bottom w:val="dashed" w:color="244061" w:sz="4" w:space="0"/>
              <w:right w:val="dashed" w:color="244061" w:sz="4" w:space="0"/>
            </w:tcBorders>
            <w:vAlign w:val="center"/>
          </w:tcPr>
          <w:p w14:paraId="7404CDE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tcBorders>
              <w:top w:val="dashed" w:color="244061" w:sz="4" w:space="0"/>
              <w:left w:val="dashed" w:color="244061" w:sz="4" w:space="0"/>
              <w:bottom w:val="dashed" w:color="244061" w:sz="4" w:space="0"/>
              <w:right w:val="dashed" w:color="244061" w:sz="4" w:space="0"/>
            </w:tcBorders>
            <w:vAlign w:val="center"/>
          </w:tcPr>
          <w:p w14:paraId="73A474B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top w:val="dashed" w:color="244061" w:sz="4" w:space="0"/>
              <w:left w:val="dashed" w:color="244061" w:sz="4" w:space="0"/>
              <w:bottom w:val="dashed" w:color="244061" w:sz="4" w:space="0"/>
            </w:tcBorders>
            <w:vAlign w:val="center"/>
          </w:tcPr>
          <w:p w14:paraId="390A904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2EC25D92">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continue"/>
            <w:tcBorders>
              <w:top w:val="dashed" w:color="244061" w:sz="4" w:space="0"/>
              <w:bottom w:val="dashed" w:color="244061" w:sz="4" w:space="0"/>
              <w:right w:val="dashed" w:color="244061" w:sz="4" w:space="0"/>
            </w:tcBorders>
            <w:vAlign w:val="center"/>
          </w:tcPr>
          <w:p w14:paraId="14AC3D00">
            <w:pPr>
              <w:ind w:left="119"/>
              <w:jc w:val="center"/>
              <w:rPr>
                <w:rFonts w:ascii="Times New Roman" w:hAnsi="Times New Roman" w:eastAsia="微软雅黑" w:cs="Times New Roman"/>
                <w:b/>
                <w:sz w:val="21"/>
              </w:rPr>
            </w:pPr>
          </w:p>
        </w:tc>
        <w:tc>
          <w:tcPr>
            <w:tcW w:w="2721" w:type="dxa"/>
            <w:tcBorders>
              <w:top w:val="dashed" w:color="244061" w:sz="4" w:space="0"/>
              <w:left w:val="dashed" w:color="244061" w:sz="4" w:space="0"/>
              <w:bottom w:val="dashed" w:color="244061" w:sz="4" w:space="0"/>
              <w:right w:val="dashed" w:color="244061" w:sz="4" w:space="0"/>
            </w:tcBorders>
            <w:vAlign w:val="center"/>
          </w:tcPr>
          <w:p w14:paraId="1E4B8F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tcBorders>
              <w:top w:val="dashed" w:color="244061" w:sz="4" w:space="0"/>
              <w:left w:val="dashed" w:color="244061" w:sz="4" w:space="0"/>
              <w:bottom w:val="dashed" w:color="244061" w:sz="4" w:space="0"/>
              <w:right w:val="dashed" w:color="244061" w:sz="4" w:space="0"/>
            </w:tcBorders>
            <w:vAlign w:val="center"/>
          </w:tcPr>
          <w:p w14:paraId="64EC237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top w:val="dashed" w:color="244061" w:sz="4" w:space="0"/>
              <w:left w:val="dashed" w:color="244061" w:sz="4" w:space="0"/>
              <w:bottom w:val="dashed" w:color="244061" w:sz="4" w:space="0"/>
            </w:tcBorders>
            <w:vAlign w:val="center"/>
          </w:tcPr>
          <w:p w14:paraId="467D853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401624D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11423430">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continue"/>
            <w:tcBorders>
              <w:top w:val="dashed" w:color="244061" w:sz="4" w:space="0"/>
              <w:bottom w:val="dashed" w:color="244061" w:sz="4" w:space="0"/>
              <w:right w:val="dashed" w:color="244061" w:sz="4" w:space="0"/>
            </w:tcBorders>
            <w:vAlign w:val="center"/>
          </w:tcPr>
          <w:p w14:paraId="3504221A">
            <w:pPr>
              <w:ind w:left="119"/>
              <w:jc w:val="center"/>
              <w:rPr>
                <w:rFonts w:ascii="Times New Roman" w:hAnsi="Times New Roman" w:eastAsia="微软雅黑" w:cs="Times New Roman"/>
                <w:b/>
                <w:sz w:val="21"/>
              </w:rPr>
            </w:pPr>
          </w:p>
        </w:tc>
        <w:tc>
          <w:tcPr>
            <w:tcW w:w="2721" w:type="dxa"/>
            <w:tcBorders>
              <w:top w:val="dashed" w:color="244061" w:sz="4" w:space="0"/>
              <w:left w:val="dashed" w:color="244061" w:sz="4" w:space="0"/>
              <w:bottom w:val="dashed" w:color="244061" w:sz="4" w:space="0"/>
              <w:right w:val="dashed" w:color="244061" w:sz="4" w:space="0"/>
            </w:tcBorders>
            <w:vAlign w:val="center"/>
          </w:tcPr>
          <w:p w14:paraId="7443011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tcBorders>
              <w:top w:val="dashed" w:color="244061" w:sz="4" w:space="0"/>
              <w:left w:val="dashed" w:color="244061" w:sz="4" w:space="0"/>
              <w:bottom w:val="dashed" w:color="244061" w:sz="4" w:space="0"/>
              <w:right w:val="dashed" w:color="244061" w:sz="4" w:space="0"/>
            </w:tcBorders>
            <w:vAlign w:val="center"/>
          </w:tcPr>
          <w:p w14:paraId="44FBEA4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top w:val="dashed" w:color="244061" w:sz="4" w:space="0"/>
              <w:left w:val="dashed" w:color="244061" w:sz="4" w:space="0"/>
              <w:bottom w:val="dashed" w:color="244061" w:sz="4" w:space="0"/>
            </w:tcBorders>
            <w:vAlign w:val="center"/>
          </w:tcPr>
          <w:p w14:paraId="22C3336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79B3194F">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restart"/>
            <w:tcBorders>
              <w:top w:val="dashed" w:color="244061" w:sz="4" w:space="0"/>
              <w:bottom w:val="dashed" w:color="244061" w:sz="4" w:space="0"/>
              <w:right w:val="dashed" w:color="244061" w:sz="4" w:space="0"/>
            </w:tcBorders>
            <w:vAlign w:val="center"/>
          </w:tcPr>
          <w:p w14:paraId="3AB5ED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tcBorders>
              <w:top w:val="dashed" w:color="244061" w:sz="4" w:space="0"/>
              <w:left w:val="dashed" w:color="244061" w:sz="4" w:space="0"/>
              <w:bottom w:val="dashed" w:color="244061" w:sz="4" w:space="0"/>
              <w:right w:val="dashed" w:color="244061" w:sz="4" w:space="0"/>
            </w:tcBorders>
            <w:vAlign w:val="center"/>
          </w:tcPr>
          <w:p w14:paraId="11F6C43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测序总reads数（条）</w:t>
            </w:r>
          </w:p>
        </w:tc>
        <w:tc>
          <w:tcPr>
            <w:tcW w:w="2381" w:type="dxa"/>
            <w:tcBorders>
              <w:top w:val="dashed" w:color="244061" w:sz="4" w:space="0"/>
              <w:left w:val="dashed" w:color="244061" w:sz="4" w:space="0"/>
              <w:bottom w:val="dashed" w:color="244061" w:sz="4" w:space="0"/>
              <w:right w:val="dashed" w:color="244061" w:sz="4" w:space="0"/>
            </w:tcBorders>
            <w:vAlign w:val="center"/>
          </w:tcPr>
          <w:p w14:paraId="092D7AD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top w:val="dashed" w:color="244061" w:sz="4" w:space="0"/>
              <w:left w:val="dashed" w:color="244061" w:sz="4" w:space="0"/>
              <w:bottom w:val="dashed" w:color="244061" w:sz="4" w:space="0"/>
            </w:tcBorders>
            <w:vAlign w:val="center"/>
          </w:tcPr>
          <w:p w14:paraId="15A30C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379D56E1">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continue"/>
            <w:tcBorders>
              <w:top w:val="dashed" w:color="244061" w:sz="4" w:space="0"/>
              <w:bottom w:val="dashed" w:color="244061" w:sz="4" w:space="0"/>
              <w:right w:val="dashed" w:color="244061" w:sz="4" w:space="0"/>
            </w:tcBorders>
            <w:vAlign w:val="center"/>
          </w:tcPr>
          <w:p w14:paraId="447FC327">
            <w:pPr>
              <w:ind w:left="119"/>
              <w:jc w:val="center"/>
              <w:rPr>
                <w:rFonts w:ascii="Times New Roman" w:hAnsi="Times New Roman" w:eastAsia="微软雅黑" w:cs="Times New Roman"/>
                <w:b/>
                <w:sz w:val="21"/>
              </w:rPr>
            </w:pPr>
          </w:p>
        </w:tc>
        <w:tc>
          <w:tcPr>
            <w:tcW w:w="2721" w:type="dxa"/>
            <w:tcBorders>
              <w:top w:val="dashed" w:color="244061" w:sz="4" w:space="0"/>
              <w:left w:val="dashed" w:color="244061" w:sz="4" w:space="0"/>
              <w:bottom w:val="dashed" w:color="244061" w:sz="4" w:space="0"/>
              <w:right w:val="dashed" w:color="244061" w:sz="4" w:space="0"/>
            </w:tcBorders>
            <w:vAlign w:val="center"/>
          </w:tcPr>
          <w:p w14:paraId="06E9E55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tcBorders>
              <w:top w:val="dashed" w:color="244061" w:sz="4" w:space="0"/>
              <w:left w:val="dashed" w:color="244061" w:sz="4" w:space="0"/>
              <w:bottom w:val="dashed" w:color="244061" w:sz="4" w:space="0"/>
              <w:right w:val="dashed" w:color="244061" w:sz="4" w:space="0"/>
            </w:tcBorders>
            <w:vAlign w:val="center"/>
          </w:tcPr>
          <w:p w14:paraId="67308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top w:val="dashed" w:color="244061" w:sz="4" w:space="0"/>
              <w:left w:val="dashed" w:color="244061" w:sz="4" w:space="0"/>
              <w:bottom w:val="dashed" w:color="244061" w:sz="4" w:space="0"/>
            </w:tcBorders>
            <w:vAlign w:val="center"/>
          </w:tcPr>
          <w:p w14:paraId="5030949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7120F4CB">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103" w:type="dxa"/>
            <w:tcBorders>
              <w:top w:val="dashed" w:color="244061" w:sz="4" w:space="0"/>
              <w:bottom w:val="dashed" w:color="244061" w:sz="4" w:space="0"/>
              <w:right w:val="dashed" w:color="244061" w:sz="4" w:space="0"/>
            </w:tcBorders>
            <w:shd w:val="clear" w:color="auto" w:fill="F1F1F1"/>
            <w:vAlign w:val="center"/>
          </w:tcPr>
          <w:p w14:paraId="3006C8F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top w:val="dashed" w:color="244061" w:sz="4" w:space="0"/>
              <w:left w:val="dashed" w:color="244061" w:sz="4" w:space="0"/>
              <w:bottom w:val="dashed" w:color="244061" w:sz="4" w:space="0"/>
            </w:tcBorders>
            <w:shd w:val="clear" w:color="auto" w:fill="F1F1F1"/>
            <w:vAlign w:val="center"/>
          </w:tcPr>
          <w:p w14:paraId="6D73F5E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8A476A4">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5280EEA2">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357AC188">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0CD08C83">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77A1E6C5">
      <w:pPr>
        <w:keepNext w:val="0"/>
        <w:keepLines w:val="0"/>
        <w:pageBreakBefore w:val="0"/>
        <w:widowControl w:val="0"/>
        <w:numPr>
          <w:ilvl w:val="0"/>
          <w:numId w:val="5"/>
        </w:numPr>
        <w:kinsoku/>
        <w:wordWrap/>
        <w:overflowPunct/>
        <w:topLinePunct w:val="0"/>
        <w:autoSpaceDE/>
        <w:autoSpaceDN/>
        <w:bidi w:val="0"/>
        <w:adjustRightInd/>
        <w:snapToGrid/>
        <w:spacing w:before="53" w:line="301" w:lineRule="exact"/>
        <w:ind w:left="0"/>
        <w:textAlignment w:val="auto"/>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w:t>
      </w:r>
      <w:r>
        <w:rPr>
          <w:rFonts w:hint="eastAsia" w:ascii="微软雅黑" w:hAnsi="微软雅黑" w:eastAsia="微软雅黑" w:cs="微软雅黑"/>
          <w:color w:val="000000"/>
          <w:sz w:val="18"/>
          <w:szCs w:val="18"/>
          <w:lang w:eastAsia="zh-CN"/>
        </w:rPr>
        <w:t>分为“合格”、“警戒”、“不合格”三个等级。总体质量评估为“警戒”或者“不合格”时，均会影响检测的准确性和敏感性。</w:t>
      </w:r>
    </w:p>
    <w:p w14:paraId="5A7A1590">
      <w:pPr>
        <w:rPr>
          <w:rFonts w:ascii="Times New Roman" w:hAnsi="Times New Roman"/>
          <w:sz w:val="30"/>
        </w:rPr>
      </w:pPr>
      <w:r>
        <w:rPr>
          <w:rFonts w:hint="eastAsia"/>
        </w:rPr>
        <w:br w:type="page"/>
      </w:r>
    </w:p>
    <w:p w14:paraId="7C0CC14D">
      <w:pPr>
        <w:pStyle w:val="3"/>
        <w:numPr>
          <w:ilvl w:val="0"/>
          <w:numId w:val="4"/>
        </w:numPr>
        <w:jc w:val="both"/>
        <w:rPr>
          <w:rFonts w:hint="eastAsia" w:ascii="微软雅黑" w:hAnsi="微软雅黑" w:eastAsia="微软雅黑" w:cs="微软雅黑"/>
          <w:color w:val="254061" w:themeColor="accent1" w:themeShade="80"/>
        </w:rPr>
      </w:pPr>
      <w:bookmarkStart w:id="27" w:name="_Toc16368_WPSOffice_Level1"/>
      <w:bookmarkStart w:id="28" w:name="_Toc28910_WPSOffice_Level1"/>
      <w:bookmarkStart w:id="29" w:name="_Toc22458"/>
      <w:bookmarkStart w:id="30" w:name="_Toc22484_WPSOffice_Level1"/>
      <w:bookmarkStart w:id="31" w:name="_Toc7549"/>
      <w:bookmarkStart w:id="32" w:name="_Toc30533"/>
      <w:bookmarkStart w:id="33" w:name="_Toc19099"/>
      <w:r>
        <w:rPr>
          <w:rFonts w:hint="eastAsia" w:ascii="微软雅黑" w:hAnsi="微软雅黑" w:eastAsia="微软雅黑" w:cs="微软雅黑"/>
          <w:color w:val="254061" w:themeColor="accent1" w:themeShade="80"/>
        </w:rPr>
        <w:t>检测基因列表</w:t>
      </w:r>
      <w:bookmarkEnd w:id="24"/>
      <w:bookmarkEnd w:id="25"/>
      <w:bookmarkEnd w:id="26"/>
      <w:bookmarkEnd w:id="27"/>
      <w:bookmarkEnd w:id="28"/>
      <w:bookmarkEnd w:id="29"/>
      <w:bookmarkEnd w:id="30"/>
      <w:bookmarkEnd w:id="31"/>
      <w:bookmarkEnd w:id="32"/>
      <w:bookmarkEnd w:id="33"/>
    </w:p>
    <w:tbl>
      <w:tblPr>
        <w:tblStyle w:val="19"/>
        <w:tblW w:w="9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6476678F">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074C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50D8896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14:paraId="22C01183">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14:paraId="7C056B6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14:paraId="23A3745F">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14:paraId="44F05928">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14:paraId="53C0F0F7">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14:paraId="02B2E46A">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1274" w:type="dxa"/>
            <w:tcBorders>
              <w:tl2br w:val="nil"/>
              <w:tr2bl w:val="nil"/>
            </w:tcBorders>
            <w:shd w:val="clear" w:color="auto" w:fill="auto"/>
            <w:noWrap/>
            <w:vAlign w:val="center"/>
          </w:tcPr>
          <w:p w14:paraId="703FD39D">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021E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9DC6749">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E780D67">
      <w:pPr>
        <w:rPr>
          <w:rFonts w:ascii="Times New Roman" w:hAnsi="Times New Roman" w:eastAsia="微软雅黑" w:cs="Times New Roman"/>
          <w:sz w:val="18"/>
          <w:szCs w:val="18"/>
        </w:rPr>
      </w:pPr>
    </w:p>
    <w:p w14:paraId="38D8041C">
      <w:pPr>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6F956A18">
      <w:pPr>
        <w:pStyle w:val="3"/>
        <w:keepNext w:val="0"/>
        <w:keepLines w:val="0"/>
        <w:pageBreakBefore w:val="0"/>
        <w:widowControl w:val="0"/>
        <w:numPr>
          <w:ilvl w:val="0"/>
          <w:numId w:val="4"/>
        </w:numPr>
        <w:kinsoku/>
        <w:wordWrap/>
        <w:overflowPunct/>
        <w:topLinePunct w:val="0"/>
        <w:autoSpaceDE/>
        <w:autoSpaceDN/>
        <w:bidi w:val="0"/>
        <w:adjustRightInd/>
        <w:snapToGrid/>
        <w:spacing w:after="0" w:afterLines="100"/>
        <w:ind w:firstLine="42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检测局限性</w:t>
      </w:r>
    </w:p>
    <w:p w14:paraId="03EB0484">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本检测结果的解读主要基于指南共识（WHO、NCCN、ASCO、CSCO和ESMO等）、公共数据库及文献会议，随着临床研究的进展和数据库的更新，变异分类和解读可能发生变化。</w:t>
      </w:r>
    </w:p>
    <w:p w14:paraId="38115A62">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本次检测为肿瘤样本，未包括对照样本，可提供RNA水平的</w:t>
      </w:r>
      <w:r>
        <w:rPr>
          <w:rFonts w:hint="eastAsia" w:ascii="Times New Roman" w:hAnsi="Times New Roman" w:eastAsia="微软雅黑" w:cs="Times New Roman"/>
          <w:bCs/>
          <w:sz w:val="21"/>
          <w:szCs w:val="21"/>
          <w:lang w:eastAsia="zh-CN"/>
        </w:rPr>
        <w:t>融合变异检测</w:t>
      </w:r>
      <w:r>
        <w:rPr>
          <w:rFonts w:hint="eastAsia" w:ascii="微软雅黑" w:hAnsi="微软雅黑" w:eastAsia="微软雅黑" w:cs="微软雅黑"/>
          <w:sz w:val="20"/>
          <w:szCs w:val="20"/>
          <w:lang w:val="en-US" w:eastAsia="zh-CN"/>
        </w:rPr>
        <w:t>，不适用于检测倒位、易位等基因组特殊结构变异。本检测不能排除胚系突变来源的可能性，不能排除染色体多倍体导致的拷贝数变异（CNV）和嵌合现象所致的结果偏差。</w:t>
      </w:r>
    </w:p>
    <w:p w14:paraId="6578F8EB">
      <w:pPr>
        <w:numPr>
          <w:ilvl w:val="0"/>
          <w:numId w:val="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40435">
    <w:pPr>
      <w:pStyle w:val="13"/>
      <w:tabs>
        <w:tab w:val="center" w:pos="4153"/>
        <w:tab w:val="center" w:pos="4965"/>
        <w:tab w:val="left" w:pos="7875"/>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1824">
    <w:pPr>
      <w:pStyle w:val="13"/>
      <w:tabs>
        <w:tab w:val="center" w:pos="4153"/>
        <w:tab w:val="center" w:pos="4965"/>
        <w:tab w:val="left" w:pos="7875"/>
        <w:tab w:val="right" w:pos="8306"/>
      </w:tabs>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2383155</wp:posOffset>
              </wp:positionH>
              <wp:positionV relativeFrom="paragraph">
                <wp:posOffset>-27940</wp:posOffset>
              </wp:positionV>
              <wp:extent cx="939165" cy="1917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39165" cy="191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7.65pt;margin-top:-2.2pt;height:15.1pt;width:73.95pt;mso-position-horizontal-relative:margin;z-index:251659264;mso-width-relative:page;mso-height-relative:page;" filled="f" stroked="f" coordsize="21600,21600" o:gfxdata="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OgkjfZAAAACQEAAA8AAAAAAAAAAQAgAAAAIgAAAGRycy9kb3ducmV2Lnht&#10;bFBLAQIUABQAAAAIAIdO4kAucq+HMQIAAFUEAAAOAAAAAAAAAAEAIAAAACgBAABkcnMvZTJvRG9j&#10;LnhtbFBLBQYAAAAABgAGAFkBAADLBQAAAAA=&#10;">
              <v:fill on="f" focussize="0,0"/>
              <v:stroke on="f" weight="0.5pt"/>
              <v:imagedata o:title=""/>
              <o:lock v:ext="edit" aspectratio="f"/>
              <v:textbox inset="0mm,0mm,0mm,0mm">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7EA4">
    <w:pPr>
      <w:pStyle w:val="14"/>
      <w:pBdr>
        <w:bottom w:val="none" w:color="auto" w:sz="0" w:space="0"/>
      </w:pBdr>
      <w:tabs>
        <w:tab w:val="center" w:pos="4153"/>
        <w:tab w:val="right" w:pos="8306"/>
      </w:tabs>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DE59">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13FB4"/>
    <w:multiLevelType w:val="singleLevel"/>
    <w:tmpl w:val="8C513FB4"/>
    <w:lvl w:ilvl="0" w:tentative="0">
      <w:start w:val="1"/>
      <w:numFmt w:val="chineseCounting"/>
      <w:suff w:val="nothing"/>
      <w:lvlText w:val="%1、"/>
      <w:lvlJc w:val="left"/>
      <w:pPr>
        <w:ind w:left="0" w:firstLine="420"/>
      </w:pPr>
      <w:rPr>
        <w:rFonts w:hint="eastAsia"/>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7A1C1480"/>
    <w:multiLevelType w:val="singleLevel"/>
    <w:tmpl w:val="7A1C1480"/>
    <w:lvl w:ilvl="0" w:tentative="0">
      <w:start w:val="1"/>
      <w:numFmt w:val="decimal"/>
      <w:lvlText w:val="%1."/>
      <w:lvlJc w:val="left"/>
      <w:pPr>
        <w:tabs>
          <w:tab w:val="left" w:pos="420"/>
        </w:tabs>
      </w:pPr>
      <w:rPr>
        <w:rFonts w:hint="default" w:ascii="Times New Roman" w:hAnsi="Times New Roman" w:cs="Times New Roman"/>
      </w:r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attachedTemplate r:id="rId1"/>
  <w:documentProtection w:enforcement="0"/>
  <w:defaultTabStop w:val="720"/>
  <w:drawingGridHorizontalSpacing w:val="110"/>
  <w:displayHorizontalDrawingGridEvery w:val="0"/>
  <w:displayVerticalDrawingGridEvery w:val="2"/>
  <w:characterSpacingControl w:val="doNotCompress"/>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060F"/>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E44D2"/>
    <w:rsid w:val="00AF5201"/>
    <w:rsid w:val="00B22BE3"/>
    <w:rsid w:val="00B26578"/>
    <w:rsid w:val="00B60F8C"/>
    <w:rsid w:val="00B720E9"/>
    <w:rsid w:val="00B970D4"/>
    <w:rsid w:val="00BA0AFE"/>
    <w:rsid w:val="00BB2660"/>
    <w:rsid w:val="00BB4B87"/>
    <w:rsid w:val="00BB4BB9"/>
    <w:rsid w:val="00BD2FFA"/>
    <w:rsid w:val="00BD3A5B"/>
    <w:rsid w:val="00BE1879"/>
    <w:rsid w:val="00C1426D"/>
    <w:rsid w:val="00C17074"/>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75018D"/>
    <w:rsid w:val="019705A5"/>
    <w:rsid w:val="01D8321C"/>
    <w:rsid w:val="01EE084F"/>
    <w:rsid w:val="02B16749"/>
    <w:rsid w:val="02DA0B1E"/>
    <w:rsid w:val="030A1074"/>
    <w:rsid w:val="032B1BE2"/>
    <w:rsid w:val="035A176A"/>
    <w:rsid w:val="035C523B"/>
    <w:rsid w:val="03643579"/>
    <w:rsid w:val="039F085D"/>
    <w:rsid w:val="03BD5429"/>
    <w:rsid w:val="045F1F7F"/>
    <w:rsid w:val="04C72E3B"/>
    <w:rsid w:val="05AC3439"/>
    <w:rsid w:val="0645558F"/>
    <w:rsid w:val="06DD5923"/>
    <w:rsid w:val="07DF4045"/>
    <w:rsid w:val="080C0FCE"/>
    <w:rsid w:val="085444F7"/>
    <w:rsid w:val="090E6DE2"/>
    <w:rsid w:val="0A0502D0"/>
    <w:rsid w:val="0A4800D1"/>
    <w:rsid w:val="0ACD30F7"/>
    <w:rsid w:val="0B1D461D"/>
    <w:rsid w:val="0B697485"/>
    <w:rsid w:val="0B7C40A9"/>
    <w:rsid w:val="0BB05BB6"/>
    <w:rsid w:val="0BB717D7"/>
    <w:rsid w:val="0C0E3BAF"/>
    <w:rsid w:val="0C65019C"/>
    <w:rsid w:val="0C813E69"/>
    <w:rsid w:val="0CB91E9E"/>
    <w:rsid w:val="0DAD02D3"/>
    <w:rsid w:val="0DC976BC"/>
    <w:rsid w:val="0E4E398F"/>
    <w:rsid w:val="0E7E40C2"/>
    <w:rsid w:val="0E9D4EE3"/>
    <w:rsid w:val="0F6A208A"/>
    <w:rsid w:val="0F820661"/>
    <w:rsid w:val="101A0FDC"/>
    <w:rsid w:val="10286214"/>
    <w:rsid w:val="103461AE"/>
    <w:rsid w:val="107E075E"/>
    <w:rsid w:val="10952DF6"/>
    <w:rsid w:val="10E76A0D"/>
    <w:rsid w:val="116D7726"/>
    <w:rsid w:val="11AC6707"/>
    <w:rsid w:val="11CB7706"/>
    <w:rsid w:val="120D6845"/>
    <w:rsid w:val="133040B2"/>
    <w:rsid w:val="133A1527"/>
    <w:rsid w:val="134645CE"/>
    <w:rsid w:val="138E5E4D"/>
    <w:rsid w:val="14F416DE"/>
    <w:rsid w:val="15442DF3"/>
    <w:rsid w:val="155618F4"/>
    <w:rsid w:val="166167A3"/>
    <w:rsid w:val="16986E38"/>
    <w:rsid w:val="16CC5916"/>
    <w:rsid w:val="16E157FE"/>
    <w:rsid w:val="16EF30D8"/>
    <w:rsid w:val="172D4F6E"/>
    <w:rsid w:val="172E1EC1"/>
    <w:rsid w:val="175A7638"/>
    <w:rsid w:val="1836136A"/>
    <w:rsid w:val="18504D21"/>
    <w:rsid w:val="1863573C"/>
    <w:rsid w:val="197113F3"/>
    <w:rsid w:val="19B06471"/>
    <w:rsid w:val="1A491A28"/>
    <w:rsid w:val="1A556FE9"/>
    <w:rsid w:val="1A627D5C"/>
    <w:rsid w:val="1AFA1FF1"/>
    <w:rsid w:val="1B125754"/>
    <w:rsid w:val="1BE4783E"/>
    <w:rsid w:val="1BE5687C"/>
    <w:rsid w:val="1C35254A"/>
    <w:rsid w:val="1C46724D"/>
    <w:rsid w:val="1C6B037B"/>
    <w:rsid w:val="1CCA0FFC"/>
    <w:rsid w:val="1D741D7F"/>
    <w:rsid w:val="1DE101C9"/>
    <w:rsid w:val="1ED9132E"/>
    <w:rsid w:val="1EDA2B4A"/>
    <w:rsid w:val="1F1E171F"/>
    <w:rsid w:val="1F262480"/>
    <w:rsid w:val="1F585820"/>
    <w:rsid w:val="1FA77E9F"/>
    <w:rsid w:val="1FEB71C0"/>
    <w:rsid w:val="203945B9"/>
    <w:rsid w:val="207D13AB"/>
    <w:rsid w:val="20A0049E"/>
    <w:rsid w:val="20B147CB"/>
    <w:rsid w:val="2112792C"/>
    <w:rsid w:val="21390525"/>
    <w:rsid w:val="21742B65"/>
    <w:rsid w:val="21E4370A"/>
    <w:rsid w:val="222B0335"/>
    <w:rsid w:val="22D00B25"/>
    <w:rsid w:val="22E73BCC"/>
    <w:rsid w:val="233740CD"/>
    <w:rsid w:val="23396F85"/>
    <w:rsid w:val="23A75A11"/>
    <w:rsid w:val="24735323"/>
    <w:rsid w:val="24737443"/>
    <w:rsid w:val="24E370FD"/>
    <w:rsid w:val="250971A1"/>
    <w:rsid w:val="261C6242"/>
    <w:rsid w:val="268D2393"/>
    <w:rsid w:val="26C85FBA"/>
    <w:rsid w:val="271D2C97"/>
    <w:rsid w:val="27431F87"/>
    <w:rsid w:val="279E3C38"/>
    <w:rsid w:val="288406F2"/>
    <w:rsid w:val="28CE392E"/>
    <w:rsid w:val="293140D5"/>
    <w:rsid w:val="295C627B"/>
    <w:rsid w:val="29CF0D5E"/>
    <w:rsid w:val="2A27612F"/>
    <w:rsid w:val="2A283292"/>
    <w:rsid w:val="2B4E6910"/>
    <w:rsid w:val="2C1F4808"/>
    <w:rsid w:val="2C200BD1"/>
    <w:rsid w:val="2CAB7CC5"/>
    <w:rsid w:val="2CCD1101"/>
    <w:rsid w:val="2CD47D9D"/>
    <w:rsid w:val="2D4762FC"/>
    <w:rsid w:val="2D536CB5"/>
    <w:rsid w:val="2D542FB4"/>
    <w:rsid w:val="2DFE24A0"/>
    <w:rsid w:val="2F274987"/>
    <w:rsid w:val="2F2B0C86"/>
    <w:rsid w:val="2F6767FD"/>
    <w:rsid w:val="2FC503D3"/>
    <w:rsid w:val="304D0D09"/>
    <w:rsid w:val="306F3BE1"/>
    <w:rsid w:val="31472B92"/>
    <w:rsid w:val="316628E9"/>
    <w:rsid w:val="319121DA"/>
    <w:rsid w:val="31EE517C"/>
    <w:rsid w:val="32215F9F"/>
    <w:rsid w:val="327A7BD3"/>
    <w:rsid w:val="329B4993"/>
    <w:rsid w:val="32A777DC"/>
    <w:rsid w:val="3309069A"/>
    <w:rsid w:val="33A23374"/>
    <w:rsid w:val="33CA1AD8"/>
    <w:rsid w:val="33EB6D09"/>
    <w:rsid w:val="33F64577"/>
    <w:rsid w:val="340C0A8D"/>
    <w:rsid w:val="343949EB"/>
    <w:rsid w:val="34ED312A"/>
    <w:rsid w:val="35095EA0"/>
    <w:rsid w:val="37204A50"/>
    <w:rsid w:val="374B6987"/>
    <w:rsid w:val="37D030C6"/>
    <w:rsid w:val="382331AB"/>
    <w:rsid w:val="385555E4"/>
    <w:rsid w:val="387A7805"/>
    <w:rsid w:val="39A10BCE"/>
    <w:rsid w:val="3A0504C9"/>
    <w:rsid w:val="3A5F2230"/>
    <w:rsid w:val="3A670D93"/>
    <w:rsid w:val="3A8C29FB"/>
    <w:rsid w:val="3AC32CD9"/>
    <w:rsid w:val="3B361E49"/>
    <w:rsid w:val="3BEE2461"/>
    <w:rsid w:val="3C0F571D"/>
    <w:rsid w:val="3C4E0A85"/>
    <w:rsid w:val="3C573483"/>
    <w:rsid w:val="3C8D3911"/>
    <w:rsid w:val="3E79229B"/>
    <w:rsid w:val="3E8F39DA"/>
    <w:rsid w:val="3ED529B9"/>
    <w:rsid w:val="3F2D78C6"/>
    <w:rsid w:val="3F632CDC"/>
    <w:rsid w:val="3FAE2946"/>
    <w:rsid w:val="3FAF13AE"/>
    <w:rsid w:val="40130E29"/>
    <w:rsid w:val="40AC684C"/>
    <w:rsid w:val="40DE07F5"/>
    <w:rsid w:val="41146FE8"/>
    <w:rsid w:val="415617C0"/>
    <w:rsid w:val="417702E7"/>
    <w:rsid w:val="41D23E46"/>
    <w:rsid w:val="42323D75"/>
    <w:rsid w:val="426C0A6E"/>
    <w:rsid w:val="42A11566"/>
    <w:rsid w:val="42AB2BD6"/>
    <w:rsid w:val="436069EE"/>
    <w:rsid w:val="43C2164A"/>
    <w:rsid w:val="43E31A09"/>
    <w:rsid w:val="44432484"/>
    <w:rsid w:val="444628E2"/>
    <w:rsid w:val="444E69CA"/>
    <w:rsid w:val="4467501D"/>
    <w:rsid w:val="449030E7"/>
    <w:rsid w:val="449470E1"/>
    <w:rsid w:val="44A44E84"/>
    <w:rsid w:val="44D12FF3"/>
    <w:rsid w:val="44FD7F19"/>
    <w:rsid w:val="451832ED"/>
    <w:rsid w:val="454D259D"/>
    <w:rsid w:val="45723C79"/>
    <w:rsid w:val="45761F2E"/>
    <w:rsid w:val="45F316C1"/>
    <w:rsid w:val="4699195A"/>
    <w:rsid w:val="46C567B5"/>
    <w:rsid w:val="46DE7698"/>
    <w:rsid w:val="48AC3B9E"/>
    <w:rsid w:val="48D14A7C"/>
    <w:rsid w:val="495A2347"/>
    <w:rsid w:val="49A319ED"/>
    <w:rsid w:val="49C10D2B"/>
    <w:rsid w:val="4ACE6BD0"/>
    <w:rsid w:val="4B0E2F39"/>
    <w:rsid w:val="4B8247F5"/>
    <w:rsid w:val="4BAD2017"/>
    <w:rsid w:val="4C4F39D5"/>
    <w:rsid w:val="4C7D29CB"/>
    <w:rsid w:val="4CA4180F"/>
    <w:rsid w:val="4D0C4E6E"/>
    <w:rsid w:val="4D1F7D6E"/>
    <w:rsid w:val="4D300C08"/>
    <w:rsid w:val="4D5036AB"/>
    <w:rsid w:val="4DD70392"/>
    <w:rsid w:val="4E1526AE"/>
    <w:rsid w:val="4E8E2795"/>
    <w:rsid w:val="4E941BA3"/>
    <w:rsid w:val="4EA55F05"/>
    <w:rsid w:val="4F1700B8"/>
    <w:rsid w:val="4FA730A5"/>
    <w:rsid w:val="4FC374CC"/>
    <w:rsid w:val="4FE5146F"/>
    <w:rsid w:val="5081012C"/>
    <w:rsid w:val="50A9568C"/>
    <w:rsid w:val="50E342C3"/>
    <w:rsid w:val="510117B1"/>
    <w:rsid w:val="5136083B"/>
    <w:rsid w:val="51646B6C"/>
    <w:rsid w:val="51B07017"/>
    <w:rsid w:val="51BF613B"/>
    <w:rsid w:val="5226439F"/>
    <w:rsid w:val="525D71C4"/>
    <w:rsid w:val="528147CF"/>
    <w:rsid w:val="52D6395C"/>
    <w:rsid w:val="538057B3"/>
    <w:rsid w:val="53BF6310"/>
    <w:rsid w:val="542D76E9"/>
    <w:rsid w:val="5459613F"/>
    <w:rsid w:val="552863E9"/>
    <w:rsid w:val="55A25EB5"/>
    <w:rsid w:val="565F7902"/>
    <w:rsid w:val="568922AB"/>
    <w:rsid w:val="56D35F07"/>
    <w:rsid w:val="570B25AE"/>
    <w:rsid w:val="57117FB5"/>
    <w:rsid w:val="57323268"/>
    <w:rsid w:val="57974C8E"/>
    <w:rsid w:val="57CC7219"/>
    <w:rsid w:val="58162B65"/>
    <w:rsid w:val="587D548B"/>
    <w:rsid w:val="589870FB"/>
    <w:rsid w:val="58E35061"/>
    <w:rsid w:val="58FC26D7"/>
    <w:rsid w:val="59623892"/>
    <w:rsid w:val="5A33044A"/>
    <w:rsid w:val="5B356BDD"/>
    <w:rsid w:val="5B976FC1"/>
    <w:rsid w:val="5BEA6B3E"/>
    <w:rsid w:val="5BF94292"/>
    <w:rsid w:val="5C0E1B80"/>
    <w:rsid w:val="5C247125"/>
    <w:rsid w:val="5C5C54BA"/>
    <w:rsid w:val="5CAA6024"/>
    <w:rsid w:val="5CD63135"/>
    <w:rsid w:val="5D6513C2"/>
    <w:rsid w:val="5D6D5411"/>
    <w:rsid w:val="5DBC6F48"/>
    <w:rsid w:val="5DF53F95"/>
    <w:rsid w:val="5E0448E8"/>
    <w:rsid w:val="5E1155DC"/>
    <w:rsid w:val="5E3877B6"/>
    <w:rsid w:val="5E4B2925"/>
    <w:rsid w:val="5E59788A"/>
    <w:rsid w:val="5E5D50D2"/>
    <w:rsid w:val="5E8A398A"/>
    <w:rsid w:val="5EF0750C"/>
    <w:rsid w:val="5F1A0523"/>
    <w:rsid w:val="5F8C08EA"/>
    <w:rsid w:val="60095BA6"/>
    <w:rsid w:val="60256D04"/>
    <w:rsid w:val="60654544"/>
    <w:rsid w:val="60AC26EF"/>
    <w:rsid w:val="617C0DC9"/>
    <w:rsid w:val="627E55B4"/>
    <w:rsid w:val="62C531E2"/>
    <w:rsid w:val="63191049"/>
    <w:rsid w:val="635147E4"/>
    <w:rsid w:val="63595768"/>
    <w:rsid w:val="63894210"/>
    <w:rsid w:val="641E158C"/>
    <w:rsid w:val="6450167E"/>
    <w:rsid w:val="64516B62"/>
    <w:rsid w:val="648C0434"/>
    <w:rsid w:val="65452B0E"/>
    <w:rsid w:val="654F43C0"/>
    <w:rsid w:val="65501D46"/>
    <w:rsid w:val="65B53A3E"/>
    <w:rsid w:val="65C178C7"/>
    <w:rsid w:val="65DF0ECB"/>
    <w:rsid w:val="663E7162"/>
    <w:rsid w:val="66432D9C"/>
    <w:rsid w:val="66710920"/>
    <w:rsid w:val="67242BCD"/>
    <w:rsid w:val="67DF62C5"/>
    <w:rsid w:val="6822110B"/>
    <w:rsid w:val="68896BF3"/>
    <w:rsid w:val="69182419"/>
    <w:rsid w:val="692963D7"/>
    <w:rsid w:val="693D1C6D"/>
    <w:rsid w:val="696B2299"/>
    <w:rsid w:val="696B3FA3"/>
    <w:rsid w:val="698044F4"/>
    <w:rsid w:val="69DB74AC"/>
    <w:rsid w:val="6A211646"/>
    <w:rsid w:val="6A32564C"/>
    <w:rsid w:val="6A6E3115"/>
    <w:rsid w:val="6B2520C6"/>
    <w:rsid w:val="6B6E6F24"/>
    <w:rsid w:val="6BE61A0D"/>
    <w:rsid w:val="6BE82E74"/>
    <w:rsid w:val="6BFA5082"/>
    <w:rsid w:val="6C7D7C32"/>
    <w:rsid w:val="6D1F799B"/>
    <w:rsid w:val="6D271668"/>
    <w:rsid w:val="6D361187"/>
    <w:rsid w:val="6E481A15"/>
    <w:rsid w:val="6E75472D"/>
    <w:rsid w:val="6E8E3022"/>
    <w:rsid w:val="6F415570"/>
    <w:rsid w:val="6F4C2AA5"/>
    <w:rsid w:val="6FDC735D"/>
    <w:rsid w:val="6FE27182"/>
    <w:rsid w:val="702C664F"/>
    <w:rsid w:val="70330545"/>
    <w:rsid w:val="70B36E1F"/>
    <w:rsid w:val="70CF12BD"/>
    <w:rsid w:val="70E00F21"/>
    <w:rsid w:val="71082014"/>
    <w:rsid w:val="71AF459D"/>
    <w:rsid w:val="71B05423"/>
    <w:rsid w:val="71BA61B5"/>
    <w:rsid w:val="71DF3A36"/>
    <w:rsid w:val="71F44ACA"/>
    <w:rsid w:val="724D20AF"/>
    <w:rsid w:val="72653CB7"/>
    <w:rsid w:val="72A042BA"/>
    <w:rsid w:val="72D81E1F"/>
    <w:rsid w:val="732C6966"/>
    <w:rsid w:val="73A330CC"/>
    <w:rsid w:val="73BB2205"/>
    <w:rsid w:val="73EA7F5B"/>
    <w:rsid w:val="73F9408B"/>
    <w:rsid w:val="743306B3"/>
    <w:rsid w:val="74367A9C"/>
    <w:rsid w:val="74372486"/>
    <w:rsid w:val="74692B38"/>
    <w:rsid w:val="74975E44"/>
    <w:rsid w:val="74C13EDD"/>
    <w:rsid w:val="74C23FF5"/>
    <w:rsid w:val="7523578E"/>
    <w:rsid w:val="75516763"/>
    <w:rsid w:val="755D2ED6"/>
    <w:rsid w:val="760426CC"/>
    <w:rsid w:val="76051E1C"/>
    <w:rsid w:val="761415DF"/>
    <w:rsid w:val="76441BDB"/>
    <w:rsid w:val="764C26A7"/>
    <w:rsid w:val="765B0A6B"/>
    <w:rsid w:val="76CD26D9"/>
    <w:rsid w:val="77CB2E7D"/>
    <w:rsid w:val="77F424C6"/>
    <w:rsid w:val="782878D8"/>
    <w:rsid w:val="78573B4C"/>
    <w:rsid w:val="78697EA9"/>
    <w:rsid w:val="789A3C5D"/>
    <w:rsid w:val="78BA0E7B"/>
    <w:rsid w:val="78C91C63"/>
    <w:rsid w:val="792A3948"/>
    <w:rsid w:val="79355B9E"/>
    <w:rsid w:val="79D31CC7"/>
    <w:rsid w:val="7A360C00"/>
    <w:rsid w:val="7AFE6E3A"/>
    <w:rsid w:val="7B382FB9"/>
    <w:rsid w:val="7B3E7DA0"/>
    <w:rsid w:val="7BA16014"/>
    <w:rsid w:val="7C192247"/>
    <w:rsid w:val="7C4E1817"/>
    <w:rsid w:val="7C735456"/>
    <w:rsid w:val="7CA705C1"/>
    <w:rsid w:val="7CA70E63"/>
    <w:rsid w:val="7CE64029"/>
    <w:rsid w:val="7D1A4255"/>
    <w:rsid w:val="7DBA2FBF"/>
    <w:rsid w:val="7DC37B21"/>
    <w:rsid w:val="7DDA3D59"/>
    <w:rsid w:val="7E267421"/>
    <w:rsid w:val="7EE750D0"/>
    <w:rsid w:val="7F032FC7"/>
    <w:rsid w:val="7F10538E"/>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字符"/>
    <w:basedOn w:val="21"/>
    <w:link w:val="4"/>
    <w:qFormat/>
    <w:uiPriority w:val="0"/>
    <w:rPr>
      <w:rFonts w:ascii="宋体" w:hAnsi="宋体" w:cs="宋体"/>
      <w:sz w:val="30"/>
      <w:szCs w:val="30"/>
    </w:rPr>
  </w:style>
  <w:style w:type="character" w:customStyle="1" w:styleId="26">
    <w:name w:val="批注文字 字符"/>
    <w:basedOn w:val="21"/>
    <w:link w:val="9"/>
    <w:qFormat/>
    <w:uiPriority w:val="0"/>
    <w:rPr>
      <w:rFonts w:ascii="宋体" w:hAnsi="宋体" w:cs="宋体"/>
      <w:sz w:val="22"/>
      <w:szCs w:val="22"/>
    </w:rPr>
  </w:style>
  <w:style w:type="character" w:customStyle="1" w:styleId="27">
    <w:name w:val="批注框文本 字符"/>
    <w:link w:val="12"/>
    <w:qFormat/>
    <w:uiPriority w:val="0"/>
    <w:rPr>
      <w:rFonts w:hint="default" w:ascii="宋体" w:hAnsi="宋体" w:cs="宋体"/>
      <w:sz w:val="18"/>
      <w:szCs w:val="18"/>
      <w:lang w:eastAsia="en-US"/>
    </w:rPr>
  </w:style>
  <w:style w:type="character" w:customStyle="1" w:styleId="28">
    <w:name w:val="页脚 字符"/>
    <w:link w:val="13"/>
    <w:qFormat/>
    <w:uiPriority w:val="0"/>
    <w:rPr>
      <w:rFonts w:hint="default" w:ascii="宋体" w:hAnsi="宋体" w:eastAsia="宋体" w:cs="宋体"/>
      <w:sz w:val="18"/>
      <w:szCs w:val="18"/>
    </w:rPr>
  </w:style>
  <w:style w:type="character" w:customStyle="1" w:styleId="29">
    <w:name w:val="页眉 字符"/>
    <w:link w:val="14"/>
    <w:qFormat/>
    <w:uiPriority w:val="0"/>
    <w:rPr>
      <w:rFonts w:hint="default" w:ascii="宋体" w:hAnsi="宋体" w:eastAsia="宋体" w:cs="宋体"/>
      <w:sz w:val="18"/>
      <w:szCs w:val="18"/>
    </w:rPr>
  </w:style>
  <w:style w:type="character" w:customStyle="1" w:styleId="30">
    <w:name w:val="批注主题 字符"/>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网格表 4 - 着色 12"/>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spacing w:before="12" w:line="380" w:lineRule="exact"/>
      <w:ind w:left="0"/>
    </w:pPr>
    <w:rPr>
      <w:rFonts w:cs="Times New Roman"/>
      <w:color w:val="416AAB"/>
      <w:szCs w:val="24"/>
    </w:rPr>
  </w:style>
  <w:style w:type="paragraph" w:customStyle="1" w:styleId="54">
    <w:name w:val="msolistparagraph"/>
    <w:basedOn w:val="1"/>
    <w:qFormat/>
    <w:uiPriority w:val="0"/>
    <w:pPr>
      <w:ind w:firstLine="420" w:firstLineChars="200"/>
    </w:pPr>
    <w:rPr>
      <w:rFonts w:hint="eastAsia" w:cs="Times New Roma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10</Pages>
  <Words>2046</Words>
  <Characters>4360</Characters>
  <Lines>1</Lines>
  <Paragraphs>1</Paragraphs>
  <TotalTime>0</TotalTime>
  <ScaleCrop>false</ScaleCrop>
  <LinksUpToDate>false</LinksUpToDate>
  <CharactersWithSpaces>4691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2025-08-05T05:57:24Z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