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HRD+HRR基因检测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4CE2B79E">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0"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5"/>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 summaryOfRresults.hrdState }}</w:t>
            </w:r>
          </w:p>
        </w:tc>
      </w:tr>
      <w:tr w14:paraId="0ED7E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9F29F7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2"/>
                <w:lang w:val="en-US" w:eastAsia="en-US" w:bidi="ar-SA"/>
              </w:rPr>
            </w:pPr>
            <w:r>
              <w:rPr>
                <w:rFonts w:hint="eastAsia" w:ascii="Times New Roman" w:hAnsi="Times New Roman" w:eastAsia="微软雅黑" w:cs="Times New Roman"/>
                <w:b/>
                <w:bCs/>
                <w:sz w:val="21"/>
                <w:lang w:eastAsia="zh-CN"/>
              </w:rPr>
              <w:t>BRCA1/2基因状态</w:t>
            </w:r>
          </w:p>
        </w:tc>
        <w:tc>
          <w:tcPr>
            <w:tcW w:w="5340" w:type="dxa"/>
            <w:tcBorders>
              <w:top w:val="nil"/>
              <w:left w:val="single" w:color="A4A4A4" w:sz="4" w:space="0"/>
              <w:bottom w:val="single" w:color="A4A4A4" w:sz="4" w:space="0"/>
              <w:right w:val="nil"/>
            </w:tcBorders>
            <w:shd w:val="clear" w:color="auto" w:fill="auto"/>
            <w:vAlign w:val="center"/>
          </w:tcPr>
          <w:p w14:paraId="24A487AD">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summaryOfRresults.hrdBRCAState }}</w:t>
            </w:r>
          </w:p>
        </w:tc>
      </w:tr>
      <w:tr w14:paraId="672A3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28C41D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2"/>
                <w:lang w:val="en-US" w:eastAsia="zh-CN" w:bidi="ar-SA"/>
              </w:rPr>
            </w:pPr>
            <w:r>
              <w:rPr>
                <w:rFonts w:hint="eastAsia" w:ascii="Times New Roman" w:hAnsi="Times New Roman" w:eastAsia="微软雅黑" w:cs="Times New Roman"/>
                <w:b/>
                <w:bCs/>
                <w:sz w:val="21"/>
                <w:szCs w:val="22"/>
                <w:lang w:val="en-US" w:eastAsia="zh-CN" w:bidi="ar-SA"/>
              </w:rPr>
              <w:t>基因组不稳定性评分</w:t>
            </w:r>
          </w:p>
        </w:tc>
        <w:tc>
          <w:tcPr>
            <w:tcW w:w="5340" w:type="dxa"/>
            <w:tcBorders>
              <w:top w:val="nil"/>
              <w:left w:val="single" w:color="A4A4A4" w:sz="4" w:space="0"/>
              <w:bottom w:val="single" w:color="A4A4A4" w:sz="4" w:space="0"/>
              <w:right w:val="nil"/>
            </w:tcBorders>
            <w:shd w:val="clear" w:color="auto" w:fill="auto"/>
            <w:vAlign w:val="center"/>
          </w:tcPr>
          <w:p w14:paraId="2553EEC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summaryOfRresults.hrdScore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bookmarkStart w:id="17" w:name="_GoBack"/>
            <w:r>
              <w:rPr>
                <w:rFonts w:hint="eastAsia" w:ascii="Times New Roman" w:hAnsi="Times New Roman" w:eastAsia="微软雅黑" w:cs="Times New Roman"/>
                <w:sz w:val="18"/>
                <w:szCs w:val="18"/>
              </w:rPr>
              <w:t>{{ sequencing_depth | oqa(500,400) }}</w:t>
            </w:r>
            <w:bookmarkEnd w:id="17"/>
          </w:p>
        </w:tc>
      </w:tr>
    </w:tbl>
    <w:p w14:paraId="6F195566">
      <w:pPr>
        <w:widowControl w:val="0"/>
        <w:spacing w:after="0" w:line="240" w:lineRule="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3A33BF5">
      <w:pPr>
        <w:widowControl w:val="0"/>
        <w:numPr>
          <w:ilvl w:val="0"/>
          <w:numId w:val="8"/>
        </w:numPr>
        <w:spacing w:after="0" w:line="240" w:lineRule="auto"/>
        <w:ind w:left="420" w:hanging="42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88B1827">
      <w:pPr>
        <w:widowControl w:val="0"/>
        <w:numPr>
          <w:ilvl w:val="0"/>
          <w:numId w:val="8"/>
        </w:numPr>
        <w:spacing w:after="0" w:line="240" w:lineRule="auto"/>
        <w:ind w:left="420" w:hanging="420"/>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default" w:ascii="Times New Roman" w:hAnsi="Times New Roman" w:eastAsia="微软雅黑" w:cs="黑体"/>
          <w:b/>
          <w:bCs/>
          <w:sz w:val="30"/>
          <w:szCs w:val="30"/>
          <w:lang w:val="en-US" w:eastAsia="zh-CN"/>
        </w:rPr>
      </w:pPr>
      <w:bookmarkStart w:id="1" w:name="_Toc13612"/>
      <w:r>
        <w:rPr>
          <w:rFonts w:hint="default" w:ascii="Times New Roman" w:hAnsi="Times New Roman" w:eastAsia="微软雅黑" w:cs="黑体"/>
          <w:b/>
          <w:bCs/>
          <w:sz w:val="30"/>
          <w:szCs w:val="30"/>
          <w:lang w:val="en-US" w:eastAsia="zh-CN"/>
        </w:rPr>
        <w:t>{{note.cancerTitle}}</w:t>
      </w:r>
      <w:bookmarkEnd w:id="1"/>
    </w:p>
    <w:tbl>
      <w:tblPr>
        <w:tblStyle w:val="32"/>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A518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6600"/>
            <w:vAlign w:val="center"/>
          </w:tcPr>
          <w:p w14:paraId="4CB2A3D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6600"/>
            <w:vAlign w:val="center"/>
          </w:tcPr>
          <w:p w14:paraId="049AE208">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6600"/>
            <w:vAlign w:val="center"/>
          </w:tcPr>
          <w:p w14:paraId="241FAF6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6600"/>
            <w:vAlign w:val="center"/>
          </w:tcPr>
          <w:p w14:paraId="73CC92F0">
            <w:pPr>
              <w:widowControl/>
              <w:spacing w:after="0" w:line="240" w:lineRule="auto"/>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6C6DB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146DE747">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23C965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00E92F8">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463B374C">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17AC7C23">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7F26B4A4">
            <w:pPr>
              <w:widowControl/>
              <w:spacing w:after="0" w:line="240" w:lineRule="auto"/>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1243960C">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3D7FAAF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7FC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BAD887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77130AB9">
      <w:pPr>
        <w:keepNext w:val="0"/>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63336458">
      <w:pPr>
        <w:keepNext w:val="0"/>
        <w:keepLines w:val="0"/>
        <w:pageBreakBefore w:val="0"/>
        <w:widowControl w:val="0"/>
        <w:numPr>
          <w:ilvl w:val="0"/>
          <w:numId w:val="9"/>
        </w:numPr>
        <w:kinsoku/>
        <w:wordWrap/>
        <w:overflowPunct/>
        <w:topLinePunct w:val="0"/>
        <w:autoSpaceDE/>
        <w:autoSpaceDN/>
        <w:bidi w:val="0"/>
        <w:adjustRightInd/>
        <w:snapToGrid/>
        <w:spacing w:after="0" w:line="240" w:lineRule="auto"/>
        <w:ind w:left="425" w:hanging="425"/>
        <w:textAlignment w:val="auto"/>
        <w:rPr>
          <w:rFonts w:hint="eastAsia" w:ascii="微软雅黑" w:hAnsi="微软雅黑" w:eastAsia="微软雅黑"/>
          <w:b/>
          <w:color w:val="000000"/>
          <w:sz w:val="18"/>
          <w:szCs w:val="18"/>
        </w:rPr>
      </w:pPr>
      <w:r>
        <w:rPr>
          <w:rFonts w:hint="default" w:ascii="Times New Roman" w:hAnsi="Times New Roman" w:eastAsia="微软雅黑" w:cs="Times New Roman"/>
          <w:sz w:val="18"/>
          <w:szCs w:val="18"/>
          <w:lang w:val="en-US" w:eastAsia="zh-CN"/>
        </w:rPr>
        <w:t>{{n}}{% endfor %}</w:t>
      </w:r>
      <w:r>
        <w:rPr>
          <w:rFonts w:hint="eastAsia" w:ascii="微软雅黑" w:hAnsi="微软雅黑" w:eastAsia="微软雅黑"/>
          <w:b/>
          <w:color w:val="000000"/>
          <w:sz w:val="18"/>
          <w:szCs w:val="18"/>
        </w:rPr>
        <w:br w:type="page"/>
      </w:r>
    </w:p>
    <w:p w14:paraId="27F71E38">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0"/>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{%if BodyDrugDrugDetectionStr or unknownVarAnalysisStr </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or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10"/>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2" w:name="_Toc20084"/>
      <w:bookmarkStart w:id="3" w:name="_Toc28455"/>
      <w:bookmarkStart w:id="4" w:name="_Toc27793"/>
      <w:bookmarkStart w:id="5" w:name="_Toc149837259"/>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2"/>
      <w:bookmarkEnd w:id="3"/>
      <w:bookmarkEnd w:id="4"/>
      <w:bookmarkEnd w:id="5"/>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11"/>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2"/>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590A1C92">
      <w:pPr>
        <w:widowControl w:val="0"/>
        <w:spacing w:after="0" w:line="240" w:lineRule="auto"/>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6" w:name="_Toc12657"/>
      <w:bookmarkStart w:id="7" w:name="_Toc31913"/>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同源重组缺陷状态解析</w:t>
      </w:r>
      <w:bookmarkEnd w:id="6"/>
      <w:bookmarkEnd w:id="7"/>
    </w:p>
    <w:p w14:paraId="6B0909B1">
      <w:pPr>
        <w:widowControl w:val="0"/>
        <w:spacing w:after="0" w:line="240" w:lineRule="auto"/>
        <w:rPr>
          <w:rFonts w:hint="default" w:ascii="Times New Roman" w:hAnsi="Times New Roman" w:eastAsia="微软雅黑" w:cs="Times New Roman"/>
          <w:sz w:val="24"/>
          <w:szCs w:val="24"/>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2705A695">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7416F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6600"/>
            <w:vAlign w:val="center"/>
          </w:tcPr>
          <w:p w14:paraId="25FDA070">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w:t>
            </w:r>
          </w:p>
        </w:tc>
        <w:tc>
          <w:tcPr>
            <w:tcW w:w="1974" w:type="dxa"/>
            <w:tcBorders>
              <w:top w:val="nil"/>
              <w:left w:val="single" w:color="FFFFFF" w:sz="18" w:space="0"/>
              <w:bottom w:val="nil"/>
              <w:right w:val="single" w:color="FFFFFF" w:sz="18" w:space="0"/>
            </w:tcBorders>
            <w:shd w:val="clear" w:color="auto" w:fill="006600"/>
            <w:vAlign w:val="center"/>
          </w:tcPr>
          <w:p w14:paraId="2A8CB9EB">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核苷酸</w:t>
            </w:r>
          </w:p>
        </w:tc>
        <w:tc>
          <w:tcPr>
            <w:tcW w:w="1974" w:type="dxa"/>
            <w:tcBorders>
              <w:top w:val="nil"/>
              <w:left w:val="single" w:color="FFFFFF" w:sz="18" w:space="0"/>
              <w:bottom w:val="nil"/>
              <w:right w:val="single" w:color="FFFFFF" w:sz="18" w:space="0"/>
            </w:tcBorders>
            <w:shd w:val="clear" w:color="auto" w:fill="006600"/>
            <w:vAlign w:val="center"/>
          </w:tcPr>
          <w:p w14:paraId="7663582F">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氨基酸</w:t>
            </w:r>
          </w:p>
        </w:tc>
        <w:tc>
          <w:tcPr>
            <w:tcW w:w="1974" w:type="dxa"/>
            <w:tcBorders>
              <w:top w:val="nil"/>
              <w:left w:val="single" w:color="FFFFFF" w:sz="18" w:space="0"/>
              <w:bottom w:val="nil"/>
              <w:right w:val="single" w:color="FFFFFF" w:sz="18" w:space="0"/>
            </w:tcBorders>
            <w:shd w:val="clear" w:color="auto" w:fill="006600"/>
            <w:vAlign w:val="center"/>
          </w:tcPr>
          <w:p w14:paraId="6028639C">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纯合/杂合/突变频率</w:t>
            </w:r>
          </w:p>
        </w:tc>
        <w:tc>
          <w:tcPr>
            <w:tcW w:w="1974" w:type="dxa"/>
            <w:tcBorders>
              <w:top w:val="nil"/>
              <w:left w:val="single" w:color="FFFFFF" w:sz="18" w:space="0"/>
              <w:bottom w:val="nil"/>
            </w:tcBorders>
            <w:shd w:val="clear" w:color="auto" w:fill="006600"/>
            <w:vAlign w:val="center"/>
          </w:tcPr>
          <w:p w14:paraId="14317C61">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临床意义</w:t>
            </w:r>
          </w:p>
        </w:tc>
      </w:tr>
      <w:tr w14:paraId="73063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AC1F4A7">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14CD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0AFF242">
            <w:pPr>
              <w:widowControl w:val="0"/>
              <w:spacing w:before="20"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4A705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91700AF">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0294144">
            <w:pPr>
              <w:widowControl w:val="0"/>
              <w:spacing w:before="26" w:after="0" w:line="240" w:lineRule="auto"/>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61585834">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54C317C0">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4F426E5E">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6B503714">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3D1164AC">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187C4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4FD1098">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20042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2626FBA">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23CCF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0ADE563">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9DDFC1E">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32AB741">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20350BAF">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10B48824">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D607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EEF5973">
            <w:pPr>
              <w:widowControl w:val="0"/>
              <w:spacing w:before="26"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04F3F3DC">
      <w:pPr>
        <w:widowControl/>
        <w:spacing w:after="0" w:line="240" w:lineRule="auto"/>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7720921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2C46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sz="18" w:space="0"/>
              <w:right w:val="nil"/>
            </w:tcBorders>
            <w:shd w:val="clear" w:color="auto" w:fill="006600"/>
            <w:vAlign w:val="center"/>
          </w:tcPr>
          <w:p w14:paraId="0C5C335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同源重组</w:t>
            </w:r>
          </w:p>
          <w:p w14:paraId="5401CA1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缺陷状态</w:t>
            </w:r>
          </w:p>
        </w:tc>
        <w:tc>
          <w:tcPr>
            <w:tcW w:w="8421" w:type="dxa"/>
            <w:tcBorders>
              <w:top w:val="single" w:color="BFBFBF" w:sz="4" w:space="0"/>
              <w:left w:val="nil"/>
              <w:bottom w:val="single" w:color="A4A4A4" w:sz="4" w:space="0"/>
              <w:right w:val="nil"/>
            </w:tcBorders>
            <w:vAlign w:val="center"/>
          </w:tcPr>
          <w:p w14:paraId="30FB8EA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5B7975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3D824888">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sz w:val="18"/>
                <w:szCs w:val="18"/>
                <w:lang w:eastAsia="zh-CN"/>
              </w:rPr>
              <w:t>潜在获益药物</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10932213">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3074F0F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2053A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0A2964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D1340B7">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7B28541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17ABA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3C39248">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6202053C">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1C90184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211F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83C82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2B98752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0D6C715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13D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177AE5F9">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潜在耐药信息</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33AB256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44182C5F">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4D7ED6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800FD0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4C6D58A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57631AD1">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618FF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BF3A7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7DF16F4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63DCEA5A">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5533F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A624CE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0763B4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5896002B">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0A523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sz="18" w:space="0"/>
              <w:left w:val="nil"/>
              <w:right w:val="nil"/>
            </w:tcBorders>
            <w:shd w:val="clear" w:color="auto" w:fill="006600"/>
            <w:vAlign w:val="center"/>
          </w:tcPr>
          <w:p w14:paraId="00B689F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21" w:type="dxa"/>
            <w:tcBorders>
              <w:top w:val="single" w:color="A4A4A4" w:sz="4" w:space="0"/>
              <w:left w:val="nil"/>
              <w:bottom w:val="single" w:color="A4A4A4" w:sz="4" w:space="0"/>
              <w:right w:val="nil"/>
            </w:tcBorders>
            <w:vAlign w:val="center"/>
          </w:tcPr>
          <w:p w14:paraId="2D231DF5">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38265D5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F370329">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597637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646D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0CB85568">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CBC8E7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3BE7230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1378B8B6">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8E05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071ED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31406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249F8F8">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59CD2D6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3B821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6C8DC0A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5E68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D3657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9E912B2">
      <w:pPr>
        <w:widowControl w:val="0"/>
        <w:spacing w:before="26" w:after="0" w:line="240" w:lineRule="auto"/>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10DACC32">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00DA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16EC15EC">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83B997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6E95FFA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6CBE208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2254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8FBF6B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1A897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71E90D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4AC3AB80">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0F96AB6F">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F961C6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F6C1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932BFFC">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D64DE15">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F7294F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456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6600"/>
            <w:vAlign w:val="center"/>
          </w:tcPr>
          <w:p w14:paraId="46C0E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ID</w:t>
            </w:r>
          </w:p>
        </w:tc>
        <w:tc>
          <w:tcPr>
            <w:tcW w:w="3884" w:type="dxa"/>
            <w:tcBorders>
              <w:top w:val="nil"/>
              <w:left w:val="single" w:color="FFFFFF" w:sz="18" w:space="0"/>
              <w:bottom w:val="nil"/>
              <w:right w:val="single" w:color="FFFFFF" w:sz="18" w:space="0"/>
            </w:tcBorders>
            <w:shd w:val="clear" w:color="auto" w:fill="006600"/>
            <w:vAlign w:val="center"/>
          </w:tcPr>
          <w:p w14:paraId="3853A8C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896465E">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肿瘤类型</w:t>
            </w:r>
          </w:p>
        </w:tc>
        <w:tc>
          <w:tcPr>
            <w:tcW w:w="1035" w:type="dxa"/>
            <w:tcBorders>
              <w:top w:val="nil"/>
              <w:left w:val="single" w:color="FFFFFF" w:sz="18" w:space="0"/>
              <w:bottom w:val="nil"/>
              <w:right w:val="single" w:color="FFFFFF" w:sz="18" w:space="0"/>
            </w:tcBorders>
            <w:shd w:val="clear" w:color="auto" w:fill="006600"/>
            <w:vAlign w:val="center"/>
          </w:tcPr>
          <w:p w14:paraId="7341F5FD">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阶段</w:t>
            </w:r>
          </w:p>
        </w:tc>
        <w:tc>
          <w:tcPr>
            <w:tcW w:w="1204" w:type="dxa"/>
            <w:tcBorders>
              <w:top w:val="nil"/>
              <w:left w:val="single" w:color="FFFFFF" w:sz="18" w:space="0"/>
              <w:bottom w:val="nil"/>
              <w:right w:val="single" w:color="FFFFFF" w:sz="18" w:space="0"/>
            </w:tcBorders>
            <w:shd w:val="clear" w:color="auto" w:fill="006600"/>
            <w:vAlign w:val="center"/>
          </w:tcPr>
          <w:p w14:paraId="4B3D8841">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药物</w:t>
            </w:r>
          </w:p>
        </w:tc>
        <w:tc>
          <w:tcPr>
            <w:tcW w:w="856" w:type="dxa"/>
            <w:tcBorders>
              <w:top w:val="nil"/>
              <w:left w:val="single" w:color="FFFFFF" w:sz="18" w:space="0"/>
              <w:bottom w:val="nil"/>
            </w:tcBorders>
            <w:shd w:val="clear" w:color="auto" w:fill="006600"/>
            <w:vAlign w:val="center"/>
          </w:tcPr>
          <w:p w14:paraId="3903B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地点</w:t>
            </w:r>
          </w:p>
        </w:tc>
      </w:tr>
      <w:tr w14:paraId="759ED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95F7FCB">
            <w:pPr>
              <w:widowControl w:val="0"/>
              <w:spacing w:before="26" w:after="0" w:line="240" w:lineRule="auto"/>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FA4B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3F27C34">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CF5DCDB">
            <w:pPr>
              <w:widowControl w:val="0"/>
              <w:spacing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41B65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DDDFDF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736AAF55">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B51B2CE">
            <w:pPr>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62D1F948">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5031A1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3E7B7BB">
            <w:pPr>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8" w:name="_Toc3250"/>
      <w:bookmarkStart w:id="9" w:name="_Toc18974"/>
      <w:bookmarkStart w:id="10" w:name="_Toc27011"/>
      <w:bookmarkStart w:id="11"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8"/>
      <w:bookmarkEnd w:id="9"/>
      <w:bookmarkEnd w:id="10"/>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1"/>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2" w:name="_Toc13837"/>
      <w:bookmarkStart w:id="13" w:name="_Toc8321"/>
      <w:bookmarkStart w:id="14" w:name="_Toc11208"/>
      <w:bookmarkStart w:id="15"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12"/>
      <w:bookmarkEnd w:id="13"/>
      <w:bookmarkEnd w:id="14"/>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5"/>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D75C6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6600"/>
            <w:vAlign w:val="center"/>
          </w:tcPr>
          <w:p w14:paraId="44F01B50">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质控环节</w:t>
            </w:r>
          </w:p>
        </w:tc>
        <w:tc>
          <w:tcPr>
            <w:tcW w:w="2721" w:type="dxa"/>
            <w:tcBorders>
              <w:top w:val="nil"/>
              <w:left w:val="single" w:color="FFFFFF" w:sz="18" w:space="0"/>
              <w:bottom w:val="nil"/>
              <w:right w:val="single" w:color="FFFFFF" w:sz="18" w:space="0"/>
            </w:tcBorders>
            <w:shd w:val="clear" w:color="auto" w:fill="006600"/>
            <w:vAlign w:val="center"/>
          </w:tcPr>
          <w:p w14:paraId="695B9ED4">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质控参数</w:t>
            </w:r>
          </w:p>
        </w:tc>
        <w:tc>
          <w:tcPr>
            <w:tcW w:w="2381" w:type="dxa"/>
            <w:tcBorders>
              <w:top w:val="nil"/>
              <w:left w:val="single" w:color="FFFFFF" w:sz="18" w:space="0"/>
              <w:bottom w:val="nil"/>
              <w:right w:val="single" w:color="FFFFFF" w:sz="18" w:space="0"/>
            </w:tcBorders>
            <w:shd w:val="clear" w:color="auto" w:fill="006600"/>
            <w:vAlign w:val="center"/>
          </w:tcPr>
          <w:p w14:paraId="3E77A76D">
            <w:pPr>
              <w:widowControl w:val="0"/>
              <w:spacing w:after="0" w:line="240" w:lineRule="auto"/>
              <w:ind w:left="119"/>
              <w:jc w:val="center"/>
              <w:rPr>
                <w:rFonts w:ascii="Times New Roman" w:hAnsi="Times New Roman" w:eastAsia="微软雅黑" w:cs="Times New Roman"/>
                <w:b/>
                <w:color w:val="FFFFFF"/>
                <w:sz w:val="21"/>
                <w:lang w:eastAsia="zh-CN"/>
              </w:rPr>
            </w:pPr>
            <w:r>
              <w:rPr>
                <w:rFonts w:hint="eastAsia" w:ascii="Times New Roman" w:hAnsi="Times New Roman" w:eastAsia="微软雅黑" w:cs="Times New Roman"/>
                <w:b/>
                <w:color w:val="FFFFFF"/>
                <w:sz w:val="21"/>
                <w:lang w:eastAsia="zh-CN"/>
              </w:rPr>
              <w:t>质控数值</w:t>
            </w:r>
          </w:p>
        </w:tc>
        <w:tc>
          <w:tcPr>
            <w:tcW w:w="2721" w:type="dxa"/>
            <w:tcBorders>
              <w:top w:val="nil"/>
              <w:left w:val="single" w:color="FFFFFF" w:sz="18" w:space="0"/>
              <w:bottom w:val="nil"/>
              <w:right w:val="nil"/>
            </w:tcBorders>
            <w:shd w:val="clear" w:color="auto" w:fill="006600"/>
            <w:vAlign w:val="center"/>
          </w:tcPr>
          <w:p w14:paraId="72F99DF6">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质控标准</w:t>
            </w:r>
          </w:p>
        </w:tc>
      </w:tr>
      <w:tr w14:paraId="6B23B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51B74BA">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病理</w:t>
            </w:r>
            <w:r>
              <w:rPr>
                <w:rFonts w:hint="eastAsia" w:ascii="Times New Roman" w:hAnsi="Times New Roman" w:eastAsia="微软雅黑" w:cs="Times New Roman"/>
                <w:b/>
                <w:sz w:val="18"/>
                <w:szCs w:val="18"/>
                <w:lang w:eastAsia="zh-CN"/>
              </w:rPr>
              <w:t>评估</w:t>
            </w:r>
          </w:p>
        </w:tc>
        <w:tc>
          <w:tcPr>
            <w:tcW w:w="2721" w:type="dxa"/>
            <w:tcBorders>
              <w:top w:val="nil"/>
            </w:tcBorders>
            <w:vAlign w:val="center"/>
          </w:tcPr>
          <w:p w14:paraId="53B6DFAE">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肿瘤细胞含量</w:t>
            </w:r>
          </w:p>
        </w:tc>
        <w:tc>
          <w:tcPr>
            <w:tcW w:w="2381" w:type="dxa"/>
            <w:tcBorders>
              <w:top w:val="nil"/>
            </w:tcBorders>
            <w:vAlign w:val="center"/>
          </w:tcPr>
          <w:p w14:paraId="6FFBA5D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21" w:type="dxa"/>
            <w:tcBorders>
              <w:top w:val="nil"/>
              <w:right w:val="nil"/>
            </w:tcBorders>
            <w:vAlign w:val="center"/>
          </w:tcPr>
          <w:p w14:paraId="7D065922">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≥10</w:t>
            </w:r>
            <w:r>
              <w:rPr>
                <w:rFonts w:ascii="Times New Roman" w:hAnsi="Times New Roman" w:eastAsia="微软雅黑" w:cs="Times New Roman"/>
                <w:bCs/>
                <w:sz w:val="18"/>
                <w:szCs w:val="18"/>
              </w:rPr>
              <w:t>%</w:t>
            </w:r>
          </w:p>
        </w:tc>
      </w:tr>
      <w:tr w14:paraId="0E15A1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A5BCC2">
            <w:pPr>
              <w:widowControl w:val="0"/>
              <w:spacing w:after="0" w:line="240" w:lineRule="auto"/>
              <w:ind w:left="119"/>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核酸质量评估</w:t>
            </w:r>
          </w:p>
        </w:tc>
        <w:tc>
          <w:tcPr>
            <w:tcW w:w="2721" w:type="dxa"/>
            <w:vAlign w:val="center"/>
          </w:tcPr>
          <w:p w14:paraId="222F0DED">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DNA总量</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ng</w:t>
            </w:r>
            <w:r>
              <w:rPr>
                <w:rFonts w:hint="eastAsia" w:ascii="Times New Roman" w:hAnsi="Times New Roman" w:eastAsia="微软雅黑" w:cs="Times New Roman"/>
                <w:bCs/>
                <w:sz w:val="18"/>
                <w:szCs w:val="18"/>
                <w:lang w:eastAsia="zh-CN"/>
              </w:rPr>
              <w:t>）</w:t>
            </w:r>
          </w:p>
        </w:tc>
        <w:tc>
          <w:tcPr>
            <w:tcW w:w="2381" w:type="dxa"/>
            <w:vAlign w:val="center"/>
          </w:tcPr>
          <w:p w14:paraId="78E1562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7E2D1846">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≥2</w:t>
            </w:r>
            <w:r>
              <w:rPr>
                <w:rFonts w:hint="eastAsia" w:ascii="Times New Roman" w:hAnsi="Times New Roman" w:eastAsia="微软雅黑" w:cs="Times New Roman"/>
                <w:bCs/>
                <w:sz w:val="18"/>
                <w:szCs w:val="18"/>
              </w:rPr>
              <w:t>00</w:t>
            </w:r>
          </w:p>
        </w:tc>
      </w:tr>
      <w:tr w14:paraId="28DCD10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14E163C">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5C22E6EB">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DNA降解程度</w:t>
            </w:r>
          </w:p>
        </w:tc>
        <w:tc>
          <w:tcPr>
            <w:tcW w:w="2381" w:type="dxa"/>
            <w:vAlign w:val="center"/>
          </w:tcPr>
          <w:p w14:paraId="621A781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592D6E59">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rPr>
              <w:t>C级</w:t>
            </w:r>
          </w:p>
        </w:tc>
      </w:tr>
      <w:tr w14:paraId="130743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183C1D">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B9E980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w:t>
            </w:r>
            <w:r>
              <w:rPr>
                <w:rFonts w:ascii="Times New Roman" w:hAnsi="Times New Roman" w:eastAsia="微软雅黑" w:cs="Times New Roman"/>
                <w:bCs/>
                <w:sz w:val="18"/>
                <w:szCs w:val="18"/>
              </w:rPr>
              <w:t>文库</w:t>
            </w:r>
            <w:r>
              <w:rPr>
                <w:rFonts w:hint="eastAsia" w:ascii="Times New Roman" w:hAnsi="Times New Roman" w:eastAsia="微软雅黑" w:cs="Times New Roman"/>
                <w:bCs/>
                <w:sz w:val="18"/>
                <w:szCs w:val="18"/>
                <w:lang w:eastAsia="zh-CN"/>
              </w:rPr>
              <w:t>总</w:t>
            </w:r>
            <w:r>
              <w:rPr>
                <w:rFonts w:ascii="Times New Roman" w:hAnsi="Times New Roman" w:eastAsia="微软雅黑" w:cs="Times New Roman"/>
                <w:bCs/>
                <w:sz w:val="18"/>
                <w:szCs w:val="18"/>
              </w:rPr>
              <w:t>量</w:t>
            </w:r>
            <w:r>
              <w:rPr>
                <w:rFonts w:hint="eastAsia" w:ascii="Times New Roman" w:hAnsi="Times New Roman" w:eastAsia="微软雅黑" w:cs="Times New Roman"/>
                <w:bCs/>
                <w:sz w:val="18"/>
                <w:szCs w:val="18"/>
                <w:lang w:eastAsia="zh-CN"/>
              </w:rPr>
              <w:t>（ng）</w:t>
            </w:r>
          </w:p>
        </w:tc>
        <w:tc>
          <w:tcPr>
            <w:tcW w:w="2381" w:type="dxa"/>
            <w:vAlign w:val="center"/>
          </w:tcPr>
          <w:p w14:paraId="10739531">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05188B47">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≥500</w:t>
            </w:r>
          </w:p>
        </w:tc>
      </w:tr>
      <w:tr w14:paraId="4171BC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14F7226">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测序</w:t>
            </w:r>
            <w:r>
              <w:rPr>
                <w:rFonts w:hint="eastAsia" w:ascii="Times New Roman" w:hAnsi="Times New Roman" w:eastAsia="微软雅黑" w:cs="Times New Roman"/>
                <w:b/>
                <w:sz w:val="18"/>
                <w:szCs w:val="18"/>
                <w:lang w:eastAsia="zh-CN"/>
              </w:rPr>
              <w:t>质量评估</w:t>
            </w:r>
          </w:p>
        </w:tc>
        <w:tc>
          <w:tcPr>
            <w:tcW w:w="2721" w:type="dxa"/>
            <w:vAlign w:val="center"/>
          </w:tcPr>
          <w:p w14:paraId="31C6D2ED">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lang w:eastAsia="zh-CN"/>
              </w:rPr>
              <w:t>HRD Score</w:t>
            </w:r>
            <w:r>
              <w:rPr>
                <w:rFonts w:ascii="Times New Roman" w:hAnsi="Times New Roman" w:eastAsia="微软雅黑" w:cs="Times New Roman"/>
                <w:bCs/>
                <w:sz w:val="18"/>
                <w:szCs w:val="18"/>
              </w:rPr>
              <w:t>平均测序深度</w:t>
            </w:r>
          </w:p>
        </w:tc>
        <w:tc>
          <w:tcPr>
            <w:tcW w:w="2381" w:type="dxa"/>
            <w:vAlign w:val="center"/>
          </w:tcPr>
          <w:p w14:paraId="485336D2">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}}{%endif%}</w:t>
            </w:r>
          </w:p>
        </w:tc>
        <w:tc>
          <w:tcPr>
            <w:tcW w:w="2721" w:type="dxa"/>
            <w:tcBorders>
              <w:right w:val="nil"/>
            </w:tcBorders>
            <w:vAlign w:val="center"/>
          </w:tcPr>
          <w:p w14:paraId="7FC6786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200</w:t>
            </w:r>
          </w:p>
        </w:tc>
      </w:tr>
      <w:tr w14:paraId="2E7D03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15FC37">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E06F003">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HRD Score</w:t>
            </w:r>
            <w:r>
              <w:rPr>
                <w:rFonts w:hint="eastAsia" w:ascii="Times New Roman" w:hAnsi="Times New Roman" w:eastAsia="微软雅黑" w:cs="Times New Roman"/>
                <w:bCs/>
                <w:sz w:val="18"/>
                <w:szCs w:val="18"/>
                <w:lang w:eastAsia="zh-CN"/>
              </w:rPr>
              <w:t>覆盖均一性</w:t>
            </w:r>
          </w:p>
        </w:tc>
        <w:tc>
          <w:tcPr>
            <w:tcW w:w="2381" w:type="dxa"/>
            <w:vAlign w:val="center"/>
          </w:tcPr>
          <w:p w14:paraId="00DDFD90">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hrd.coverage_uniformity }}{%endif%}</w:t>
            </w:r>
          </w:p>
        </w:tc>
        <w:tc>
          <w:tcPr>
            <w:tcW w:w="2721" w:type="dxa"/>
            <w:tcBorders>
              <w:right w:val="nil"/>
            </w:tcBorders>
            <w:vAlign w:val="center"/>
          </w:tcPr>
          <w:p w14:paraId="6954AA8D">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8</w:t>
            </w:r>
            <w:r>
              <w:rPr>
                <w:rFonts w:hint="eastAsia" w:ascii="Times New Roman" w:hAnsi="Times New Roman" w:eastAsia="微软雅黑" w:cs="Times New Roman"/>
                <w:bCs/>
                <w:sz w:val="18"/>
                <w:szCs w:val="18"/>
                <w:lang w:eastAsia="zh-CN"/>
              </w:rPr>
              <w:t>0%</w:t>
            </w:r>
          </w:p>
        </w:tc>
      </w:tr>
      <w:tr w14:paraId="689AE7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AF9E03">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469B2F50">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基因平均测序深度</w:t>
            </w:r>
          </w:p>
        </w:tc>
        <w:tc>
          <w:tcPr>
            <w:tcW w:w="2381" w:type="dxa"/>
            <w:vAlign w:val="center"/>
          </w:tcPr>
          <w:p w14:paraId="2FED036F">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sequencing_depth }}</w:t>
            </w:r>
          </w:p>
        </w:tc>
        <w:tc>
          <w:tcPr>
            <w:tcW w:w="2721" w:type="dxa"/>
            <w:tcBorders>
              <w:right w:val="nil"/>
            </w:tcBorders>
            <w:vAlign w:val="center"/>
          </w:tcPr>
          <w:p w14:paraId="263E7CD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500</w:t>
            </w:r>
          </w:p>
        </w:tc>
      </w:tr>
      <w:tr w14:paraId="7FED70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75EDB8">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2A5EE8B9">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基因覆盖均一性</w:t>
            </w:r>
          </w:p>
        </w:tc>
        <w:tc>
          <w:tcPr>
            <w:tcW w:w="2381" w:type="dxa"/>
            <w:vAlign w:val="center"/>
          </w:tcPr>
          <w:p w14:paraId="2F05DDA3">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coverage_uniformity }}</w:t>
            </w:r>
          </w:p>
        </w:tc>
        <w:tc>
          <w:tcPr>
            <w:tcW w:w="2721" w:type="dxa"/>
            <w:tcBorders>
              <w:right w:val="nil"/>
            </w:tcBorders>
            <w:vAlign w:val="center"/>
          </w:tcPr>
          <w:p w14:paraId="348EAD60">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90%</w:t>
            </w:r>
          </w:p>
        </w:tc>
      </w:tr>
      <w:tr w14:paraId="09BCCB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9C6A3A">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1171C7E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w:t>
            </w:r>
          </w:p>
        </w:tc>
        <w:tc>
          <w:tcPr>
            <w:tcW w:w="2381" w:type="dxa"/>
            <w:vAlign w:val="center"/>
          </w:tcPr>
          <w:p w14:paraId="614F84B4">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genome_alignment }}</w:t>
            </w:r>
          </w:p>
        </w:tc>
        <w:tc>
          <w:tcPr>
            <w:tcW w:w="2721" w:type="dxa"/>
            <w:tcBorders>
              <w:right w:val="nil"/>
            </w:tcBorders>
            <w:vAlign w:val="center"/>
          </w:tcPr>
          <w:p w14:paraId="35286DDC">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≥9</w:t>
            </w:r>
            <w:r>
              <w:rPr>
                <w:rFonts w:ascii="Times New Roman" w:hAnsi="Times New Roman" w:eastAsia="微软雅黑" w:cs="Times New Roman"/>
                <w:bCs/>
                <w:sz w:val="18"/>
                <w:szCs w:val="18"/>
              </w:rPr>
              <w:t>5%</w:t>
            </w:r>
          </w:p>
        </w:tc>
      </w:tr>
      <w:tr w14:paraId="2216C6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3F8E47">
            <w:pPr>
              <w:widowControl w:val="0"/>
              <w:spacing w:after="0" w:line="240" w:lineRule="auto"/>
              <w:ind w:left="119"/>
              <w:jc w:val="center"/>
              <w:rPr>
                <w:rFonts w:ascii="Times New Roman" w:hAnsi="Times New Roman" w:eastAsia="微软雅黑" w:cs="Times New Roman"/>
                <w:b/>
                <w:sz w:val="21"/>
              </w:rPr>
            </w:pPr>
          </w:p>
        </w:tc>
        <w:tc>
          <w:tcPr>
            <w:tcW w:w="2721" w:type="dxa"/>
            <w:vAlign w:val="center"/>
          </w:tcPr>
          <w:p w14:paraId="145DD8C5">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碱基质量Q30</w:t>
            </w:r>
            <w:r>
              <w:rPr>
                <w:rFonts w:hint="eastAsia" w:ascii="Times New Roman" w:hAnsi="Times New Roman" w:eastAsia="微软雅黑" w:cs="Times New Roman"/>
                <w:bCs/>
                <w:sz w:val="18"/>
                <w:szCs w:val="18"/>
                <w:lang w:eastAsia="zh-CN"/>
              </w:rPr>
              <w:t>占比</w:t>
            </w:r>
          </w:p>
        </w:tc>
        <w:tc>
          <w:tcPr>
            <w:tcW w:w="2381" w:type="dxa"/>
            <w:vAlign w:val="center"/>
          </w:tcPr>
          <w:p w14:paraId="4B796A3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base_quality }}</w:t>
            </w:r>
          </w:p>
        </w:tc>
        <w:tc>
          <w:tcPr>
            <w:tcW w:w="2721" w:type="dxa"/>
            <w:tcBorders>
              <w:right w:val="nil"/>
            </w:tcBorders>
            <w:vAlign w:val="center"/>
          </w:tcPr>
          <w:p w14:paraId="718572F5">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8</w:t>
            </w:r>
            <w:r>
              <w:rPr>
                <w:rFonts w:hint="eastAsia" w:ascii="Times New Roman" w:hAnsi="Times New Roman" w:eastAsia="微软雅黑" w:cs="Times New Roman"/>
                <w:bCs/>
                <w:sz w:val="18"/>
                <w:szCs w:val="18"/>
                <w:lang w:eastAsia="zh-CN"/>
              </w:rPr>
              <w:t>0</w:t>
            </w:r>
            <w:r>
              <w:rPr>
                <w:rFonts w:ascii="Times New Roman" w:hAnsi="Times New Roman" w:eastAsia="微软雅黑" w:cs="Times New Roman"/>
                <w:bCs/>
                <w:sz w:val="18"/>
                <w:szCs w:val="18"/>
              </w:rPr>
              <w:t>%</w:t>
            </w:r>
          </w:p>
        </w:tc>
      </w:tr>
      <w:tr w14:paraId="188E6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E16FEED">
            <w:pPr>
              <w:widowControl w:val="0"/>
              <w:spacing w:after="0" w:line="240" w:lineRule="auto"/>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5A05AE">
            <w:pPr>
              <w:widowControl w:val="0"/>
              <w:spacing w:after="0" w:line="240" w:lineRule="auto"/>
              <w:ind w:left="119"/>
              <w:jc w:val="center"/>
              <w:rPr>
                <w:rFonts w:ascii="Times New Roman" w:hAnsi="Times New Roman" w:eastAsia="微软雅黑" w:cs="Times New Roman"/>
                <w:bCs/>
                <w:sz w:val="21"/>
                <w:lang w:eastAsia="zh-CN"/>
              </w:rPr>
            </w:pPr>
            <w:r>
              <w:rPr>
                <w:rFonts w:hint="eastAsia" w:ascii="微软雅黑" w:hAnsi="微软雅黑" w:eastAsia="微软雅黑" w:cs="宋体"/>
                <w:color w:val="000000"/>
                <w:sz w:val="21"/>
                <w:szCs w:val="21"/>
                <w:lang w:eastAsia="zh-CN"/>
              </w:rPr>
              <w:t>{{</w:t>
            </w:r>
            <w:r>
              <w:rPr>
                <w:rFonts w:ascii="微软雅黑" w:hAnsi="微软雅黑" w:eastAsia="微软雅黑" w:cs="宋体"/>
                <w:color w:val="000000"/>
                <w:sz w:val="21"/>
                <w:szCs w:val="21"/>
                <w:lang w:eastAsia="zh-CN"/>
              </w:rPr>
              <w:t xml:space="preserve"> sequencing_depth</w:t>
            </w:r>
            <w:r>
              <w:rPr>
                <w:rFonts w:hint="eastAsia" w:ascii="微软雅黑" w:hAnsi="微软雅黑" w:eastAsia="微软雅黑" w:cs="宋体"/>
                <w:color w:val="000000"/>
                <w:sz w:val="21"/>
                <w:szCs w:val="21"/>
                <w:lang w:eastAsia="zh-CN"/>
              </w:rPr>
              <w:t xml:space="preserve"> | oqa(50</w:t>
            </w:r>
            <w:r>
              <w:rPr>
                <w:rFonts w:ascii="微软雅黑" w:hAnsi="微软雅黑" w:eastAsia="微软雅黑" w:cs="宋体"/>
                <w:color w:val="000000"/>
                <w:sz w:val="21"/>
                <w:szCs w:val="21"/>
                <w:lang w:eastAsia="zh-CN"/>
              </w:rPr>
              <w:t>0</w:t>
            </w:r>
            <w:r>
              <w:rPr>
                <w:rFonts w:hint="eastAsia" w:ascii="微软雅黑" w:hAnsi="微软雅黑" w:eastAsia="微软雅黑" w:cs="宋体"/>
                <w:color w:val="000000"/>
                <w:sz w:val="21"/>
                <w:szCs w:val="21"/>
                <w:lang w:eastAsia="zh-CN"/>
              </w:rPr>
              <w:t>,400) }}</w:t>
            </w:r>
          </w:p>
        </w:tc>
      </w:tr>
    </w:tbl>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3"/>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line="240" w:lineRule="auto"/>
        <w:ind w:left="0" w:leftChars="0" w:firstLine="0" w:firstLineChars="0"/>
        <w:textAlignment w:val="auto"/>
        <w:outlineLvl w:val="1"/>
        <w:rPr>
          <w:rFonts w:hint="eastAsia" w:ascii="微软雅黑" w:hAnsi="微软雅黑" w:eastAsia="微软雅黑"/>
          <w:b/>
          <w:color w:val="000000"/>
          <w:sz w:val="32"/>
          <w:lang w:val="en-US" w:eastAsia="zh-CN"/>
        </w:rPr>
      </w:pPr>
      <w:bookmarkStart w:id="16" w:name="_Toc23686"/>
      <w:r>
        <w:rPr>
          <w:rFonts w:hint="eastAsia" w:ascii="微软雅黑" w:hAnsi="微软雅黑" w:eastAsia="微软雅黑"/>
          <w:b/>
          <w:color w:val="000000"/>
          <w:sz w:val="32"/>
          <w:lang w:val="en-US" w:eastAsia="zh-CN"/>
        </w:rPr>
        <w:t>检测</w:t>
      </w:r>
      <w:bookmarkEnd w:id="16"/>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C554FC">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使用的探针由目标基因相应DNA区域捕获探针及人基因组多态性位点(SNP)捕获探针构成，基于Illumina测序平台的二代高通量测序技术(NGS)对样本进行检测。本机构已依据相关技术指导准则完成技术平台验证。</w:t>
      </w:r>
    </w:p>
    <w:p w14:paraId="0F738594">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通过二代高通量测序技术，可获取相应区域的DNA序列数据。借助生物信息分析所得数据，可检测的突变类型包括点突变、小片段插入缺失、拷贝数变异、断点发生在产品捕获范围内的基因融合，以及基因组杂合性缺失（LOH）、端粒等位基因不平衡（TAI）、大片段迁移（LST）。并基于LOH、TAI、LST获得基因不稳定状态评分（HRD score），提供全面可信的检测结果。</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r>
        <w:rPr>
          <w:rFonts w:hint="eastAsia" w:ascii="Times New Roman" w:hAnsi="Times New Roman" w:eastAsia="微软雅黑" w:cs="Times New Roman"/>
          <w:i/>
          <w:iCs/>
          <w:sz w:val="18"/>
          <w:szCs w:val="18"/>
          <w:lang w:val="en-US" w:eastAsia="zh-CN"/>
        </w:rPr>
        <w:t>{</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r>
        <w:rPr>
          <w:rFonts w:hint="eastAsia" w:ascii="微软雅黑" w:hAnsi="微软雅黑" w:eastAsia="微软雅黑" w:cs="微软雅黑"/>
          <w:b/>
          <w:bCs/>
          <w:sz w:val="21"/>
          <w:szCs w:val="21"/>
          <w:lang w:val="en-US" w:eastAsia="zh-CN"/>
        </w:rPr>
        <w:t>{{gene_table.title}}</w:t>
      </w:r>
    </w:p>
    <w:tbl>
      <w:tblPr>
        <w:tblStyle w:val="164"/>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3AC6F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5806BC04">
            <w:pPr>
              <w:widowControl/>
              <w:spacing w:after="0" w:line="240" w:lineRule="auto"/>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67CDA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307ED434">
            <w:pPr>
              <w:widowControl/>
              <w:spacing w:after="0" w:line="240" w:lineRule="auto"/>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026D2618">
            <w:pPr>
              <w:widowControl/>
              <w:spacing w:after="0" w:line="240" w:lineRule="auto"/>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3B7BA3B1">
            <w:pPr>
              <w:widowControl/>
              <w:spacing w:after="0" w:line="240" w:lineRule="auto"/>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347E5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985B5F1">
            <w:pPr>
              <w:widowControl/>
              <w:spacing w:after="0" w:line="240" w:lineRule="auto"/>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6246246">
      <w:pPr>
        <w:spacing w:after="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
          <w:bCs/>
          <w:sz w:val="18"/>
          <w:szCs w:val="18"/>
          <w:lang w:val="en-US" w:eastAsia="zh-CN"/>
        </w:rPr>
        <w:t>{% endfor %}</w:t>
      </w: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D61069D"/>
    <w:multiLevelType w:val="singleLevel"/>
    <w:tmpl w:val="DD61069D"/>
    <w:lvl w:ilvl="0" w:tentative="0">
      <w:start w:val="1"/>
      <w:numFmt w:val="decimal"/>
      <w:lvlText w:val="%1."/>
      <w:lvlJc w:val="left"/>
      <w:pPr>
        <w:ind w:left="425" w:hanging="425"/>
      </w:pPr>
      <w:rPr>
        <w:rFonts w:hint="default"/>
      </w:rPr>
    </w:lvl>
  </w:abstractNum>
  <w:abstractNum w:abstractNumId="2">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3">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4">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5">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6">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7">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8">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1">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2">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3">
    <w:nsid w:val="4C0A1103"/>
    <w:multiLevelType w:val="singleLevel"/>
    <w:tmpl w:val="4C0A1103"/>
    <w:lvl w:ilvl="0" w:tentative="0">
      <w:start w:val="1"/>
      <w:numFmt w:val="decimal"/>
      <w:lvlText w:val="%1."/>
      <w:lvlJc w:val="left"/>
      <w:pPr>
        <w:ind w:left="425" w:hanging="425"/>
      </w:pPr>
      <w:rPr>
        <w:rFonts w:hint="default"/>
        <w:sz w:val="18"/>
        <w:szCs w:val="18"/>
      </w:rPr>
    </w:lvl>
  </w:abstractNum>
  <w:num w:numId="1">
    <w:abstractNumId w:val="4"/>
  </w:num>
  <w:num w:numId="2">
    <w:abstractNumId w:val="7"/>
  </w:num>
  <w:num w:numId="3">
    <w:abstractNumId w:val="8"/>
  </w:num>
  <w:num w:numId="4">
    <w:abstractNumId w:val="5"/>
  </w:num>
  <w:num w:numId="5">
    <w:abstractNumId w:val="3"/>
  </w:num>
  <w:num w:numId="6">
    <w:abstractNumId w:val="6"/>
  </w:num>
  <w:num w:numId="7">
    <w:abstractNumId w:val="11"/>
  </w:num>
  <w:num w:numId="8">
    <w:abstractNumId w:val="9"/>
  </w:num>
  <w:num w:numId="9">
    <w:abstractNumId w:val="0"/>
  </w:num>
  <w:num w:numId="10">
    <w:abstractNumId w:val="13"/>
    <w:lvlOverride w:ilvl="0">
      <w:startOverride w:val="1"/>
    </w:lvlOverride>
  </w:num>
  <w:num w:numId="11">
    <w:abstractNumId w:val="12"/>
  </w:num>
  <w:num w:numId="12">
    <w:abstractNumId w:val="10"/>
  </w:num>
  <w:num w:numId="13">
    <w:abstractNumId w:val="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3DB6BF1"/>
    <w:rsid w:val="04CF30C5"/>
    <w:rsid w:val="04DA4474"/>
    <w:rsid w:val="057D69E2"/>
    <w:rsid w:val="07886409"/>
    <w:rsid w:val="091F0FEF"/>
    <w:rsid w:val="09AF5BD3"/>
    <w:rsid w:val="09BB6E49"/>
    <w:rsid w:val="0B5C5BE2"/>
    <w:rsid w:val="0BE6493B"/>
    <w:rsid w:val="0C230DF6"/>
    <w:rsid w:val="0D32412C"/>
    <w:rsid w:val="0D35493D"/>
    <w:rsid w:val="0D84744D"/>
    <w:rsid w:val="0DB26A52"/>
    <w:rsid w:val="0E9F5FA8"/>
    <w:rsid w:val="0EAF24CD"/>
    <w:rsid w:val="0F312AB7"/>
    <w:rsid w:val="103A45BB"/>
    <w:rsid w:val="108C51BC"/>
    <w:rsid w:val="13313C85"/>
    <w:rsid w:val="138D4392"/>
    <w:rsid w:val="13D4499A"/>
    <w:rsid w:val="14546E50"/>
    <w:rsid w:val="1488724D"/>
    <w:rsid w:val="168A6BBD"/>
    <w:rsid w:val="17E93D8C"/>
    <w:rsid w:val="18F71640"/>
    <w:rsid w:val="19990EDC"/>
    <w:rsid w:val="19FA629F"/>
    <w:rsid w:val="1BE206FA"/>
    <w:rsid w:val="20077F38"/>
    <w:rsid w:val="20F7728E"/>
    <w:rsid w:val="21582FD1"/>
    <w:rsid w:val="21876848"/>
    <w:rsid w:val="227B30DE"/>
    <w:rsid w:val="24227FE7"/>
    <w:rsid w:val="24D64800"/>
    <w:rsid w:val="25B20DC9"/>
    <w:rsid w:val="2749765B"/>
    <w:rsid w:val="275E3638"/>
    <w:rsid w:val="2A111A8E"/>
    <w:rsid w:val="2A4F4361"/>
    <w:rsid w:val="2AD35561"/>
    <w:rsid w:val="2B2F367F"/>
    <w:rsid w:val="2B8054C5"/>
    <w:rsid w:val="2B8271F1"/>
    <w:rsid w:val="2BE02DF6"/>
    <w:rsid w:val="2C6E5E3A"/>
    <w:rsid w:val="2CB56D90"/>
    <w:rsid w:val="2CC51901"/>
    <w:rsid w:val="2E9A1D03"/>
    <w:rsid w:val="2F4D6084"/>
    <w:rsid w:val="2FF344B8"/>
    <w:rsid w:val="30020F23"/>
    <w:rsid w:val="30055F99"/>
    <w:rsid w:val="30DE08DF"/>
    <w:rsid w:val="31181CFC"/>
    <w:rsid w:val="31740B9D"/>
    <w:rsid w:val="331365F3"/>
    <w:rsid w:val="333F2E0A"/>
    <w:rsid w:val="33694E60"/>
    <w:rsid w:val="338C11FB"/>
    <w:rsid w:val="34207080"/>
    <w:rsid w:val="3432329E"/>
    <w:rsid w:val="34C463DA"/>
    <w:rsid w:val="3500641C"/>
    <w:rsid w:val="35BB3A30"/>
    <w:rsid w:val="37785D74"/>
    <w:rsid w:val="37F30DCD"/>
    <w:rsid w:val="3A766411"/>
    <w:rsid w:val="3AA91BD1"/>
    <w:rsid w:val="3AC30F2B"/>
    <w:rsid w:val="3ACC6031"/>
    <w:rsid w:val="3CD613E9"/>
    <w:rsid w:val="3E454239"/>
    <w:rsid w:val="3F1E4B9D"/>
    <w:rsid w:val="3F4A39C9"/>
    <w:rsid w:val="41433ED6"/>
    <w:rsid w:val="41EF556F"/>
    <w:rsid w:val="43867A5D"/>
    <w:rsid w:val="43B27D8E"/>
    <w:rsid w:val="4454082D"/>
    <w:rsid w:val="44735770"/>
    <w:rsid w:val="46496210"/>
    <w:rsid w:val="466E4440"/>
    <w:rsid w:val="47925F0D"/>
    <w:rsid w:val="47C33F44"/>
    <w:rsid w:val="480171AF"/>
    <w:rsid w:val="48027536"/>
    <w:rsid w:val="49F06F55"/>
    <w:rsid w:val="4AF3760A"/>
    <w:rsid w:val="4B005D50"/>
    <w:rsid w:val="4B092B5E"/>
    <w:rsid w:val="4B0B4954"/>
    <w:rsid w:val="4B6A3DF6"/>
    <w:rsid w:val="4BBA0D7E"/>
    <w:rsid w:val="4C080E93"/>
    <w:rsid w:val="4C9604BD"/>
    <w:rsid w:val="4D057181"/>
    <w:rsid w:val="4D1F0243"/>
    <w:rsid w:val="4DB95B9F"/>
    <w:rsid w:val="4E0423C2"/>
    <w:rsid w:val="4E1E6C22"/>
    <w:rsid w:val="4E495944"/>
    <w:rsid w:val="4E710F72"/>
    <w:rsid w:val="4E8C1402"/>
    <w:rsid w:val="4F2E6E63"/>
    <w:rsid w:val="4F7D3946"/>
    <w:rsid w:val="4F900B6C"/>
    <w:rsid w:val="51917235"/>
    <w:rsid w:val="52B96A43"/>
    <w:rsid w:val="545853DC"/>
    <w:rsid w:val="54FA4A5B"/>
    <w:rsid w:val="565E5126"/>
    <w:rsid w:val="568B2D64"/>
    <w:rsid w:val="57193C9E"/>
    <w:rsid w:val="572351D5"/>
    <w:rsid w:val="574870DD"/>
    <w:rsid w:val="58002B1D"/>
    <w:rsid w:val="5852375D"/>
    <w:rsid w:val="59B95D94"/>
    <w:rsid w:val="5A350349"/>
    <w:rsid w:val="5A6000EC"/>
    <w:rsid w:val="5AF80325"/>
    <w:rsid w:val="5C743C9D"/>
    <w:rsid w:val="5C78171D"/>
    <w:rsid w:val="5D2C7080"/>
    <w:rsid w:val="5D870AB5"/>
    <w:rsid w:val="5EF94460"/>
    <w:rsid w:val="5F031561"/>
    <w:rsid w:val="60182240"/>
    <w:rsid w:val="60F8107F"/>
    <w:rsid w:val="61AE5BE1"/>
    <w:rsid w:val="62C1366C"/>
    <w:rsid w:val="62C531E2"/>
    <w:rsid w:val="62EB255A"/>
    <w:rsid w:val="63027F93"/>
    <w:rsid w:val="63AC469A"/>
    <w:rsid w:val="64065861"/>
    <w:rsid w:val="655B4943"/>
    <w:rsid w:val="66415276"/>
    <w:rsid w:val="66D37220"/>
    <w:rsid w:val="66E35C90"/>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9EB1329"/>
    <w:rsid w:val="7BA95D7F"/>
    <w:rsid w:val="7BC561A8"/>
    <w:rsid w:val="7CA57EB5"/>
    <w:rsid w:val="7D643172"/>
    <w:rsid w:val="7E425964"/>
    <w:rsid w:val="7EBC3294"/>
    <w:rsid w:val="7ED16C5A"/>
    <w:rsid w:val="7EE41F32"/>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2739</Words>
  <Characters>7309</Characters>
  <Lines>40</Lines>
  <Paragraphs>11</Paragraphs>
  <TotalTime>2</TotalTime>
  <ScaleCrop>false</ScaleCrop>
  <LinksUpToDate>false</LinksUpToDate>
  <CharactersWithSpaces>7880</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yolo</cp:lastModifiedBy>
  <dcterms:modified xsi:type="dcterms:W3CDTF">2025-08-04T08:45:03Z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eyJoZGlkIjoiNzhjODRmNWJhZTVkNTI1OGI2YWZlNjVkNDIwMWYwMDkiLCJ1c2VySWQiOiIzMTAxODgzOTQifQ==</vt:lpwstr>
  </property>
  <property fmtid="{D5CDD505-2E9C-101B-9397-08002B2CF9AE}" pid="3" name="KSOProductBuildVer">
    <vt:lpwstr>2052-12.1.0.21915</vt:lpwstr>
  </property>
  <property fmtid="{D5CDD505-2E9C-101B-9397-08002B2CF9AE}" pid="4" name="ICV">
    <vt:lpwstr>77C7F60402E9466795C27868484F6D22_43</vt:lpwstr>
  </property>
</Properties>
</file>