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3F04B">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028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14:paraId="2E5A470E">
      <w:pPr>
        <w:rPr>
          <w:rFonts w:eastAsia="微软雅黑" w:cs="Times New Roman"/>
          <w:sz w:val="20"/>
        </w:rPr>
      </w:pPr>
    </w:p>
    <w:p w14:paraId="1250832D">
      <w:pPr>
        <w:rPr>
          <w:rFonts w:eastAsia="微软雅黑" w:cs="Times New Roman"/>
          <w:sz w:val="20"/>
        </w:rPr>
      </w:pPr>
    </w:p>
    <w:p w14:paraId="679EDBDD">
      <w:pPr>
        <w:rPr>
          <w:rFonts w:eastAsia="微软雅黑" w:cs="Times New Roman"/>
          <w:sz w:val="20"/>
        </w:rPr>
      </w:pPr>
    </w:p>
    <w:p w14:paraId="7395E997">
      <w:pPr>
        <w:rPr>
          <w:rFonts w:eastAsia="微软雅黑" w:cs="Times New Roman"/>
          <w:sz w:val="20"/>
        </w:rPr>
      </w:pPr>
    </w:p>
    <w:p w14:paraId="33BD588C">
      <w:pPr>
        <w:rPr>
          <w:rFonts w:eastAsia="微软雅黑" w:cs="Times New Roman"/>
          <w:sz w:val="20"/>
        </w:rPr>
      </w:pPr>
    </w:p>
    <w:p w14:paraId="2C698F54">
      <w:pPr>
        <w:rPr>
          <w:rFonts w:eastAsia="微软雅黑" w:cs="Times New Roman"/>
          <w:sz w:val="20"/>
        </w:rPr>
      </w:pPr>
    </w:p>
    <w:p w14:paraId="433CFAE1">
      <w:pPr>
        <w:rPr>
          <w:rFonts w:eastAsia="微软雅黑" w:cs="Times New Roman"/>
          <w:sz w:val="20"/>
        </w:rPr>
      </w:pPr>
    </w:p>
    <w:p w14:paraId="577E2D83">
      <w:pPr>
        <w:rPr>
          <w:rFonts w:eastAsia="微软雅黑" w:cs="Times New Roman"/>
          <w:sz w:val="20"/>
        </w:rPr>
      </w:pPr>
    </w:p>
    <w:p w14:paraId="2A7A8CE0">
      <w:pPr>
        <w:rPr>
          <w:rFonts w:eastAsia="微软雅黑" w:cs="Times New Roman"/>
          <w:sz w:val="20"/>
        </w:rPr>
      </w:pPr>
    </w:p>
    <w:p w14:paraId="4355B41D">
      <w:pPr>
        <w:rPr>
          <w:rFonts w:eastAsia="微软雅黑" w:cs="Times New Roman"/>
        </w:rPr>
      </w:pPr>
      <w:bookmarkStart w:id="0" w:name="_Toc9856"/>
    </w:p>
    <w:bookmarkEnd w:id="0"/>
    <w:p w14:paraId="3A560032">
      <w:pPr>
        <w:pStyle w:val="6"/>
        <w:rPr>
          <w:rFonts w:ascii="黑体" w:eastAsia="微软雅黑" w:cs="Times New Roman"/>
          <w:sz w:val="48"/>
          <w:lang w:eastAsia="zh-CN"/>
        </w:rPr>
      </w:pPr>
    </w:p>
    <w:p w14:paraId="6A7219A2">
      <w:pPr>
        <w:pStyle w:val="6"/>
        <w:rPr>
          <w:rFonts w:ascii="黑体" w:eastAsia="微软雅黑" w:cs="Times New Roman"/>
          <w:sz w:val="48"/>
          <w:lang w:eastAsia="zh-CN"/>
        </w:rPr>
      </w:pPr>
    </w:p>
    <w:p w14:paraId="4EA01227">
      <w:pPr>
        <w:pStyle w:val="6"/>
        <w:rPr>
          <w:rFonts w:ascii="黑体" w:eastAsia="微软雅黑" w:cs="Times New Roman"/>
          <w:sz w:val="48"/>
          <w:lang w:eastAsia="zh-CN"/>
        </w:rPr>
      </w:pPr>
    </w:p>
    <w:p w14:paraId="1959EAC4">
      <w:pPr>
        <w:pStyle w:val="6"/>
        <w:rPr>
          <w:rFonts w:ascii="黑体" w:eastAsia="微软雅黑" w:cs="Times New Roman"/>
          <w:sz w:val="48"/>
          <w:lang w:eastAsia="zh-CN"/>
        </w:rPr>
      </w:pPr>
    </w:p>
    <w:p w14:paraId="2A2C2DCF">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14:paraId="60BAB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2D6A8A46">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14:paraId="000404E2">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14:paraId="013AA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14:paraId="5DDE97FD">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14:paraId="2594FE52">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14:paraId="3706F911">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14:paraId="2B9C5068">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14:paraId="4B4B01A5">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34"/>
          <w:szCs w:val="34"/>
          <w:lang w:eastAsia="zh-CN"/>
        </w:rPr>
      </w:pPr>
      <w:r>
        <w:rPr>
          <w:rFonts w:hint="eastAsia" w:ascii="微软雅黑" w:hAnsi="微软雅黑" w:eastAsia="微软雅黑" w:cs="微软雅黑"/>
          <w:bCs/>
          <w:color w:val="0B8770"/>
          <w:sz w:val="34"/>
          <w:szCs w:val="34"/>
          <w:lang w:eastAsia="zh-CN"/>
        </w:rPr>
        <w:t>目录</w:t>
      </w:r>
    </w:p>
    <w:p w14:paraId="3300A2AC">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18"/>
          <w:szCs w:val="18"/>
          <w:lang w:eastAsia="zh-CN"/>
        </w:rPr>
      </w:pPr>
      <w:r>
        <w:rPr>
          <w:rFonts w:hint="eastAsia" w:ascii="微软雅黑" w:hAnsi="微软雅黑" w:eastAsia="微软雅黑" w:cs="微软雅黑"/>
          <w:bCs/>
          <w:color w:val="0B8770"/>
          <w:sz w:val="18"/>
          <w:szCs w:val="18"/>
          <w:lang w:eastAsia="zh-CN"/>
        </w:rPr>
        <w:t>Content</w:t>
      </w:r>
    </w:p>
    <w:p w14:paraId="40318BC4">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18"/>
          <w:szCs w:val="18"/>
          <w:lang w:eastAsia="zh-CN"/>
        </w:rPr>
      </w:pPr>
    </w:p>
    <w:p w14:paraId="3AB63276">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18"/>
          <w:szCs w:val="18"/>
          <w:u w:val="single"/>
          <w:lang w:eastAsia="zh-CN"/>
        </w:rPr>
      </w:pPr>
      <w:r>
        <w:rPr>
          <w:rFonts w:hint="eastAsia" w:ascii="微软雅黑" w:hAnsi="微软雅黑" w:eastAsia="微软雅黑" w:cs="微软雅黑"/>
          <w:bCs/>
          <w:color w:val="0B8770"/>
          <w:sz w:val="18"/>
          <w:szCs w:val="18"/>
          <w:u w:val="single"/>
          <w:lang w:eastAsia="zh-CN"/>
        </w:rPr>
        <w:t xml:space="preserve">       </w:t>
      </w:r>
    </w:p>
    <w:p w14:paraId="6DBC4FD1">
      <w:pPr>
        <w:keepLines w:val="0"/>
        <w:pageBreakBefore w:val="0"/>
        <w:kinsoku/>
        <w:wordWrap/>
        <w:overflowPunct/>
        <w:topLinePunct w:val="0"/>
        <w:bidi w:val="0"/>
        <w:snapToGrid/>
        <w:spacing w:line="240" w:lineRule="auto"/>
        <w:rPr>
          <w:rFonts w:hint="eastAsia" w:ascii="微软雅黑" w:hAnsi="微软雅黑" w:eastAsia="微软雅黑" w:cs="微软雅黑"/>
          <w:lang w:eastAsia="zh-CN"/>
        </w:rPr>
      </w:pPr>
    </w:p>
    <w:p w14:paraId="62B8ED75">
      <w:pPr>
        <w:keepLines w:val="0"/>
        <w:pageBreakBefore w:val="0"/>
        <w:kinsoku/>
        <w:wordWrap/>
        <w:overflowPunct/>
        <w:topLinePunct w:val="0"/>
        <w:bidi w:val="0"/>
        <w:snapToGrid/>
        <w:spacing w:line="240" w:lineRule="auto"/>
        <w:rPr>
          <w:rFonts w:hint="eastAsia" w:ascii="微软雅黑" w:hAnsi="微软雅黑" w:eastAsia="微软雅黑" w:cs="微软雅黑"/>
          <w:lang w:eastAsia="zh-CN"/>
        </w:rPr>
      </w:pPr>
    </w:p>
    <w:p w14:paraId="1865F9B4">
      <w:pPr>
        <w:pStyle w:val="11"/>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_Toc15675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_Toc15675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14:paraId="3388464C">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_Toc12810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_Toc12810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536462E1">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_Toc14490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_Toc14490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7303DEC">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_Toc11425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_Toc11425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003FF58">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_Toc21848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lang w:eastAsia="zh-CN"/>
        </w:rPr>
        <w:t>部分 检测结果</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_Toc21848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2</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15BA9707">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_Toc14587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肿瘤遗传风险检测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_Toc14587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E70BE55">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_Toc28715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_Toc28715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AAC527A">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_Toc29187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_Toc29187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4</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61DB01FC">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_Toc19761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变异位点结果解析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_Toc19761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3840565">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_Toc21688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第四部分 风险管理</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_Toc21688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6</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508A8187">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_Toc352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第五部分 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_Toc352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13</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14:paraId="7B500606">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_Toc18015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5.1 林奇综合征和相关基因说明</w:t>
      </w:r>
      <w:bookmarkStart w:id="61" w:name="_GoBack"/>
      <w:bookmarkEnd w:id="61"/>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_Toc18015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05E05B7">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_Toc6253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_Toc6253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6892B2B3">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_Toc31064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5.3 检测方法</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_Toc31064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4EAEBD10">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_Toc25286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5.4 遗传信息解读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_Toc25286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0DE6BCFD">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_Toc3486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5.5 变异解读声明</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_Toc3486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3C62105B">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_Toc29854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5.6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_Toc29854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14:paraId="7120700C">
      <w:pPr>
        <w:pStyle w:val="11"/>
        <w:tabs>
          <w:tab w:val="right" w:leader="dot" w:pos="9870"/>
        </w:tabs>
        <w:rPr>
          <w:rFonts w:hint="eastAsia" w:ascii="微软雅黑" w:hAnsi="微软雅黑" w:eastAsia="微软雅黑" w:cs="微软雅黑"/>
        </w:rPr>
      </w:pPr>
      <w:r>
        <w:rPr>
          <w:rFonts w:hint="eastAsia" w:ascii="微软雅黑" w:hAnsi="微软雅黑" w:eastAsia="微软雅黑" w:cs="微软雅黑"/>
          <w:bCs/>
          <w:szCs w:val="40"/>
          <w:lang w:eastAsia="zh-CN"/>
        </w:rPr>
        <w:fldChar w:fldCharType="end"/>
      </w:r>
    </w:p>
    <w:p w14:paraId="1FF4FE9A">
      <w:pPr>
        <w:keepLines w:val="0"/>
        <w:pageBreakBefore w:val="0"/>
        <w:kinsoku/>
        <w:wordWrap/>
        <w:overflowPunct/>
        <w:topLinePunct w:val="0"/>
        <w:bidi w:val="0"/>
        <w:snapToGrid/>
        <w:spacing w:line="240" w:lineRule="auto"/>
        <w:rPr>
          <w:rFonts w:hint="eastAsia" w:ascii="微软雅黑" w:hAnsi="微软雅黑" w:eastAsia="微软雅黑" w:cs="微软雅黑"/>
        </w:rPr>
        <w:sectPr>
          <w:head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docGrid w:linePitch="299" w:charSpace="0"/>
        </w:sectPr>
      </w:pPr>
    </w:p>
    <w:p w14:paraId="5A8EFE47">
      <w:pPr>
        <w:pStyle w:val="2"/>
        <w:numPr>
          <w:ilvl w:val="0"/>
          <w:numId w:val="0"/>
        </w:numPr>
        <w:jc w:val="left"/>
        <w:rPr>
          <w:rFonts w:hint="eastAsia" w:ascii="微软雅黑" w:hAnsi="微软雅黑" w:eastAsia="微软雅黑" w:cs="微软雅黑"/>
          <w:color w:val="auto"/>
          <w:sz w:val="32"/>
          <w:szCs w:val="40"/>
        </w:rPr>
      </w:pPr>
      <w:bookmarkStart w:id="1" w:name="_Toc15675"/>
      <w:r>
        <w:rPr>
          <w:rFonts w:hint="eastAsia" w:ascii="微软雅黑" w:hAnsi="微软雅黑" w:eastAsia="微软雅黑" w:cs="微软雅黑"/>
          <w:color w:val="auto"/>
          <w:sz w:val="32"/>
          <w:szCs w:val="40"/>
        </w:rPr>
        <w:t>第一部分 基本信息</w:t>
      </w:r>
      <w:bookmarkEnd w:id="1"/>
    </w:p>
    <w:p w14:paraId="21FAFDC6">
      <w:pPr>
        <w:keepLines w:val="0"/>
        <w:pageBreakBefore w:val="0"/>
        <w:kinsoku/>
        <w:wordWrap/>
        <w:overflowPunct/>
        <w:topLinePunct w:val="0"/>
        <w:bidi w:val="0"/>
        <w:snapToGrid/>
        <w:spacing w:line="240" w:lineRule="auto"/>
        <w:rPr>
          <w:rFonts w:hint="eastAsia" w:ascii="微软雅黑" w:hAnsi="微软雅黑" w:eastAsia="微软雅黑" w:cs="微软雅黑"/>
          <w:lang w:eastAsia="zh-CN"/>
        </w:rPr>
      </w:pPr>
    </w:p>
    <w:tbl>
      <w:tblPr>
        <w:tblStyle w:val="16"/>
        <w:tblW w:w="0" w:type="auto"/>
        <w:tblInd w:w="-2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2197"/>
        <w:gridCol w:w="1281"/>
        <w:gridCol w:w="1856"/>
        <w:gridCol w:w="1281"/>
        <w:gridCol w:w="2194"/>
      </w:tblGrid>
      <w:tr w14:paraId="4577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321" w:type="dxa"/>
            <w:gridSpan w:val="6"/>
            <w:tcBorders>
              <w:top w:val="single" w:color="0B8770" w:sz="4" w:space="0"/>
              <w:left w:val="single" w:color="0B8770" w:sz="4" w:space="0"/>
              <w:bottom w:val="single" w:color="0B8770" w:sz="4" w:space="0"/>
              <w:right w:val="single" w:color="0B8770" w:sz="4" w:space="0"/>
            </w:tcBorders>
            <w:shd w:val="clear" w:color="auto" w:fill="0B8770"/>
          </w:tcPr>
          <w:p w14:paraId="21F439BE">
            <w:pPr>
              <w:pStyle w:val="2"/>
              <w:numPr>
                <w:ilvl w:val="0"/>
                <w:numId w:val="0"/>
              </w:numPr>
              <w:bidi w:val="0"/>
              <w:ind w:left="153" w:leftChars="0"/>
              <w:jc w:val="center"/>
              <w:rPr>
                <w:rFonts w:hint="eastAsia" w:ascii="微软雅黑" w:hAnsi="微软雅黑" w:eastAsia="微软雅黑" w:cs="微软雅黑"/>
                <w:b/>
                <w:bCs/>
              </w:rPr>
            </w:pPr>
            <w:bookmarkStart w:id="2" w:name="_Toc12810"/>
            <w:r>
              <w:rPr>
                <w:rFonts w:hint="eastAsia"/>
                <w:b w:val="0"/>
                <w:bCs w:val="0"/>
                <w:color w:val="FFFFFF" w:themeColor="background1"/>
                <w:sz w:val="24"/>
                <w:szCs w:val="24"/>
                <w:lang w:eastAsia="zh-CN"/>
                <w14:textFill>
                  <w14:solidFill>
                    <w14:schemeClr w14:val="bg1"/>
                  </w14:solidFill>
                </w14:textFill>
              </w:rPr>
              <w:t>患者基本信息</w:t>
            </w:r>
            <w:bookmarkEnd w:id="2"/>
          </w:p>
        </w:tc>
      </w:tr>
      <w:tr w14:paraId="1B444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single" w:color="0B8770" w:sz="4" w:space="0"/>
              <w:left w:val="nil"/>
              <w:bottom w:val="nil"/>
              <w:right w:val="nil"/>
            </w:tcBorders>
            <w:shd w:val="clear" w:color="auto" w:fill="E6E6E6"/>
            <w:vAlign w:val="center"/>
          </w:tcPr>
          <w:p w14:paraId="39B3F06F">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97" w:type="dxa"/>
            <w:tcBorders>
              <w:top w:val="single" w:color="0B8770" w:sz="4" w:space="0"/>
              <w:left w:val="nil"/>
              <w:bottom w:val="single" w:color="0B8770" w:sz="8" w:space="0"/>
              <w:right w:val="nil"/>
            </w:tcBorders>
            <w:vAlign w:val="center"/>
          </w:tcPr>
          <w:p w14:paraId="2B7B114E">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client }}</w:t>
            </w:r>
          </w:p>
        </w:tc>
        <w:tc>
          <w:tcPr>
            <w:tcW w:w="1281" w:type="dxa"/>
            <w:tcBorders>
              <w:top w:val="single" w:color="0B8770" w:sz="4" w:space="0"/>
              <w:left w:val="nil"/>
              <w:bottom w:val="nil"/>
              <w:right w:val="nil"/>
            </w:tcBorders>
            <w:shd w:val="clear" w:color="auto" w:fill="E7E6E6" w:themeFill="background2"/>
            <w:vAlign w:val="center"/>
          </w:tcPr>
          <w:p w14:paraId="2048A66D">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1856" w:type="dxa"/>
            <w:tcBorders>
              <w:top w:val="single" w:color="0B8770" w:sz="4" w:space="0"/>
              <w:left w:val="nil"/>
              <w:bottom w:val="single" w:color="0B8770" w:sz="8" w:space="0"/>
              <w:right w:val="nil"/>
            </w:tcBorders>
            <w:vAlign w:val="center"/>
          </w:tcPr>
          <w:p w14:paraId="25CC81F6">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81" w:type="dxa"/>
            <w:tcBorders>
              <w:top w:val="single" w:color="0B8770" w:sz="4" w:space="0"/>
              <w:left w:val="nil"/>
              <w:bottom w:val="nil"/>
              <w:right w:val="nil"/>
            </w:tcBorders>
            <w:shd w:val="clear" w:color="auto" w:fill="E7E6E6" w:themeFill="background2"/>
            <w:vAlign w:val="center"/>
          </w:tcPr>
          <w:p w14:paraId="6601F1D8">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14:paraId="795BC28B">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14:paraId="7BA39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14:paraId="3B36A93B">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97" w:type="dxa"/>
            <w:tcBorders>
              <w:top w:val="single" w:color="0B8770" w:sz="8" w:space="0"/>
              <w:left w:val="nil"/>
              <w:bottom w:val="single" w:color="0B8770" w:sz="8" w:space="0"/>
              <w:right w:val="nil"/>
            </w:tcBorders>
            <w:vAlign w:val="center"/>
          </w:tcPr>
          <w:p w14:paraId="667E621E">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81" w:type="dxa"/>
            <w:tcBorders>
              <w:top w:val="nil"/>
              <w:left w:val="nil"/>
              <w:bottom w:val="nil"/>
              <w:right w:val="nil"/>
            </w:tcBorders>
            <w:shd w:val="clear" w:color="auto" w:fill="E7E6E6" w:themeFill="background2"/>
            <w:vAlign w:val="center"/>
          </w:tcPr>
          <w:p w14:paraId="58DF4EB0">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1856" w:type="dxa"/>
            <w:tcBorders>
              <w:top w:val="single" w:color="0B8770" w:sz="8" w:space="0"/>
              <w:left w:val="nil"/>
              <w:bottom w:val="single" w:color="0B8770" w:sz="8" w:space="0"/>
              <w:right w:val="nil"/>
            </w:tcBorders>
            <w:vAlign w:val="center"/>
          </w:tcPr>
          <w:p w14:paraId="05980DC5">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locationname }}</w:t>
            </w:r>
          </w:p>
        </w:tc>
        <w:tc>
          <w:tcPr>
            <w:tcW w:w="1281" w:type="dxa"/>
            <w:tcBorders>
              <w:top w:val="nil"/>
              <w:left w:val="nil"/>
              <w:bottom w:val="nil"/>
              <w:right w:val="nil"/>
            </w:tcBorders>
            <w:shd w:val="clear" w:color="auto" w:fill="E7E6E6" w:themeFill="background2"/>
            <w:vAlign w:val="center"/>
          </w:tcPr>
          <w:p w14:paraId="1B263C1F">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14:paraId="6B9301FD">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14:paraId="4D3C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14:paraId="50C3332D">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97" w:type="dxa"/>
            <w:tcBorders>
              <w:top w:val="single" w:color="0B8770" w:sz="8" w:space="0"/>
              <w:left w:val="nil"/>
              <w:bottom w:val="single" w:color="0B8770" w:sz="8" w:space="0"/>
              <w:right w:val="nil"/>
            </w:tcBorders>
            <w:vAlign w:val="center"/>
          </w:tcPr>
          <w:p w14:paraId="5BCB0629">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81" w:type="dxa"/>
            <w:tcBorders>
              <w:top w:val="nil"/>
              <w:left w:val="nil"/>
              <w:bottom w:val="nil"/>
              <w:right w:val="nil"/>
            </w:tcBorders>
            <w:shd w:val="clear" w:color="auto" w:fill="E7E6E6" w:themeFill="background2"/>
            <w:vAlign w:val="center"/>
          </w:tcPr>
          <w:p w14:paraId="6CC692DA">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1856" w:type="dxa"/>
            <w:tcBorders>
              <w:top w:val="single" w:color="0B8770" w:sz="8" w:space="0"/>
              <w:left w:val="nil"/>
              <w:bottom w:val="single" w:color="0B8770" w:sz="8" w:space="0"/>
              <w:right w:val="nil"/>
            </w:tcBorders>
            <w:vAlign w:val="center"/>
          </w:tcPr>
          <w:p w14:paraId="5D9628E5">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specimentype }}</w:t>
            </w:r>
          </w:p>
        </w:tc>
        <w:tc>
          <w:tcPr>
            <w:tcW w:w="1281" w:type="dxa"/>
            <w:tcBorders>
              <w:top w:val="nil"/>
              <w:left w:val="nil"/>
              <w:bottom w:val="nil"/>
              <w:right w:val="nil"/>
            </w:tcBorders>
            <w:shd w:val="clear" w:color="auto" w:fill="E7E6E6" w:themeFill="background2"/>
            <w:vAlign w:val="center"/>
          </w:tcPr>
          <w:p w14:paraId="0A76CB11">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14:paraId="530E1DE7">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auto"/>
                <w:sz w:val="21"/>
                <w:szCs w:val="21"/>
                <w:highlight w:val="none"/>
                <w:lang w:val="en-US" w:eastAsia="zh-CN"/>
              </w:rPr>
              <w:t>-</w:t>
            </w:r>
          </w:p>
        </w:tc>
      </w:tr>
      <w:tr w14:paraId="6994F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14:paraId="0AB31869">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97" w:type="dxa"/>
            <w:tcBorders>
              <w:top w:val="single" w:color="0B8770" w:sz="8" w:space="0"/>
              <w:left w:val="nil"/>
              <w:bottom w:val="single" w:color="0B8770" w:sz="8" w:space="0"/>
              <w:right w:val="nil"/>
            </w:tcBorders>
            <w:vAlign w:val="center"/>
          </w:tcPr>
          <w:p w14:paraId="00E3949B">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81" w:type="dxa"/>
            <w:tcBorders>
              <w:top w:val="nil"/>
              <w:left w:val="nil"/>
              <w:bottom w:val="nil"/>
              <w:right w:val="nil"/>
            </w:tcBorders>
            <w:shd w:val="clear" w:color="auto" w:fill="E7E6E6" w:themeFill="background2"/>
            <w:vAlign w:val="center"/>
          </w:tcPr>
          <w:p w14:paraId="3AD25EA8">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1856" w:type="dxa"/>
            <w:tcBorders>
              <w:top w:val="single" w:color="0B8770" w:sz="8" w:space="0"/>
              <w:left w:val="nil"/>
              <w:bottom w:val="single" w:color="0B8770" w:sz="8" w:space="0"/>
              <w:right w:val="nil"/>
            </w:tcBorders>
            <w:vAlign w:val="center"/>
          </w:tcPr>
          <w:p w14:paraId="6FE0042A">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doctorname }}</w:t>
            </w:r>
          </w:p>
        </w:tc>
        <w:tc>
          <w:tcPr>
            <w:tcW w:w="1281" w:type="dxa"/>
            <w:tcBorders>
              <w:top w:val="nil"/>
              <w:left w:val="nil"/>
              <w:bottom w:val="nil"/>
              <w:right w:val="nil"/>
            </w:tcBorders>
            <w:shd w:val="clear" w:color="auto" w:fill="E7E6E6" w:themeFill="background2"/>
            <w:vAlign w:val="center"/>
          </w:tcPr>
          <w:p w14:paraId="2FEFEA7C">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14:paraId="4F568A84">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14:paraId="383F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14:paraId="26B640FA">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8809" w:type="dxa"/>
            <w:gridSpan w:val="5"/>
            <w:tcBorders>
              <w:top w:val="single" w:color="0B8770" w:sz="8" w:space="0"/>
              <w:left w:val="nil"/>
              <w:bottom w:val="single" w:color="0B8770" w:sz="8" w:space="0"/>
              <w:right w:val="nil"/>
            </w:tcBorders>
            <w:vAlign w:val="center"/>
          </w:tcPr>
          <w:p w14:paraId="2E1763CA">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val="en-US" w:eastAsia="zh-CN"/>
              </w:rPr>
              <w:t>林奇综合征遗传易感基因检测</w:t>
            </w:r>
          </w:p>
        </w:tc>
      </w:tr>
    </w:tbl>
    <w:p w14:paraId="4165E13E">
      <w:pPr>
        <w:keepLines w:val="0"/>
        <w:pageBreakBefore w:val="0"/>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p>
    <w:p w14:paraId="2FEBAB32">
      <w:pPr>
        <w:keepLines w:val="0"/>
        <w:pageBreakBefore w:val="0"/>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14:paraId="62B40A5D">
      <w:pPr>
        <w:keepLines w:val="0"/>
        <w:pageBreakBefore w:val="0"/>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p w14:paraId="7DC198BF">
      <w:pPr>
        <w:pStyle w:val="6"/>
        <w:keepLines w:val="0"/>
        <w:pageBreakBefore w:val="0"/>
        <w:kinsoku/>
        <w:wordWrap/>
        <w:overflowPunct/>
        <w:topLinePunct w:val="0"/>
        <w:bidi w:val="0"/>
        <w:snapToGrid/>
        <w:spacing w:line="240" w:lineRule="auto"/>
        <w:rPr>
          <w:rFonts w:hint="eastAsia" w:ascii="微软雅黑" w:hAnsi="微软雅黑" w:eastAsia="微软雅黑" w:cs="微软雅黑"/>
          <w:b/>
          <w:sz w:val="20"/>
          <w:lang w:eastAsia="zh-CN"/>
        </w:rPr>
      </w:pPr>
    </w:p>
    <w:p w14:paraId="2EB4EF7F">
      <w:pPr>
        <w:keepLines w:val="0"/>
        <w:pageBreakBefore w:val="0"/>
        <w:kinsoku/>
        <w:wordWrap/>
        <w:overflowPunct/>
        <w:topLinePunct w:val="0"/>
        <w:bidi w:val="0"/>
        <w:snapToGrid/>
        <w:spacing w:line="240" w:lineRule="auto"/>
        <w:rPr>
          <w:rFonts w:hint="eastAsia" w:ascii="微软雅黑" w:hAnsi="微软雅黑" w:eastAsia="微软雅黑" w:cs="微软雅黑"/>
          <w:b/>
          <w:color w:val="00B050"/>
          <w:sz w:val="28"/>
          <w:szCs w:val="28"/>
          <w:lang w:eastAsia="zh-CN"/>
        </w:rPr>
      </w:pPr>
    </w:p>
    <w:tbl>
      <w:tblPr>
        <w:tblStyle w:val="16"/>
        <w:tblpPr w:leftFromText="181" w:rightFromText="181" w:vertAnchor="text" w:horzAnchor="page" w:tblpXSpec="center" w:tblpY="1"/>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70"/>
      </w:tblGrid>
      <w:tr w14:paraId="75D11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070" w:type="dxa"/>
            <w:shd w:val="clear" w:color="auto" w:fill="0B8770"/>
            <w:vAlign w:val="top"/>
          </w:tcPr>
          <w:p w14:paraId="5018D7F9">
            <w:pPr>
              <w:pStyle w:val="2"/>
              <w:keepLines w:val="0"/>
              <w:pageBreakBefore w:val="0"/>
              <w:numPr>
                <w:ilvl w:val="0"/>
                <w:numId w:val="0"/>
              </w:numPr>
              <w:kinsoku/>
              <w:wordWrap/>
              <w:overflowPunct/>
              <w:topLinePunct w:val="0"/>
              <w:bidi w:val="0"/>
              <w:snapToGrid/>
              <w:spacing w:line="240" w:lineRule="auto"/>
              <w:ind w:left="153"/>
              <w:outlineLvl w:val="0"/>
              <w:rPr>
                <w:rFonts w:hint="eastAsia" w:ascii="微软雅黑" w:hAnsi="微软雅黑" w:eastAsia="微软雅黑" w:cs="微软雅黑"/>
                <w:szCs w:val="28"/>
              </w:rPr>
            </w:pPr>
            <w:bookmarkStart w:id="3" w:name="_Toc14490"/>
            <w:r>
              <w:rPr>
                <w:rFonts w:hint="eastAsia" w:cs="Times New Roman"/>
                <w:b w:val="0"/>
                <w:bCs w:val="0"/>
                <w:color w:val="FFFFFF" w:themeColor="background1"/>
                <w:sz w:val="24"/>
                <w:szCs w:val="24"/>
                <w14:textFill>
                  <w14:solidFill>
                    <w14:schemeClr w14:val="bg1"/>
                  </w14:solidFill>
                </w14:textFill>
              </w:rPr>
              <w:t>检测项目简介</w:t>
            </w:r>
            <w:bookmarkEnd w:id="3"/>
          </w:p>
        </w:tc>
      </w:tr>
    </w:tbl>
    <w:p w14:paraId="29FBB695">
      <w:pPr>
        <w:keepLines w:val="0"/>
        <w:pageBreakBefore w:val="0"/>
        <w:numPr>
          <w:ilvl w:val="0"/>
          <w:numId w:val="6"/>
        </w:numPr>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bookmarkStart w:id="4" w:name="_Toc3823"/>
      <w:r>
        <w:rPr>
          <w:rFonts w:hint="eastAsia" w:ascii="微软雅黑" w:hAnsi="微软雅黑" w:eastAsia="微软雅黑" w:cs="微软雅黑"/>
          <w:bCs/>
          <w:color w:val="000000"/>
          <w:sz w:val="21"/>
          <w:szCs w:val="21"/>
          <w:lang w:eastAsia="zh-CN"/>
        </w:rPr>
        <w:t>检测方法：基于目标区域捕获的二代测序方法</w:t>
      </w:r>
    </w:p>
    <w:p w14:paraId="7CDABF5A">
      <w:pPr>
        <w:keepLines w:val="0"/>
        <w:pageBreakBefore w:val="0"/>
        <w:numPr>
          <w:ilvl w:val="0"/>
          <w:numId w:val="6"/>
        </w:numPr>
        <w:kinsoku/>
        <w:wordWrap/>
        <w:overflowPunct/>
        <w:topLinePunct w:val="0"/>
        <w:bidi w:val="0"/>
        <w:snapToGrid/>
        <w:spacing w:line="240" w:lineRule="auto"/>
        <w:ind w:left="0" w:leftChars="0" w:firstLine="0"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14:paraId="62DD18CD">
      <w:pPr>
        <w:keepLines w:val="0"/>
        <w:pageBreakBefore w:val="0"/>
        <w:numPr>
          <w:ilvl w:val="0"/>
          <w:numId w:val="6"/>
        </w:numPr>
        <w:kinsoku/>
        <w:wordWrap/>
        <w:overflowPunct/>
        <w:topLinePunct w:val="0"/>
        <w:bidi w:val="0"/>
        <w:snapToGrid/>
        <w:spacing w:line="240" w:lineRule="auto"/>
        <w:ind w:left="0" w:leftChars="0" w:firstLine="0" w:firstLineChars="0"/>
        <w:jc w:val="both"/>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color w:val="000000"/>
          <w:sz w:val="21"/>
          <w:szCs w:val="21"/>
          <w:lang w:val="en-US" w:eastAsia="zh-CN"/>
        </w:rPr>
        <w:t>林奇综合征相关的</w:t>
      </w:r>
      <w:r>
        <w:rPr>
          <w:rFonts w:hint="eastAsia" w:ascii="微软雅黑" w:hAnsi="微软雅黑" w:eastAsia="微软雅黑" w:cs="微软雅黑"/>
          <w:bCs/>
          <w:color w:val="000000"/>
          <w:sz w:val="21"/>
          <w:szCs w:val="21"/>
          <w:lang w:eastAsia="zh-CN"/>
        </w:rPr>
        <w:t>5个基因。</w:t>
      </w:r>
    </w:p>
    <w:p w14:paraId="6409225C">
      <w:pPr>
        <w:keepLines w:val="0"/>
        <w:pageBreakBefore w:val="0"/>
        <w:numPr>
          <w:ilvl w:val="0"/>
          <w:numId w:val="6"/>
        </w:numPr>
        <w:kinsoku/>
        <w:wordWrap/>
        <w:overflowPunct/>
        <w:topLinePunct w:val="0"/>
        <w:bidi w:val="0"/>
        <w:snapToGrid/>
        <w:spacing w:line="240" w:lineRule="auto"/>
        <w:ind w:left="0" w:leftChars="0" w:firstLine="0"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检测意义：为肿瘤患者指导遗传风险筛查。</w:t>
      </w:r>
    </w:p>
    <w:p w14:paraId="3E699F51">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bidi="ar"/>
        </w:rPr>
      </w:pPr>
    </w:p>
    <w:p w14:paraId="31D29A9D">
      <w:pPr>
        <w:keepLines w:val="0"/>
        <w:pageBreakBefore w:val="0"/>
        <w:kinsoku/>
        <w:wordWrap/>
        <w:overflowPunct/>
        <w:topLinePunct w:val="0"/>
        <w:bidi w:val="0"/>
        <w:snapToGrid/>
        <w:spacing w:line="240" w:lineRule="auto"/>
        <w:rPr>
          <w:rFonts w:hint="eastAsia" w:ascii="微软雅黑" w:hAnsi="微软雅黑" w:eastAsia="微软雅黑" w:cs="微软雅黑"/>
          <w:b/>
          <w:color w:val="00B050"/>
          <w:sz w:val="28"/>
          <w:szCs w:val="28"/>
          <w:lang w:eastAsia="zh-CN"/>
        </w:rPr>
      </w:pPr>
    </w:p>
    <w:tbl>
      <w:tblPr>
        <w:tblStyle w:val="15"/>
        <w:tblpPr w:leftFromText="180" w:rightFromText="180" w:vertAnchor="text" w:horzAnchor="page" w:tblpX="955" w:tblpY="134"/>
        <w:tblOverlap w:val="never"/>
        <w:tblW w:w="9947"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886"/>
        <w:gridCol w:w="7061"/>
      </w:tblGrid>
      <w:tr w14:paraId="197C9713">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9947" w:type="dxa"/>
            <w:gridSpan w:val="2"/>
            <w:tcBorders>
              <w:bottom w:val="nil"/>
            </w:tcBorders>
            <w:shd w:val="clear" w:color="auto" w:fill="0B8770"/>
            <w:vAlign w:val="center"/>
          </w:tcPr>
          <w:p w14:paraId="64AA34CA">
            <w:pPr>
              <w:pStyle w:val="2"/>
              <w:keepLines w:val="0"/>
              <w:pageBreakBefore w:val="0"/>
              <w:numPr>
                <w:ilvl w:val="0"/>
                <w:numId w:val="0"/>
              </w:numPr>
              <w:kinsoku/>
              <w:wordWrap/>
              <w:overflowPunct/>
              <w:topLinePunct w:val="0"/>
              <w:bidi w:val="0"/>
              <w:snapToGrid/>
              <w:spacing w:line="240" w:lineRule="auto"/>
              <w:ind w:left="153"/>
              <w:rPr>
                <w:rFonts w:hint="eastAsia" w:ascii="微软雅黑" w:hAnsi="微软雅黑" w:eastAsia="微软雅黑" w:cs="微软雅黑"/>
                <w:sz w:val="21"/>
              </w:rPr>
            </w:pPr>
            <w:bookmarkStart w:id="5" w:name="_Toc11425"/>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5"/>
          </w:p>
        </w:tc>
      </w:tr>
      <w:tr w14:paraId="60DBDBCC">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886" w:type="dxa"/>
            <w:tcBorders>
              <w:top w:val="nil"/>
              <w:bottom w:val="single" w:color="179172" w:sz="8" w:space="0"/>
              <w:right w:val="nil"/>
            </w:tcBorders>
            <w:shd w:val="clear" w:color="auto" w:fill="D4EAE7"/>
            <w:vAlign w:val="center"/>
          </w:tcPr>
          <w:p w14:paraId="1D08A07E">
            <w:pPr>
              <w:keepLines w:val="0"/>
              <w:pageBreakBefore w:val="0"/>
              <w:kinsoku/>
              <w:wordWrap/>
              <w:overflowPunct/>
              <w:topLinePunct w:val="0"/>
              <w:bidi w:val="0"/>
              <w:snapToGrid/>
              <w:spacing w:line="240" w:lineRule="auto"/>
              <w:jc w:val="center"/>
              <w:rPr>
                <w:rFonts w:hint="eastAsia" w:ascii="微软雅黑" w:hAnsi="微软雅黑" w:eastAsia="微软雅黑" w:cs="微软雅黑"/>
                <w:b/>
                <w:sz w:val="21"/>
                <w:lang w:eastAsia="zh-CN"/>
              </w:rPr>
            </w:pPr>
            <w:r>
              <w:rPr>
                <w:rFonts w:hint="eastAsia" w:ascii="微软雅黑" w:hAnsi="微软雅黑" w:eastAsia="微软雅黑" w:cs="微软雅黑"/>
                <w:b/>
                <w:bCs/>
                <w:color w:val="00B050"/>
                <w:sz w:val="28"/>
                <w:szCs w:val="36"/>
                <w:lang w:eastAsia="zh-CN"/>
              </w:rPr>
              <w:br w:type="page"/>
            </w:r>
            <w:r>
              <w:rPr>
                <w:rFonts w:hint="eastAsia" w:ascii="微软雅黑" w:hAnsi="微软雅黑" w:eastAsia="微软雅黑" w:cs="微软雅黑"/>
                <w:b/>
                <w:sz w:val="21"/>
              </w:rPr>
              <w:t>检测</w:t>
            </w:r>
            <w:r>
              <w:rPr>
                <w:rFonts w:hint="eastAsia" w:ascii="微软雅黑" w:hAnsi="微软雅黑" w:eastAsia="微软雅黑" w:cs="微软雅黑"/>
                <w:b/>
                <w:sz w:val="21"/>
                <w:lang w:eastAsia="zh-CN"/>
              </w:rPr>
              <w:t>意义</w:t>
            </w:r>
          </w:p>
        </w:tc>
        <w:tc>
          <w:tcPr>
            <w:tcW w:w="7061" w:type="dxa"/>
            <w:tcBorders>
              <w:top w:val="nil"/>
              <w:left w:val="nil"/>
              <w:bottom w:val="single" w:color="179172" w:sz="8" w:space="0"/>
            </w:tcBorders>
            <w:shd w:val="clear" w:color="auto" w:fill="D4EAE7"/>
            <w:vAlign w:val="center"/>
          </w:tcPr>
          <w:p w14:paraId="795912C7">
            <w:pPr>
              <w:keepLines w:val="0"/>
              <w:pageBreakBefore w:val="0"/>
              <w:kinsoku/>
              <w:wordWrap/>
              <w:overflowPunct/>
              <w:topLinePunct w:val="0"/>
              <w:bidi w:val="0"/>
              <w:snapToGrid/>
              <w:spacing w:line="240" w:lineRule="auto"/>
              <w:jc w:val="center"/>
              <w:rPr>
                <w:rFonts w:hint="eastAsia" w:ascii="微软雅黑" w:hAnsi="微软雅黑" w:eastAsia="微软雅黑" w:cs="微软雅黑"/>
                <w:b/>
              </w:rPr>
            </w:pPr>
            <w:r>
              <w:rPr>
                <w:rFonts w:hint="eastAsia" w:ascii="微软雅黑" w:hAnsi="微软雅黑" w:eastAsia="微软雅黑" w:cs="微软雅黑"/>
                <w:b/>
                <w:sz w:val="21"/>
              </w:rPr>
              <w:t>检测结果</w:t>
            </w:r>
          </w:p>
        </w:tc>
      </w:tr>
      <w:tr w14:paraId="4007C876">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nil"/>
              <w:right w:val="nil"/>
            </w:tcBorders>
            <w:shd w:val="clear" w:color="auto" w:fill="auto"/>
            <w:vAlign w:val="center"/>
          </w:tcPr>
          <w:p w14:paraId="6D31D982">
            <w:pPr>
              <w:pStyle w:val="20"/>
              <w:keepLines w:val="0"/>
              <w:pageBreakBefore w:val="0"/>
              <w:kinsoku/>
              <w:wordWrap/>
              <w:overflowPunct/>
              <w:topLinePunct w:val="0"/>
              <w:bidi w:val="0"/>
              <w:snapToGrid/>
              <w:spacing w:line="240" w:lineRule="auto"/>
              <w:ind w:left="220" w:leftChars="100"/>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肿瘤遗传风险提示</w:t>
            </w:r>
          </w:p>
        </w:tc>
        <w:tc>
          <w:tcPr>
            <w:tcW w:w="7061" w:type="dxa"/>
            <w:tcBorders>
              <w:top w:val="single" w:color="179172" w:sz="8" w:space="0"/>
              <w:left w:val="nil"/>
              <w:bottom w:val="nil"/>
            </w:tcBorders>
            <w:shd w:val="clear" w:color="auto" w:fill="auto"/>
          </w:tcPr>
          <w:p w14:paraId="2CFDBD30">
            <w:pPr>
              <w:pStyle w:val="20"/>
              <w:keepLines w:val="0"/>
              <w:pageBreakBefore w:val="0"/>
              <w:kinsoku/>
              <w:wordWrap/>
              <w:overflowPunct/>
              <w:topLinePunct w:val="0"/>
              <w:bidi w:val="0"/>
              <w:snapToGrid/>
              <w:spacing w:before="77" w:line="240" w:lineRule="auto"/>
              <w:ind w:left="118"/>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共检出{{ summaryOfRresults.crCheckLineStrYF1280Size }}个变异位点，其中{{summaryOfRresults.hasPathogenicityCount}}个为致病/可能致病性突变{{crCheckDrugStr}}</w:t>
            </w:r>
          </w:p>
        </w:tc>
      </w:tr>
      <w:tr w14:paraId="28E79E38">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nil"/>
              <w:bottom w:val="single" w:color="179172" w:sz="8" w:space="0"/>
              <w:right w:val="nil"/>
            </w:tcBorders>
            <w:shd w:val="clear" w:color="auto" w:fill="auto"/>
            <w:vAlign w:val="center"/>
          </w:tcPr>
          <w:p w14:paraId="22E0D6A0">
            <w:pPr>
              <w:pStyle w:val="20"/>
              <w:keepLines w:val="0"/>
              <w:pageBreakBefore w:val="0"/>
              <w:kinsoku/>
              <w:wordWrap/>
              <w:overflowPunct/>
              <w:topLinePunct w:val="0"/>
              <w:bidi w:val="0"/>
              <w:snapToGrid/>
              <w:spacing w:line="240" w:lineRule="auto"/>
              <w:ind w:left="220" w:leftChars="100"/>
              <w:rPr>
                <w:rFonts w:hint="eastAsia" w:ascii="微软雅黑" w:hAnsi="微软雅黑" w:eastAsia="微软雅黑" w:cs="微软雅黑"/>
                <w:sz w:val="21"/>
                <w:szCs w:val="21"/>
              </w:rPr>
            </w:pPr>
            <w:r>
              <w:rPr>
                <w:rFonts w:hint="eastAsia" w:ascii="微软雅黑" w:hAnsi="微软雅黑" w:eastAsia="微软雅黑" w:cs="微软雅黑"/>
                <w:sz w:val="21"/>
                <w:szCs w:val="21"/>
              </w:rPr>
              <w:t>靶向用药指导</w:t>
            </w:r>
          </w:p>
        </w:tc>
        <w:tc>
          <w:tcPr>
            <w:tcW w:w="7061" w:type="dxa"/>
            <w:tcBorders>
              <w:top w:val="nil"/>
              <w:left w:val="nil"/>
              <w:bottom w:val="single" w:color="179172" w:sz="8" w:space="0"/>
            </w:tcBorders>
            <w:shd w:val="clear" w:color="auto" w:fill="auto"/>
            <w:vAlign w:val="center"/>
          </w:tcPr>
          <w:p w14:paraId="28AFEE39">
            <w:pPr>
              <w:pStyle w:val="20"/>
              <w:keepLines w:val="0"/>
              <w:pageBreakBefore w:val="0"/>
              <w:kinsoku/>
              <w:wordWrap/>
              <w:overflowPunct/>
              <w:topLinePunct w:val="0"/>
              <w:bidi w:val="0"/>
              <w:snapToGrid/>
              <w:spacing w:before="77" w:line="240" w:lineRule="auto"/>
              <w:ind w:left="118"/>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共检出{{ summaryOfRresults.crCheckLineStrYF1280Size }}个变异位点，其中{{summaryOfRresults.crDrugList}}个与靶向药物相关{{embryonalDrugStr}}</w:t>
            </w:r>
          </w:p>
        </w:tc>
      </w:tr>
    </w:tbl>
    <w:p w14:paraId="6C3C750E">
      <w:pPr>
        <w:rPr>
          <w:rFonts w:hint="eastAsia" w:ascii="Times New Roman" w:hAnsi="Times New Roman" w:eastAsia="微软雅黑" w:cs="微软雅黑"/>
          <w:sz w:val="16"/>
          <w:szCs w:val="16"/>
          <w:lang w:eastAsia="zh-CN" w:bidi="ar"/>
        </w:rPr>
      </w:pPr>
    </w:p>
    <w:p w14:paraId="17885370">
      <w:pPr>
        <w:rPr>
          <w:rFonts w:hint="eastAsia" w:ascii="Times New Roman" w:hAnsi="Times New Roman" w:eastAsia="微软雅黑" w:cs="微软雅黑"/>
          <w:sz w:val="16"/>
          <w:szCs w:val="16"/>
          <w:lang w:eastAsia="zh-CN" w:bidi="ar"/>
        </w:rPr>
      </w:pPr>
    </w:p>
    <w:p w14:paraId="3F402848">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6"/>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14:paraId="2ADD2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14:paraId="38061E54">
            <w:pPr>
              <w:jc w:val="both"/>
              <w:rPr>
                <w:rFonts w:ascii="Times New Roman" w:hAnsi="Times New Roman" w:eastAsia="微软雅黑" w:cs="Times New Roman"/>
                <w:sz w:val="21"/>
                <w:szCs w:val="21"/>
                <w:lang w:eastAsia="zh-CN"/>
              </w:rPr>
            </w:pPr>
            <w:bookmarkStart w:id="6" w:name="_Toc534807930"/>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14:paraId="19A00719">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14:paraId="67FBA340">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14:paraId="5F1FD8B8">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14:paraId="5AD5C77B">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14:paraId="449A9E31">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14:paraId="28B7E89B">
      <w:pPr>
        <w:numPr>
          <w:ilvl w:val="0"/>
          <w:numId w:val="0"/>
        </w:numPr>
        <w:rPr>
          <w:rFonts w:ascii="微软雅黑" w:hAnsi="微软雅黑" w:eastAsia="微软雅黑" w:cs="Times New Roman"/>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1312" behindDoc="0" locked="0" layoutInCell="1" allowOverlap="1">
                <wp:simplePos x="0" y="0"/>
                <wp:positionH relativeFrom="column">
                  <wp:posOffset>-63500</wp:posOffset>
                </wp:positionH>
                <wp:positionV relativeFrom="paragraph">
                  <wp:posOffset>48895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0" y="0"/>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5pt;margin-top:3.85pt;height:2.15pt;width:501.45pt;z-index:251661312;mso-width-relative:page;mso-height-relative:page;" filled="f" stroked="t" coordsize="21600,21600" o:gfxdata="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mhO5A2AAAAAgBAAAPAAAAAAAAAAEAIAAAACIAAABkcnMvZG93bnJldi54bWxQSwEC&#10;FAAUAAAACACHTuJAxYLxX/QBAAC/AwAADgAAAAAAAAABACAAAAAnAQAAZHJzL2Uyb0RvYy54bWxQ&#10;SwUGAAAAAAYABgBZAQAAjQUAAAAA&#10;">
                <v:fill on="f" focussize="0,0"/>
                <v:stroke weight="0.5pt" color="#179172 [3204]" miterlimit="8" joinstyle="miter"/>
                <v:imagedata o:title=""/>
                <o:lock v:ext="edit" aspectratio="f"/>
              </v:line>
            </w:pict>
          </mc:Fallback>
        </mc:AlternateContent>
      </w:r>
    </w:p>
    <w:p w14:paraId="4EDBE131">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6"/>
    <w:p w14:paraId="13F02DC6">
      <w:pPr>
        <w:pStyle w:val="2"/>
        <w:numPr>
          <w:ilvl w:val="0"/>
          <w:numId w:val="0"/>
        </w:numPr>
        <w:jc w:val="left"/>
        <w:rPr>
          <w:rFonts w:hint="eastAsia" w:ascii="微软雅黑" w:hAnsi="微软雅黑" w:eastAsia="微软雅黑" w:cs="微软雅黑"/>
          <w:color w:val="auto"/>
          <w:sz w:val="32"/>
          <w:szCs w:val="40"/>
        </w:rPr>
      </w:pPr>
      <w:bookmarkStart w:id="7" w:name="_Toc21848"/>
      <w:bookmarkStart w:id="8" w:name="_Toc14062"/>
      <w:bookmarkStart w:id="9" w:name="_Toc12381"/>
      <w:bookmarkStart w:id="10" w:name="_Toc19184"/>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w:t>
      </w:r>
      <w:bookmarkEnd w:id="7"/>
    </w:p>
    <w:bookmarkEnd w:id="4"/>
    <w:bookmarkEnd w:id="8"/>
    <w:bookmarkEnd w:id="9"/>
    <w:bookmarkEnd w:id="10"/>
    <w:p w14:paraId="120ABDF7">
      <w:pPr>
        <w:pStyle w:val="3"/>
        <w:numPr>
          <w:ilvl w:val="0"/>
          <w:numId w:val="0"/>
        </w:numPr>
        <w:bidi w:val="0"/>
        <w:ind w:left="0" w:leftChars="0"/>
        <w:jc w:val="left"/>
        <w:rPr>
          <w:rFonts w:hint="eastAsia" w:ascii="微软雅黑" w:hAnsi="微软雅黑" w:eastAsia="微软雅黑" w:cs="微软雅黑"/>
          <w:color w:val="auto"/>
          <w:sz w:val="28"/>
          <w:szCs w:val="36"/>
          <w:lang w:val="en-US" w:eastAsia="zh-CN"/>
        </w:rPr>
      </w:pPr>
      <w:bookmarkStart w:id="11" w:name="_Toc19898_WPSOffice_Level2"/>
      <w:bookmarkStart w:id="12" w:name="_Toc24038"/>
      <w:bookmarkStart w:id="13" w:name="_Hlk516758315"/>
      <w:bookmarkStart w:id="14" w:name="_Toc10743"/>
      <w:bookmarkStart w:id="15" w:name="_Toc13489_WPSOffice_Level2"/>
      <w:bookmarkStart w:id="16" w:name="_Toc14587"/>
      <w:r>
        <w:rPr>
          <w:rFonts w:hint="eastAsia" w:ascii="微软雅黑" w:hAnsi="微软雅黑" w:eastAsia="微软雅黑" w:cs="微软雅黑"/>
          <w:color w:val="auto"/>
          <w:sz w:val="28"/>
          <w:szCs w:val="36"/>
          <w:lang w:val="en-US" w:eastAsia="zh-CN"/>
        </w:rPr>
        <w:t>2.</w:t>
      </w:r>
      <w:bookmarkEnd w:id="11"/>
      <w:bookmarkEnd w:id="12"/>
      <w:bookmarkEnd w:id="13"/>
      <w:bookmarkEnd w:id="14"/>
      <w:bookmarkEnd w:id="15"/>
      <w:bookmarkStart w:id="17" w:name="_Toc5473"/>
      <w:r>
        <w:rPr>
          <w:rFonts w:hint="eastAsia" w:ascii="微软雅黑" w:hAnsi="微软雅黑" w:eastAsia="微软雅黑" w:cs="微软雅黑"/>
          <w:color w:val="auto"/>
          <w:sz w:val="28"/>
          <w:szCs w:val="36"/>
          <w:lang w:val="en-US" w:eastAsia="zh-CN"/>
        </w:rPr>
        <w:t>1 肿瘤遗传风险检测</w:t>
      </w:r>
      <w:bookmarkEnd w:id="16"/>
      <w:bookmarkEnd w:id="17"/>
    </w:p>
    <w:p w14:paraId="25916134">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14:paraId="29E80B9D">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14:paraId="41C5B9C3">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14:paraId="1C7F79D7">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14:paraId="670EC16D">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14:paraId="67AE1539">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14:paraId="21387585">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14:paraId="1939CA87">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14:paraId="0A5693AB">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14:paraId="2907B377">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14:paraId="3EEEE89B">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14:paraId="2D8D22B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14:paraId="106903AC">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auto"/>
            <w:vAlign w:val="center"/>
          </w:tcPr>
          <w:p w14:paraId="719CF827">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auto"/>
            <w:vAlign w:val="center"/>
          </w:tcPr>
          <w:p w14:paraId="4B7DD1A8">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14:paraId="7CC19946">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14:paraId="1FF95B07">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14:paraId="7171A572">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auto"/>
            <w:vAlign w:val="center"/>
          </w:tcPr>
          <w:p w14:paraId="19193AC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auto"/>
            <w:vAlign w:val="center"/>
          </w:tcPr>
          <w:p w14:paraId="57587A1B">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auto"/>
            <w:vAlign w:val="center"/>
          </w:tcPr>
          <w:p w14:paraId="25B2BB3F">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auto"/>
            <w:vAlign w:val="center"/>
          </w:tcPr>
          <w:p w14:paraId="6BF1FC9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14:paraId="2562053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14:paraId="4875A06C">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14:paraId="31A2EEF3">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14:paraId="63AD8346">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14:paraId="0B2A9D07">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auto"/>
            <w:vAlign w:val="center"/>
          </w:tcPr>
          <w:p w14:paraId="1DF37D2A">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auto"/>
            <w:vAlign w:val="center"/>
          </w:tcPr>
          <w:p w14:paraId="7DB37753">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auto"/>
            <w:vAlign w:val="center"/>
          </w:tcPr>
          <w:p w14:paraId="6F1F57C1">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auto"/>
            <w:vAlign w:val="center"/>
          </w:tcPr>
          <w:p w14:paraId="659CC1E0">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auto"/>
            <w:vAlign w:val="center"/>
          </w:tcPr>
          <w:p w14:paraId="46931A8C">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auto"/>
            <w:vAlign w:val="center"/>
          </w:tcPr>
          <w:p w14:paraId="3FE6D053">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14:paraId="0B1BAE1B">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14:paraId="51CE28C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14:paraId="1E5BD251">
      <w:pPr>
        <w:keepLines w:val="0"/>
        <w:pageBreakBefore w:val="0"/>
        <w:widowControl/>
        <w:kinsoku/>
        <w:wordWrap/>
        <w:overflowPunct/>
        <w:topLinePunct w:val="0"/>
        <w:bidi w:val="0"/>
        <w:snapToGrid/>
        <w:spacing w:line="240" w:lineRule="auto"/>
        <w:rPr>
          <w:rFonts w:hint="eastAsia" w:ascii="微软雅黑" w:hAnsi="微软雅黑" w:eastAsia="微软雅黑" w:cs="微软雅黑"/>
          <w:b/>
          <w:bCs/>
          <w:lang w:eastAsia="zh-CN"/>
        </w:rPr>
      </w:pPr>
    </w:p>
    <w:p w14:paraId="6EA4E7E2">
      <w:pPr>
        <w:pStyle w:val="3"/>
        <w:numPr>
          <w:ilvl w:val="0"/>
          <w:numId w:val="0"/>
        </w:numPr>
        <w:bidi w:val="0"/>
        <w:ind w:left="0" w:leftChars="0"/>
        <w:jc w:val="left"/>
        <w:rPr>
          <w:rFonts w:hint="eastAsia" w:ascii="微软雅黑" w:hAnsi="微软雅黑" w:eastAsia="微软雅黑" w:cs="微软雅黑"/>
          <w:color w:val="auto"/>
          <w:sz w:val="28"/>
          <w:szCs w:val="36"/>
          <w:lang w:val="en-US" w:eastAsia="zh-CN"/>
        </w:rPr>
      </w:pPr>
      <w:bookmarkStart w:id="18" w:name="_Toc28715"/>
      <w:r>
        <w:rPr>
          <w:rFonts w:hint="eastAsia" w:ascii="微软雅黑" w:hAnsi="微软雅黑" w:eastAsia="微软雅黑" w:cs="微软雅黑"/>
          <w:color w:val="auto"/>
          <w:sz w:val="28"/>
          <w:szCs w:val="36"/>
          <w:lang w:val="en-US" w:eastAsia="zh-CN"/>
        </w:rPr>
        <w:t>2.2 用药提示</w:t>
      </w:r>
      <w:bookmarkEnd w:id="18"/>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AB55EBD">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14:paraId="4140D9A0">
            <w:pPr>
              <w:pStyle w:val="20"/>
              <w:jc w:val="center"/>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14:paraId="10885684">
            <w:pPr>
              <w:pStyle w:val="20"/>
              <w:jc w:val="center"/>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14:paraId="326A65C7">
            <w:pPr>
              <w:pStyle w:val="20"/>
              <w:jc w:val="center"/>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14:paraId="67D5F4F4">
            <w:pPr>
              <w:pStyle w:val="20"/>
              <w:jc w:val="center"/>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ascii="Times New Roman" w:hAnsi="Times New Roman" w:eastAsia="微软雅黑" w:cs="Times New Roman"/>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14:paraId="4DA3D7CE">
            <w:pPr>
              <w:pStyle w:val="20"/>
              <w:jc w:val="center"/>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ascii="Times New Roman" w:hAnsi="Times New Roman" w:eastAsia="微软雅黑" w:cs="Times New Roman"/>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14:paraId="08F8977F">
            <w:pPr>
              <w:pStyle w:val="20"/>
              <w:jc w:val="center"/>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lang w:eastAsia="zh-CN"/>
                <w14:textFill>
                  <w14:solidFill>
                    <w14:schemeClr w14:val="bg1"/>
                  </w14:solidFill>
                </w14:textFill>
              </w:rPr>
              <w:t>可能耐药药物</w:t>
            </w:r>
          </w:p>
        </w:tc>
      </w:tr>
      <w:tr w14:paraId="0BF95AD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06F9560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7EE9A418">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69C01B7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3DF25433">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14:paraId="5DF85ED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auto"/>
            <w:vAlign w:val="center"/>
          </w:tcPr>
          <w:p w14:paraId="3B7DAC08">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auto"/>
            <w:vAlign w:val="center"/>
          </w:tcPr>
          <w:p w14:paraId="78CE607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auto"/>
            <w:vAlign w:val="center"/>
          </w:tcPr>
          <w:p w14:paraId="7281545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auto"/>
            <w:vAlign w:val="center"/>
          </w:tcPr>
          <w:p w14:paraId="34C2965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5D85B25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4B99AB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9BA54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36E5E74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auto"/>
            <w:vAlign w:val="center"/>
          </w:tcPr>
          <w:p w14:paraId="1708091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1EDC16A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F5B3E7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31EC4BA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20C67F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5B6EBB16">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395E8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09FECF5B">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37D4DE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8D0A375">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14:paraId="04EF344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14:paraId="5D4E492A">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7D14D9E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A8371E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C78DBCC">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0D5707">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B28CFB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3B55C0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5C5C1D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E513A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FC730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48EE4A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12C0F7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AE4A341">
      <w:pPr>
        <w:keepLines w:val="0"/>
        <w:pageBreakBefore w:val="0"/>
        <w:kinsoku/>
        <w:wordWrap/>
        <w:overflowPunct/>
        <w:topLinePunct w:val="0"/>
        <w:bidi w:val="0"/>
        <w:snapToGrid/>
        <w:spacing w:line="240" w:lineRule="auto"/>
        <w:rPr>
          <w:rFonts w:hint="eastAsia" w:ascii="微软雅黑" w:hAnsi="微软雅黑" w:eastAsia="微软雅黑" w:cs="微软雅黑"/>
          <w:bCs/>
          <w:lang w:eastAsia="zh-CN"/>
        </w:rPr>
      </w:pPr>
      <w:r>
        <w:rPr>
          <w:rFonts w:hint="eastAsia" w:ascii="微软雅黑" w:hAnsi="微软雅黑" w:eastAsia="微软雅黑" w:cs="微软雅黑"/>
          <w:b/>
          <w:bCs/>
          <w:color w:val="00B050"/>
          <w:sz w:val="28"/>
          <w:szCs w:val="36"/>
          <w:lang w:eastAsia="zh-CN"/>
        </w:rPr>
        <w:br w:type="page"/>
      </w:r>
    </w:p>
    <w:p w14:paraId="0910984E">
      <w:pPr>
        <w:pStyle w:val="23"/>
        <w:numPr>
          <w:ilvl w:val="0"/>
          <w:numId w:val="0"/>
        </w:numPr>
        <w:jc w:val="both"/>
        <w:rPr>
          <w:rFonts w:hint="eastAsia" w:ascii="微软雅黑" w:hAnsi="微软雅黑" w:eastAsia="微软雅黑" w:cs="微软雅黑"/>
          <w:color w:val="auto"/>
          <w:sz w:val="32"/>
          <w:szCs w:val="40"/>
        </w:rPr>
      </w:pPr>
      <w:bookmarkStart w:id="19" w:name="_Toc28584"/>
      <w:bookmarkStart w:id="20" w:name="_Toc29187"/>
      <w:bookmarkStart w:id="21" w:name="_Toc15136"/>
      <w:bookmarkStart w:id="22" w:name="_Toc6931_WPSOffice_Level3"/>
      <w:bookmarkStart w:id="23" w:name="_Toc15289_WPSOffice_Level3"/>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19"/>
      <w:bookmarkEnd w:id="20"/>
      <w:bookmarkEnd w:id="21"/>
    </w:p>
    <w:p w14:paraId="15DAC06B">
      <w:pPr>
        <w:pStyle w:val="3"/>
        <w:numPr>
          <w:ilvl w:val="0"/>
          <w:numId w:val="0"/>
        </w:numPr>
        <w:bidi w:val="0"/>
        <w:ind w:left="0" w:leftChars="0"/>
        <w:jc w:val="left"/>
        <w:rPr>
          <w:rFonts w:hint="eastAsia" w:ascii="微软雅黑" w:hAnsi="微软雅黑" w:eastAsia="微软雅黑" w:cs="微软雅黑"/>
          <w:color w:val="auto"/>
          <w:sz w:val="28"/>
          <w:szCs w:val="36"/>
          <w:lang w:val="en-US" w:eastAsia="zh-CN"/>
        </w:rPr>
      </w:pPr>
      <w:bookmarkStart w:id="24" w:name="_Toc9409"/>
      <w:bookmarkStart w:id="25" w:name="_Toc18812"/>
      <w:bookmarkStart w:id="26" w:name="_Toc19761"/>
      <w:bookmarkStart w:id="27" w:name="_Toc18480"/>
      <w:r>
        <w:rPr>
          <w:rFonts w:hint="eastAsia" w:ascii="微软雅黑" w:hAnsi="微软雅黑" w:eastAsia="微软雅黑" w:cs="微软雅黑"/>
          <w:color w:val="auto"/>
          <w:sz w:val="28"/>
          <w:szCs w:val="36"/>
          <w:lang w:val="en-US" w:eastAsia="zh-CN"/>
        </w:rPr>
        <w:t>变异位点结果解析</w:t>
      </w:r>
      <w:bookmarkEnd w:id="24"/>
      <w:bookmarkEnd w:id="25"/>
      <w:bookmarkEnd w:id="26"/>
    </w:p>
    <w:p w14:paraId="5F4F4C8D">
      <w:pPr>
        <w:bidi w:val="0"/>
        <w:rPr>
          <w:rFonts w:hint="eastAsia" w:ascii="微软雅黑" w:hAnsi="微软雅黑" w:eastAsia="微软雅黑" w:cs="微软雅黑"/>
          <w:b/>
          <w:bCs/>
          <w:color w:val="0B8770"/>
          <w:sz w:val="24"/>
          <w:szCs w:val="24"/>
          <w:lang w:eastAsia="zh-CN"/>
        </w:rPr>
      </w:pPr>
      <w:r>
        <w:rPr>
          <w:rFonts w:hint="eastAsia" w:ascii="Times New Roman" w:hAnsi="Times New Roman" w:eastAsia="微软雅黑" w:cs="Times New Roman"/>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p>
    <w:p w14:paraId="233F1D11">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14:paraId="55C5CEF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14:paraId="74DC818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14:paraId="0ABEFCD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11B48E3F">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14:paraId="5FB7A1C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14:paraId="2F347EF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3EC3B7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2B7B82AA">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14:paraId="7D29226D">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01282232">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4FEA68C">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417CB6D">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639FBE6C">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4363197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68E106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C9CDA5A">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10C5F154">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9B41A3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79F956D">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6179D78B">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4F8EB006">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5577F6B7">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390E3FD8">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14:paraId="1E40B55F">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14:paraId="7F6F975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3D19F9D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667DAD00">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1FB58E28">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CC6743A">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3639BC2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C75FE84">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7E877AE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20CAE8E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5162EA06">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54E38BE5">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14:paraId="0B36112D">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14:paraId="50D41591">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14:paraId="73623A41">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5FEE486B">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14:paraId="4B27B0E9">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14:paraId="287087C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34BD09B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5D4D32DF">
      <w:pPr>
        <w:keepLines w:val="0"/>
        <w:pageBreakBefore w:val="0"/>
        <w:kinsoku/>
        <w:wordWrap/>
        <w:overflowPunct/>
        <w:topLinePunct w:val="0"/>
        <w:bidi w:val="0"/>
        <w:snapToGrid/>
        <w:spacing w:line="240" w:lineRule="auto"/>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w:t>
      </w:r>
      <w:r>
        <w:rPr>
          <w:rFonts w:hint="eastAsia" w:ascii="微软雅黑" w:hAnsi="微软雅黑" w:eastAsia="微软雅黑" w:cs="微软雅黑"/>
          <w:b/>
          <w:color w:val="0B8770"/>
          <w:sz w:val="24"/>
          <w:szCs w:val="24"/>
          <w:lang w:eastAsia="zh-CN"/>
        </w:rPr>
        <w:br w:type="page"/>
      </w:r>
    </w:p>
    <w:p w14:paraId="65E6C6FA">
      <w:pPr>
        <w:keepLines w:val="0"/>
        <w:pageBreakBefore w:val="0"/>
        <w:kinsoku/>
        <w:wordWrap/>
        <w:overflowPunct/>
        <w:topLinePunct w:val="0"/>
        <w:bidi w:val="0"/>
        <w:snapToGrid/>
        <w:spacing w:line="240" w:lineRule="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14:paraId="494365F9">
      <w:pPr>
        <w:pStyle w:val="2"/>
        <w:keepLines w:val="0"/>
        <w:pageBreakBefore w:val="0"/>
        <w:numPr>
          <w:ilvl w:val="0"/>
          <w:numId w:val="0"/>
        </w:numPr>
        <w:kinsoku/>
        <w:wordWrap/>
        <w:overflowPunct/>
        <w:topLinePunct w:val="0"/>
        <w:bidi w:val="0"/>
        <w:snapToGrid/>
        <w:spacing w:line="240" w:lineRule="auto"/>
        <w:jc w:val="left"/>
        <w:rPr>
          <w:rFonts w:hint="eastAsia" w:ascii="微软雅黑" w:hAnsi="微软雅黑" w:eastAsia="微软雅黑" w:cs="微软雅黑"/>
          <w:color w:val="auto"/>
          <w:sz w:val="32"/>
          <w:szCs w:val="40"/>
          <w:lang w:val="en-US" w:eastAsia="zh-CN"/>
        </w:rPr>
      </w:pPr>
      <w:bookmarkStart w:id="28" w:name="_Toc21688"/>
      <w:r>
        <w:rPr>
          <w:rFonts w:hint="eastAsia" w:ascii="微软雅黑" w:hAnsi="微软雅黑" w:eastAsia="微软雅黑" w:cs="微软雅黑"/>
          <w:color w:val="auto"/>
          <w:sz w:val="32"/>
          <w:szCs w:val="40"/>
          <w:lang w:val="en-US" w:eastAsia="zh-CN"/>
        </w:rPr>
        <w:t>第四部分 风险管理</w:t>
      </w:r>
      <w:bookmarkEnd w:id="27"/>
      <w:bookmarkEnd w:id="28"/>
    </w:p>
    <w:p w14:paraId="5DA0BD64">
      <w:pPr>
        <w:pStyle w:val="25"/>
        <w:keepLines w:val="0"/>
        <w:pageBreakBefore w:val="0"/>
        <w:kinsoku/>
        <w:wordWrap/>
        <w:overflowPunct/>
        <w:topLinePunct w:val="0"/>
        <w:bidi w:val="0"/>
        <w:snapToGrid/>
        <w:spacing w:line="240" w:lineRule="auto"/>
        <w:rPr>
          <w:rFonts w:hint="eastAsia" w:ascii="微软雅黑" w:hAnsi="微软雅黑" w:eastAsia="微软雅黑" w:cs="微软雅黑"/>
          <w:b/>
          <w:bCs/>
          <w:color w:val="auto"/>
          <w:sz w:val="28"/>
          <w:szCs w:val="36"/>
          <w:lang w:val="en-US" w:eastAsia="zh-CN" w:bidi="ar-SA"/>
        </w:rPr>
      </w:pPr>
      <w:r>
        <w:rPr>
          <w:rFonts w:hint="eastAsia" w:ascii="微软雅黑" w:hAnsi="微软雅黑" w:eastAsia="微软雅黑" w:cs="微软雅黑"/>
          <w:b/>
          <w:bCs/>
          <w:color w:val="auto"/>
          <w:sz w:val="28"/>
          <w:szCs w:val="36"/>
          <w:lang w:val="en-US" w:eastAsia="zh-CN" w:bidi="ar-SA"/>
        </w:rPr>
        <w:t xml:space="preserve">癌症风险 </w:t>
      </w:r>
      <w:r>
        <w:rPr>
          <w:rFonts w:hint="eastAsia" w:ascii="微软雅黑" w:hAnsi="微软雅黑" w:eastAsia="微软雅黑" w:cs="微软雅黑"/>
          <w:b w:val="0"/>
          <w:color w:val="000000"/>
          <w:spacing w:val="14"/>
          <w:sz w:val="20"/>
          <w:szCs w:val="20"/>
          <w:lang w:val="en-US" w:eastAsia="zh-CN" w:bidi="ar-SA"/>
        </w:rPr>
        <w:t>{% if cancerRiskGene == [] %}</w:t>
      </w:r>
    </w:p>
    <w:p w14:paraId="3306E363">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eastAsia="zh-CN"/>
        </w:rPr>
      </w:pPr>
      <w:r>
        <w:rPr>
          <w:rFonts w:hint="eastAsia" w:ascii="微软雅黑" w:hAnsi="微软雅黑" w:eastAsia="微软雅黑" w:cs="微软雅黑"/>
          <w:color w:val="000000"/>
          <w:spacing w:val="14"/>
          <w:sz w:val="20"/>
          <w:szCs w:val="20"/>
          <w:lang w:val="zh-CN" w:eastAsia="zh-CN"/>
        </w:rPr>
        <w:t>鉴于您没有检测到致病</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可能致病变异</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因此癌症风险和普通人群一致</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但是</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您患癌症的风险可能会因下述原因而增加</w:t>
      </w:r>
      <w:r>
        <w:rPr>
          <w:rFonts w:hint="eastAsia" w:ascii="微软雅黑" w:hAnsi="微软雅黑" w:eastAsia="微软雅黑" w:cs="微软雅黑"/>
          <w:color w:val="000000"/>
          <w:spacing w:val="14"/>
          <w:sz w:val="20"/>
          <w:szCs w:val="20"/>
          <w:lang w:eastAsia="zh-CN"/>
        </w:rPr>
        <w:t>：</w:t>
      </w:r>
    </w:p>
    <w:p w14:paraId="5613510A">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 其他非遗传因素（如：环境）。</w:t>
      </w:r>
    </w:p>
    <w:p w14:paraId="02B29D96">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 其他遗传性癌症综合征。</w:t>
      </w:r>
    </w:p>
    <w:p w14:paraId="5E9A2672">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 存在因现有检测技术无法检测出来的突变。{% else %}</w:t>
      </w:r>
    </w:p>
    <w:p w14:paraId="4893558D">
      <w:pPr>
        <w:pStyle w:val="25"/>
        <w:keepLines w:val="0"/>
        <w:pageBreakBefore w:val="0"/>
        <w:kinsoku/>
        <w:wordWrap/>
        <w:overflowPunct/>
        <w:topLinePunct w:val="0"/>
        <w:bidi w:val="0"/>
        <w:snapToGrid/>
        <w:spacing w:line="240" w:lineRule="auto"/>
        <w:rPr>
          <w:rFonts w:hint="eastAsia" w:ascii="微软雅黑" w:hAnsi="微软雅黑" w:eastAsia="微软雅黑" w:cs="微软雅黑"/>
          <w:b/>
          <w:bCs/>
          <w:color w:val="auto"/>
          <w:sz w:val="28"/>
          <w:szCs w:val="36"/>
          <w:lang w:val="en-US" w:eastAsia="zh-CN" w:bidi="ar-SA"/>
        </w:rPr>
      </w:pPr>
      <w:r>
        <w:rPr>
          <w:rFonts w:hint="eastAsia" w:ascii="微软雅黑" w:hAnsi="微软雅黑" w:eastAsia="微软雅黑" w:cs="微软雅黑"/>
          <w:b/>
          <w:bCs/>
          <w:color w:val="auto"/>
          <w:sz w:val="28"/>
          <w:szCs w:val="36"/>
          <w:lang w:val="en-US" w:eastAsia="zh-CN" w:bidi="ar-SA"/>
        </w:rPr>
        <w:t>癌症风险列表（注意：数据来源于欧美人群，仅供亚洲人群参考）</w:t>
      </w:r>
    </w:p>
    <w:p w14:paraId="45285492">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鉴于您在{% for gene in cancerRiskGene %}{%if loop.last%}{{ gene }}{%else%}{{ gene }}、{%endif%}{% endfor %}基因上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 for gene in cancerRiskFilterGene %}</w:t>
      </w:r>
    </w:p>
    <w:p w14:paraId="0F660C0F">
      <w:pPr>
        <w:keepNext w:val="0"/>
        <w:keepLines w:val="0"/>
        <w:pageBreakBefore w:val="0"/>
        <w:widowControl/>
        <w:kinsoku/>
        <w:wordWrap/>
        <w:overflowPunct/>
        <w:topLinePunct w:val="0"/>
        <w:autoSpaceDE/>
        <w:autoSpaceDN/>
        <w:bidi w:val="0"/>
        <w:adjustRightInd/>
        <w:snapToGrid/>
        <w:spacing w:line="300" w:lineRule="auto"/>
        <w:ind w:firstLine="456" w:firstLineChars="200"/>
        <w:textAlignment w:val="auto"/>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if gene == ‘MLH1’ %}由 {{ gene }} 突变所导致的疾病风险列表如下：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15239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B8770"/>
            <w:vAlign w:val="center"/>
          </w:tcPr>
          <w:p w14:paraId="079627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B8770"/>
            <w:vAlign w:val="center"/>
          </w:tcPr>
          <w:p w14:paraId="5B4EF2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B8770"/>
            <w:vAlign w:val="center"/>
          </w:tcPr>
          <w:p w14:paraId="1BA7B9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B8770"/>
            <w:vAlign w:val="center"/>
          </w:tcPr>
          <w:p w14:paraId="5DF5672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82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25AAF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7CF1F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2F489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972F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F1D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9B422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FF12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9E04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727370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7D95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3D93B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4FE4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12E0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41341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23D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7F11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6B0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27FF9D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DF114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3D37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408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17F0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EDC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3AD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A9B4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2B6C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5A6A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2A84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C714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E3C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F1D8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B899D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E36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F95DF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DD8C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A130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134033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64915C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4E507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47723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F726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09A7A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36FE8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5F752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52E296F">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‘MSH2’ %}由 {{ gene }} 突变所导致的疾病风险列表如下：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7CDA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B8770"/>
            <w:vAlign w:val="center"/>
          </w:tcPr>
          <w:p w14:paraId="04121F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B8770"/>
            <w:vAlign w:val="center"/>
          </w:tcPr>
          <w:p w14:paraId="5C5F4AE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B8770"/>
            <w:vAlign w:val="center"/>
          </w:tcPr>
          <w:p w14:paraId="6BE335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B8770"/>
            <w:vAlign w:val="center"/>
          </w:tcPr>
          <w:p w14:paraId="6B16503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C83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68413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798DD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4EB46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24564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B673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73368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0802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90B3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1EAAF3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0485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45C5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6BFA7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6B82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06CD2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D14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5DCCD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65DF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B48DB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1042B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866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58CBB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4649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44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0F862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F2BA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C6FEE2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4EAF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495E0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3C6D0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D2E0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9324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33D4D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8BA9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192EDA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39A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6D08CA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8215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E517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69AA8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EB46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B554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E6F8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88261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30CFF5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E721EFB">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‘EPCAM’ %}由 {{ gene }} 突变所导致的疾病风险列表如下：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18266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B8770"/>
            <w:vAlign w:val="center"/>
          </w:tcPr>
          <w:p w14:paraId="76502A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B8770"/>
            <w:vAlign w:val="center"/>
          </w:tcPr>
          <w:p w14:paraId="7F1A25C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B8770"/>
            <w:vAlign w:val="center"/>
          </w:tcPr>
          <w:p w14:paraId="6CA1D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B8770"/>
            <w:vAlign w:val="center"/>
          </w:tcPr>
          <w:p w14:paraId="1E7F67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C32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39F5D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6A1496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6A9D8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39B2D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690CA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C376A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75A5F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7512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546C5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A4C9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5E6ADC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5001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A6D1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50A7B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A56B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798B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C0A13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560C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D046D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18B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BAAD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6CF50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83A7D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FABB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57C4C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C304A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4899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7FDBD2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E9A7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C393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80B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232B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6F9D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95BB8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D271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4ADD16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4034C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B6C0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1402D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F0F7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C04C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08CB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2C7F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2EFCD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5BE051A">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‘MSH6’ %}由 {{ gene }} 突变所导致的疾病风险列表如下：</w:t>
      </w:r>
    </w:p>
    <w:tbl>
      <w:tblPr>
        <w:tblStyle w:val="15"/>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0CB3F5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B8770"/>
            <w:noWrap/>
            <w:vAlign w:val="center"/>
          </w:tcPr>
          <w:p w14:paraId="6725A7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B8770"/>
            <w:noWrap/>
            <w:vAlign w:val="center"/>
          </w:tcPr>
          <w:p w14:paraId="5280F49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B8770"/>
            <w:noWrap/>
            <w:vAlign w:val="center"/>
          </w:tcPr>
          <w:p w14:paraId="3D25CA5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B8770"/>
            <w:noWrap/>
            <w:vAlign w:val="center"/>
          </w:tcPr>
          <w:p w14:paraId="7B144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D6E941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04DCE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78F6B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48BF1C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1133C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4A818F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65038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1D27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17874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7BDA3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42B193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E3DD6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8258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9E33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26BA74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112783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0735F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BFC9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F876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277FB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EBDB88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123E35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21C483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EEEF5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6FAAA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70C7D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3CEDBC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84C8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5C2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5DE42A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689AD6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304935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0983E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5114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201AA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E33B7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19485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01F70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89EA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2930EB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471A67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805DF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CCD06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6F14E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1BEEDE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096D7A2">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‘PMS2’ %}由 {{ gene }} 突变所导致的疾病风险列表如下：</w:t>
      </w:r>
    </w:p>
    <w:tbl>
      <w:tblPr>
        <w:tblStyle w:val="15"/>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9469B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B8770"/>
            <w:noWrap/>
            <w:vAlign w:val="center"/>
          </w:tcPr>
          <w:p w14:paraId="4912D3E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B8770"/>
            <w:noWrap/>
            <w:vAlign w:val="center"/>
          </w:tcPr>
          <w:p w14:paraId="5F39AC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B8770"/>
            <w:noWrap/>
            <w:vAlign w:val="center"/>
          </w:tcPr>
          <w:p w14:paraId="68D1FA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B8770"/>
            <w:noWrap/>
            <w:vAlign w:val="center"/>
          </w:tcPr>
          <w:p w14:paraId="218FF76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6147B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1E19F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4492F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05A873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77C847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620E8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074D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902F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3AB61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0746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F5DD4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3CE327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0ECBE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43FDE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4F2EEF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55D45DF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2811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D995F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B0B39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55F24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455DA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88ED6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00CB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4D90B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47EBF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B25F4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65F6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758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74596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0CA02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CC519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B19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8028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46B7B5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D62F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4D2FA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EC34F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453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6A8ED3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3A086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308E22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6AFD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6C0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3020B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15D5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F789C55">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endfor %}{% if cancerRiskFilterGene != [] %}</w:t>
      </w:r>
    </w:p>
    <w:p w14:paraId="503622D8">
      <w:pPr>
        <w:widowControl/>
        <w:rPr>
          <w:rFonts w:hint="eastAsia" w:ascii="微软雅黑" w:hAnsi="微软雅黑" w:eastAsia="微软雅黑" w:cs="微软雅黑"/>
          <w:color w:val="000000"/>
          <w:spacing w:val="14"/>
          <w:sz w:val="20"/>
          <w:szCs w:val="20"/>
        </w:rPr>
      </w:pPr>
      <w:r>
        <w:rPr>
          <w:rFonts w:hint="eastAsia" w:ascii="微软雅黑" w:hAnsi="微软雅黑" w:eastAsia="微软雅黑" w:cs="微软雅黑"/>
          <w:color w:val="000000"/>
          <w:spacing w:val="14"/>
          <w:sz w:val="20"/>
          <w:szCs w:val="20"/>
        </w:rPr>
        <w:t xml:space="preserve">注 : </w:t>
      </w:r>
      <w:r>
        <w:rPr>
          <w:rFonts w:hint="eastAsia" w:ascii="微软雅黑" w:hAnsi="微软雅黑" w:eastAsia="微软雅黑" w:cs="微软雅黑"/>
          <w:color w:val="F79646"/>
          <w:spacing w:val="14"/>
          <w:sz w:val="20"/>
          <w:szCs w:val="20"/>
        </w:rPr>
        <w:t>高风险</w:t>
      </w:r>
      <w:r>
        <w:rPr>
          <w:rFonts w:hint="eastAsia" w:ascii="微软雅黑" w:hAnsi="微软雅黑" w:eastAsia="微软雅黑" w:cs="微软雅黑"/>
          <w:color w:val="000000"/>
          <w:spacing w:val="14"/>
          <w:sz w:val="20"/>
          <w:szCs w:val="20"/>
        </w:rPr>
        <w:t xml:space="preserve"> ：</w:t>
      </w:r>
      <w:r>
        <w:rPr>
          <w:rFonts w:hint="eastAsia" w:ascii="微软雅黑" w:hAnsi="微软雅黑" w:eastAsia="微软雅黑" w:cs="微软雅黑"/>
          <w:spacing w:val="14"/>
          <w:sz w:val="20"/>
          <w:szCs w:val="20"/>
          <w:shd w:val="clear" w:color="auto" w:fill="F79646"/>
        </w:rPr>
        <w:t xml:space="preserve">      </w:t>
      </w:r>
      <w:r>
        <w:rPr>
          <w:rFonts w:hint="eastAsia" w:ascii="微软雅黑" w:hAnsi="微软雅黑" w:eastAsia="微软雅黑" w:cs="微软雅黑"/>
          <w:spacing w:val="14"/>
          <w:sz w:val="20"/>
          <w:szCs w:val="20"/>
        </w:rPr>
        <w:t xml:space="preserve"> </w:t>
      </w:r>
      <w:r>
        <w:rPr>
          <w:rFonts w:hint="eastAsia" w:ascii="微软雅黑" w:hAnsi="微软雅黑" w:eastAsia="微软雅黑" w:cs="微软雅黑"/>
          <w:color w:val="000000"/>
          <w:spacing w:val="14"/>
          <w:sz w:val="20"/>
          <w:szCs w:val="20"/>
        </w:rPr>
        <w:t>同时满足以下情形: 1. 风险比普通人群高3倍以上；2. 风险绝对值在 5% 以上；3. 有多个研究结论支持风险结论。{% endif %}{% endif %}</w:t>
      </w:r>
    </w:p>
    <w:p w14:paraId="303B2E9A">
      <w:pPr>
        <w:keepLines w:val="0"/>
        <w:pageBreakBefore w:val="0"/>
        <w:widowControl/>
        <w:kinsoku/>
        <w:wordWrap/>
        <w:overflowPunct/>
        <w:topLinePunct w:val="0"/>
        <w:bidi w:val="0"/>
        <w:snapToGrid/>
        <w:spacing w:line="240" w:lineRule="auto"/>
        <w:rPr>
          <w:rFonts w:hint="eastAsia" w:ascii="微软雅黑" w:hAnsi="微软雅黑" w:eastAsia="微软雅黑" w:cs="微软雅黑"/>
          <w:color w:val="000000"/>
          <w:spacing w:val="14"/>
          <w:sz w:val="18"/>
          <w:szCs w:val="18"/>
        </w:rPr>
      </w:pPr>
    </w:p>
    <w:p w14:paraId="0E3022CA">
      <w:pPr>
        <w:pStyle w:val="25"/>
        <w:keepLines w:val="0"/>
        <w:pageBreakBefore w:val="0"/>
        <w:kinsoku/>
        <w:wordWrap/>
        <w:overflowPunct/>
        <w:topLinePunct w:val="0"/>
        <w:bidi w:val="0"/>
        <w:snapToGrid/>
        <w:spacing w:line="240" w:lineRule="auto"/>
        <w:rPr>
          <w:rFonts w:hint="eastAsia" w:ascii="微软雅黑" w:hAnsi="微软雅黑" w:eastAsia="微软雅黑" w:cs="微软雅黑"/>
          <w:color w:val="179172"/>
          <w:lang w:val="zh-CN"/>
        </w:rPr>
      </w:pPr>
      <w:r>
        <w:rPr>
          <w:rFonts w:hint="eastAsia" w:ascii="微软雅黑" w:hAnsi="微软雅黑" w:eastAsia="微软雅黑" w:cs="微软雅黑"/>
          <w:b/>
          <w:bCs/>
          <w:color w:val="auto"/>
          <w:sz w:val="28"/>
          <w:szCs w:val="36"/>
          <w:lang w:val="en-US" w:eastAsia="zh-CN" w:bidi="ar-SA"/>
        </w:rPr>
        <w:t>您的风险管理措施</w:t>
      </w:r>
      <w:r>
        <w:rPr>
          <w:rFonts w:hint="eastAsia" w:ascii="微软雅黑" w:hAnsi="微软雅黑" w:eastAsia="微软雅黑" w:cs="微软雅黑"/>
          <w:b w:val="0"/>
          <w:color w:val="000000"/>
          <w:spacing w:val="14"/>
          <w:sz w:val="20"/>
          <w:szCs w:val="20"/>
          <w:lang w:val="zh-CN" w:eastAsia="en-US" w:bidi="ar-SA"/>
        </w:rPr>
        <w:t>{% if cancerRiskGene == [] %}</w:t>
      </w:r>
    </w:p>
    <w:p w14:paraId="54743C3B">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您的基因检测结果显示您的疾病风险与普通人一致，一般来说不需要特殊的预防手段和措施。但是仍然建议您基于您的家族史和病情来管理您的患病风险。</w:t>
      </w:r>
    </w:p>
    <w:p w14:paraId="2D8AF9B3">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您和您的医生可以制定出最适合您的医疗管理计划。</w:t>
      </w:r>
    </w:p>
    <w:p w14:paraId="061A0D9A">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您的医生可以帮助您决定您或者您的家人是否需要进一步的基因检测。</w:t>
      </w:r>
    </w:p>
    <w:p w14:paraId="70AF4443">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只要针对肿瘤进行规律性检查、坚持规律性的锻炼、保持平衡的饮食习惯，做到临床上的三早：早发现、早诊断、早治疗，那么，您会有很高的几率预防和治愈疾病。{% else %}</w:t>
      </w:r>
    </w:p>
    <w:p w14:paraId="71AA3349">
      <w:pPr>
        <w:widowControl/>
        <w:spacing w:line="30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您可以采取一些措施来降低癌症风险，请与您的临床医生讨论再决定合适的方案。{% for gene in cancerRiskFilterGene %}</w:t>
      </w:r>
    </w:p>
    <w:p w14:paraId="393F0F57">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if gene == ‘MLH1’ %}与 {{ gene }} 突变相关的癌症风险管理措施如下：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6C661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B8770"/>
            <w:vAlign w:val="center"/>
          </w:tcPr>
          <w:p w14:paraId="0AFDBB7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B8770"/>
            <w:vAlign w:val="center"/>
          </w:tcPr>
          <w:p w14:paraId="13A95B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B8770"/>
            <w:vAlign w:val="center"/>
          </w:tcPr>
          <w:p w14:paraId="42C13E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B8770"/>
            <w:vAlign w:val="center"/>
          </w:tcPr>
          <w:p w14:paraId="563DD9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42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4DC2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7CCD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C502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23720B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EF9B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D2E50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BCF957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9B362B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49DC87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2AF2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2E7EED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2174D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67FB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84C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B0E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6CDC81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20477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102B2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6D3C64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6A5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EE6099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F582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2A8D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B53E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9CF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018C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BF108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EE8AF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BDD727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BA9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A55452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55B12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B88F1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E8936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C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1A4BA5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9C64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AAC7E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905A3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0C7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85E31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278F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7FCF3B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58177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B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41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2F6B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4A32D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04D7A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83F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B855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CDC9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4FB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CC38D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A4B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6D34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B9326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896BC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6D7DD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D628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1BCC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7428D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6A24C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0E22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0980317">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‘MSH2’ %}与 {{ gene }} 突变相关的癌症风险管理措施如下：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6C505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B8770"/>
            <w:vAlign w:val="center"/>
          </w:tcPr>
          <w:p w14:paraId="5A52D7C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B8770"/>
            <w:vAlign w:val="center"/>
          </w:tcPr>
          <w:p w14:paraId="64DE58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B8770"/>
            <w:vAlign w:val="center"/>
          </w:tcPr>
          <w:p w14:paraId="334673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B8770"/>
            <w:vAlign w:val="center"/>
          </w:tcPr>
          <w:p w14:paraId="4316BB6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1211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70287F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023C8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5633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02B00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7216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C4B831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5AA85E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15935A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5520258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17C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71AEB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AC2E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F3063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FE00F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21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60F1A3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52C30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683FE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C07B7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BE1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94D0BC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6097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206FA1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852B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F3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0CF818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3E2D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318FF4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F78B9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856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3EE8FB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3296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91345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E8996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C7A5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0E611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15F7F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5497AD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5E094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DE2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9287A5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6FD1F0F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446D0A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84E76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3FD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19120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718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74FF8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C963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FCD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DBFB5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47F1B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7BE66D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5D4FE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79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7BDF1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352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3C82DB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AF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04FF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296C7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6B8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D65E1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8455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31FFE69">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‘EPCAM’ %}与 {{ gene }} 突变相关的癌症风险管理措施如下：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2087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B8770"/>
            <w:vAlign w:val="center"/>
          </w:tcPr>
          <w:p w14:paraId="15B15B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B8770"/>
            <w:vAlign w:val="center"/>
          </w:tcPr>
          <w:p w14:paraId="3BD15D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B8770"/>
            <w:vAlign w:val="center"/>
          </w:tcPr>
          <w:p w14:paraId="43B3E6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B8770"/>
            <w:vAlign w:val="center"/>
          </w:tcPr>
          <w:p w14:paraId="784AF0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306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585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0D323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4574CB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B0193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F273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A584D72">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FBD24E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366A6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5684EF2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60F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1C1AB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EAC5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A82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D2B4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1620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B8EB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209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5F7C5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B728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AD9B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E4A45AF">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AB84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116767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6B0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990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0C1743A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97BF6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693C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F3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E555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25C6C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967F5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FA39B3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5AFD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978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8A5CBB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11A95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AFC06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0E4CE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A6E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0CCA8A7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0F44C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3FB45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A19C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442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465F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96E7D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F25DC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C2C1D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E66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9FD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2B42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597002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12B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657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731D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2C604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276AC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33B36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4C7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3973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80667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63E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686228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47A172B">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‘MSH6’ %}与 {{ gene }} 突变相关的癌症风险管理措施如下：</w:t>
      </w:r>
    </w:p>
    <w:tbl>
      <w:tblPr>
        <w:tblStyle w:val="15"/>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4515F13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B8770"/>
            <w:vAlign w:val="center"/>
          </w:tcPr>
          <w:p w14:paraId="3A12C81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B8770"/>
            <w:vAlign w:val="center"/>
          </w:tcPr>
          <w:p w14:paraId="6782169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B8770"/>
            <w:vAlign w:val="center"/>
          </w:tcPr>
          <w:p w14:paraId="521BE9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B8770"/>
            <w:vAlign w:val="center"/>
          </w:tcPr>
          <w:p w14:paraId="192A7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4C48E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49D45F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75CFA1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27B74A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2708C7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ACFC57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710AA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4B05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36CF6A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7D657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B3287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6DC0A8F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7947D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7585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51098E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4553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DE2208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0836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362B5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F60E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DC38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584444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CC83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442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57700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1DEF4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42F6A8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734CD4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71C7FA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96678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E05F6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095B2DA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33331A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F65DB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3BFE5E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B0237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38E87A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C5B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2162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5515C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101EB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6D68FA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2A774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144082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49D66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81CF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4FA9A3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05F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48AC7F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6B6E30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2710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60B66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41D77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26CF85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753ABF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70C530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32C6A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5D97E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42CCB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5A53F7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227BB769">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‘PMS2’ %}与 {{ gene }} 突变相关的癌症风险管理措施如下：</w:t>
      </w:r>
    </w:p>
    <w:tbl>
      <w:tblPr>
        <w:tblStyle w:val="15"/>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0ADB22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B8770"/>
            <w:vAlign w:val="center"/>
          </w:tcPr>
          <w:p w14:paraId="56E2BD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B8770"/>
            <w:vAlign w:val="center"/>
          </w:tcPr>
          <w:p w14:paraId="1A26A69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B8770"/>
            <w:vAlign w:val="center"/>
          </w:tcPr>
          <w:p w14:paraId="72CA4E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B8770"/>
            <w:vAlign w:val="center"/>
          </w:tcPr>
          <w:p w14:paraId="39F84C0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BE7C8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3E33D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60576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474E59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06AD57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547BD5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1269C888">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25DB1AA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02D5740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5D5A377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3A0F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5D338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421B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05144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1EA631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D546D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505473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7BAC4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BC6C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00B29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32307F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7772D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321AF9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CBA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4F95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3CBD5A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694426D5">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E5B8F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696912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00D76F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26E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5891BFC9">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ED6CA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0E215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1F89E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114D7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0B61E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50DAB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4F7200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362C0F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474E9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4A28B62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6B9AE8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49725E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8C670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8C93B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29B39E25">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5AA3D0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630657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7EF7D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67BBA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EDFBF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7D8B6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0D6E9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4471F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2FC77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667D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AA35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22E1B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124DF4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28480BE">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endfor %}{% if cancerRiskFilterGene != [] %}</w:t>
      </w:r>
    </w:p>
    <w:p w14:paraId="2F0B88A7">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注：以上风险管理建议来源于NCCN指南和前沿的科学研究，具体风险管理措施请结合自身对生活质量的要求及其家族史情况慎重选择。{% endif %}{% endif %}</w:t>
      </w:r>
    </w:p>
    <w:p w14:paraId="1E2A08A9">
      <w:pPr>
        <w:keepLines w:val="0"/>
        <w:pageBreakBefore w:val="0"/>
        <w:widowControl/>
        <w:kinsoku/>
        <w:wordWrap/>
        <w:overflowPunct/>
        <w:topLinePunct w:val="0"/>
        <w:bidi w:val="0"/>
        <w:snapToGrid/>
        <w:spacing w:line="240" w:lineRule="auto"/>
        <w:rPr>
          <w:rFonts w:hint="eastAsia" w:ascii="微软雅黑" w:hAnsi="微软雅黑" w:eastAsia="微软雅黑" w:cs="微软雅黑"/>
          <w:color w:val="000000"/>
          <w:spacing w:val="14"/>
          <w:sz w:val="18"/>
          <w:szCs w:val="18"/>
          <w:lang w:val="zh-CN"/>
        </w:rPr>
      </w:pPr>
    </w:p>
    <w:p w14:paraId="6D557549">
      <w:pPr>
        <w:pStyle w:val="25"/>
        <w:keepLines w:val="0"/>
        <w:pageBreakBefore w:val="0"/>
        <w:kinsoku/>
        <w:wordWrap/>
        <w:overflowPunct/>
        <w:topLinePunct w:val="0"/>
        <w:bidi w:val="0"/>
        <w:snapToGrid/>
        <w:spacing w:line="240" w:lineRule="auto"/>
        <w:rPr>
          <w:rFonts w:hint="eastAsia" w:ascii="微软雅黑" w:hAnsi="微软雅黑" w:eastAsia="微软雅黑" w:cs="微软雅黑"/>
          <w:b/>
          <w:bCs/>
          <w:color w:val="auto"/>
          <w:sz w:val="28"/>
          <w:szCs w:val="36"/>
          <w:lang w:val="en-US" w:eastAsia="zh-CN" w:bidi="ar-SA"/>
        </w:rPr>
      </w:pPr>
      <w:r>
        <w:rPr>
          <w:rFonts w:hint="eastAsia" w:ascii="微软雅黑" w:hAnsi="微软雅黑" w:eastAsia="微软雅黑" w:cs="微软雅黑"/>
          <w:b/>
          <w:bCs/>
          <w:color w:val="auto"/>
          <w:sz w:val="28"/>
          <w:szCs w:val="36"/>
          <w:lang w:val="en-US" w:eastAsia="zh-CN" w:bidi="ar-SA"/>
        </w:rPr>
        <w:t>您的家族其他成员风险管理</w:t>
      </w:r>
      <w:r>
        <w:rPr>
          <w:rFonts w:hint="eastAsia" w:ascii="微软雅黑" w:hAnsi="微软雅黑" w:eastAsia="微软雅黑" w:cs="微软雅黑"/>
          <w:b w:val="0"/>
          <w:color w:val="000000"/>
          <w:spacing w:val="14"/>
          <w:sz w:val="20"/>
          <w:szCs w:val="20"/>
          <w:lang w:val="zh-CN" w:eastAsia="en-US" w:bidi="ar-SA"/>
        </w:rPr>
        <w:t>{% if cancerRiskGene == [] %}</w:t>
      </w:r>
    </w:p>
    <w:p w14:paraId="6040B37D">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因为在您身上没有检测到致病/可能致病变异，大多数情况下，您的亲属不需要进行肿瘤基因检测。</w:t>
      </w:r>
    </w:p>
    <w:p w14:paraId="1B54E29A">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在某些情况下，为了提供更多的您家族遗传风险的信息，建议确诊为肿瘤的亲属接受基因检测。</w:t>
      </w:r>
    </w:p>
    <w:p w14:paraId="495651DE">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如果您对您的基因检测结果有任何疑问，请咨询热线电话和网站。{% else %}</w:t>
      </w:r>
    </w:p>
    <w:p w14:paraId="1D77F438">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基因变异是遗传性的，因为在您的基因中检测到了可能致病变异，所以：</w:t>
      </w:r>
    </w:p>
    <w:p w14:paraId="3AD72F9B">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您的血亲（父母、子女、兄弟和姐妹）有50%的可能具有相同的变异。</w:t>
      </w:r>
    </w:p>
    <w:p w14:paraId="31BD20F0">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您的远亲（堂/表兄弟姐妹、叔伯姑舅姨等）也有可能具有相同的变异。</w:t>
      </w:r>
    </w:p>
    <w:p w14:paraId="05E3A3BE">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一般情况下，只会在有癌症家族史的一方（父亲或母亲）中发现变异。</w:t>
      </w:r>
    </w:p>
    <w:p w14:paraId="79DC1AAD">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对基因检测感兴趣的亲属需要知道您的特异的变异。单个位点检测的费用要远远少于全面检测费用。</w:t>
      </w:r>
    </w:p>
    <w:p w14:paraId="73394B51">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如果您的亲属：</w:t>
      </w:r>
    </w:p>
    <w:p w14:paraId="45D481F9">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检测到该可能致病变异，他/她相关癌症的患病风险会增加，可以从适当的医疗管理中获益。</w:t>
      </w:r>
    </w:p>
    <w:p w14:paraId="0CE6586B">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没有检测到该可能致病变异，他/她的癌症的患病风险和普通人群一样，可以遵循一般的人群筛查指南。{% endif %}</w:t>
      </w:r>
    </w:p>
    <w:p w14:paraId="7D10C807">
      <w:pPr>
        <w:pStyle w:val="25"/>
        <w:keepLines w:val="0"/>
        <w:pageBreakBefore w:val="0"/>
        <w:kinsoku/>
        <w:wordWrap/>
        <w:overflowPunct/>
        <w:topLinePunct w:val="0"/>
        <w:bidi w:val="0"/>
        <w:snapToGrid/>
        <w:spacing w:line="240" w:lineRule="auto"/>
        <w:rPr>
          <w:rFonts w:hint="eastAsia" w:ascii="微软雅黑" w:hAnsi="微软雅黑" w:eastAsia="微软雅黑" w:cs="微软雅黑"/>
          <w:sz w:val="20"/>
          <w:szCs w:val="18"/>
          <w:lang w:eastAsia="zh-CN"/>
        </w:rPr>
      </w:pPr>
      <w:r>
        <w:rPr>
          <w:rFonts w:hint="eastAsia" w:ascii="微软雅黑" w:hAnsi="微软雅黑" w:eastAsia="微软雅黑" w:cs="微软雅黑"/>
          <w:sz w:val="16"/>
        </w:rPr>
        <w:br w:type="page"/>
      </w:r>
    </w:p>
    <w:bookmarkEnd w:id="22"/>
    <w:bookmarkEnd w:id="23"/>
    <w:p w14:paraId="5DBA4C61">
      <w:pPr>
        <w:pStyle w:val="2"/>
        <w:keepLines w:val="0"/>
        <w:pageBreakBefore w:val="0"/>
        <w:numPr>
          <w:ilvl w:val="0"/>
          <w:numId w:val="0"/>
        </w:numPr>
        <w:kinsoku/>
        <w:wordWrap/>
        <w:overflowPunct/>
        <w:topLinePunct w:val="0"/>
        <w:bidi w:val="0"/>
        <w:snapToGrid/>
        <w:spacing w:line="240" w:lineRule="auto"/>
        <w:jc w:val="left"/>
        <w:rPr>
          <w:rFonts w:hint="eastAsia" w:ascii="微软雅黑" w:hAnsi="微软雅黑" w:eastAsia="微软雅黑" w:cs="微软雅黑"/>
          <w:color w:val="auto"/>
          <w:sz w:val="32"/>
          <w:szCs w:val="40"/>
          <w:lang w:val="en-US" w:eastAsia="zh-CN"/>
        </w:rPr>
      </w:pPr>
      <w:bookmarkStart w:id="29" w:name="_Toc1707_WPSOffice_Level1"/>
      <w:bookmarkStart w:id="30" w:name="_Toc13342"/>
      <w:bookmarkStart w:id="31" w:name="_Toc7541"/>
      <w:bookmarkStart w:id="32" w:name="_Toc21764_WPSOffice_Level1"/>
      <w:bookmarkStart w:id="33" w:name="_Toc352"/>
      <w:bookmarkStart w:id="34" w:name="_Toc16594"/>
      <w:bookmarkStart w:id="35" w:name="_Toc28240"/>
      <w:bookmarkStart w:id="36" w:name="_Toc13196_WPSOffice_Level1"/>
      <w:bookmarkStart w:id="37" w:name="_Toc12505"/>
      <w:bookmarkStart w:id="38" w:name="_Toc29197"/>
      <w:bookmarkStart w:id="39" w:name="_Toc27302"/>
      <w:bookmarkStart w:id="40" w:name="_Toc15840_WPSOffice_Level1"/>
      <w:bookmarkStart w:id="41" w:name="_Toc14255_WPSOffice_Level1"/>
      <w:r>
        <w:rPr>
          <w:rFonts w:hint="eastAsia" w:ascii="微软雅黑" w:hAnsi="微软雅黑" w:eastAsia="微软雅黑" w:cs="微软雅黑"/>
          <w:color w:val="auto"/>
          <w:sz w:val="32"/>
          <w:szCs w:val="40"/>
          <w:lang w:val="en-US" w:eastAsia="zh-CN"/>
        </w:rPr>
        <w:t>第五部分 附录</w:t>
      </w:r>
      <w:bookmarkEnd w:id="29"/>
      <w:bookmarkEnd w:id="30"/>
      <w:bookmarkEnd w:id="31"/>
      <w:bookmarkEnd w:id="32"/>
      <w:bookmarkEnd w:id="33"/>
      <w:bookmarkEnd w:id="34"/>
      <w:bookmarkEnd w:id="35"/>
      <w:bookmarkEnd w:id="36"/>
      <w:bookmarkEnd w:id="37"/>
      <w:bookmarkEnd w:id="38"/>
      <w:bookmarkEnd w:id="39"/>
    </w:p>
    <w:bookmarkEnd w:id="40"/>
    <w:bookmarkEnd w:id="41"/>
    <w:p w14:paraId="785069A3">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2" w:name="_Toc18015"/>
      <w:bookmarkStart w:id="43" w:name="_Toc23108"/>
      <w:r>
        <w:rPr>
          <w:rFonts w:hint="eastAsia" w:ascii="微软雅黑" w:hAnsi="微软雅黑" w:eastAsia="微软雅黑" w:cs="微软雅黑"/>
          <w:color w:val="auto"/>
          <w:sz w:val="28"/>
          <w:szCs w:val="36"/>
          <w:lang w:val="en-US" w:eastAsia="zh-CN"/>
        </w:rPr>
        <w:t>5.</w:t>
      </w:r>
      <w:r>
        <w:rPr>
          <w:rFonts w:hint="eastAsia" w:ascii="微软雅黑" w:hAnsi="微软雅黑" w:cs="微软雅黑"/>
          <w:color w:val="auto"/>
          <w:sz w:val="28"/>
          <w:szCs w:val="36"/>
          <w:lang w:val="en-US" w:eastAsia="zh-CN"/>
        </w:rPr>
        <w:t>1</w:t>
      </w:r>
      <w:r>
        <w:rPr>
          <w:rFonts w:hint="eastAsia" w:ascii="微软雅黑" w:hAnsi="微软雅黑" w:eastAsia="微软雅黑" w:cs="微软雅黑"/>
          <w:color w:val="auto"/>
          <w:sz w:val="28"/>
          <w:szCs w:val="36"/>
          <w:lang w:val="en-US" w:eastAsia="zh-CN"/>
        </w:rPr>
        <w:t xml:space="preserve"> 林奇综合征和相关基因说明</w:t>
      </w:r>
      <w:bookmarkEnd w:id="42"/>
      <w:bookmarkEnd w:id="43"/>
    </w:p>
    <w:p w14:paraId="59F16D6E">
      <w:pPr>
        <w:pStyle w:val="45"/>
        <w:keepLines w:val="0"/>
        <w:pageBreakBefore w:val="0"/>
        <w:kinsoku/>
        <w:wordWrap/>
        <w:overflowPunct/>
        <w:topLinePunct w:val="0"/>
        <w:bidi w:val="0"/>
        <w:snapToGrid/>
        <w:spacing w:line="240" w:lineRule="auto"/>
        <w:ind w:firstLine="456" w:firstLineChars="200"/>
        <w:rPr>
          <w:rFonts w:hint="eastAsia" w:ascii="微软雅黑" w:hAnsi="微软雅黑" w:eastAsia="微软雅黑" w:cs="微软雅黑"/>
          <w:spacing w:val="14"/>
          <w:sz w:val="20"/>
          <w:szCs w:val="20"/>
        </w:rPr>
      </w:pPr>
      <w:r>
        <w:rPr>
          <w:rFonts w:hint="eastAsia" w:ascii="微软雅黑" w:hAnsi="微软雅黑" w:eastAsia="微软雅黑" w:cs="微软雅黑"/>
          <w:spacing w:val="14"/>
          <w:sz w:val="20"/>
          <w:szCs w:val="20"/>
        </w:rPr>
        <w:t>林奇综合征（Lynch Syndrome）是一种常染色体显性遗传疾病，由错配修复基因</w:t>
      </w:r>
      <w:r>
        <w:rPr>
          <w:rFonts w:hint="eastAsia" w:ascii="微软雅黑" w:hAnsi="微软雅黑" w:eastAsia="微软雅黑" w:cs="微软雅黑"/>
          <w:spacing w:val="14"/>
          <w:sz w:val="20"/>
          <w:szCs w:val="20"/>
          <w:lang w:val="en-US" w:eastAsia="zh-CN"/>
        </w:rPr>
        <w:t>胚系</w:t>
      </w:r>
      <w:r>
        <w:rPr>
          <w:rFonts w:hint="eastAsia" w:ascii="微软雅黑" w:hAnsi="微软雅黑" w:eastAsia="微软雅黑" w:cs="微软雅黑"/>
          <w:spacing w:val="14"/>
          <w:sz w:val="20"/>
          <w:szCs w:val="20"/>
        </w:rPr>
        <w:t>突变</w:t>
      </w:r>
      <w:r>
        <w:rPr>
          <w:rFonts w:hint="eastAsia" w:ascii="微软雅黑" w:hAnsi="微软雅黑" w:eastAsia="微软雅黑" w:cs="微软雅黑"/>
          <w:spacing w:val="14"/>
          <w:sz w:val="20"/>
          <w:szCs w:val="20"/>
          <w:lang w:val="en-US" w:eastAsia="zh-CN"/>
        </w:rPr>
        <w:t>导致</w:t>
      </w:r>
      <w:r>
        <w:rPr>
          <w:rFonts w:hint="eastAsia" w:ascii="微软雅黑" w:hAnsi="微软雅黑" w:eastAsia="微软雅黑" w:cs="微软雅黑"/>
          <w:spacing w:val="14"/>
          <w:sz w:val="20"/>
          <w:szCs w:val="20"/>
        </w:rPr>
        <w:t>个体</w:t>
      </w:r>
      <w:r>
        <w:rPr>
          <w:rFonts w:hint="eastAsia" w:ascii="微软雅黑" w:hAnsi="微软雅黑" w:eastAsia="微软雅黑" w:cs="微软雅黑"/>
          <w:spacing w:val="14"/>
          <w:sz w:val="20"/>
          <w:szCs w:val="20"/>
          <w:lang w:val="en-US" w:eastAsia="zh-CN"/>
        </w:rPr>
        <w:t>罹患</w:t>
      </w:r>
      <w:r>
        <w:rPr>
          <w:rFonts w:hint="eastAsia" w:ascii="微软雅黑" w:hAnsi="微软雅黑" w:eastAsia="微软雅黑" w:cs="微软雅黑"/>
          <w:i w:val="0"/>
          <w:iCs w:val="0"/>
          <w:caps w:val="0"/>
          <w:spacing w:val="6"/>
          <w:sz w:val="20"/>
          <w:szCs w:val="20"/>
          <w:shd w:val="clear" w:fill="FFFFFF"/>
        </w:rPr>
        <w:t>肿瘤的风险明显增高</w:t>
      </w:r>
      <w:r>
        <w:rPr>
          <w:rFonts w:hint="eastAsia" w:ascii="微软雅黑" w:hAnsi="微软雅黑" w:eastAsia="微软雅黑" w:cs="微软雅黑"/>
          <w:spacing w:val="14"/>
          <w:sz w:val="20"/>
          <w:szCs w:val="20"/>
        </w:rPr>
        <w:t>。已经证实的林奇综合征基因中，</w:t>
      </w:r>
      <w:r>
        <w:rPr>
          <w:rFonts w:hint="eastAsia" w:ascii="微软雅黑" w:hAnsi="微软雅黑" w:eastAsia="微软雅黑" w:cs="微软雅黑"/>
          <w:i/>
          <w:iCs/>
          <w:spacing w:val="14"/>
          <w:sz w:val="20"/>
          <w:szCs w:val="20"/>
        </w:rPr>
        <w:t>MLH1</w:t>
      </w:r>
      <w:r>
        <w:rPr>
          <w:rFonts w:hint="eastAsia" w:ascii="微软雅黑" w:hAnsi="微软雅黑" w:eastAsia="微软雅黑" w:cs="微软雅黑"/>
          <w:spacing w:val="14"/>
          <w:sz w:val="20"/>
          <w:szCs w:val="20"/>
        </w:rPr>
        <w:t>约占突变的50%，</w:t>
      </w:r>
      <w:r>
        <w:rPr>
          <w:rFonts w:hint="eastAsia" w:ascii="微软雅黑" w:hAnsi="微软雅黑" w:eastAsia="微软雅黑" w:cs="微软雅黑"/>
          <w:i/>
          <w:iCs/>
          <w:spacing w:val="14"/>
          <w:sz w:val="20"/>
          <w:szCs w:val="20"/>
        </w:rPr>
        <w:t>MSH2</w:t>
      </w:r>
      <w:r>
        <w:rPr>
          <w:rFonts w:hint="eastAsia" w:ascii="微软雅黑" w:hAnsi="微软雅黑" w:eastAsia="微软雅黑" w:cs="微软雅黑"/>
          <w:spacing w:val="14"/>
          <w:sz w:val="20"/>
          <w:szCs w:val="20"/>
        </w:rPr>
        <w:t>约占突变的40%，</w:t>
      </w:r>
      <w:r>
        <w:rPr>
          <w:rFonts w:hint="eastAsia" w:ascii="微软雅黑" w:hAnsi="微软雅黑" w:eastAsia="微软雅黑" w:cs="微软雅黑"/>
          <w:i/>
          <w:iCs/>
          <w:spacing w:val="14"/>
          <w:sz w:val="20"/>
          <w:szCs w:val="20"/>
        </w:rPr>
        <w:t>MSH6</w:t>
      </w:r>
      <w:r>
        <w:rPr>
          <w:rFonts w:hint="eastAsia" w:ascii="微软雅黑" w:hAnsi="微软雅黑" w:eastAsia="微软雅黑" w:cs="微软雅黑"/>
          <w:spacing w:val="14"/>
          <w:sz w:val="20"/>
          <w:szCs w:val="20"/>
        </w:rPr>
        <w:t>约占7-10%。在本项检测中，检测基因包括</w:t>
      </w:r>
      <w:r>
        <w:rPr>
          <w:rFonts w:hint="eastAsia" w:ascii="微软雅黑" w:hAnsi="微软雅黑" w:eastAsia="微软雅黑" w:cs="微软雅黑"/>
          <w:i/>
          <w:iCs/>
          <w:spacing w:val="14"/>
          <w:sz w:val="20"/>
          <w:szCs w:val="20"/>
        </w:rPr>
        <w:t>MLH1</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MSH2</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MSH6</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PMS2</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EPCAM</w:t>
      </w:r>
      <w:r>
        <w:rPr>
          <w:rFonts w:hint="eastAsia" w:ascii="微软雅黑" w:hAnsi="微软雅黑" w:eastAsia="微软雅黑" w:cs="微软雅黑"/>
          <w:spacing w:val="14"/>
          <w:sz w:val="20"/>
          <w:szCs w:val="20"/>
        </w:rPr>
        <w:t>等。</w:t>
      </w:r>
    </w:p>
    <w:p w14:paraId="38381D48">
      <w:pPr>
        <w:pStyle w:val="45"/>
        <w:keepLines w:val="0"/>
        <w:pageBreakBefore w:val="0"/>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en-US" w:eastAsia="zh-CN" w:bidi="ar-SA"/>
        </w:rPr>
      </w:pPr>
      <w:r>
        <w:rPr>
          <w:rFonts w:hint="eastAsia" w:ascii="微软雅黑" w:hAnsi="微软雅黑" w:eastAsia="微软雅黑" w:cs="微软雅黑"/>
          <w:spacing w:val="14"/>
          <w:sz w:val="20"/>
          <w:szCs w:val="20"/>
          <w:lang w:val="en-US" w:eastAsia="zh-CN"/>
        </w:rPr>
        <w:t>林奇综合征相关癌种包括：</w:t>
      </w:r>
      <w:r>
        <w:rPr>
          <w:rFonts w:hint="eastAsia" w:ascii="微软雅黑" w:hAnsi="微软雅黑" w:eastAsia="微软雅黑" w:cs="微软雅黑"/>
          <w:color w:val="000000"/>
          <w:spacing w:val="14"/>
          <w:sz w:val="20"/>
          <w:szCs w:val="20"/>
          <w:lang w:val="en-US" w:eastAsia="zh-CN" w:bidi="ar-SA"/>
        </w:rPr>
        <w:t>结直肠癌、子宫内膜癌、卵巢癌、胃癌、小肠癌、胆管癌、胰腺癌、肾盂癌、输尿管癌、膀胱癌等。</w:t>
      </w:r>
    </w:p>
    <w:p w14:paraId="4DAFA394">
      <w:pPr>
        <w:keepLines w:val="0"/>
        <w:pageBreakBefore w:val="0"/>
        <w:kinsoku/>
        <w:wordWrap/>
        <w:overflowPunct/>
        <w:topLinePunct w:val="0"/>
        <w:bidi w:val="0"/>
        <w:snapToGrid/>
        <w:spacing w:line="240" w:lineRule="auto"/>
        <w:rPr>
          <w:rFonts w:hint="eastAsia" w:ascii="微软雅黑" w:hAnsi="微软雅黑" w:eastAsia="微软雅黑" w:cs="微软雅黑"/>
          <w:color w:val="179172"/>
          <w:lang w:val="en-US" w:eastAsia="zh-CN"/>
        </w:rPr>
      </w:pPr>
    </w:p>
    <w:tbl>
      <w:tblPr>
        <w:tblStyle w:val="15"/>
        <w:tblW w:w="0" w:type="auto"/>
        <w:tblInd w:w="-5" w:type="dxa"/>
        <w:tblLayout w:type="fixed"/>
        <w:tblCellMar>
          <w:top w:w="0" w:type="dxa"/>
          <w:left w:w="108" w:type="dxa"/>
          <w:bottom w:w="0" w:type="dxa"/>
          <w:right w:w="108" w:type="dxa"/>
        </w:tblCellMar>
      </w:tblPr>
      <w:tblGrid>
        <w:gridCol w:w="1017"/>
        <w:gridCol w:w="1480"/>
        <w:gridCol w:w="7831"/>
      </w:tblGrid>
      <w:tr w14:paraId="29798EB9">
        <w:tblPrEx>
          <w:tblCellMar>
            <w:top w:w="0" w:type="dxa"/>
            <w:left w:w="108" w:type="dxa"/>
            <w:bottom w:w="0" w:type="dxa"/>
            <w:right w:w="108" w:type="dxa"/>
          </w:tblCellMar>
        </w:tblPrEx>
        <w:trPr>
          <w:trHeight w:val="320" w:hRule="atLeast"/>
        </w:trPr>
        <w:tc>
          <w:tcPr>
            <w:tcW w:w="1017" w:type="dxa"/>
            <w:shd w:val="clear" w:color="auto" w:fill="179172"/>
            <w:vAlign w:val="center"/>
          </w:tcPr>
          <w:p w14:paraId="0573BC5E">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FFFFFF"/>
              </w:rPr>
            </w:pPr>
            <w:r>
              <w:rPr>
                <w:rFonts w:hint="eastAsia" w:ascii="微软雅黑" w:hAnsi="微软雅黑" w:eastAsia="微软雅黑" w:cs="微软雅黑"/>
                <w:b/>
                <w:bCs/>
                <w:color w:val="FFFFFF"/>
              </w:rPr>
              <w:t>基因</w:t>
            </w:r>
          </w:p>
        </w:tc>
        <w:tc>
          <w:tcPr>
            <w:tcW w:w="1217" w:type="dxa"/>
            <w:shd w:val="clear" w:color="auto" w:fill="179172"/>
            <w:vAlign w:val="center"/>
          </w:tcPr>
          <w:p w14:paraId="6C99B56A">
            <w:pPr>
              <w:keepLines w:val="0"/>
              <w:pageBreakBefore w:val="0"/>
              <w:kinsoku/>
              <w:wordWrap/>
              <w:overflowPunct/>
              <w:topLinePunct w:val="0"/>
              <w:bidi w:val="0"/>
              <w:snapToGrid/>
              <w:spacing w:line="240" w:lineRule="auto"/>
              <w:jc w:val="center"/>
              <w:rPr>
                <w:rFonts w:hint="default" w:ascii="微软雅黑" w:hAnsi="微软雅黑" w:eastAsia="微软雅黑" w:cs="微软雅黑"/>
                <w:b/>
                <w:bCs/>
                <w:color w:val="FFFFFF"/>
                <w:lang w:val="en-US" w:eastAsia="zh-CN"/>
              </w:rPr>
            </w:pPr>
            <w:r>
              <w:rPr>
                <w:rFonts w:hint="eastAsia" w:ascii="微软雅黑" w:hAnsi="微软雅黑" w:eastAsia="微软雅黑" w:cs="微软雅黑"/>
                <w:b/>
                <w:bCs/>
                <w:color w:val="FFFFFF"/>
                <w:lang w:val="en-US" w:eastAsia="zh-CN"/>
              </w:rPr>
              <w:t>检测结果</w:t>
            </w:r>
          </w:p>
        </w:tc>
        <w:tc>
          <w:tcPr>
            <w:tcW w:w="7831" w:type="dxa"/>
            <w:shd w:val="clear" w:color="auto" w:fill="179172"/>
            <w:vAlign w:val="center"/>
          </w:tcPr>
          <w:p w14:paraId="0E4E67C3">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FFFFFF"/>
              </w:rPr>
            </w:pPr>
            <w:r>
              <w:rPr>
                <w:rFonts w:hint="eastAsia" w:ascii="微软雅黑" w:hAnsi="微软雅黑" w:eastAsia="微软雅黑" w:cs="微软雅黑"/>
                <w:b/>
                <w:bCs/>
                <w:color w:val="FFFFFF"/>
              </w:rPr>
              <w:t>基因说明</w:t>
            </w:r>
          </w:p>
        </w:tc>
      </w:tr>
      <w:tr w14:paraId="42B347E1">
        <w:tblPrEx>
          <w:tblCellMar>
            <w:top w:w="0" w:type="dxa"/>
            <w:left w:w="108" w:type="dxa"/>
            <w:bottom w:w="0" w:type="dxa"/>
            <w:right w:w="108" w:type="dxa"/>
          </w:tblCellMar>
        </w:tblPrEx>
        <w:trPr>
          <w:trHeight w:val="578" w:hRule="atLeast"/>
        </w:trPr>
        <w:tc>
          <w:tcPr>
            <w:tcW w:w="1017" w:type="dxa"/>
            <w:vAlign w:val="center"/>
          </w:tcPr>
          <w:p w14:paraId="70CCCAC7">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MLH1</w:t>
            </w:r>
          </w:p>
        </w:tc>
        <w:tc>
          <w:tcPr>
            <w:tcW w:w="1480" w:type="dxa"/>
            <w:vAlign w:val="center"/>
          </w:tcPr>
          <w:p w14:paraId="76283B5B">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.MLH1</w:t>
            </w:r>
            <w:r>
              <w:rPr>
                <w:rFonts w:hint="eastAsia" w:ascii="微软雅黑" w:hAnsi="微软雅黑" w:eastAsia="微软雅黑" w:cs="微软雅黑"/>
                <w:sz w:val="20"/>
                <w:szCs w:val="20"/>
                <w:lang w:eastAsia="zh-CN"/>
              </w:rPr>
              <w:t xml:space="preserve"> %}{%for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 xml:space="preserve">.MLH1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14:paraId="615846FF">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14:paraId="23DAFC56">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MLH1与PMS2结合形成MutL</w:t>
            </w:r>
            <w:r>
              <w:rPr>
                <w:rFonts w:hint="eastAsia" w:ascii="微软雅黑" w:hAnsi="微软雅黑" w:eastAsia="微软雅黑" w:cs="微软雅黑"/>
                <w:color w:val="000000"/>
                <w:sz w:val="20"/>
                <w:szCs w:val="20"/>
              </w:rPr>
              <w:t>α</w:t>
            </w:r>
            <w:r>
              <w:rPr>
                <w:rFonts w:hint="eastAsia" w:ascii="微软雅黑" w:hAnsi="微软雅黑" w:eastAsia="微软雅黑" w:cs="微软雅黑"/>
                <w:color w:val="000000"/>
                <w:sz w:val="20"/>
                <w:szCs w:val="20"/>
                <w:lang w:eastAsia="zh-CN"/>
              </w:rPr>
              <w:t>，是DNA复制后错配修复复合物的一部分，参与DNA错配修复，同时也参与了DNA损伤修复。与MLH1相关的疾病包括结肠癌、结直肠癌、子宫内膜癌等。</w:t>
            </w:r>
          </w:p>
        </w:tc>
      </w:tr>
      <w:tr w14:paraId="35A944B0">
        <w:tblPrEx>
          <w:tblCellMar>
            <w:top w:w="0" w:type="dxa"/>
            <w:left w:w="108" w:type="dxa"/>
            <w:bottom w:w="0" w:type="dxa"/>
            <w:right w:w="108" w:type="dxa"/>
          </w:tblCellMar>
        </w:tblPrEx>
        <w:trPr>
          <w:trHeight w:val="578" w:hRule="atLeast"/>
        </w:trPr>
        <w:tc>
          <w:tcPr>
            <w:tcW w:w="1017" w:type="dxa"/>
            <w:vAlign w:val="center"/>
          </w:tcPr>
          <w:p w14:paraId="71167C0E">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MSH2</w:t>
            </w:r>
          </w:p>
        </w:tc>
        <w:tc>
          <w:tcPr>
            <w:tcW w:w="1480" w:type="dxa"/>
            <w:vAlign w:val="center"/>
          </w:tcPr>
          <w:p w14:paraId="4AE3E17C">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14:paraId="6E57077C">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14:paraId="4E43E845">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5AFE2E55">
        <w:tblPrEx>
          <w:tblCellMar>
            <w:top w:w="0" w:type="dxa"/>
            <w:left w:w="108" w:type="dxa"/>
            <w:bottom w:w="0" w:type="dxa"/>
            <w:right w:w="108" w:type="dxa"/>
          </w:tblCellMar>
        </w:tblPrEx>
        <w:trPr>
          <w:trHeight w:val="860" w:hRule="atLeast"/>
        </w:trPr>
        <w:tc>
          <w:tcPr>
            <w:tcW w:w="1017" w:type="dxa"/>
            <w:vAlign w:val="center"/>
          </w:tcPr>
          <w:p w14:paraId="0E6A6EE0">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MSH6</w:t>
            </w:r>
          </w:p>
        </w:tc>
        <w:tc>
          <w:tcPr>
            <w:tcW w:w="1217" w:type="dxa"/>
            <w:vAlign w:val="center"/>
          </w:tcPr>
          <w:p w14:paraId="56F0C8B2">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MSH6</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MSH6</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14:paraId="42A1FEE1">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14:paraId="4A5656BD">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eastAsia" w:ascii="微软雅黑" w:hAnsi="微软雅黑" w:eastAsia="微软雅黑" w:cs="微软雅黑"/>
                <w:color w:val="000000"/>
                <w:sz w:val="20"/>
                <w:szCs w:val="20"/>
              </w:rPr>
              <w:t>与MSH6相关的疾病包括结直肠癌等。</w:t>
            </w:r>
          </w:p>
        </w:tc>
      </w:tr>
      <w:tr w14:paraId="66A941F9">
        <w:tblPrEx>
          <w:tblCellMar>
            <w:top w:w="0" w:type="dxa"/>
            <w:left w:w="108" w:type="dxa"/>
            <w:bottom w:w="0" w:type="dxa"/>
            <w:right w:w="108" w:type="dxa"/>
          </w:tblCellMar>
        </w:tblPrEx>
        <w:trPr>
          <w:trHeight w:val="580" w:hRule="atLeast"/>
        </w:trPr>
        <w:tc>
          <w:tcPr>
            <w:tcW w:w="1017" w:type="dxa"/>
            <w:vAlign w:val="center"/>
          </w:tcPr>
          <w:p w14:paraId="28603507">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PMS2</w:t>
            </w:r>
          </w:p>
        </w:tc>
        <w:tc>
          <w:tcPr>
            <w:tcW w:w="1217" w:type="dxa"/>
            <w:vAlign w:val="center"/>
          </w:tcPr>
          <w:p w14:paraId="0128C2CB">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PMS2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PMS2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14:paraId="655B2596">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14:paraId="2D00E796">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PMS2定位于染色体7p22.2，编码蛋白参与DNA错配修复。可与MLH1形成异源二聚体复合物MutL</w:t>
            </w:r>
            <w:r>
              <w:rPr>
                <w:rFonts w:hint="eastAsia" w:ascii="微软雅黑" w:hAnsi="微软雅黑" w:eastAsia="微软雅黑" w:cs="微软雅黑"/>
                <w:color w:val="000000"/>
                <w:sz w:val="20"/>
                <w:szCs w:val="20"/>
              </w:rPr>
              <w:t>α</w:t>
            </w:r>
            <w:r>
              <w:rPr>
                <w:rFonts w:hint="eastAsia" w:ascii="微软雅黑" w:hAnsi="微软雅黑" w:eastAsia="微软雅黑" w:cs="微软雅黑"/>
                <w:color w:val="000000"/>
                <w:sz w:val="20"/>
                <w:szCs w:val="20"/>
                <w:lang w:eastAsia="zh-CN"/>
              </w:rPr>
              <w:t>，然后与其他的复合物相互作用结合到错配的碱基上。与PMS2相关的疾病包括遗传性非息肉性结直肠癌、子宫内膜癌、胃癌、幕上原始神经外胚层瘤、上皮性卵巢癌等。</w:t>
            </w:r>
          </w:p>
        </w:tc>
      </w:tr>
      <w:tr w14:paraId="1AB2EFEA">
        <w:tblPrEx>
          <w:tblCellMar>
            <w:top w:w="0" w:type="dxa"/>
            <w:left w:w="108" w:type="dxa"/>
            <w:bottom w:w="0" w:type="dxa"/>
            <w:right w:w="108" w:type="dxa"/>
          </w:tblCellMar>
        </w:tblPrEx>
        <w:trPr>
          <w:trHeight w:val="580" w:hRule="atLeast"/>
        </w:trPr>
        <w:tc>
          <w:tcPr>
            <w:tcW w:w="1017" w:type="dxa"/>
            <w:vAlign w:val="center"/>
          </w:tcPr>
          <w:p w14:paraId="69696ED0">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bookmarkStart w:id="44" w:name="_Toc28454_WPSOffice_Level1"/>
            <w:r>
              <w:rPr>
                <w:rFonts w:hint="eastAsia" w:ascii="微软雅黑" w:hAnsi="微软雅黑" w:eastAsia="微软雅黑" w:cs="微软雅黑"/>
                <w:b/>
                <w:bCs/>
                <w:color w:val="000000"/>
                <w:sz w:val="20"/>
                <w:szCs w:val="20"/>
              </w:rPr>
              <w:t>EPCAM</w:t>
            </w:r>
          </w:p>
        </w:tc>
        <w:tc>
          <w:tcPr>
            <w:tcW w:w="1217" w:type="dxa"/>
            <w:vAlign w:val="center"/>
          </w:tcPr>
          <w:p w14:paraId="2BD82E48">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EPCAM</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EPCAM</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14:paraId="1D6B2350">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14:paraId="03C1F73D">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eastAsia" w:ascii="微软雅黑" w:hAnsi="微软雅黑" w:eastAsia="微软雅黑" w:cs="微软雅黑"/>
                <w:color w:val="000000"/>
                <w:sz w:val="20"/>
                <w:szCs w:val="20"/>
              </w:rPr>
              <w:t>α</w:t>
            </w:r>
            <w:r>
              <w:rPr>
                <w:rFonts w:hint="eastAsia" w:ascii="微软雅黑" w:hAnsi="微软雅黑" w:eastAsia="微软雅黑" w:cs="微软雅黑"/>
                <w:color w:val="000000"/>
                <w:sz w:val="20"/>
                <w:szCs w:val="20"/>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bl>
    <w:p w14:paraId="630B251B">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rPr>
      </w:pPr>
    </w:p>
    <w:p w14:paraId="0AA229B6">
      <w:p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br w:type="page"/>
      </w:r>
    </w:p>
    <w:p w14:paraId="3C996B21">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5" w:name="_Toc6253"/>
      <w:r>
        <w:rPr>
          <w:rFonts w:hint="eastAsia" w:ascii="微软雅黑" w:hAnsi="微软雅黑" w:eastAsia="微软雅黑" w:cs="微软雅黑"/>
          <w:color w:val="auto"/>
          <w:sz w:val="28"/>
          <w:szCs w:val="36"/>
          <w:lang w:val="en-US" w:eastAsia="zh-CN"/>
        </w:rPr>
        <w:t>5.</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Start w:id="46" w:name="_Toc22422"/>
      <w:r>
        <w:rPr>
          <w:rFonts w:hint="eastAsia" w:ascii="微软雅黑" w:hAnsi="微软雅黑" w:eastAsia="微软雅黑" w:cs="微软雅黑"/>
          <w:color w:val="auto"/>
          <w:sz w:val="28"/>
          <w:szCs w:val="36"/>
          <w:lang w:val="en-US" w:eastAsia="zh-CN"/>
        </w:rPr>
        <w:t>质控情况</w:t>
      </w:r>
      <w:bookmarkEnd w:id="45"/>
      <w:bookmarkEnd w:id="46"/>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14:paraId="2B3B7E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14:paraId="1702B69F">
            <w:pPr>
              <w:keepLines w:val="0"/>
              <w:pageBreakBefore w:val="0"/>
              <w:kinsoku/>
              <w:wordWrap/>
              <w:overflowPunct/>
              <w:topLinePunct w:val="0"/>
              <w:bidi w:val="0"/>
              <w:snapToGrid/>
              <w:spacing w:line="240" w:lineRule="auto"/>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14:paraId="0C5AE4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14:paraId="4B3850DD">
            <w:pPr>
              <w:keepLines w:val="0"/>
              <w:pageBreakBefore w:val="0"/>
              <w:kinsoku/>
              <w:wordWrap/>
              <w:overflowPunct/>
              <w:topLinePunct w:val="0"/>
              <w:bidi w:val="0"/>
              <w:snapToGrid/>
              <w:spacing w:line="240" w:lineRule="auto"/>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rPr>
              <w:t>质控</w:t>
            </w:r>
            <w:r>
              <w:rPr>
                <w:rFonts w:hint="eastAsia" w:ascii="微软雅黑" w:hAnsi="微软雅黑" w:eastAsia="微软雅黑" w:cs="微软雅黑"/>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14:paraId="6DE77E55">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14:paraId="046F06A0">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bCs/>
                <w:sz w:val="21"/>
              </w:rPr>
            </w:pPr>
            <w:r>
              <w:rPr>
                <w:rFonts w:hint="eastAsia" w:ascii="微软雅黑" w:hAnsi="微软雅黑" w:eastAsia="微软雅黑" w:cs="微软雅黑"/>
                <w:bCs/>
                <w:sz w:val="21"/>
              </w:rPr>
              <w:t>质控标准</w:t>
            </w:r>
          </w:p>
        </w:tc>
      </w:tr>
      <w:tr w14:paraId="0C909DC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198ACDFD">
            <w:pPr>
              <w:keepLines w:val="0"/>
              <w:pageBreakBefore w:val="0"/>
              <w:kinsoku/>
              <w:wordWrap/>
              <w:overflowPunct/>
              <w:topLinePunct w:val="0"/>
              <w:bidi w:val="0"/>
              <w:snapToGrid/>
              <w:spacing w:line="240" w:lineRule="auto"/>
              <w:ind w:left="119"/>
              <w:jc w:val="both"/>
              <w:rPr>
                <w:rFonts w:hint="eastAsia" w:ascii="微软雅黑" w:hAnsi="微软雅黑" w:eastAsia="微软雅黑" w:cs="微软雅黑"/>
                <w:sz w:val="21"/>
              </w:rPr>
            </w:pPr>
            <w:r>
              <w:rPr>
                <w:rFonts w:hint="eastAsia" w:ascii="微软雅黑" w:hAnsi="微软雅黑" w:eastAsia="微软雅黑" w:cs="微软雅黑"/>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14:paraId="46607E83">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6D119A45">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14:paraId="3FB271AB">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w:t>
            </w:r>
            <w:r>
              <w:rPr>
                <w:rFonts w:hint="eastAsia" w:ascii="微软雅黑" w:hAnsi="微软雅黑" w:eastAsia="微软雅黑" w:cs="微软雅黑"/>
                <w:sz w:val="21"/>
              </w:rPr>
              <w:t>100ng</w:t>
            </w:r>
          </w:p>
        </w:tc>
      </w:tr>
      <w:tr w14:paraId="1CE70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67B377C2">
            <w:pPr>
              <w:keepLines w:val="0"/>
              <w:pageBreakBefore w:val="0"/>
              <w:kinsoku/>
              <w:wordWrap/>
              <w:overflowPunct/>
              <w:topLinePunct w:val="0"/>
              <w:bidi w:val="0"/>
              <w:snapToGrid/>
              <w:spacing w:line="240" w:lineRule="auto"/>
              <w:jc w:val="both"/>
              <w:rPr>
                <w:rFonts w:hint="eastAsia" w:ascii="微软雅黑" w:hAnsi="微软雅黑" w:eastAsia="微软雅黑" w:cs="微软雅黑"/>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7F19A7AD">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1B6B779C">
            <w:pPr>
              <w:keepLines w:val="0"/>
              <w:pageBreakBefore w:val="0"/>
              <w:kinsoku/>
              <w:wordWrap/>
              <w:overflowPunct/>
              <w:topLinePunct w:val="0"/>
              <w:bidi w:val="0"/>
              <w:snapToGrid/>
              <w:spacing w:line="240" w:lineRule="auto"/>
              <w:ind w:left="118"/>
              <w:jc w:val="both"/>
              <w:rPr>
                <w:rFonts w:hint="default" w:ascii="微软雅黑" w:hAnsi="微软雅黑" w:eastAsia="微软雅黑" w:cs="微软雅黑"/>
                <w:sz w:val="21"/>
                <w:lang w:val="en-US" w:eastAsia="zh-CN"/>
              </w:rPr>
            </w:pPr>
            <w:r>
              <w:rPr>
                <w:rFonts w:hint="eastAsia" w:ascii="微软雅黑" w:hAnsi="微软雅黑" w:eastAsia="微软雅黑" w:cs="微软雅黑"/>
                <w:sz w:val="21"/>
                <w:lang w:val="en-US" w:eastAsia="zh-CN"/>
              </w:rPr>
              <w:t>-</w:t>
            </w:r>
          </w:p>
        </w:tc>
        <w:tc>
          <w:tcPr>
            <w:tcW w:w="2831" w:type="dxa"/>
            <w:tcBorders>
              <w:top w:val="single" w:color="179172" w:sz="8" w:space="0"/>
              <w:left w:val="single" w:color="179172" w:sz="8" w:space="0"/>
              <w:bottom w:val="single" w:color="179172" w:sz="8" w:space="0"/>
              <w:right w:val="nil"/>
            </w:tcBorders>
            <w:vAlign w:val="center"/>
          </w:tcPr>
          <w:p w14:paraId="296DFE14">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val="en-US" w:eastAsia="zh-CN"/>
              </w:rPr>
              <w:t>不适用</w:t>
            </w:r>
          </w:p>
        </w:tc>
      </w:tr>
      <w:tr w14:paraId="500706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7A4413DF">
            <w:pPr>
              <w:keepLines w:val="0"/>
              <w:pageBreakBefore w:val="0"/>
              <w:kinsoku/>
              <w:wordWrap/>
              <w:overflowPunct/>
              <w:topLinePunct w:val="0"/>
              <w:bidi w:val="0"/>
              <w:snapToGrid/>
              <w:spacing w:line="240" w:lineRule="auto"/>
              <w:jc w:val="both"/>
              <w:rPr>
                <w:rFonts w:hint="eastAsia" w:ascii="微软雅黑" w:hAnsi="微软雅黑" w:eastAsia="微软雅黑" w:cs="微软雅黑"/>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D027B7F">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14:paraId="01191E22">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14:paraId="21CA13E3">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lang w:eastAsia="zh-CN"/>
              </w:rPr>
              <w:t>≥500</w:t>
            </w:r>
            <w:r>
              <w:rPr>
                <w:rFonts w:hint="eastAsia" w:ascii="微软雅黑" w:hAnsi="微软雅黑" w:eastAsia="微软雅黑" w:cs="微软雅黑"/>
                <w:sz w:val="21"/>
              </w:rPr>
              <w:t>ng</w:t>
            </w:r>
          </w:p>
        </w:tc>
      </w:tr>
      <w:tr w14:paraId="69C042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14:paraId="4F9A4EC7">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14:paraId="47CAA44B">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432E506C">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14:paraId="627D5FC9">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≥200</w:t>
            </w:r>
          </w:p>
        </w:tc>
      </w:tr>
      <w:tr w14:paraId="77541C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AEE3490">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0B0F0B45">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14:paraId="63AB8152">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14:paraId="4F628C16">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≥90%</w:t>
            </w:r>
          </w:p>
        </w:tc>
      </w:tr>
      <w:tr w14:paraId="097542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48DF004B">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567157C8">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14:paraId="58F7C604">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14:paraId="6ED43DE3">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lang w:eastAsia="zh-CN"/>
              </w:rPr>
              <w:t>≥</w:t>
            </w:r>
            <w:r>
              <w:rPr>
                <w:rFonts w:hint="eastAsia" w:ascii="微软雅黑" w:hAnsi="微软雅黑" w:eastAsia="微软雅黑" w:cs="微软雅黑"/>
                <w:sz w:val="21"/>
              </w:rPr>
              <w:t>9</w:t>
            </w:r>
            <w:r>
              <w:rPr>
                <w:rFonts w:hint="eastAsia" w:ascii="微软雅黑" w:hAnsi="微软雅黑" w:eastAsia="微软雅黑" w:cs="微软雅黑"/>
                <w:sz w:val="21"/>
                <w:lang w:eastAsia="zh-CN"/>
              </w:rPr>
              <w:t>5</w:t>
            </w:r>
            <w:r>
              <w:rPr>
                <w:rFonts w:hint="eastAsia" w:ascii="微软雅黑" w:hAnsi="微软雅黑" w:eastAsia="微软雅黑" w:cs="微软雅黑"/>
                <w:sz w:val="21"/>
              </w:rPr>
              <w:t>%</w:t>
            </w:r>
          </w:p>
        </w:tc>
      </w:tr>
      <w:tr w14:paraId="3F606C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14:paraId="326693F0">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14:paraId="3265E55C">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14:paraId="38328253">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14:paraId="7AD65D99">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lang w:eastAsia="zh-CN"/>
              </w:rPr>
              <w:t>≥</w:t>
            </w:r>
            <w:r>
              <w:rPr>
                <w:rFonts w:hint="eastAsia" w:ascii="微软雅黑" w:hAnsi="微软雅黑" w:eastAsia="微软雅黑" w:cs="微软雅黑"/>
                <w:sz w:val="21"/>
              </w:rPr>
              <w:t>8</w:t>
            </w:r>
            <w:r>
              <w:rPr>
                <w:rFonts w:hint="eastAsia" w:ascii="微软雅黑" w:hAnsi="微软雅黑" w:eastAsia="微软雅黑" w:cs="微软雅黑"/>
                <w:sz w:val="21"/>
                <w:lang w:eastAsia="zh-CN"/>
              </w:rPr>
              <w:t>0</w:t>
            </w:r>
            <w:r>
              <w:rPr>
                <w:rFonts w:hint="eastAsia" w:ascii="微软雅黑" w:hAnsi="微软雅黑" w:eastAsia="微软雅黑" w:cs="微软雅黑"/>
                <w:sz w:val="21"/>
              </w:rPr>
              <w:t>%</w:t>
            </w:r>
          </w:p>
        </w:tc>
      </w:tr>
      <w:tr w14:paraId="09740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14:paraId="13C6BBE2">
            <w:pPr>
              <w:keepLines w:val="0"/>
              <w:pageBreakBefore w:val="0"/>
              <w:kinsoku/>
              <w:wordWrap/>
              <w:overflowPunct/>
              <w:topLinePunct w:val="0"/>
              <w:bidi w:val="0"/>
              <w:snapToGrid/>
              <w:spacing w:line="240" w:lineRule="auto"/>
              <w:ind w:left="119"/>
              <w:jc w:val="both"/>
              <w:rPr>
                <w:rFonts w:hint="eastAsia" w:ascii="微软雅黑" w:hAnsi="微软雅黑" w:eastAsia="微软雅黑" w:cs="微软雅黑"/>
                <w:sz w:val="21"/>
                <w:lang w:val="en-US"/>
              </w:rPr>
            </w:pPr>
            <w:r>
              <w:rPr>
                <w:rFonts w:hint="eastAsia" w:ascii="微软雅黑" w:hAnsi="微软雅黑" w:eastAsia="微软雅黑" w:cs="微软雅黑"/>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14:paraId="4D3C1BB3">
            <w:pPr>
              <w:keepLines w:val="0"/>
              <w:pageBreakBefore w:val="0"/>
              <w:kinsoku/>
              <w:wordWrap/>
              <w:overflowPunct/>
              <w:topLinePunct w:val="0"/>
              <w:bidi w:val="0"/>
              <w:snapToGrid/>
              <w:spacing w:line="240" w:lineRule="auto"/>
              <w:jc w:val="center"/>
              <w:rPr>
                <w:rFonts w:hint="eastAsia" w:ascii="微软雅黑" w:hAnsi="微软雅黑" w:eastAsia="微软雅黑" w:cs="微软雅黑"/>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oqa(2</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,150) }}</w:t>
            </w:r>
          </w:p>
        </w:tc>
      </w:tr>
    </w:tbl>
    <w:p w14:paraId="2BB0ACCA">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DNA总量：送检样本的DNA提取总量。</w:t>
      </w:r>
    </w:p>
    <w:p w14:paraId="55CCA650">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DNA降解程度：cfDNA样本不适用于此项评估。</w:t>
      </w:r>
    </w:p>
    <w:p w14:paraId="3F365EDD">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A级：有主带，或降解均匀且降解区域主要集中在5000bp以上；</w:t>
      </w:r>
    </w:p>
    <w:p w14:paraId="1D6C4FBE">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B级：无主带，降解均匀且降解区域主要集中在1500-5000bp之间；</w:t>
      </w:r>
    </w:p>
    <w:p w14:paraId="32083C73">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C级：无主带，降解均匀且降解区域主要集中在500-1500bp之间；</w:t>
      </w:r>
    </w:p>
    <w:p w14:paraId="1C7DE2A7">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pacing w:val="3"/>
          <w:sz w:val="20"/>
          <w:szCs w:val="20"/>
          <w:lang w:eastAsia="zh-CN"/>
        </w:rPr>
        <w:t>D级</w:t>
      </w:r>
      <w:r>
        <w:rPr>
          <w:rFonts w:hint="eastAsia" w:ascii="微软雅黑" w:hAnsi="微软雅黑" w:eastAsia="微软雅黑" w:cs="微软雅黑"/>
          <w:bCs/>
          <w:sz w:val="20"/>
          <w:szCs w:val="20"/>
          <w:lang w:eastAsia="zh-CN"/>
        </w:rPr>
        <w:t>（</w:t>
      </w:r>
      <w:r>
        <w:rPr>
          <w:rFonts w:hint="eastAsia" w:ascii="微软雅黑" w:hAnsi="微软雅黑" w:eastAsia="微软雅黑" w:cs="微软雅黑"/>
          <w:bCs/>
          <w:spacing w:val="1"/>
          <w:sz w:val="20"/>
          <w:szCs w:val="20"/>
          <w:lang w:eastAsia="zh-CN"/>
        </w:rPr>
        <w:t>不合格</w:t>
      </w:r>
      <w:r>
        <w:rPr>
          <w:rFonts w:hint="eastAsia" w:ascii="微软雅黑" w:hAnsi="微软雅黑" w:eastAsia="微软雅黑" w:cs="微软雅黑"/>
          <w:bCs/>
          <w:spacing w:val="-90"/>
          <w:sz w:val="20"/>
          <w:szCs w:val="20"/>
          <w:lang w:eastAsia="zh-CN"/>
        </w:rPr>
        <w:t>）</w:t>
      </w:r>
      <w:r>
        <w:rPr>
          <w:rFonts w:hint="eastAsia" w:ascii="微软雅黑" w:hAnsi="微软雅黑" w:eastAsia="微软雅黑" w:cs="微软雅黑"/>
          <w:bCs/>
          <w:sz w:val="20"/>
          <w:szCs w:val="20"/>
          <w:lang w:eastAsia="zh-CN"/>
        </w:rPr>
        <w:t>）：无主带，降解均匀且降解区域主要集中在500-1500bp</w:t>
      </w:r>
      <w:r>
        <w:rPr>
          <w:rFonts w:hint="eastAsia" w:ascii="微软雅黑" w:hAnsi="微软雅黑" w:eastAsia="微软雅黑" w:cs="微软雅黑"/>
          <w:bCs/>
          <w:spacing w:val="-1"/>
          <w:sz w:val="20"/>
          <w:szCs w:val="20"/>
          <w:lang w:eastAsia="zh-CN"/>
        </w:rPr>
        <w:t>之间，但总量介于</w:t>
      </w:r>
      <w:r>
        <w:rPr>
          <w:rFonts w:hint="eastAsia" w:ascii="微软雅黑" w:hAnsi="微软雅黑" w:eastAsia="微软雅黑" w:cs="微软雅黑"/>
          <w:bCs/>
          <w:sz w:val="20"/>
          <w:szCs w:val="20"/>
          <w:lang w:eastAsia="zh-CN"/>
        </w:rPr>
        <w:t>100ng</w:t>
      </w:r>
      <w:r>
        <w:rPr>
          <w:rFonts w:hint="eastAsia" w:ascii="微软雅黑" w:hAnsi="微软雅黑" w:eastAsia="微软雅黑" w:cs="微软雅黑"/>
          <w:bCs/>
          <w:spacing w:val="-3"/>
          <w:sz w:val="20"/>
          <w:szCs w:val="20"/>
          <w:lang w:eastAsia="zh-CN"/>
        </w:rPr>
        <w:t>到</w:t>
      </w:r>
      <w:r>
        <w:rPr>
          <w:rFonts w:hint="eastAsia" w:ascii="微软雅黑" w:hAnsi="微软雅黑" w:eastAsia="微软雅黑" w:cs="微软雅黑"/>
          <w:bCs/>
          <w:sz w:val="20"/>
          <w:szCs w:val="20"/>
          <w:lang w:eastAsia="zh-CN"/>
        </w:rPr>
        <w:t>300ng之间；或降解区</w:t>
      </w:r>
      <w:r>
        <w:rPr>
          <w:rFonts w:hint="eastAsia" w:ascii="微软雅黑" w:hAnsi="微软雅黑" w:eastAsia="微软雅黑" w:cs="微软雅黑"/>
          <w:bCs/>
          <w:spacing w:val="-2"/>
          <w:sz w:val="20"/>
          <w:szCs w:val="20"/>
          <w:lang w:eastAsia="zh-CN"/>
        </w:rPr>
        <w:t>域弥散在</w:t>
      </w:r>
      <w:r>
        <w:rPr>
          <w:rFonts w:hint="eastAsia" w:ascii="微软雅黑" w:hAnsi="微软雅黑" w:eastAsia="微软雅黑" w:cs="微软雅黑"/>
          <w:bCs/>
          <w:sz w:val="20"/>
          <w:szCs w:val="20"/>
          <w:lang w:eastAsia="zh-CN"/>
        </w:rPr>
        <w:t>150-1000bp</w:t>
      </w:r>
      <w:r>
        <w:rPr>
          <w:rFonts w:hint="eastAsia" w:ascii="微软雅黑" w:hAnsi="微软雅黑" w:eastAsia="微软雅黑" w:cs="微软雅黑"/>
          <w:bCs/>
          <w:spacing w:val="-2"/>
          <w:sz w:val="20"/>
          <w:szCs w:val="20"/>
          <w:lang w:eastAsia="zh-CN"/>
        </w:rPr>
        <w:t>，或集中在</w:t>
      </w:r>
      <w:r>
        <w:rPr>
          <w:rFonts w:hint="eastAsia" w:ascii="微软雅黑" w:hAnsi="微软雅黑" w:eastAsia="微软雅黑" w:cs="微软雅黑"/>
          <w:bCs/>
          <w:sz w:val="20"/>
          <w:szCs w:val="20"/>
          <w:lang w:eastAsia="zh-CN"/>
        </w:rPr>
        <w:t>500bp以下。</w:t>
      </w:r>
    </w:p>
    <w:p w14:paraId="6E6BAFF2">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预文库总量：核酸片段经过接头连接和扩增纯化后中间产物的总量。</w:t>
      </w:r>
    </w:p>
    <w:p w14:paraId="51AED9C8">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平均测序深度：目标区域每个碱基被测到的平均次数。</w:t>
      </w:r>
    </w:p>
    <w:p w14:paraId="2E46F005">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覆盖均一性：测序深度达到平均测序深度20%的碱基占比。</w:t>
      </w:r>
    </w:p>
    <w:p w14:paraId="3C4F1513">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目标区域覆盖度：目标区域被测序覆盖的碱基比例。</w:t>
      </w:r>
    </w:p>
    <w:p w14:paraId="554F21A8">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碱基质量Q30占比：测序数据中碱基质量在Q30以上（即碱基识别错误率在千分之一以下）的占比。</w:t>
      </w:r>
    </w:p>
    <w:p w14:paraId="2001C284">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总体质量评估：根据 DNA 平均测序深度进行评估，分为“合格”、“警戒“、”不合格”三个等级。总体质量评估为“警戒“或者“不合格”时，均会影响检测的准确性和敏感性。</w:t>
      </w:r>
    </w:p>
    <w:p w14:paraId="471B5008">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rPr>
      </w:pPr>
    </w:p>
    <w:p w14:paraId="1C471B1F">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rPr>
      </w:pPr>
    </w:p>
    <w:p w14:paraId="1746F53E">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7" w:name="_Toc16749"/>
      <w:bookmarkStart w:id="48" w:name="_Toc31064"/>
      <w:r>
        <w:rPr>
          <w:rFonts w:hint="eastAsia" w:ascii="微软雅黑" w:hAnsi="微软雅黑" w:eastAsia="微软雅黑" w:cs="微软雅黑"/>
          <w:color w:val="auto"/>
          <w:sz w:val="28"/>
          <w:szCs w:val="36"/>
          <w:lang w:val="en-US" w:eastAsia="zh-CN"/>
        </w:rPr>
        <w:t>5.3 检测方法</w:t>
      </w:r>
      <w:bookmarkEnd w:id="47"/>
      <w:bookmarkEnd w:id="48"/>
    </w:p>
    <w:p w14:paraId="46339FF2">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hint="eastAsia" w:ascii="微软雅黑" w:hAnsi="微软雅黑" w:eastAsia="微软雅黑" w:cs="微软雅黑"/>
          <w:color w:val="000000"/>
          <w:spacing w:val="14"/>
          <w:sz w:val="20"/>
          <w:szCs w:val="20"/>
        </w:rPr>
        <w:t>2</w:t>
      </w:r>
      <w:r>
        <w:rPr>
          <w:rFonts w:hint="eastAsia" w:ascii="微软雅黑" w:hAnsi="微软雅黑" w:eastAsia="微软雅黑" w:cs="微软雅黑"/>
          <w:color w:val="000000"/>
          <w:spacing w:val="14"/>
          <w:sz w:val="20"/>
          <w:szCs w:val="20"/>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7D20C9FE">
      <w:pPr>
        <w:keepLines w:val="0"/>
        <w:pageBreakBefore w:val="0"/>
        <w:widowControl/>
        <w:kinsoku/>
        <w:wordWrap/>
        <w:overflowPunct/>
        <w:topLinePunct w:val="0"/>
        <w:bidi w:val="0"/>
        <w:snapToGrid/>
        <w:spacing w:line="240" w:lineRule="auto"/>
        <w:ind w:firstLine="416" w:firstLineChars="200"/>
        <w:rPr>
          <w:rFonts w:hint="eastAsia" w:ascii="微软雅黑" w:hAnsi="微软雅黑" w:eastAsia="微软雅黑" w:cs="微软雅黑"/>
          <w:color w:val="000000"/>
          <w:spacing w:val="14"/>
          <w:sz w:val="18"/>
          <w:szCs w:val="18"/>
          <w:lang w:val="zh-CN"/>
        </w:rPr>
      </w:pPr>
    </w:p>
    <w:p w14:paraId="44711D38">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9" w:name="_Toc30947"/>
      <w:bookmarkStart w:id="50" w:name="_Toc25286"/>
      <w:r>
        <w:rPr>
          <w:rFonts w:hint="eastAsia" w:ascii="微软雅黑" w:hAnsi="微软雅黑" w:eastAsia="微软雅黑" w:cs="微软雅黑"/>
          <w:color w:val="auto"/>
          <w:sz w:val="28"/>
          <w:szCs w:val="36"/>
          <w:lang w:val="en-US" w:eastAsia="zh-CN"/>
        </w:rPr>
        <w:t>5.4 遗传信息解读</w:t>
      </w:r>
      <w:bookmarkEnd w:id="49"/>
      <w:bookmarkEnd w:id="50"/>
    </w:p>
    <w:p w14:paraId="25962872">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遗传信息解读规则参考美国医学遗传学和基因组学学院</w:t>
      </w:r>
      <w:r>
        <w:rPr>
          <w:rFonts w:hint="eastAsia" w:ascii="微软雅黑" w:hAnsi="微软雅黑" w:eastAsia="微软雅黑" w:cs="微软雅黑"/>
          <w:color w:val="000000"/>
          <w:spacing w:val="14"/>
          <w:sz w:val="20"/>
          <w:szCs w:val="20"/>
        </w:rPr>
        <w:t>（American College of Medical Genetics and Genomics，ACMG）</w:t>
      </w:r>
      <w:r>
        <w:rPr>
          <w:rFonts w:hint="eastAsia" w:ascii="微软雅黑" w:hAnsi="微软雅黑" w:eastAsia="微软雅黑" w:cs="微软雅黑"/>
          <w:color w:val="000000"/>
          <w:spacing w:val="14"/>
          <w:sz w:val="20"/>
          <w:szCs w:val="20"/>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A2EEF96">
      <w:pPr>
        <w:keepLines w:val="0"/>
        <w:pageBreakBefore w:val="0"/>
        <w:widowControl/>
        <w:kinsoku/>
        <w:wordWrap/>
        <w:overflowPunct/>
        <w:topLinePunct w:val="0"/>
        <w:bidi w:val="0"/>
        <w:snapToGrid/>
        <w:spacing w:line="240" w:lineRule="auto"/>
        <w:ind w:firstLine="416" w:firstLineChars="200"/>
        <w:rPr>
          <w:rFonts w:hint="eastAsia" w:ascii="微软雅黑" w:hAnsi="微软雅黑" w:eastAsia="微软雅黑" w:cs="微软雅黑"/>
          <w:color w:val="000000"/>
          <w:spacing w:val="14"/>
          <w:sz w:val="18"/>
          <w:szCs w:val="18"/>
          <w:lang w:val="zh-CN"/>
        </w:rPr>
      </w:pPr>
    </w:p>
    <w:p w14:paraId="0F96DF15">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51" w:name="_Toc31394"/>
      <w:bookmarkStart w:id="52" w:name="_Toc3486"/>
      <w:r>
        <w:rPr>
          <w:rFonts w:hint="eastAsia" w:ascii="微软雅黑" w:hAnsi="微软雅黑" w:eastAsia="微软雅黑" w:cs="微软雅黑"/>
          <w:color w:val="auto"/>
          <w:sz w:val="28"/>
          <w:szCs w:val="36"/>
          <w:lang w:val="en-US" w:eastAsia="zh-CN"/>
        </w:rPr>
        <w:t>5.5</w:t>
      </w:r>
      <w:r>
        <w:rPr>
          <w:rFonts w:hint="eastAsia" w:ascii="微软雅黑" w:hAnsi="微软雅黑" w:cs="微软雅黑"/>
          <w:color w:val="auto"/>
          <w:sz w:val="28"/>
          <w:szCs w:val="36"/>
          <w:lang w:val="en-US" w:eastAsia="zh-CN"/>
        </w:rPr>
        <w:t xml:space="preserve"> </w:t>
      </w:r>
      <w:r>
        <w:rPr>
          <w:rFonts w:hint="eastAsia" w:ascii="微软雅黑" w:hAnsi="微软雅黑" w:eastAsia="微软雅黑" w:cs="微软雅黑"/>
          <w:color w:val="auto"/>
          <w:sz w:val="28"/>
          <w:szCs w:val="36"/>
          <w:lang w:val="en-US" w:eastAsia="zh-CN"/>
        </w:rPr>
        <w:t>变异解读声明</w:t>
      </w:r>
      <w:bookmarkEnd w:id="51"/>
      <w:bookmarkEnd w:id="52"/>
    </w:p>
    <w:p w14:paraId="614F9AC5">
      <w:pPr>
        <w:pStyle w:val="45"/>
        <w:keepLines w:val="0"/>
        <w:pageBreakBefore w:val="0"/>
        <w:widowControl/>
        <w:kinsoku/>
        <w:wordWrap/>
        <w:overflowPunct/>
        <w:topLinePunct w:val="0"/>
        <w:bidi w:val="0"/>
        <w:snapToGrid/>
        <w:spacing w:line="240" w:lineRule="auto"/>
        <w:ind w:firstLine="363"/>
        <w:rPr>
          <w:rFonts w:hint="eastAsia" w:ascii="微软雅黑" w:hAnsi="微软雅黑" w:eastAsia="微软雅黑" w:cs="微软雅黑"/>
          <w:spacing w:val="14"/>
          <w:sz w:val="20"/>
          <w:szCs w:val="20"/>
          <w:lang w:val="en-US"/>
        </w:rPr>
      </w:pPr>
      <w:r>
        <w:rPr>
          <w:rFonts w:hint="eastAsia" w:ascii="微软雅黑" w:hAnsi="微软雅黑" w:eastAsia="微软雅黑" w:cs="微软雅黑"/>
          <w:spacing w:val="14"/>
          <w:sz w:val="20"/>
          <w:szCs w:val="20"/>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bookmarkEnd w:id="44"/>
    <w:p w14:paraId="6F6EBB0E">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53" w:name="_Toc28716"/>
      <w:bookmarkStart w:id="54" w:name="_Toc13275"/>
      <w:bookmarkStart w:id="55" w:name="_Toc19584_WPSOffice_Level1"/>
      <w:bookmarkStart w:id="56" w:name="_Toc22162_WPSOffice_Level1"/>
      <w:bookmarkStart w:id="57" w:name="_Toc22623"/>
      <w:bookmarkStart w:id="58" w:name="_Toc14611_WPSOffice_Level1"/>
      <w:bookmarkStart w:id="59" w:name="_Toc17792_WPSOffice_Level2"/>
    </w:p>
    <w:p w14:paraId="710A7AFB">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60" w:name="_Toc29854"/>
      <w:r>
        <w:rPr>
          <w:rFonts w:hint="eastAsia" w:ascii="微软雅黑" w:hAnsi="微软雅黑" w:eastAsia="微软雅黑" w:cs="微软雅黑"/>
          <w:color w:val="auto"/>
          <w:sz w:val="28"/>
          <w:szCs w:val="36"/>
          <w:lang w:val="en-US" w:eastAsia="zh-CN"/>
        </w:rPr>
        <w:t>5.6 参考文献</w:t>
      </w:r>
      <w:bookmarkEnd w:id="53"/>
      <w:bookmarkEnd w:id="60"/>
    </w:p>
    <w:bookmarkEnd w:id="54"/>
    <w:bookmarkEnd w:id="55"/>
    <w:bookmarkEnd w:id="56"/>
    <w:bookmarkEnd w:id="57"/>
    <w:bookmarkEnd w:id="58"/>
    <w:bookmarkEnd w:id="59"/>
    <w:p w14:paraId="2200DD71">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NCCN Genetic/Familial High-Risk Assessment: Breast, Ovarian, and Pancreatic (version 1.2022)</w:t>
      </w:r>
    </w:p>
    <w:p w14:paraId="4CCDEAC6">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NCCN Genetic/Familial High-Risk Assessment: Colorectal (version 1.2021)</w:t>
      </w:r>
    </w:p>
    <w:p w14:paraId="1536677F">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PMID: 31378807,Stjepanovic N,Moreira L,Carneiro F et al. Hereditary gastrointestinal cancers: ESMO Clinical Practice Guidelines for diagnosis, treatment and follow-up†.[J] .Ann Oncol, 2019, 30: 1558-1571.</w:t>
      </w:r>
    </w:p>
    <w:p w14:paraId="0363DF46">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中国临床肿瘤学会（CSCO）结直肠癌诊疗指南（2018版）</w:t>
      </w:r>
    </w:p>
    <w:p w14:paraId="2D49AAF6">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遗传性结直肠癌临床诊治和家系管理中国专家共识（2018版）</w:t>
      </w:r>
    </w:p>
    <w:p w14:paraId="2E501D11">
      <w:pPr>
        <w:keepLines w:val="0"/>
        <w:pageBreakBefore w:val="0"/>
        <w:kinsoku/>
        <w:wordWrap/>
        <w:overflowPunct/>
        <w:topLinePunct w:val="0"/>
        <w:bidi w:val="0"/>
        <w:snapToGrid/>
        <w:spacing w:line="240" w:lineRule="auto"/>
        <w:rPr>
          <w:rFonts w:hint="eastAsia" w:ascii="微软雅黑" w:hAnsi="微软雅黑" w:eastAsia="微软雅黑" w:cs="微软雅黑"/>
          <w:sz w:val="20"/>
          <w:szCs w:val="20"/>
        </w:rPr>
        <w:sectPr>
          <w:headerReference r:id="rId6" w:type="default"/>
          <w:footerReference r:id="rId7"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p>
    <w:p w14:paraId="19E635F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微软雅黑" w:hAnsi="微软雅黑" w:eastAsia="微软雅黑" w:cs="微软雅黑"/>
          <w:sz w:val="15"/>
          <w:szCs w:val="15"/>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14:paraId="7C8C583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微软雅黑" w:hAnsi="微软雅黑" w:eastAsia="微软雅黑" w:cs="微软雅黑"/>
          <w:sz w:val="15"/>
          <w:szCs w:val="15"/>
          <w:lang w:eastAsia="zh-CN"/>
        </w:rPr>
      </w:pPr>
      <w:r>
        <w:rPr>
          <w:rFonts w:hint="eastAsia" w:eastAsia="微软雅黑" w:cs="Times New Roman"/>
          <w:lang w:eastAsia="zh-CN"/>
        </w:rPr>
        <w:br w:type="page"/>
      </w:r>
    </w:p>
    <w:p w14:paraId="6827072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微软雅黑" w:hAnsi="微软雅黑" w:eastAsia="微软雅黑" w:cs="微软雅黑"/>
          <w:sz w:val="15"/>
          <w:szCs w:val="15"/>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p w14:paraId="437AAE16">
      <w:pPr>
        <w:keepLines w:val="0"/>
        <w:pageBreakBefore w:val="0"/>
        <w:kinsoku/>
        <w:wordWrap/>
        <w:overflowPunct/>
        <w:topLinePunct w:val="0"/>
        <w:bidi w:val="0"/>
        <w:snapToGrid/>
        <w:spacing w:line="240" w:lineRule="auto"/>
        <w:rPr>
          <w:rFonts w:hint="eastAsia" w:ascii="微软雅黑" w:hAnsi="微软雅黑" w:eastAsia="微软雅黑" w:cs="微软雅黑"/>
          <w:sz w:val="15"/>
          <w:szCs w:val="15"/>
          <w:lang w:eastAsia="zh-CN"/>
        </w:rPr>
      </w:pPr>
    </w:p>
    <w:sectPr>
      <w:headerReference r:id="rId8" w:type="default"/>
      <w:footerReference r:id="rId9"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YaHei">
    <w:altName w:val="Segoe Print"/>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Adobe 宋体 Std L">
    <w:altName w:val="宋体"/>
    <w:panose1 w:val="00000000000000000000"/>
    <w:charset w:val="86"/>
    <w:family w:val="roman"/>
    <w:pitch w:val="default"/>
    <w:sig w:usb0="00000000" w:usb1="00000000"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004147">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1" w:rightFromText="181" w:vertAnchor="page" w:horzAnchor="page" w:tblpX="1124" w:tblpY="1587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14:paraId="2D4D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Borders>
            <w:top w:val="single" w:color="0B8770" w:sz="8" w:space="0"/>
            <w:left w:val="nil"/>
            <w:bottom w:val="single" w:color="0B8770" w:sz="8" w:space="0"/>
            <w:right w:val="nil"/>
          </w:tcBorders>
          <w:vAlign w:val="center"/>
        </w:tcPr>
        <w:p w14:paraId="7BE4DDA2">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14:paraId="135DE263">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lang w:eastAsia="zh-CN"/>
            </w:rPr>
            <w:tab/>
          </w:r>
        </w:p>
      </w:tc>
      <w:tc>
        <w:tcPr>
          <w:tcW w:w="2522" w:type="dxa"/>
          <w:tcBorders>
            <w:top w:val="single" w:color="0B8770" w:sz="8" w:space="0"/>
            <w:left w:val="nil"/>
            <w:bottom w:val="single" w:color="0B8770" w:sz="8" w:space="0"/>
            <w:right w:val="nil"/>
          </w:tcBorders>
          <w:vAlign w:val="center"/>
        </w:tcPr>
        <w:p w14:paraId="49D6DBA2">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14:paraId="2BFD5007">
          <w:pPr>
            <w:tabs>
              <w:tab w:val="center" w:pos="857"/>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lang w:eastAsia="zh-CN"/>
            </w:rPr>
            <w:tab/>
          </w:r>
        </w:p>
      </w:tc>
    </w:tr>
  </w:tbl>
  <w:p w14:paraId="1FD92A76">
    <w:pPr>
      <w:rPr>
        <w:sz w:val="20"/>
        <w:szCs w:val="20"/>
      </w:rPr>
    </w:pPr>
  </w:p>
  <w:p w14:paraId="0B561913">
    <w:pPr>
      <w:rPr>
        <w:sz w:val="20"/>
        <w:szCs w:val="20"/>
      </w:rPr>
    </w:pPr>
    <w:r>
      <w:rPr>
        <w:sz w:val="20"/>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266700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22E39E">
                          <w:pPr>
                            <w:pStyle w:val="9"/>
                            <w:jc w:val="center"/>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15</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21pt;height:144pt;width:144pt;mso-position-horizontal:center;mso-position-horizontal-relative:page;mso-wrap-style:none;z-index:251659264;mso-width-relative:page;mso-height-relative:page;" filled="f" stroked="f" coordsize="21600,21600" o:gfxdata="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z//SHNQAAAAHAQAADwAAAAAAAAABACAAAAAiAAAAZHJzL2Rvd25yZXYueG1sUEsBAhQAFAAA&#10;AAgAh07iQOH3jSMsAgAAVwQAAA4AAAAAAAAAAQAgAAAAIwEAAGRycy9lMm9Eb2MueG1sUEsFBgAA&#10;AAAGAAYAWQEAAMEFAAAAAA==&#10;">
              <v:fill on="f" focussize="0,0"/>
              <v:stroke on="f" weight="0.5pt"/>
              <v:imagedata o:title=""/>
              <o:lock v:ext="edit" aspectratio="f"/>
              <v:textbox inset="0mm,0mm,0mm,0mm" style="mso-fit-shape-to-text:t;">
                <w:txbxContent>
                  <w:p w14:paraId="7622E39E">
                    <w:pPr>
                      <w:pStyle w:val="9"/>
                      <w:jc w:val="center"/>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15</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5B8BEA">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D442A9">
    <w:pPr>
      <w:ind w:left="2856" w:hanging="2998" w:hangingChars="1428"/>
      <w:jc w:val="both"/>
      <w:rPr>
        <w:color w:val="7F7F7F"/>
        <w:sz w:val="21"/>
        <w:szCs w:val="21"/>
        <w:lang w:eastAsia="zh-CN"/>
      </w:rPr>
    </w:pPr>
  </w:p>
  <w:p w14:paraId="523EA243">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FB347">
    <w:pPr>
      <w:ind w:left="2856" w:hanging="2856" w:hangingChars="1428"/>
      <w:jc w:val="both"/>
      <w:rPr>
        <w:color w:val="7F7F7F"/>
        <w:sz w:val="21"/>
        <w:szCs w:val="21"/>
        <w:lang w:eastAsia="zh-CN"/>
      </w:rPr>
    </w:pPr>
    <w:r>
      <w:rPr>
        <w:sz w:val="20"/>
        <w:lang w:eastAsia="zh-CN"/>
      </w:rPr>
      <w:drawing>
        <wp:anchor distT="0" distB="0" distL="114300" distR="114300" simplePos="0" relativeHeight="251662336" behindDoc="0" locked="0" layoutInCell="1" allowOverlap="1">
          <wp:simplePos x="0" y="0"/>
          <wp:positionH relativeFrom="column">
            <wp:posOffset>-253365</wp:posOffset>
          </wp:positionH>
          <wp:positionV relativeFrom="paragraph">
            <wp:posOffset>-211455</wp:posOffset>
          </wp:positionV>
          <wp:extent cx="1836420" cy="376555"/>
          <wp:effectExtent l="0" t="0" r="7620" b="4445"/>
          <wp:wrapSquare wrapText="bothSides"/>
          <wp:docPr id="4" name="图片 4"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4749CECD">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D7FB3">
    <w:pPr>
      <w:ind w:left="2856" w:hanging="2856" w:hangingChars="1428"/>
      <w:jc w:val="both"/>
      <w:rPr>
        <w:color w:val="7F7F7F"/>
        <w:sz w:val="21"/>
        <w:szCs w:val="21"/>
        <w:lang w:eastAsia="zh-CN"/>
      </w:rPr>
    </w:pPr>
    <w:r>
      <w:rPr>
        <w:sz w:val="20"/>
        <w:lang w:eastAsia="zh-CN"/>
      </w:rPr>
      <w:drawing>
        <wp:anchor distT="0" distB="0" distL="114300" distR="114300" simplePos="0" relativeHeight="251661312" behindDoc="0" locked="0" layoutInCell="1" allowOverlap="1">
          <wp:simplePos x="0" y="0"/>
          <wp:positionH relativeFrom="column">
            <wp:posOffset>-253365</wp:posOffset>
          </wp:positionH>
          <wp:positionV relativeFrom="paragraph">
            <wp:posOffset>-247650</wp:posOffset>
          </wp:positionV>
          <wp:extent cx="1836420" cy="376555"/>
          <wp:effectExtent l="0" t="0" r="7620" b="4445"/>
          <wp:wrapSquare wrapText="bothSides"/>
          <wp:docPr id="1" name="图片 1"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14:paraId="57AE743E">
    <w:pPr>
      <w:spacing w:line="14" w:lineRule="auto"/>
      <w:rPr>
        <w:sz w:val="20"/>
        <w:szCs w:val="20"/>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90463">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D68423A6"/>
    <w:multiLevelType w:val="singleLevel"/>
    <w:tmpl w:val="D68423A6"/>
    <w:lvl w:ilvl="0" w:tentative="0">
      <w:start w:val="1"/>
      <w:numFmt w:val="decimal"/>
      <w:lvlText w:val="%1."/>
      <w:lvlJc w:val="left"/>
      <w:pPr>
        <w:ind w:left="425" w:hanging="425"/>
      </w:pPr>
      <w:rPr>
        <w:rFonts w:hint="default"/>
      </w:rPr>
    </w:lvl>
  </w:abstractNum>
  <w:abstractNum w:abstractNumId="1">
    <w:nsid w:val="D740A26C"/>
    <w:multiLevelType w:val="singleLevel"/>
    <w:tmpl w:val="D740A26C"/>
    <w:lvl w:ilvl="0" w:tentative="0">
      <w:start w:val="1"/>
      <w:numFmt w:val="decimal"/>
      <w:suff w:val="space"/>
      <w:lvlText w:val="%1."/>
      <w:lvlJc w:val="left"/>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ascii="微软雅黑" w:hAnsi="微软雅黑" w:eastAsia="微软雅黑" w:cs="微软雅黑"/>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3"/>
  </w:num>
  <w:num w:numId="5">
    <w:abstractNumId w:val="4"/>
  </w:num>
  <w:num w:numId="6">
    <w:abstractNumId w:val="1"/>
  </w:num>
  <w:num w:numId="7">
    <w:abstractNumId w:val="5"/>
  </w:num>
  <w:num w:numId="8">
    <w:abstractNumId w:val="2"/>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80C25"/>
    <w:rsid w:val="0008356A"/>
    <w:rsid w:val="000A25EF"/>
    <w:rsid w:val="000E32CA"/>
    <w:rsid w:val="000F48D8"/>
    <w:rsid w:val="001141CA"/>
    <w:rsid w:val="001352AC"/>
    <w:rsid w:val="00146673"/>
    <w:rsid w:val="00157515"/>
    <w:rsid w:val="00172A27"/>
    <w:rsid w:val="001846E1"/>
    <w:rsid w:val="001A7044"/>
    <w:rsid w:val="001B2669"/>
    <w:rsid w:val="001C0F01"/>
    <w:rsid w:val="001C155C"/>
    <w:rsid w:val="001D1CAE"/>
    <w:rsid w:val="001E0ED7"/>
    <w:rsid w:val="001F1443"/>
    <w:rsid w:val="001F50EA"/>
    <w:rsid w:val="00200AFA"/>
    <w:rsid w:val="00200E83"/>
    <w:rsid w:val="00222B21"/>
    <w:rsid w:val="00227A2A"/>
    <w:rsid w:val="0023413B"/>
    <w:rsid w:val="00234B10"/>
    <w:rsid w:val="0024348C"/>
    <w:rsid w:val="0025168E"/>
    <w:rsid w:val="002636CF"/>
    <w:rsid w:val="00280A5B"/>
    <w:rsid w:val="002850BB"/>
    <w:rsid w:val="002918E6"/>
    <w:rsid w:val="002A5154"/>
    <w:rsid w:val="002A77BA"/>
    <w:rsid w:val="002C1C7D"/>
    <w:rsid w:val="002C357F"/>
    <w:rsid w:val="002D6EF8"/>
    <w:rsid w:val="002E0910"/>
    <w:rsid w:val="002E1536"/>
    <w:rsid w:val="002F0BAC"/>
    <w:rsid w:val="002F3F3A"/>
    <w:rsid w:val="003100C5"/>
    <w:rsid w:val="0032374C"/>
    <w:rsid w:val="003275FF"/>
    <w:rsid w:val="00354E31"/>
    <w:rsid w:val="00370210"/>
    <w:rsid w:val="00373BFC"/>
    <w:rsid w:val="0038614A"/>
    <w:rsid w:val="00390AF6"/>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20E8"/>
    <w:rsid w:val="004E3F93"/>
    <w:rsid w:val="00503BE5"/>
    <w:rsid w:val="00522F60"/>
    <w:rsid w:val="005479E7"/>
    <w:rsid w:val="00547D3B"/>
    <w:rsid w:val="00576C30"/>
    <w:rsid w:val="0059328A"/>
    <w:rsid w:val="00597074"/>
    <w:rsid w:val="005B2FCB"/>
    <w:rsid w:val="005C3DF8"/>
    <w:rsid w:val="00613EB6"/>
    <w:rsid w:val="006229F0"/>
    <w:rsid w:val="00656E82"/>
    <w:rsid w:val="00673D9E"/>
    <w:rsid w:val="00675481"/>
    <w:rsid w:val="006967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1FE3"/>
    <w:rsid w:val="00802349"/>
    <w:rsid w:val="00806D3D"/>
    <w:rsid w:val="00813930"/>
    <w:rsid w:val="00817F49"/>
    <w:rsid w:val="0085711A"/>
    <w:rsid w:val="00890E10"/>
    <w:rsid w:val="008A1843"/>
    <w:rsid w:val="008A339A"/>
    <w:rsid w:val="008A634D"/>
    <w:rsid w:val="008B093B"/>
    <w:rsid w:val="008B5D9E"/>
    <w:rsid w:val="008D1E6B"/>
    <w:rsid w:val="008E7370"/>
    <w:rsid w:val="00902C56"/>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478C"/>
    <w:rsid w:val="00A15B8C"/>
    <w:rsid w:val="00A41368"/>
    <w:rsid w:val="00A44851"/>
    <w:rsid w:val="00A46DCD"/>
    <w:rsid w:val="00A47654"/>
    <w:rsid w:val="00A6559D"/>
    <w:rsid w:val="00A730DE"/>
    <w:rsid w:val="00AA3E63"/>
    <w:rsid w:val="00AA7DD2"/>
    <w:rsid w:val="00AB51A4"/>
    <w:rsid w:val="00B337C2"/>
    <w:rsid w:val="00B36949"/>
    <w:rsid w:val="00B84550"/>
    <w:rsid w:val="00B87B69"/>
    <w:rsid w:val="00BA2397"/>
    <w:rsid w:val="00BB0AED"/>
    <w:rsid w:val="00BD4CC0"/>
    <w:rsid w:val="00BE0ACB"/>
    <w:rsid w:val="00BE114A"/>
    <w:rsid w:val="00BE21B8"/>
    <w:rsid w:val="00BE4CB2"/>
    <w:rsid w:val="00C00687"/>
    <w:rsid w:val="00C0111F"/>
    <w:rsid w:val="00C17019"/>
    <w:rsid w:val="00C21CDB"/>
    <w:rsid w:val="00C234B8"/>
    <w:rsid w:val="00C30656"/>
    <w:rsid w:val="00C46069"/>
    <w:rsid w:val="00CA5E09"/>
    <w:rsid w:val="00CA62B5"/>
    <w:rsid w:val="00CB197C"/>
    <w:rsid w:val="00CC09A6"/>
    <w:rsid w:val="00CD21EB"/>
    <w:rsid w:val="00CF3B4D"/>
    <w:rsid w:val="00CF3CB1"/>
    <w:rsid w:val="00CF7ADD"/>
    <w:rsid w:val="00D01F2D"/>
    <w:rsid w:val="00D12B04"/>
    <w:rsid w:val="00D15863"/>
    <w:rsid w:val="00D24840"/>
    <w:rsid w:val="00D50055"/>
    <w:rsid w:val="00D61A0F"/>
    <w:rsid w:val="00DA2F2F"/>
    <w:rsid w:val="00DC3D73"/>
    <w:rsid w:val="00DC42D4"/>
    <w:rsid w:val="00E25128"/>
    <w:rsid w:val="00E34ADB"/>
    <w:rsid w:val="00E35D32"/>
    <w:rsid w:val="00E53230"/>
    <w:rsid w:val="00E71EEB"/>
    <w:rsid w:val="00E840FC"/>
    <w:rsid w:val="00E915B2"/>
    <w:rsid w:val="00E9286C"/>
    <w:rsid w:val="00E9556A"/>
    <w:rsid w:val="00EB134F"/>
    <w:rsid w:val="00EB3E0A"/>
    <w:rsid w:val="00EC0157"/>
    <w:rsid w:val="00EC59B6"/>
    <w:rsid w:val="00F11CFA"/>
    <w:rsid w:val="00F261E1"/>
    <w:rsid w:val="00F44104"/>
    <w:rsid w:val="00F51C09"/>
    <w:rsid w:val="00F809A8"/>
    <w:rsid w:val="00FB0C1E"/>
    <w:rsid w:val="00FD1C76"/>
    <w:rsid w:val="00FF1626"/>
    <w:rsid w:val="00FF5E46"/>
    <w:rsid w:val="00FF7BB1"/>
    <w:rsid w:val="011A0D8B"/>
    <w:rsid w:val="01251664"/>
    <w:rsid w:val="012B5D8C"/>
    <w:rsid w:val="013411A8"/>
    <w:rsid w:val="01802C9E"/>
    <w:rsid w:val="0193234B"/>
    <w:rsid w:val="019B0A01"/>
    <w:rsid w:val="01C07A1A"/>
    <w:rsid w:val="01E01882"/>
    <w:rsid w:val="024A64DB"/>
    <w:rsid w:val="027F2303"/>
    <w:rsid w:val="02AB3332"/>
    <w:rsid w:val="02AB46FE"/>
    <w:rsid w:val="02CA5230"/>
    <w:rsid w:val="03726F1A"/>
    <w:rsid w:val="03EC12AF"/>
    <w:rsid w:val="040A684F"/>
    <w:rsid w:val="04562E59"/>
    <w:rsid w:val="04867E30"/>
    <w:rsid w:val="04871837"/>
    <w:rsid w:val="04A20014"/>
    <w:rsid w:val="04BF56DD"/>
    <w:rsid w:val="04C17114"/>
    <w:rsid w:val="04C2374E"/>
    <w:rsid w:val="050D7EDA"/>
    <w:rsid w:val="05121E5F"/>
    <w:rsid w:val="05411130"/>
    <w:rsid w:val="05A43F06"/>
    <w:rsid w:val="06145C04"/>
    <w:rsid w:val="06D33A56"/>
    <w:rsid w:val="06F8101D"/>
    <w:rsid w:val="074043CC"/>
    <w:rsid w:val="0758453C"/>
    <w:rsid w:val="07872E36"/>
    <w:rsid w:val="07883904"/>
    <w:rsid w:val="07915ECA"/>
    <w:rsid w:val="07AC659B"/>
    <w:rsid w:val="07DB59EB"/>
    <w:rsid w:val="07F128A2"/>
    <w:rsid w:val="089A2EC7"/>
    <w:rsid w:val="09A61D2D"/>
    <w:rsid w:val="09FB1359"/>
    <w:rsid w:val="0A043ABA"/>
    <w:rsid w:val="0AA0614B"/>
    <w:rsid w:val="0ADC4D3E"/>
    <w:rsid w:val="0B510739"/>
    <w:rsid w:val="0B86242F"/>
    <w:rsid w:val="0BC558CB"/>
    <w:rsid w:val="0BCC7B15"/>
    <w:rsid w:val="0C137E2E"/>
    <w:rsid w:val="0C3A0C95"/>
    <w:rsid w:val="0C3E5385"/>
    <w:rsid w:val="0C96240B"/>
    <w:rsid w:val="0D105078"/>
    <w:rsid w:val="0D663C9C"/>
    <w:rsid w:val="0DFF49C5"/>
    <w:rsid w:val="0E11445D"/>
    <w:rsid w:val="0E1B586D"/>
    <w:rsid w:val="0E542351"/>
    <w:rsid w:val="0E792F4F"/>
    <w:rsid w:val="0EBF2A43"/>
    <w:rsid w:val="0ED843CC"/>
    <w:rsid w:val="0EEC0C47"/>
    <w:rsid w:val="0EF70E3A"/>
    <w:rsid w:val="0F7313AF"/>
    <w:rsid w:val="0FB9297A"/>
    <w:rsid w:val="10963380"/>
    <w:rsid w:val="128F4AEF"/>
    <w:rsid w:val="12963DA1"/>
    <w:rsid w:val="12C802A3"/>
    <w:rsid w:val="13886440"/>
    <w:rsid w:val="13897526"/>
    <w:rsid w:val="13AB527B"/>
    <w:rsid w:val="13B34400"/>
    <w:rsid w:val="14434889"/>
    <w:rsid w:val="148972D9"/>
    <w:rsid w:val="14FB5A26"/>
    <w:rsid w:val="15196B67"/>
    <w:rsid w:val="152E3223"/>
    <w:rsid w:val="153F7D0D"/>
    <w:rsid w:val="155A471A"/>
    <w:rsid w:val="158E009B"/>
    <w:rsid w:val="15D171CD"/>
    <w:rsid w:val="15FD02F2"/>
    <w:rsid w:val="161A6AFC"/>
    <w:rsid w:val="16442C14"/>
    <w:rsid w:val="164976AB"/>
    <w:rsid w:val="1674206D"/>
    <w:rsid w:val="169A11C9"/>
    <w:rsid w:val="16AD561C"/>
    <w:rsid w:val="16C17241"/>
    <w:rsid w:val="16E82A20"/>
    <w:rsid w:val="16FF3D8E"/>
    <w:rsid w:val="17526BA2"/>
    <w:rsid w:val="17CE3734"/>
    <w:rsid w:val="17E476A7"/>
    <w:rsid w:val="17EE10AA"/>
    <w:rsid w:val="17EF172D"/>
    <w:rsid w:val="1836041A"/>
    <w:rsid w:val="18480D4B"/>
    <w:rsid w:val="19167E2A"/>
    <w:rsid w:val="19314B52"/>
    <w:rsid w:val="194078A9"/>
    <w:rsid w:val="19D96944"/>
    <w:rsid w:val="19E54725"/>
    <w:rsid w:val="1A054B30"/>
    <w:rsid w:val="1A1B0D94"/>
    <w:rsid w:val="1ACF425B"/>
    <w:rsid w:val="1AF43E42"/>
    <w:rsid w:val="1B142FDB"/>
    <w:rsid w:val="1B28649B"/>
    <w:rsid w:val="1BA36B7F"/>
    <w:rsid w:val="1C7A05D0"/>
    <w:rsid w:val="1C98707F"/>
    <w:rsid w:val="1CE617B0"/>
    <w:rsid w:val="1CFB3D7D"/>
    <w:rsid w:val="1D135393"/>
    <w:rsid w:val="1D185773"/>
    <w:rsid w:val="1D5F23CA"/>
    <w:rsid w:val="1DB37C17"/>
    <w:rsid w:val="1DD750EC"/>
    <w:rsid w:val="1E0D2131"/>
    <w:rsid w:val="1E2D19BD"/>
    <w:rsid w:val="1E485175"/>
    <w:rsid w:val="1EAB0C6A"/>
    <w:rsid w:val="1EC266A5"/>
    <w:rsid w:val="1EEB2832"/>
    <w:rsid w:val="1F7A08D5"/>
    <w:rsid w:val="1F931EB2"/>
    <w:rsid w:val="1FA77F0C"/>
    <w:rsid w:val="1FB62D27"/>
    <w:rsid w:val="1FCA404E"/>
    <w:rsid w:val="1FEA5695"/>
    <w:rsid w:val="20205A20"/>
    <w:rsid w:val="203D6983"/>
    <w:rsid w:val="205478E3"/>
    <w:rsid w:val="20855B55"/>
    <w:rsid w:val="208907AA"/>
    <w:rsid w:val="209432E5"/>
    <w:rsid w:val="20BE3A38"/>
    <w:rsid w:val="20E26FBF"/>
    <w:rsid w:val="21333755"/>
    <w:rsid w:val="216F18A9"/>
    <w:rsid w:val="21B82C79"/>
    <w:rsid w:val="22180203"/>
    <w:rsid w:val="22A6125B"/>
    <w:rsid w:val="235C2C2A"/>
    <w:rsid w:val="23DC4798"/>
    <w:rsid w:val="23FA3333"/>
    <w:rsid w:val="241D27D8"/>
    <w:rsid w:val="248A7AD8"/>
    <w:rsid w:val="248C3590"/>
    <w:rsid w:val="24B139C0"/>
    <w:rsid w:val="24C602F5"/>
    <w:rsid w:val="252A77AB"/>
    <w:rsid w:val="25C0610E"/>
    <w:rsid w:val="25EE2D8B"/>
    <w:rsid w:val="26086C3B"/>
    <w:rsid w:val="26136A1E"/>
    <w:rsid w:val="2636662C"/>
    <w:rsid w:val="26902CD1"/>
    <w:rsid w:val="26976104"/>
    <w:rsid w:val="269E6D93"/>
    <w:rsid w:val="26CA67C9"/>
    <w:rsid w:val="2762237B"/>
    <w:rsid w:val="27870460"/>
    <w:rsid w:val="28846232"/>
    <w:rsid w:val="289838E5"/>
    <w:rsid w:val="28B74238"/>
    <w:rsid w:val="290975E1"/>
    <w:rsid w:val="296B694A"/>
    <w:rsid w:val="296F5B95"/>
    <w:rsid w:val="298968EA"/>
    <w:rsid w:val="299126EE"/>
    <w:rsid w:val="29A0647E"/>
    <w:rsid w:val="29DE0525"/>
    <w:rsid w:val="29FC4D8F"/>
    <w:rsid w:val="2A0557DF"/>
    <w:rsid w:val="2A3716AB"/>
    <w:rsid w:val="2A386E0C"/>
    <w:rsid w:val="2A4B084E"/>
    <w:rsid w:val="2A7A5D12"/>
    <w:rsid w:val="2A8F79A3"/>
    <w:rsid w:val="2AC346F6"/>
    <w:rsid w:val="2ADE2A02"/>
    <w:rsid w:val="2AF73530"/>
    <w:rsid w:val="2B1C23E5"/>
    <w:rsid w:val="2B6E26CC"/>
    <w:rsid w:val="2B7E64D6"/>
    <w:rsid w:val="2BA14E2B"/>
    <w:rsid w:val="2BC37381"/>
    <w:rsid w:val="2BD36846"/>
    <w:rsid w:val="2C165FD1"/>
    <w:rsid w:val="2C263173"/>
    <w:rsid w:val="2C427C83"/>
    <w:rsid w:val="2C7F1570"/>
    <w:rsid w:val="2CB01DDA"/>
    <w:rsid w:val="2CE77CE5"/>
    <w:rsid w:val="2D3B1DEF"/>
    <w:rsid w:val="2D485130"/>
    <w:rsid w:val="2D4D36FA"/>
    <w:rsid w:val="2D7841B2"/>
    <w:rsid w:val="2DC31699"/>
    <w:rsid w:val="2DC94235"/>
    <w:rsid w:val="2E0C0EE9"/>
    <w:rsid w:val="2EB35A8A"/>
    <w:rsid w:val="2F0E1559"/>
    <w:rsid w:val="2F4D4854"/>
    <w:rsid w:val="2FD66401"/>
    <w:rsid w:val="302F01DB"/>
    <w:rsid w:val="306C463C"/>
    <w:rsid w:val="307D0225"/>
    <w:rsid w:val="308813D4"/>
    <w:rsid w:val="30B55C11"/>
    <w:rsid w:val="3109732A"/>
    <w:rsid w:val="31EA0843"/>
    <w:rsid w:val="31EB0C63"/>
    <w:rsid w:val="323F09F5"/>
    <w:rsid w:val="32786EF6"/>
    <w:rsid w:val="32B71D27"/>
    <w:rsid w:val="32B76BA4"/>
    <w:rsid w:val="32CC0ABE"/>
    <w:rsid w:val="331D2C73"/>
    <w:rsid w:val="33D44139"/>
    <w:rsid w:val="33E97D18"/>
    <w:rsid w:val="3410359D"/>
    <w:rsid w:val="34192A1D"/>
    <w:rsid w:val="34595184"/>
    <w:rsid w:val="34777EA9"/>
    <w:rsid w:val="34FD3649"/>
    <w:rsid w:val="357E5409"/>
    <w:rsid w:val="35B3556B"/>
    <w:rsid w:val="35F5325E"/>
    <w:rsid w:val="35FB4ABA"/>
    <w:rsid w:val="362639F9"/>
    <w:rsid w:val="36693C22"/>
    <w:rsid w:val="368045CB"/>
    <w:rsid w:val="368A6637"/>
    <w:rsid w:val="3691049E"/>
    <w:rsid w:val="36A229DD"/>
    <w:rsid w:val="371E73E3"/>
    <w:rsid w:val="372617A7"/>
    <w:rsid w:val="37C91205"/>
    <w:rsid w:val="37E81DE8"/>
    <w:rsid w:val="3848012E"/>
    <w:rsid w:val="3864085B"/>
    <w:rsid w:val="38977DB8"/>
    <w:rsid w:val="38CD0C60"/>
    <w:rsid w:val="38EA63E4"/>
    <w:rsid w:val="39107E9A"/>
    <w:rsid w:val="39315953"/>
    <w:rsid w:val="393903CD"/>
    <w:rsid w:val="3974CECD"/>
    <w:rsid w:val="3A1B479B"/>
    <w:rsid w:val="3A22275E"/>
    <w:rsid w:val="3B3223B9"/>
    <w:rsid w:val="3B7944CF"/>
    <w:rsid w:val="3C2E4000"/>
    <w:rsid w:val="3C454C57"/>
    <w:rsid w:val="3CAA05F4"/>
    <w:rsid w:val="3D1C54C3"/>
    <w:rsid w:val="3D1C7F4B"/>
    <w:rsid w:val="3D2F24DC"/>
    <w:rsid w:val="3D302D71"/>
    <w:rsid w:val="3D6C60E9"/>
    <w:rsid w:val="3D806245"/>
    <w:rsid w:val="3D855C98"/>
    <w:rsid w:val="3DA3095A"/>
    <w:rsid w:val="3E3C3CCD"/>
    <w:rsid w:val="3E8769F6"/>
    <w:rsid w:val="3EC949BD"/>
    <w:rsid w:val="3EF83886"/>
    <w:rsid w:val="3F15780A"/>
    <w:rsid w:val="3F3B2E46"/>
    <w:rsid w:val="3F6F4973"/>
    <w:rsid w:val="3F8C2399"/>
    <w:rsid w:val="401851BE"/>
    <w:rsid w:val="40423B40"/>
    <w:rsid w:val="4055351F"/>
    <w:rsid w:val="405979F4"/>
    <w:rsid w:val="406C1020"/>
    <w:rsid w:val="40BA2B58"/>
    <w:rsid w:val="40BA697C"/>
    <w:rsid w:val="40CB7F60"/>
    <w:rsid w:val="40DA6652"/>
    <w:rsid w:val="410D268C"/>
    <w:rsid w:val="415B3819"/>
    <w:rsid w:val="41C73588"/>
    <w:rsid w:val="41DA6C4D"/>
    <w:rsid w:val="42276243"/>
    <w:rsid w:val="429012F2"/>
    <w:rsid w:val="42B245CD"/>
    <w:rsid w:val="42D8067D"/>
    <w:rsid w:val="43CC66BA"/>
    <w:rsid w:val="44040D89"/>
    <w:rsid w:val="443D4776"/>
    <w:rsid w:val="445E450E"/>
    <w:rsid w:val="446753DB"/>
    <w:rsid w:val="44894F93"/>
    <w:rsid w:val="44DD20D5"/>
    <w:rsid w:val="450242AD"/>
    <w:rsid w:val="45252AAE"/>
    <w:rsid w:val="454A2BAB"/>
    <w:rsid w:val="457B6715"/>
    <w:rsid w:val="45D4644E"/>
    <w:rsid w:val="465B60EF"/>
    <w:rsid w:val="46C824F6"/>
    <w:rsid w:val="46CC0ACA"/>
    <w:rsid w:val="46F17F96"/>
    <w:rsid w:val="4719368E"/>
    <w:rsid w:val="479223B1"/>
    <w:rsid w:val="47FE73E0"/>
    <w:rsid w:val="496408AB"/>
    <w:rsid w:val="4A186239"/>
    <w:rsid w:val="4A9F106C"/>
    <w:rsid w:val="4ABC0B53"/>
    <w:rsid w:val="4ACA4DCE"/>
    <w:rsid w:val="4B0D504E"/>
    <w:rsid w:val="4B315A79"/>
    <w:rsid w:val="4B441481"/>
    <w:rsid w:val="4B553763"/>
    <w:rsid w:val="4BDD7F56"/>
    <w:rsid w:val="4BE154B9"/>
    <w:rsid w:val="4D1C23B3"/>
    <w:rsid w:val="4D537EEC"/>
    <w:rsid w:val="4D6B5CEB"/>
    <w:rsid w:val="4D720CBA"/>
    <w:rsid w:val="4D844549"/>
    <w:rsid w:val="4D963B33"/>
    <w:rsid w:val="4DB12E65"/>
    <w:rsid w:val="4DC108F4"/>
    <w:rsid w:val="4DD24CA9"/>
    <w:rsid w:val="4DE929CA"/>
    <w:rsid w:val="4E901596"/>
    <w:rsid w:val="4ED24E8A"/>
    <w:rsid w:val="4FA75211"/>
    <w:rsid w:val="4FD87750"/>
    <w:rsid w:val="4FDF7E6D"/>
    <w:rsid w:val="50135FB1"/>
    <w:rsid w:val="502D5660"/>
    <w:rsid w:val="509B4DFC"/>
    <w:rsid w:val="51160562"/>
    <w:rsid w:val="519E3AC3"/>
    <w:rsid w:val="51B00DA8"/>
    <w:rsid w:val="52383B37"/>
    <w:rsid w:val="52403AF9"/>
    <w:rsid w:val="5243228E"/>
    <w:rsid w:val="52C637B6"/>
    <w:rsid w:val="5312550A"/>
    <w:rsid w:val="535803B1"/>
    <w:rsid w:val="53DE69BF"/>
    <w:rsid w:val="53FD6F66"/>
    <w:rsid w:val="5414635E"/>
    <w:rsid w:val="543B1862"/>
    <w:rsid w:val="54426FA4"/>
    <w:rsid w:val="54553419"/>
    <w:rsid w:val="547B7136"/>
    <w:rsid w:val="547F2EB4"/>
    <w:rsid w:val="54D723E8"/>
    <w:rsid w:val="55164621"/>
    <w:rsid w:val="55250EC9"/>
    <w:rsid w:val="5599310B"/>
    <w:rsid w:val="55C15CC7"/>
    <w:rsid w:val="55CA2C9F"/>
    <w:rsid w:val="55CC3110"/>
    <w:rsid w:val="55D313BB"/>
    <w:rsid w:val="55F312E2"/>
    <w:rsid w:val="56280ECB"/>
    <w:rsid w:val="562D03CE"/>
    <w:rsid w:val="56717539"/>
    <w:rsid w:val="56860675"/>
    <w:rsid w:val="56B87757"/>
    <w:rsid w:val="56BE67A9"/>
    <w:rsid w:val="56C01169"/>
    <w:rsid w:val="570E1F40"/>
    <w:rsid w:val="57174680"/>
    <w:rsid w:val="57C96345"/>
    <w:rsid w:val="57DC1567"/>
    <w:rsid w:val="57E263AA"/>
    <w:rsid w:val="58A44110"/>
    <w:rsid w:val="5927169E"/>
    <w:rsid w:val="59C3542B"/>
    <w:rsid w:val="59EB0FCE"/>
    <w:rsid w:val="5B0E6C5C"/>
    <w:rsid w:val="5B432E45"/>
    <w:rsid w:val="5B592C68"/>
    <w:rsid w:val="5B900618"/>
    <w:rsid w:val="5B995664"/>
    <w:rsid w:val="5BB44C7F"/>
    <w:rsid w:val="5C1E4DDA"/>
    <w:rsid w:val="5C332C6E"/>
    <w:rsid w:val="5C427AAA"/>
    <w:rsid w:val="5C4F7B33"/>
    <w:rsid w:val="5C5D1851"/>
    <w:rsid w:val="5C674E89"/>
    <w:rsid w:val="5C7C7800"/>
    <w:rsid w:val="5D031DF3"/>
    <w:rsid w:val="5D090FC9"/>
    <w:rsid w:val="5D2F467F"/>
    <w:rsid w:val="5D4E4268"/>
    <w:rsid w:val="5DC30642"/>
    <w:rsid w:val="5E233C16"/>
    <w:rsid w:val="5E6A778C"/>
    <w:rsid w:val="5F252FFF"/>
    <w:rsid w:val="5F2C200D"/>
    <w:rsid w:val="5FA2526B"/>
    <w:rsid w:val="5FA82368"/>
    <w:rsid w:val="5FB61D64"/>
    <w:rsid w:val="5FD41360"/>
    <w:rsid w:val="5FE32170"/>
    <w:rsid w:val="5FF61953"/>
    <w:rsid w:val="5FFF5211"/>
    <w:rsid w:val="600E54F4"/>
    <w:rsid w:val="60575AEE"/>
    <w:rsid w:val="607B75C7"/>
    <w:rsid w:val="609D315D"/>
    <w:rsid w:val="60D51A59"/>
    <w:rsid w:val="60E82224"/>
    <w:rsid w:val="60ED5C13"/>
    <w:rsid w:val="61102A63"/>
    <w:rsid w:val="61173D6D"/>
    <w:rsid w:val="611E18A1"/>
    <w:rsid w:val="612A5378"/>
    <w:rsid w:val="616B40B4"/>
    <w:rsid w:val="61B17DFE"/>
    <w:rsid w:val="61CF3CD4"/>
    <w:rsid w:val="62866029"/>
    <w:rsid w:val="62A05E37"/>
    <w:rsid w:val="62B04007"/>
    <w:rsid w:val="62BE46F5"/>
    <w:rsid w:val="62DB637F"/>
    <w:rsid w:val="6300421A"/>
    <w:rsid w:val="631355E4"/>
    <w:rsid w:val="638A6F71"/>
    <w:rsid w:val="640B7333"/>
    <w:rsid w:val="6469117D"/>
    <w:rsid w:val="64723B42"/>
    <w:rsid w:val="64896C50"/>
    <w:rsid w:val="649223CF"/>
    <w:rsid w:val="64EC6C5A"/>
    <w:rsid w:val="65016479"/>
    <w:rsid w:val="6513162B"/>
    <w:rsid w:val="65485F0B"/>
    <w:rsid w:val="659A0956"/>
    <w:rsid w:val="65B119A5"/>
    <w:rsid w:val="65C23A09"/>
    <w:rsid w:val="65EC2BA0"/>
    <w:rsid w:val="65F02953"/>
    <w:rsid w:val="66507577"/>
    <w:rsid w:val="66A52209"/>
    <w:rsid w:val="66EF0190"/>
    <w:rsid w:val="670E76D1"/>
    <w:rsid w:val="671F1593"/>
    <w:rsid w:val="6733654D"/>
    <w:rsid w:val="675D512D"/>
    <w:rsid w:val="679C2069"/>
    <w:rsid w:val="67A03025"/>
    <w:rsid w:val="67B67E41"/>
    <w:rsid w:val="67D77C44"/>
    <w:rsid w:val="67DF4395"/>
    <w:rsid w:val="67E40A7E"/>
    <w:rsid w:val="683055C1"/>
    <w:rsid w:val="6852376A"/>
    <w:rsid w:val="687B05EF"/>
    <w:rsid w:val="68E55C8F"/>
    <w:rsid w:val="690A0160"/>
    <w:rsid w:val="692A7E3A"/>
    <w:rsid w:val="69951B60"/>
    <w:rsid w:val="69A03FE1"/>
    <w:rsid w:val="69C212AA"/>
    <w:rsid w:val="69E80DFF"/>
    <w:rsid w:val="6A56045B"/>
    <w:rsid w:val="6A722070"/>
    <w:rsid w:val="6A8B32FC"/>
    <w:rsid w:val="6A90444F"/>
    <w:rsid w:val="6AB64DF9"/>
    <w:rsid w:val="6ACA5AA3"/>
    <w:rsid w:val="6B0E7573"/>
    <w:rsid w:val="6B2031BA"/>
    <w:rsid w:val="6B5F7E02"/>
    <w:rsid w:val="6B6721F6"/>
    <w:rsid w:val="6B6E73B6"/>
    <w:rsid w:val="6BF24AB8"/>
    <w:rsid w:val="6BF4709A"/>
    <w:rsid w:val="6C055638"/>
    <w:rsid w:val="6C0B233D"/>
    <w:rsid w:val="6C385BB0"/>
    <w:rsid w:val="6C81768C"/>
    <w:rsid w:val="6C89300D"/>
    <w:rsid w:val="6CA1407A"/>
    <w:rsid w:val="6CD9465D"/>
    <w:rsid w:val="6D2C6B1F"/>
    <w:rsid w:val="6D8141AA"/>
    <w:rsid w:val="6DA813EC"/>
    <w:rsid w:val="6DD51C16"/>
    <w:rsid w:val="6E7F79BB"/>
    <w:rsid w:val="6F2D4C4C"/>
    <w:rsid w:val="6F3D1444"/>
    <w:rsid w:val="6FB55A0D"/>
    <w:rsid w:val="6FC738C5"/>
    <w:rsid w:val="70043293"/>
    <w:rsid w:val="70184EA3"/>
    <w:rsid w:val="70820D9C"/>
    <w:rsid w:val="70C73532"/>
    <w:rsid w:val="70CB53E1"/>
    <w:rsid w:val="71447F7A"/>
    <w:rsid w:val="717D4DCC"/>
    <w:rsid w:val="71BA5CDF"/>
    <w:rsid w:val="71C60CA7"/>
    <w:rsid w:val="723A2B9F"/>
    <w:rsid w:val="7259341C"/>
    <w:rsid w:val="726D7A5A"/>
    <w:rsid w:val="72B756E8"/>
    <w:rsid w:val="72E63502"/>
    <w:rsid w:val="733A4CDB"/>
    <w:rsid w:val="734124FB"/>
    <w:rsid w:val="734521A8"/>
    <w:rsid w:val="73707E67"/>
    <w:rsid w:val="7376112F"/>
    <w:rsid w:val="73A95296"/>
    <w:rsid w:val="741F0C23"/>
    <w:rsid w:val="744F31BB"/>
    <w:rsid w:val="745148D6"/>
    <w:rsid w:val="74BC7F66"/>
    <w:rsid w:val="74D10052"/>
    <w:rsid w:val="74D23E0E"/>
    <w:rsid w:val="75295BE2"/>
    <w:rsid w:val="75686B98"/>
    <w:rsid w:val="75E71B95"/>
    <w:rsid w:val="764339F4"/>
    <w:rsid w:val="76A021B3"/>
    <w:rsid w:val="76A03194"/>
    <w:rsid w:val="76B664D7"/>
    <w:rsid w:val="76EA1FF3"/>
    <w:rsid w:val="76EB2B73"/>
    <w:rsid w:val="776123B0"/>
    <w:rsid w:val="77876861"/>
    <w:rsid w:val="77911B7A"/>
    <w:rsid w:val="77D16924"/>
    <w:rsid w:val="780D320A"/>
    <w:rsid w:val="78326601"/>
    <w:rsid w:val="78A05E2C"/>
    <w:rsid w:val="78D47816"/>
    <w:rsid w:val="78E42341"/>
    <w:rsid w:val="79323C28"/>
    <w:rsid w:val="79342564"/>
    <w:rsid w:val="799059EC"/>
    <w:rsid w:val="79D87CAC"/>
    <w:rsid w:val="79DA0943"/>
    <w:rsid w:val="7A257090"/>
    <w:rsid w:val="7A287E87"/>
    <w:rsid w:val="7A8C4455"/>
    <w:rsid w:val="7AE52230"/>
    <w:rsid w:val="7B2F1EDD"/>
    <w:rsid w:val="7B3A50B0"/>
    <w:rsid w:val="7B4E7D23"/>
    <w:rsid w:val="7BBFB2CC"/>
    <w:rsid w:val="7BCA3B47"/>
    <w:rsid w:val="7BF5023D"/>
    <w:rsid w:val="7C01614C"/>
    <w:rsid w:val="7C5C4EB9"/>
    <w:rsid w:val="7C6D1DB9"/>
    <w:rsid w:val="7C6E4BB7"/>
    <w:rsid w:val="7C947A56"/>
    <w:rsid w:val="7CC52305"/>
    <w:rsid w:val="7CCD1D0A"/>
    <w:rsid w:val="7D181972"/>
    <w:rsid w:val="7D612DC0"/>
    <w:rsid w:val="7D793C28"/>
    <w:rsid w:val="7D7F5CD6"/>
    <w:rsid w:val="7E553E03"/>
    <w:rsid w:val="7E9A331D"/>
    <w:rsid w:val="7F454E1B"/>
    <w:rsid w:val="7F4F419A"/>
    <w:rsid w:val="7F6A5445"/>
    <w:rsid w:val="7F820A3A"/>
    <w:rsid w:val="7FBF83E0"/>
    <w:rsid w:val="7FDA39ED"/>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 w:type="character" w:customStyle="1" w:styleId="43">
    <w:name w:val="fontstyle21"/>
    <w:basedOn w:val="17"/>
    <w:autoRedefine/>
    <w:qFormat/>
    <w:uiPriority w:val="0"/>
    <w:rPr>
      <w:rFonts w:ascii="MicrosoftYaHei" w:hAnsi="MicrosoftYaHei" w:eastAsia="MicrosoftYaHei" w:cs="MicrosoftYaHei"/>
      <w:color w:val="000000"/>
      <w:sz w:val="22"/>
      <w:szCs w:val="22"/>
    </w:rPr>
  </w:style>
  <w:style w:type="character" w:customStyle="1" w:styleId="44">
    <w:name w:val="fontstyle11"/>
    <w:basedOn w:val="17"/>
    <w:autoRedefine/>
    <w:qFormat/>
    <w:uiPriority w:val="0"/>
    <w:rPr>
      <w:rFonts w:ascii="TimesNewRomanPSMT" w:hAnsi="TimesNewRomanPSMT" w:eastAsia="TimesNewRomanPSMT" w:cs="TimesNewRomanPSMT"/>
      <w:color w:val="000000"/>
      <w:sz w:val="22"/>
      <w:szCs w:val="22"/>
    </w:rPr>
  </w:style>
  <w:style w:type="paragraph" w:customStyle="1" w:styleId="45">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36A807-EC8B-4485-9EE5-B734D63B68EC}">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2128</Words>
  <Characters>5708</Characters>
  <Lines>177</Lines>
  <Paragraphs>49</Paragraphs>
  <TotalTime>0</TotalTime>
  <ScaleCrop>false</ScaleCrop>
  <LinksUpToDate>false</LinksUpToDate>
  <CharactersWithSpaces>6236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2025-04-25T06:59:02Z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098D0796AF504A52B94A3D6DB854C162_13</vt:lpwstr>
  </property>
  <property fmtid="{D5CDD505-2E9C-101B-9397-08002B2CF9AE}" pid="4" name="KSOTemplateDocerSaveRecord">
    <vt:lpwstr>eyJoZGlkIjoiNzhjODRmNWJhZTVkNTI1OGI2YWZlNjVkNDIwMWYwMDkiLCJ1c2VySWQiOiIzMTAxODgzOTQifQ==</vt:lpwstr>
  </property>
</Properties>
</file>