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3"/>
                <w:szCs w:val="23"/>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napToGrid w:val="0"/>
                <w:color w:val="000000"/>
                <w:kern w:val="0"/>
                <w:sz w:val="23"/>
                <w:szCs w:val="23"/>
                <w:lang w:val="en-US" w:eastAsia="zh-CN" w:bidi="ar-SA"/>
              </w:rPr>
              <w:t xml:space="preserve">{{ </w:t>
            </w:r>
            <w:r>
              <w:rPr>
                <w:rFonts w:hint="eastAsia" w:ascii="Times New Roman" w:hAnsi="Times New Roman" w:eastAsia="微软雅黑" w:cs="Times New Roman"/>
                <w:snapToGrid w:val="0"/>
                <w:color w:val="000000"/>
                <w:kern w:val="0"/>
                <w:sz w:val="23"/>
                <w:szCs w:val="23"/>
                <w:lang w:val="en-US" w:eastAsia="zh-CN" w:bidi="ar-SA"/>
              </w:rPr>
              <w:t>sample.FAMILYFIRST</w:t>
            </w:r>
            <w:r>
              <w:rPr>
                <w:rFonts w:hint="default" w:ascii="Times New Roman" w:hAnsi="Times New Roman" w:eastAsia="微软雅黑" w:cs="Times New Roman"/>
                <w:snapToGrid w:val="0"/>
                <w:color w:val="000000"/>
                <w:kern w:val="0"/>
                <w:sz w:val="23"/>
                <w:szCs w:val="23"/>
                <w:lang w:val="en-US" w:eastAsia="zh-CN" w:bidi="ar-SA"/>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骨与软组织肿瘤RNA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本产品利用探针杂交捕获技术和高通量测序技术全面检测1166个基因，基于RNA水平精准检测多种重排，包括已知、未知以及复杂融合变异类型，尤其适用尤文肉瘤、滑膜肉瘤等肉瘤分型辅助诊断。{%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r>
        <w:rPr>
          <w:rFonts w:hint="eastAsia" w:ascii="微软雅黑" w:hAnsi="微软雅黑" w:eastAsia="微软雅黑" w:cs="微软雅黑"/>
          <w:snapToGrid w:val="0"/>
          <w:color w:val="000000"/>
          <w:spacing w:val="17"/>
          <w:kern w:val="0"/>
          <w:sz w:val="23"/>
          <w:szCs w:val="23"/>
          <w:lang w:val="en-US" w:eastAsia="zh-CN" w:bidi="ar-SA"/>
        </w:rPr>
        <w:t>{%set f1 =[]%}{%set f2 =[]%}{%for s in sarcomaTyping %}{% if s.sarcomaAndEvidence ==[]%}{%set _= f2.append(s)%}{%else%}{%set _ = f1.append(s)%}{% endif %}{% endfor %}</w:t>
      </w: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autofit"/>
        <w:tblCellMar>
          <w:top w:w="0" w:type="dxa"/>
          <w:left w:w="108" w:type="dxa"/>
          <w:bottom w:w="0" w:type="dxa"/>
          <w:right w:w="108" w:type="dxa"/>
        </w:tblCellMar>
      </w:tblPr>
      <w:tblGrid>
        <w:gridCol w:w="1892"/>
        <w:gridCol w:w="774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7847"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3"/>
                <w:sz w:val="23"/>
                <w:szCs w:val="23"/>
                <w14:textOutline w14:w="4356" w14:cap="sq" w14:cmpd="sng" w14:algn="ctr">
                  <w14:solidFill>
                    <w14:srgbClr w14:val="000000"/>
                  </w14:solidFill>
                  <w14:prstDash w14:val="solid"/>
                  <w14:bevel/>
                </w14:textOutline>
              </w:rPr>
              <w:t>辅助肉瘤诊断</w:t>
            </w:r>
          </w:p>
        </w:tc>
        <w:tc>
          <w:tcPr>
            <w:tcW w:w="7847"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3"/>
                <w:sz w:val="23"/>
                <w:szCs w:val="23"/>
                <w:lang w:val="en-US" w:eastAsia="zh-CN"/>
              </w:rPr>
            </w:pPr>
            <w:r>
              <w:rPr>
                <w:rFonts w:hint="default" w:ascii="Times New Roman" w:hAnsi="Times New Roman" w:eastAsia="微软雅黑" w:cs="Times New Roman"/>
                <w:spacing w:val="17"/>
                <w:sz w:val="23"/>
                <w:szCs w:val="23"/>
                <w:highlight w:val="none"/>
                <w:lang w:val="en-US" w:eastAsia="zh-CN"/>
              </w:rPr>
              <w:t xml:space="preserve">{% if </w:t>
            </w:r>
            <w:r>
              <w:rPr>
                <w:rFonts w:hint="default" w:ascii="Times New Roman" w:hAnsi="Times New Roman" w:eastAsia="微软雅黑" w:cs="Times New Roman"/>
                <w:sz w:val="23"/>
                <w:szCs w:val="23"/>
                <w:highlight w:val="none"/>
              </w:rPr>
              <w:t>summaryOfRresults.geneRearrangementSize</w:t>
            </w:r>
            <w:r>
              <w:rPr>
                <w:rFonts w:hint="default" w:ascii="Times New Roman" w:hAnsi="Times New Roman" w:eastAsia="微软雅黑" w:cs="Times New Roman"/>
                <w:sz w:val="23"/>
                <w:szCs w:val="23"/>
                <w:highlight w:val="none"/>
                <w:lang w:val="en-US" w:eastAsia="zh-CN"/>
              </w:rPr>
              <w:t xml:space="preserve"> &gt; 0 </w:t>
            </w:r>
            <w:r>
              <w:rPr>
                <w:rFonts w:hint="default" w:ascii="Times New Roman" w:hAnsi="Times New Roman" w:eastAsia="微软雅黑" w:cs="Times New Roman"/>
                <w:spacing w:val="17"/>
                <w:sz w:val="23"/>
                <w:szCs w:val="23"/>
                <w:highlight w:val="none"/>
                <w:lang w:val="en-US" w:eastAsia="zh-CN"/>
              </w:rPr>
              <w:t>%}</w:t>
            </w:r>
            <w:r>
              <w:rPr>
                <w:rFonts w:hint="default" w:ascii="Times New Roman" w:hAnsi="Times New Roman" w:eastAsia="微软雅黑" w:cs="Times New Roman"/>
                <w:spacing w:val="17"/>
                <w:sz w:val="23"/>
                <w:szCs w:val="23"/>
                <w:highlight w:val="none"/>
              </w:rPr>
              <w:t>共</w:t>
            </w:r>
            <w:r>
              <w:rPr>
                <w:rFonts w:hint="default" w:ascii="Times New Roman" w:hAnsi="Times New Roman" w:eastAsia="微软雅黑" w:cs="Times New Roman"/>
                <w:sz w:val="23"/>
                <w:szCs w:val="23"/>
                <w:highlight w:val="none"/>
              </w:rPr>
              <w:t>{{ summaryOfRresults.geneRearrangementSize }}</w:t>
            </w:r>
            <w:r>
              <w:rPr>
                <w:rFonts w:hint="default" w:ascii="Times New Roman" w:hAnsi="Times New Roman" w:eastAsia="微软雅黑" w:cs="Times New Roman"/>
                <w:spacing w:val="17"/>
                <w:sz w:val="23"/>
                <w:szCs w:val="23"/>
              </w:rPr>
              <w:t>个基因重排，其中{{ summaryOfRresults.geneRearrangementVariationSize2 }}个基因重排是分类/指南/专家共识中提及的辅助肉瘤诊断的基因变异。</w:t>
            </w:r>
            <w:r>
              <w:rPr>
                <w:rFonts w:hint="default" w:ascii="Times New Roman" w:hAnsi="Times New Roman" w:eastAsia="微软雅黑" w:cs="Times New Roman"/>
                <w:spacing w:val="17"/>
                <w:sz w:val="23"/>
                <w:szCs w:val="23"/>
                <w:lang w:val="en-US" w:eastAsia="zh-CN"/>
              </w:rPr>
              <w:t>{% else %}</w:t>
            </w:r>
            <w:r>
              <w:rPr>
                <w:rFonts w:hint="default" w:ascii="Times New Roman" w:hAnsi="Times New Roman" w:eastAsia="微软雅黑" w:cs="Times New Roman"/>
                <w:snapToGrid w:val="0"/>
                <w:color w:val="auto"/>
                <w:spacing w:val="17"/>
                <w:kern w:val="0"/>
                <w:sz w:val="23"/>
                <w:szCs w:val="23"/>
                <w:highlight w:val="none"/>
                <w:lang w:val="en-US" w:eastAsia="zh-CN" w:bidi="ar-SA"/>
              </w:rPr>
              <w:t>基因列表内的其他基因未发现突变。{% endif %}</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7847" w:type="dxa"/>
            <w:tcBorders>
              <w:tl2br w:val="nil"/>
              <w:tr2bl w:val="nil"/>
            </w:tcBorders>
            <w:vAlign w:val="center"/>
          </w:tcPr>
          <w:p w14:paraId="1D7CFE48">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default" w:ascii="Times New Roman" w:hAnsi="Times New Roman" w:eastAsia="微软雅黑" w:cs="Times New Roman"/>
                <w:snapToGrid w:val="0"/>
                <w:color w:val="000000"/>
                <w:spacing w:val="17"/>
                <w:kern w:val="0"/>
                <w:sz w:val="23"/>
                <w:szCs w:val="23"/>
                <w:lang w:val="en-US" w:eastAsia="zh-CN" w:bidi="ar-SA"/>
              </w:rPr>
              <w:t>{%if f1 == []%}-{%else%}{%for f in f1%}{{f.ori_variant}}{%if not loop.last%}，{%endif%}{%endfor %}{%endif%}</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7847" w:type="dxa"/>
            <w:tcBorders>
              <w:tl2br w:val="nil"/>
              <w:tr2bl w:val="nil"/>
            </w:tcBorders>
            <w:vAlign w:val="center"/>
          </w:tcPr>
          <w:p w14:paraId="068B8706">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napToGrid w:val="0"/>
                <w:color w:val="000000"/>
                <w:spacing w:val="17"/>
                <w:kern w:val="0"/>
                <w:sz w:val="23"/>
                <w:szCs w:val="23"/>
                <w:lang w:val="en-US" w:eastAsia="zh-CN" w:bidi="ar-SA"/>
              </w:rPr>
              <w:t>{%if f2 == []%}-{%else%}{%for f in f2%}{{f.ori_variant}}{%if not loop.last%}，{%endif%}{%endfor %}{%endif%}</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060"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其他</w:t>
            </w:r>
          </w:p>
        </w:tc>
        <w:tc>
          <w:tcPr>
            <w:tcW w:w="7847"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562D71A3">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地址：8号楼2楼病理科窗口，</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6DD92A35">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424" w:right="1083" w:bottom="0" w:left="1085" w:header="283" w:footer="374" w:gutter="0"/>
          <w:cols w:space="720" w:num="1"/>
        </w:sectPr>
      </w:pPr>
    </w:p>
    <w:p w14:paraId="33CB6C1F">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Times New Roman" w:cs="Times New Roman"/>
          <w:b/>
          <w:color w:val="64B7CE"/>
          <w:sz w:val="32"/>
          <w:szCs w:val="36"/>
          <w:lang w:eastAsia="zh-CN"/>
        </w:rPr>
      </w:pPr>
      <w:bookmarkStart w:id="0" w:name="_Toc32567"/>
      <w:bookmarkStart w:id="1" w:name="_Toc3948"/>
      <w:r>
        <w:rPr>
          <w:rFonts w:hint="eastAsia" w:ascii="Times New Roman" w:hAnsi="Times New Roman" w:eastAsia="微软雅黑" w:cs="Times New Roman"/>
          <w:b/>
          <w:color w:val="64B7CE"/>
          <w:sz w:val="32"/>
          <w:szCs w:val="36"/>
          <w:lang w:eastAsia="zh-CN"/>
        </w:rPr>
        <w:t>检测结果</w:t>
      </w:r>
      <w:bookmarkEnd w:id="0"/>
      <w:bookmarkEnd w:id="1"/>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14"/>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957"/>
        <w:gridCol w:w="1337"/>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4" w:type="dxa"/>
            <w:tcBorders>
              <w:top w:val="nil"/>
              <w:left w:val="nil"/>
              <w:bottom w:val="nil"/>
              <w:right w:val="single" w:color="FFFFFF" w:sz="18" w:space="0"/>
            </w:tcBorders>
            <w:shd w:val="clear" w:color="auto" w:fill="64B7CE"/>
            <w:vAlign w:val="center"/>
          </w:tcPr>
          <w:p w14:paraId="0B2A691B">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25CEF211">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957" w:type="dxa"/>
            <w:tcBorders>
              <w:top w:val="nil"/>
              <w:left w:val="single" w:color="FFFFFF" w:sz="18" w:space="0"/>
              <w:bottom w:val="nil"/>
              <w:right w:val="single" w:color="FFFFFF" w:sz="18" w:space="0"/>
            </w:tcBorders>
            <w:shd w:val="clear" w:color="auto" w:fill="64B7CE"/>
            <w:vAlign w:val="center"/>
          </w:tcPr>
          <w:p w14:paraId="3872A357">
            <w:pPr>
              <w:pStyle w:val="1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337" w:type="dxa"/>
            <w:tcBorders>
              <w:top w:val="nil"/>
              <w:left w:val="single" w:color="FFFFFF" w:sz="18" w:space="0"/>
              <w:bottom w:val="nil"/>
              <w:right w:val="nil"/>
            </w:tcBorders>
            <w:shd w:val="clear" w:color="auto" w:fill="64B7CE"/>
            <w:vAlign w:val="center"/>
          </w:tcPr>
          <w:p w14:paraId="24A70F4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4"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337"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4"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957"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37"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694DA72">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25312614">
      <w:pPr>
        <w:numPr>
          <w:ilvl w:val="0"/>
          <w:numId w:val="3"/>
        </w:numPr>
        <w:rPr>
          <w:rFonts w:hint="default" w:ascii="Times New Roman" w:hAnsi="Times New Roman" w:eastAsia="微软雅黑" w:cs="Times New Roman"/>
          <w:b w:val="0"/>
          <w:bCs w:val="0"/>
          <w:color w:val="auto"/>
          <w:sz w:val="24"/>
          <w:szCs w:val="24"/>
          <w:lang w:val="en-US" w:eastAsia="zh-CN" w:bidi="ar-SA"/>
        </w:rPr>
      </w:pPr>
      <w:r>
        <w:rPr>
          <w:rFonts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28"/>
          <w:szCs w:val="28"/>
          <w14:textOutline w14:w="6540" w14:cap="sq" w14:cmpd="sng" w14:algn="ctr">
            <w14:solidFill>
              <w14:srgbClr w14:val="000000"/>
            </w14:solidFill>
            <w14:prstDash w14:val="solid"/>
            <w14:bevel/>
          </w14:textOutline>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2" w:name="_Toc10223"/>
      <w:bookmarkStart w:id="3" w:name="_Toc106719764"/>
      <w:bookmarkStart w:id="4" w:name="_Toc6191"/>
      <w:bookmarkStart w:id="5" w:name="_Toc20034"/>
      <w:r>
        <w:rPr>
          <w:rFonts w:hint="eastAsia" w:ascii="Times New Roman" w:hAnsi="Times New Roman" w:eastAsia="微软雅黑" w:cs="Times New Roman"/>
          <w:b/>
          <w:color w:val="64B7CE"/>
          <w:sz w:val="32"/>
          <w:szCs w:val="36"/>
          <w:lang w:eastAsia="zh-CN"/>
        </w:rPr>
        <w:t>PD-L1检测结果</w:t>
      </w:r>
      <w:bookmarkEnd w:id="2"/>
      <w:bookmarkEnd w:id="3"/>
      <w:bookmarkEnd w:id="4"/>
      <w:bookmarkEnd w:id="5"/>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b/>
          <w:color w:val="64B7CE"/>
          <w:sz w:val="32"/>
          <w:szCs w:val="36"/>
          <w:lang w:eastAsia="zh-CN"/>
        </w:rPr>
        <w:t>{% endif %}{% endif %}</w:t>
      </w:r>
      <w:bookmarkStart w:id="6" w:name="_Toc180"/>
      <w:bookmarkStart w:id="7" w:name="_Toc4331_WPSOffice_Level1"/>
      <w:bookmarkStart w:id="8" w:name="_Toc32443_WPSOffice_Level1"/>
      <w:bookmarkStart w:id="9" w:name="_Toc23903"/>
      <w:bookmarkStart w:id="10" w:name="_Toc25727"/>
      <w:bookmarkStart w:id="11" w:name="_Toc24960"/>
      <w:bookmarkStart w:id="12" w:name="_Toc23846_WPSOffice_Level1"/>
      <w:bookmarkStart w:id="13" w:name="_Toc107825555"/>
      <w:bookmarkStart w:id="14" w:name="_Toc24611"/>
      <w:bookmarkStart w:id="15" w:name="_Toc29372"/>
      <w:r>
        <w:rPr>
          <w:rFonts w:hint="eastAsia" w:ascii="Times New Roman" w:hAnsi="Times New Roman" w:eastAsia="微软雅黑" w:cs="Times New Roman"/>
          <w:b/>
          <w:color w:val="64B7CE"/>
          <w:sz w:val="32"/>
          <w:szCs w:val="36"/>
          <w:lang w:eastAsia="zh-CN"/>
        </w:rPr>
        <w:t>检测结果解析</w:t>
      </w:r>
      <w:bookmarkEnd w:id="6"/>
      <w:bookmarkEnd w:id="7"/>
      <w:bookmarkEnd w:id="8"/>
      <w:bookmarkEnd w:id="9"/>
      <w:bookmarkEnd w:id="10"/>
      <w:bookmarkEnd w:id="11"/>
      <w:bookmarkEnd w:id="12"/>
      <w:bookmarkEnd w:id="13"/>
      <w:bookmarkEnd w:id="14"/>
      <w:bookmarkEnd w:id="15"/>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keepNext w:val="0"/>
        <w:keepLines w:val="0"/>
        <w:pageBreakBefore w:val="0"/>
        <w:widowControl/>
        <w:kinsoku w:val="0"/>
        <w:wordWrap/>
        <w:overflowPunct/>
        <w:topLinePunct w:val="0"/>
        <w:autoSpaceDE w:val="0"/>
        <w:autoSpaceDN w:val="0"/>
        <w:bidi w:val="0"/>
        <w:adjustRightInd w:val="0"/>
        <w:snapToGrid w:val="0"/>
        <w:spacing w:before="26" w:after="0" w:afterLines="20" w:line="240" w:lineRule="auto"/>
        <w:textAlignment w:val="baseline"/>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4B7CE"/>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4B7CE"/>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4B7CE"/>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5E1427E">
      <w:pPr>
        <w:rPr>
          <w:rStyle w:val="25"/>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16" w:name="_Toc16835"/>
    </w:p>
    <w:bookmarkEnd w:id="16"/>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pPr>
      <w:bookmarkStart w:id="17" w:name="_Toc4248"/>
      <w:bookmarkStart w:id="18" w:name="_Toc16863"/>
      <w:r>
        <w:rPr>
          <w:rFonts w:hint="default" w:ascii="Times New Roman" w:hAnsi="Times New Roman" w:eastAsia="微软雅黑" w:cs="Times New Roman"/>
          <w:color w:val="6ABBD0"/>
          <w:sz w:val="32"/>
          <w14:shadow w14:blurRad="50800" w14:dist="38100" w14:dir="10800000" w14:sx="100000" w14:sy="100000" w14:kx="0" w14:ky="0" w14:algn="r">
            <w14:srgbClr w14:val="62B541">
              <w14:alpha w14:val="60000"/>
            </w14:srgbClr>
          </w14:shadow>
        </w:rPr>
        <w:t>附录</w:t>
      </w:r>
      <w:bookmarkEnd w:id="17"/>
      <w:bookmarkEnd w:id="18"/>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9" w:name="_Toc24085_WPSOffice_Level1"/>
      <w:bookmarkStart w:id="20" w:name="_Toc14102"/>
      <w:bookmarkStart w:id="21" w:name="_Toc1262"/>
      <w:bookmarkStart w:id="22" w:name="_Toc15840_WPSOffice_Level1"/>
      <w:bookmarkStart w:id="23" w:name="_Toc3674"/>
      <w:bookmarkStart w:id="24" w:name="_Toc14255_WPSOffice_Level1"/>
      <w:bookmarkStart w:id="25" w:name="_Toc22324"/>
      <w:r>
        <w:rPr>
          <w:rFonts w:hint="default" w:ascii="Times New Roman" w:hAnsi="Times New Roman" w:eastAsia="微软雅黑" w:cs="Times New Roman"/>
          <w:color w:val="auto"/>
          <w:sz w:val="30"/>
          <w:lang w:eastAsia="zh-CN"/>
        </w:rPr>
        <w:t>样本质控情况</w:t>
      </w:r>
      <w:bookmarkEnd w:id="19"/>
      <w:bookmarkEnd w:id="20"/>
      <w:bookmarkEnd w:id="21"/>
      <w:bookmarkEnd w:id="22"/>
      <w:bookmarkEnd w:id="23"/>
      <w:bookmarkEnd w:id="24"/>
      <w:bookmarkEnd w:id="25"/>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4"/>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4693928F">
      <w:pPr>
        <w:pStyle w:val="3"/>
        <w:numPr>
          <w:ilvl w:val="255"/>
          <w:numId w:val="0"/>
        </w:numPr>
        <w:jc w:val="left"/>
        <w:rPr>
          <w:rFonts w:hint="eastAsia" w:ascii="Times New Roman" w:hAnsi="Times New Roman" w:eastAsia="微软雅黑" w:cs="Times New Roman"/>
          <w:color w:val="auto"/>
          <w:sz w:val="30"/>
          <w:lang w:eastAsia="zh-CN"/>
        </w:rPr>
      </w:pPr>
      <w:bookmarkStart w:id="26" w:name="_Toc32098"/>
      <w:bookmarkStart w:id="27" w:name="_Toc23373"/>
      <w:bookmarkStart w:id="28" w:name="_Toc20170_WPSOffice_Level1"/>
      <w:bookmarkStart w:id="29" w:name="_Toc28454_WPSOffice_Level1"/>
      <w:bookmarkStart w:id="30" w:name="_Toc8911"/>
      <w:bookmarkStart w:id="31" w:name="_Toc107825570"/>
      <w:bookmarkStart w:id="32" w:name="_Toc27034"/>
      <w:bookmarkStart w:id="33" w:name="_Toc5476"/>
      <w:bookmarkStart w:id="34" w:name="_Toc26985_WPSOffice_Level1"/>
      <w:r>
        <w:rPr>
          <w:rFonts w:hint="eastAsia" w:ascii="Times New Roman" w:hAnsi="Times New Roman" w:eastAsia="微软雅黑" w:cs="Times New Roman"/>
          <w:color w:val="auto"/>
          <w:sz w:val="30"/>
          <w:lang w:eastAsia="zh-CN"/>
        </w:rPr>
        <w:t>常见肉瘤分型相关基因变异</w:t>
      </w:r>
      <w:bookmarkEnd w:id="26"/>
      <w:bookmarkEnd w:id="27"/>
    </w:p>
    <w:p w14:paraId="3024CFCD">
      <w:pPr>
        <w:numPr>
          <w:ilvl w:val="0"/>
          <w:numId w:val="5"/>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6"/>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5"/>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0" w:rightFromText="180" w:vertAnchor="text" w:horzAnchor="page" w:tblpXSpec="center" w:tblpY="264"/>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p w14:paraId="23234803">
      <w:pPr>
        <w:pStyle w:val="26"/>
        <w:widowControl/>
        <w:adjustRightInd w:val="0"/>
        <w:snapToGrid w:val="0"/>
        <w:spacing w:after="120" w:afterLines="50"/>
        <w:ind w:firstLine="0" w:firstLineChars="0"/>
        <w:jc w:val="both"/>
        <w:rPr>
          <w:rFonts w:hint="default" w:ascii="Times New Roman" w:hAnsi="Times New Roman" w:eastAsia="微软雅黑"/>
          <w:sz w:val="15"/>
          <w:szCs w:val="15"/>
        </w:rPr>
      </w:pPr>
    </w:p>
    <w:p w14:paraId="76417BB2">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E9C6B81">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5C5A7C1">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43D2FDD5">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AE7EB55">
      <w:pPr>
        <w:pStyle w:val="27"/>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DD93A94">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1DD8320A">
      <w:pPr>
        <w:pStyle w:val="27"/>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bookmarkEnd w:id="28"/>
      <w:bookmarkEnd w:id="29"/>
      <w:bookmarkEnd w:id="30"/>
      <w:bookmarkEnd w:id="31"/>
      <w:bookmarkEnd w:id="32"/>
      <w:bookmarkEnd w:id="33"/>
      <w:bookmarkEnd w:id="34"/>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w:rPr>
        <w:rFonts w:hint="default" w:ascii="Times New Roman" w:hAnsi="Times New Roman" w:cs="Times New Roman"/>
      </w:rP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w:t>
    </w:r>
    <w:r>
      <w:rPr>
        <w:rFonts w:hint="default" w:ascii="Times New Roman" w:hAnsi="Times New Roman" w:eastAsia="微软雅黑" w:cs="Times New Roman"/>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default" w:ascii="Times New Roman" w:hAnsi="Times New Roman" w:eastAsia="微软雅黑" w:cs="Times New Roman"/>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sample.FAMILYFIRST }}</w:t>
    </w:r>
    <w:bookmarkStart w:id="35" w:name="_GoBack"/>
    <w:bookmarkEnd w:id="35"/>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3267C012"/>
    <w:multiLevelType w:val="singleLevel"/>
    <w:tmpl w:val="3267C012"/>
    <w:lvl w:ilvl="0" w:tentative="0">
      <w:start w:val="1"/>
      <w:numFmt w:val="decimal"/>
      <w:lvlText w:val="%1."/>
      <w:lvlJc w:val="left"/>
      <w:pPr>
        <w:tabs>
          <w:tab w:val="left" w:pos="312"/>
        </w:tabs>
      </w:pPr>
    </w:lvl>
  </w:abstractNum>
  <w:abstractNum w:abstractNumId="5">
    <w:nsid w:val="4727A939"/>
    <w:multiLevelType w:val="singleLevel"/>
    <w:tmpl w:val="4727A939"/>
    <w:lvl w:ilvl="0" w:tentative="0">
      <w:start w:val="1"/>
      <w:numFmt w:val="decimal"/>
      <w:lvlText w:val="%1."/>
      <w:lvlJc w:val="left"/>
      <w:pPr>
        <w:tabs>
          <w:tab w:val="left" w:pos="312"/>
        </w:tabs>
      </w:p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6"/>
  </w:num>
  <w:num w:numId="2">
    <w:abstractNumId w:val="7"/>
  </w:num>
  <w:num w:numId="3">
    <w:abstractNumId w:val="2"/>
  </w:num>
  <w:num w:numId="4">
    <w:abstractNumId w:val="3"/>
  </w:num>
  <w:num w:numId="5">
    <w:abstractNumId w:val="0"/>
  </w:num>
  <w:num w:numId="6">
    <w:abstractNumId w:val="5"/>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74109E"/>
    <w:rsid w:val="018067FB"/>
    <w:rsid w:val="01D41F8E"/>
    <w:rsid w:val="03C14327"/>
    <w:rsid w:val="04C33561"/>
    <w:rsid w:val="05C84C14"/>
    <w:rsid w:val="05FC28AF"/>
    <w:rsid w:val="07106220"/>
    <w:rsid w:val="07677B15"/>
    <w:rsid w:val="09075A53"/>
    <w:rsid w:val="0965433A"/>
    <w:rsid w:val="09AE0090"/>
    <w:rsid w:val="0A165F4E"/>
    <w:rsid w:val="0A265674"/>
    <w:rsid w:val="0A2950EA"/>
    <w:rsid w:val="0A7C3C8A"/>
    <w:rsid w:val="0AB75440"/>
    <w:rsid w:val="0ACE1EBB"/>
    <w:rsid w:val="0AED2C3C"/>
    <w:rsid w:val="0BC24A47"/>
    <w:rsid w:val="0C1E37A4"/>
    <w:rsid w:val="0CC32C78"/>
    <w:rsid w:val="0D5E3EEF"/>
    <w:rsid w:val="0D7A458C"/>
    <w:rsid w:val="0D815DD4"/>
    <w:rsid w:val="0DBE0DD6"/>
    <w:rsid w:val="0DC57426"/>
    <w:rsid w:val="0E3B2427"/>
    <w:rsid w:val="0F033777"/>
    <w:rsid w:val="0F983616"/>
    <w:rsid w:val="0FA9089C"/>
    <w:rsid w:val="108B5D62"/>
    <w:rsid w:val="11DD071C"/>
    <w:rsid w:val="12F40DF6"/>
    <w:rsid w:val="13317763"/>
    <w:rsid w:val="145207CE"/>
    <w:rsid w:val="147C6B5F"/>
    <w:rsid w:val="157A126A"/>
    <w:rsid w:val="15CA4620"/>
    <w:rsid w:val="16152998"/>
    <w:rsid w:val="1668115A"/>
    <w:rsid w:val="16ED2BE0"/>
    <w:rsid w:val="16FA2753"/>
    <w:rsid w:val="173E5DC6"/>
    <w:rsid w:val="174C2319"/>
    <w:rsid w:val="1871105F"/>
    <w:rsid w:val="19200BE6"/>
    <w:rsid w:val="198527A8"/>
    <w:rsid w:val="19A36A6E"/>
    <w:rsid w:val="1AA924FB"/>
    <w:rsid w:val="1BA86B8C"/>
    <w:rsid w:val="1BEF0045"/>
    <w:rsid w:val="1BF00484"/>
    <w:rsid w:val="1C1F23FA"/>
    <w:rsid w:val="1C5F3784"/>
    <w:rsid w:val="1CA67605"/>
    <w:rsid w:val="1CCF6870"/>
    <w:rsid w:val="1E5C12DD"/>
    <w:rsid w:val="1EB4768C"/>
    <w:rsid w:val="1EB90843"/>
    <w:rsid w:val="1F2D2F0F"/>
    <w:rsid w:val="202B4E35"/>
    <w:rsid w:val="21116B5E"/>
    <w:rsid w:val="21D36BA1"/>
    <w:rsid w:val="2208618E"/>
    <w:rsid w:val="223643DF"/>
    <w:rsid w:val="225001D1"/>
    <w:rsid w:val="259D2343"/>
    <w:rsid w:val="269E134D"/>
    <w:rsid w:val="26B86D11"/>
    <w:rsid w:val="26CD39E1"/>
    <w:rsid w:val="27111B1F"/>
    <w:rsid w:val="27642678"/>
    <w:rsid w:val="27F84A8D"/>
    <w:rsid w:val="289B6D20"/>
    <w:rsid w:val="29E11819"/>
    <w:rsid w:val="29F64FFC"/>
    <w:rsid w:val="2A181417"/>
    <w:rsid w:val="2AB3483A"/>
    <w:rsid w:val="2B1304E7"/>
    <w:rsid w:val="2B172E21"/>
    <w:rsid w:val="2B261911"/>
    <w:rsid w:val="2BB27B17"/>
    <w:rsid w:val="2D300825"/>
    <w:rsid w:val="2E0F2B31"/>
    <w:rsid w:val="2E2353EE"/>
    <w:rsid w:val="2E2E1597"/>
    <w:rsid w:val="2E4A7977"/>
    <w:rsid w:val="2EE31E01"/>
    <w:rsid w:val="2FDE346C"/>
    <w:rsid w:val="2FF77A64"/>
    <w:rsid w:val="3089479E"/>
    <w:rsid w:val="31851A63"/>
    <w:rsid w:val="329F26D5"/>
    <w:rsid w:val="32CC4746"/>
    <w:rsid w:val="33446DD8"/>
    <w:rsid w:val="343E5F1E"/>
    <w:rsid w:val="34921653"/>
    <w:rsid w:val="3558570A"/>
    <w:rsid w:val="364C66D0"/>
    <w:rsid w:val="36BE7CAC"/>
    <w:rsid w:val="37A22D7D"/>
    <w:rsid w:val="384B29B7"/>
    <w:rsid w:val="384F6DD5"/>
    <w:rsid w:val="3A035A45"/>
    <w:rsid w:val="3ACB4F85"/>
    <w:rsid w:val="3B9701D8"/>
    <w:rsid w:val="3C132951"/>
    <w:rsid w:val="3C294860"/>
    <w:rsid w:val="3D041D1A"/>
    <w:rsid w:val="3E2C3159"/>
    <w:rsid w:val="3E861FB6"/>
    <w:rsid w:val="3EA27573"/>
    <w:rsid w:val="3EC81EEB"/>
    <w:rsid w:val="3EEA1E08"/>
    <w:rsid w:val="3F185CE9"/>
    <w:rsid w:val="3F2A77CA"/>
    <w:rsid w:val="3F8F3AD1"/>
    <w:rsid w:val="3FAFA3CA"/>
    <w:rsid w:val="3FC03C8B"/>
    <w:rsid w:val="426F7296"/>
    <w:rsid w:val="428A2FB8"/>
    <w:rsid w:val="43513AA8"/>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CA162B5"/>
    <w:rsid w:val="4D8502C3"/>
    <w:rsid w:val="4DFD73D7"/>
    <w:rsid w:val="4E4F7871"/>
    <w:rsid w:val="4F5F2F6A"/>
    <w:rsid w:val="4F8B6063"/>
    <w:rsid w:val="4FE145CA"/>
    <w:rsid w:val="51885E41"/>
    <w:rsid w:val="52E971EF"/>
    <w:rsid w:val="53B35B89"/>
    <w:rsid w:val="53CB1124"/>
    <w:rsid w:val="542D7176"/>
    <w:rsid w:val="54C8232F"/>
    <w:rsid w:val="570D067D"/>
    <w:rsid w:val="587027DB"/>
    <w:rsid w:val="5919394F"/>
    <w:rsid w:val="593914DD"/>
    <w:rsid w:val="59741916"/>
    <w:rsid w:val="59C65FA8"/>
    <w:rsid w:val="59EF5ACC"/>
    <w:rsid w:val="5A2C16F3"/>
    <w:rsid w:val="5A956208"/>
    <w:rsid w:val="5B0A0784"/>
    <w:rsid w:val="5B314CD8"/>
    <w:rsid w:val="5B9E6586"/>
    <w:rsid w:val="5E543EED"/>
    <w:rsid w:val="5E581014"/>
    <w:rsid w:val="5EFFB4A3"/>
    <w:rsid w:val="5F2711D9"/>
    <w:rsid w:val="5F4E5A01"/>
    <w:rsid w:val="5FC36057"/>
    <w:rsid w:val="5FD359E1"/>
    <w:rsid w:val="5FDD67C9"/>
    <w:rsid w:val="5FDE1B4F"/>
    <w:rsid w:val="62315E81"/>
    <w:rsid w:val="631B1054"/>
    <w:rsid w:val="631B2214"/>
    <w:rsid w:val="631D6B7A"/>
    <w:rsid w:val="638210D3"/>
    <w:rsid w:val="639C1C02"/>
    <w:rsid w:val="64D91518"/>
    <w:rsid w:val="64E336E7"/>
    <w:rsid w:val="650C303D"/>
    <w:rsid w:val="65424949"/>
    <w:rsid w:val="65A417D5"/>
    <w:rsid w:val="67076652"/>
    <w:rsid w:val="67AF7A5F"/>
    <w:rsid w:val="68AE7413"/>
    <w:rsid w:val="69AA5692"/>
    <w:rsid w:val="6B380BB3"/>
    <w:rsid w:val="6C0B1393"/>
    <w:rsid w:val="6C1967B3"/>
    <w:rsid w:val="6C6C62EA"/>
    <w:rsid w:val="6D6A2540"/>
    <w:rsid w:val="6DB66549"/>
    <w:rsid w:val="6E535B46"/>
    <w:rsid w:val="6EC71099"/>
    <w:rsid w:val="6ED0518A"/>
    <w:rsid w:val="6F8566E4"/>
    <w:rsid w:val="6F902885"/>
    <w:rsid w:val="6FB122C2"/>
    <w:rsid w:val="6FB645DF"/>
    <w:rsid w:val="6FDD7DBD"/>
    <w:rsid w:val="71467BE4"/>
    <w:rsid w:val="72161365"/>
    <w:rsid w:val="72695938"/>
    <w:rsid w:val="727004B9"/>
    <w:rsid w:val="729F16E9"/>
    <w:rsid w:val="73666CC9"/>
    <w:rsid w:val="74A27847"/>
    <w:rsid w:val="75274930"/>
    <w:rsid w:val="76982C90"/>
    <w:rsid w:val="770E2215"/>
    <w:rsid w:val="775A6197"/>
    <w:rsid w:val="77860A18"/>
    <w:rsid w:val="78744ECD"/>
    <w:rsid w:val="78EE3961"/>
    <w:rsid w:val="795D1F6F"/>
    <w:rsid w:val="79B04BC9"/>
    <w:rsid w:val="7A734602"/>
    <w:rsid w:val="7A7C52F7"/>
    <w:rsid w:val="7B262062"/>
    <w:rsid w:val="7B2F068D"/>
    <w:rsid w:val="7C5D6D81"/>
    <w:rsid w:val="7CE04A49"/>
    <w:rsid w:val="7D4071CA"/>
    <w:rsid w:val="7DDA593C"/>
    <w:rsid w:val="7EBE700C"/>
    <w:rsid w:val="7EDC0E7F"/>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1458</Words>
  <Characters>3386</Characters>
  <Lines>61</Lines>
  <Paragraphs>17</Paragraphs>
  <TotalTime>20</TotalTime>
  <ScaleCrop>false</ScaleCrop>
  <LinksUpToDate>false</LinksUpToDate>
  <CharactersWithSpaces>3663</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levi</cp:lastModifiedBy>
  <cp:lastPrinted>2023-07-26T10:47:00Z</cp:lastPrinted>
  <dcterms:modified xsi:type="dcterms:W3CDTF">2025-12-05T10:22:20Z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2052-12.8.2.18205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