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5F0F4F">
      <w:pPr>
        <w:rPr>
          <w:rFonts w:hint="eastAsia" w:ascii="黑体" w:hAnsi="黑体" w:eastAsia="黑体" w:cs="黑体"/>
        </w:rPr>
      </w:pPr>
      <w:r>
        <w:rPr>
          <w:color w:val="7F7F7F"/>
          <w:sz w:val="20"/>
          <w:szCs w:val="20"/>
          <w:lang w:eastAsia="zh-CN"/>
        </w:rPr>
        <w:drawing>
          <wp:anchor distT="0" distB="0" distL="0" distR="0" simplePos="0" relativeHeight="251663360" behindDoc="0" locked="0" layoutInCell="1" allowOverlap="1">
            <wp:simplePos x="0" y="0"/>
            <wp:positionH relativeFrom="column">
              <wp:posOffset>4738370</wp:posOffset>
            </wp:positionH>
            <wp:positionV relativeFrom="paragraph">
              <wp:posOffset>-79375</wp:posOffset>
            </wp:positionV>
            <wp:extent cx="1369060" cy="389255"/>
            <wp:effectExtent l="0" t="0" r="2540" b="698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anchor>
        </w:drawing>
      </w:r>
      <w:r>
        <w:rPr>
          <w:rFonts w:hint="eastAsia" w:ascii="黑体" w:hAnsi="黑体" w:eastAsia="黑体" w:cs="黑体"/>
        </w:rPr>
        <w:drawing>
          <wp:anchor distT="0" distB="0" distL="0" distR="0" simplePos="0" relativeHeight="251659264" behindDoc="1" locked="0" layoutInCell="1" allowOverlap="1">
            <wp:simplePos x="0" y="0"/>
            <wp:positionH relativeFrom="column">
              <wp:posOffset>-681355</wp:posOffset>
            </wp:positionH>
            <wp:positionV relativeFrom="paragraph">
              <wp:posOffset>-1080770</wp:posOffset>
            </wp:positionV>
            <wp:extent cx="7552690" cy="10687685"/>
            <wp:effectExtent l="0" t="0" r="16510" b="5715"/>
            <wp:wrapNone/>
            <wp:docPr id="1" name="图片 8" descr="半页"/>
            <wp:cNvGraphicFramePr/>
            <a:graphic xmlns:a="http://schemas.openxmlformats.org/drawingml/2006/main">
              <a:graphicData uri="http://schemas.openxmlformats.org/drawingml/2006/picture">
                <pic:pic xmlns:pic="http://schemas.openxmlformats.org/drawingml/2006/picture">
                  <pic:nvPicPr>
                    <pic:cNvPr id="1" name="图片 8" descr="半页"/>
                    <pic:cNvPicPr/>
                  </pic:nvPicPr>
                  <pic:blipFill>
                    <a:blip r:embed="rId7" cstate="print"/>
                    <a:srcRect/>
                    <a:stretch>
                      <a:fillRect/>
                    </a:stretch>
                  </pic:blipFill>
                  <pic:spPr>
                    <a:xfrm>
                      <a:off x="0" y="0"/>
                      <a:ext cx="7552689" cy="10687684"/>
                    </a:xfrm>
                    <a:prstGeom prst="rect">
                      <a:avLst/>
                    </a:prstGeom>
                  </pic:spPr>
                </pic:pic>
              </a:graphicData>
            </a:graphic>
          </wp:anchor>
        </w:drawing>
      </w:r>
    </w:p>
    <w:p w14:paraId="25B132D4">
      <w:pPr>
        <w:widowControl/>
        <w:jc w:val="left"/>
        <w:rPr>
          <w:rFonts w:hint="eastAsia" w:ascii="黑体" w:hAnsi="黑体" w:eastAsia="黑体" w:cs="黑体"/>
        </w:rPr>
      </w:pPr>
      <w:r>
        <w:rPr>
          <w:rFonts w:hint="eastAsia" w:ascii="黑体" w:hAnsi="黑体" w:eastAsia="黑体" w:cs="黑体"/>
        </w:rPr>
        <w:br w:type="page"/>
      </w:r>
    </w:p>
    <w:p w14:paraId="2636608A">
      <w:pPr>
        <w:rPr>
          <w:rFonts w:hint="eastAsia" w:ascii="黑体" w:hAnsi="黑体" w:eastAsia="黑体" w:cs="黑体"/>
        </w:rPr>
      </w:pPr>
    </w:p>
    <w:p w14:paraId="4580B25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531171C9">
      <w:pPr>
        <w:widowControl/>
        <w:spacing w:before="156" w:beforeLines="50" w:line="360" w:lineRule="auto"/>
        <w:ind w:left="105" w:leftChars="50" w:right="105" w:rightChars="50" w:firstLine="480" w:firstLineChars="200"/>
        <w:jc w:val="left"/>
        <w:rPr>
          <w:rFonts w:hint="eastAsia" w:ascii="黑体" w:hAnsi="黑体" w:eastAsia="黑体" w:cs="黑体"/>
          <w:color w:val="595959"/>
          <w:sz w:val="24"/>
          <w:szCs w:val="24"/>
        </w:rPr>
      </w:pPr>
      <w:r>
        <w:rPr>
          <w:rFonts w:hint="eastAsia" w:ascii="黑体" w:hAnsi="黑体" w:eastAsia="黑体" w:cs="黑体"/>
          <w:color w:val="595959"/>
          <w:sz w:val="24"/>
          <w:szCs w:val="24"/>
        </w:rPr>
        <w:t>您好！</w:t>
      </w:r>
    </w:p>
    <w:p w14:paraId="47D223B6">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54404665">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33B6EB0">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公司郑重承诺对您的基因数据和个人资料予以严格保密，在没有获得您本人同意或国家法律法规强制性要求公开的情况下，我们不会将您的数据泄露给任何第三方机构和个人。</w:t>
      </w:r>
    </w:p>
    <w:p w14:paraId="38E76E3F">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color w:val="595959"/>
          <w:sz w:val="24"/>
          <w:szCs w:val="24"/>
        </w:rPr>
        <w:t>基石全体将竭诚为您科学护航，真诚地祝愿您早日康复！</w:t>
      </w:r>
    </w:p>
    <w:p w14:paraId="2FBE1B62">
      <w:pPr>
        <w:widowControl/>
        <w:spacing w:line="360" w:lineRule="auto"/>
        <w:ind w:right="105" w:rightChars="50"/>
        <w:jc w:val="left"/>
        <w:rPr>
          <w:rFonts w:hint="eastAsia" w:ascii="黑体" w:hAnsi="黑体" w:eastAsia="黑体" w:cs="黑体"/>
          <w:bCs/>
          <w:color w:val="262626"/>
          <w:sz w:val="24"/>
          <w:szCs w:val="24"/>
        </w:rPr>
      </w:pPr>
    </w:p>
    <w:p w14:paraId="129747E3">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7B14FF58">
      <w:pPr>
        <w:widowControl/>
        <w:ind w:left="105" w:leftChars="50" w:right="105" w:rightChars="50"/>
        <w:jc w:val="left"/>
        <w:rPr>
          <w:rFonts w:hint="eastAsia" w:ascii="黑体" w:hAnsi="黑体" w:eastAsia="黑体" w:cs="黑体"/>
          <w:b/>
          <w:bCs/>
          <w:color w:val="005BAB"/>
          <w:sz w:val="28"/>
          <w:szCs w:val="28"/>
        </w:rPr>
      </w:pPr>
    </w:p>
    <w:p w14:paraId="70193577">
      <w:pPr>
        <w:rPr>
          <w:rFonts w:hint="eastAsia" w:ascii="黑体" w:hAnsi="黑体" w:eastAsia="黑体" w:cs="黑体"/>
        </w:rPr>
      </w:pPr>
    </w:p>
    <w:p w14:paraId="6B09CA53">
      <w:pPr>
        <w:rPr>
          <w:rFonts w:hint="eastAsia" w:ascii="黑体" w:hAnsi="黑体" w:eastAsia="黑体" w:cs="黑体"/>
        </w:rPr>
      </w:pPr>
      <w:r>
        <w:rPr>
          <w:rFonts w:hint="eastAsia" w:ascii="黑体" w:hAnsi="黑体" w:eastAsia="黑体" w:cs="黑体"/>
        </w:rPr>
        <w:br w:type="page"/>
      </w:r>
    </w:p>
    <w:p w14:paraId="516B5215">
      <w:pPr>
        <w:tabs>
          <w:tab w:val="center" w:pos="4937"/>
          <w:tab w:val="left" w:pos="8664"/>
        </w:tabs>
        <w:spacing w:before="120"/>
        <w:jc w:val="left"/>
        <w:outlineLvl w:val="9"/>
        <w:rPr>
          <w:rFonts w:hint="eastAsia" w:ascii="黑体" w:hAnsi="黑体" w:eastAsia="黑体" w:cs="黑体"/>
          <w:color w:val="01528E"/>
          <w:sz w:val="36"/>
          <w:szCs w:val="36"/>
        </w:rPr>
      </w:pPr>
      <w:bookmarkStart w:id="0" w:name="_Toc117522755"/>
      <w:bookmarkStart w:id="1" w:name="_Toc81408789"/>
      <w:bookmarkStart w:id="2" w:name="_Toc114664075"/>
      <w:bookmarkStart w:id="3" w:name="_Toc116571888"/>
      <w:r>
        <w:rPr>
          <w:rFonts w:hint="eastAsia" w:ascii="黑体" w:hAnsi="黑体" w:eastAsia="黑体" w:cs="黑体"/>
          <w:color w:val="01528E"/>
          <w:sz w:val="36"/>
          <w:szCs w:val="36"/>
        </w:rPr>
        <w:tab/>
      </w:r>
      <w:bookmarkStart w:id="4" w:name="_Toc205305054"/>
      <w:bookmarkStart w:id="5" w:name="_Toc21118"/>
      <w:bookmarkStart w:id="6" w:name="_Toc14652"/>
      <w:r>
        <w:rPr>
          <w:rFonts w:hint="eastAsia" w:ascii="黑体" w:hAnsi="黑体" w:eastAsia="黑体" w:cs="黑体"/>
          <w:color w:val="01528E"/>
          <w:sz w:val="36"/>
          <w:szCs w:val="36"/>
        </w:rPr>
        <w:t>目  录</w:t>
      </w:r>
      <w:bookmarkEnd w:id="0"/>
      <w:bookmarkEnd w:id="1"/>
      <w:bookmarkEnd w:id="2"/>
      <w:bookmarkEnd w:id="3"/>
      <w:bookmarkEnd w:id="4"/>
      <w:bookmarkEnd w:id="5"/>
      <w:bookmarkEnd w:id="6"/>
    </w:p>
    <w:p w14:paraId="306762CA">
      <w:pPr>
        <w:rPr>
          <w:rFonts w:hint="eastAsia" w:ascii="黑体" w:hAnsi="黑体" w:eastAsia="黑体" w:cs="黑体"/>
          <w:b/>
          <w:bCs/>
          <w:color w:val="01528E"/>
          <w:sz w:val="24"/>
          <w:szCs w:val="24"/>
        </w:rPr>
      </w:pPr>
    </w:p>
    <w:p w14:paraId="5A5521A5">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TOC \o "1-3" \h \z \u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HYPERLINK \l _Toc10000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第一部分：检测基本信息</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_Toc10000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3</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en-US" w:eastAsia="zh-CN" w:bidi="ar-SA"/>
        </w:rPr>
        <w:fldChar w:fldCharType="end"/>
      </w:r>
    </w:p>
    <w:p w14:paraId="5F30C916">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_Toc24977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个人信息</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_Toc24977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17AF6B0">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_Toc7383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检测概况</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_Toc7383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4</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350178E4">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_Toc31190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样本质控</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_Toc31190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5</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9D7E24B">
      <w:pPr>
        <w:rPr>
          <w:rFonts w:hint="eastAsia" w:ascii="黑体" w:hAnsi="黑体" w:eastAsia="黑体" w:cs="黑体"/>
        </w:rPr>
      </w:pPr>
    </w:p>
    <w:p w14:paraId="7A9A8B9E">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_Toc2261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第二部分：检测结果总览</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_Toc2261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6</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7459A77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_Toc12953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 ctDNA检测预后提示</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_Toc12953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6</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7A39A72">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_Toc5882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2. ctDNA变化趋势</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_Toc5882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8</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EF0EBB9">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_Toc21244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 循环肿瘤DNA检测结果</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_Toc21244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9</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D8B940E">
      <w:pPr>
        <w:rPr>
          <w:rFonts w:hint="eastAsia" w:ascii="黑体" w:hAnsi="黑体" w:eastAsia="黑体" w:cs="黑体"/>
        </w:rPr>
      </w:pPr>
    </w:p>
    <w:p w14:paraId="281BCC57">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zh-CN"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_Toc30962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第三部分：备注与附录</w:t>
      </w:r>
      <w:r>
        <w:rPr>
          <w:rFonts w:hint="eastAsia" w:ascii="黑体" w:hAnsi="黑体" w:eastAsia="黑体" w:cs="黑体"/>
          <w:b/>
          <w:bCs/>
          <w:color w:val="01528E"/>
          <w:kern w:val="2"/>
          <w:sz w:val="24"/>
          <w:szCs w:val="24"/>
          <w:lang w:val="zh-CN" w:eastAsia="zh-CN" w:bidi="ar-SA"/>
        </w:rPr>
        <w:tab/>
      </w: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PAGEREF _Toc30962 \h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zh-CN" w:eastAsia="zh-CN" w:bidi="ar-SA"/>
        </w:rPr>
        <w:t>10</w:t>
      </w:r>
      <w:r>
        <w:rPr>
          <w:rFonts w:hint="eastAsia" w:ascii="黑体" w:hAnsi="黑体" w:eastAsia="黑体" w:cs="黑体"/>
          <w:b/>
          <w:bCs/>
          <w:color w:val="01528E"/>
          <w:kern w:val="2"/>
          <w:sz w:val="24"/>
          <w:szCs w:val="24"/>
          <w:lang w:val="zh-CN"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0215F9F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_Toc30924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备  注</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_Toc30924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10</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1D5A188">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_Toc25852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附录.参考文献</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_Toc25852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12</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F5597B3">
      <w:pPr>
        <w:pStyle w:val="11"/>
        <w:tabs>
          <w:tab w:val="right" w:leader="dot" w:pos="9742"/>
        </w:tabs>
        <w:spacing w:line="360" w:lineRule="auto"/>
        <w:rPr>
          <w:rFonts w:hint="eastAsia" w:ascii="黑体" w:hAnsi="黑体" w:eastAsia="黑体" w:cs="黑体"/>
          <w:sz w:val="24"/>
          <w:szCs w:val="24"/>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531FEC95">
      <w:pPr>
        <w:widowControl/>
        <w:jc w:val="left"/>
        <w:rPr>
          <w:rFonts w:hint="eastAsia" w:ascii="黑体" w:hAnsi="黑体" w:eastAsia="黑体" w:cs="黑体"/>
        </w:rPr>
      </w:pPr>
      <w:r>
        <w:rPr>
          <w:rFonts w:hint="eastAsia" w:ascii="黑体" w:hAnsi="黑体" w:eastAsia="黑体" w:cs="黑体"/>
        </w:rPr>
        <w:br w:type="page"/>
      </w:r>
    </w:p>
    <w:p w14:paraId="545D3BF7">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7" w:name="_Toc10000"/>
      <w:bookmarkStart w:id="8" w:name="_Toc114664077"/>
      <w:bookmarkStart w:id="9" w:name="_Toc93496790"/>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7"/>
    </w:p>
    <w:p w14:paraId="2CEA94A9">
      <w:pPr>
        <w:pStyle w:val="3"/>
        <w:snapToGrid w:val="0"/>
        <w:spacing w:line="360" w:lineRule="auto"/>
        <w:jc w:val="center"/>
        <w:outlineLvl w:val="1"/>
        <w:rPr>
          <w:rFonts w:hint="eastAsia" w:ascii="黑体" w:hAnsi="黑体" w:eastAsia="黑体" w:cs="黑体"/>
          <w:b w:val="0"/>
          <w:bCs w:val="0"/>
          <w:color w:val="01528E"/>
          <w:sz w:val="36"/>
          <w:szCs w:val="36"/>
        </w:rPr>
      </w:pPr>
      <w:bookmarkStart w:id="10" w:name="_Toc24977"/>
      <w:r>
        <w:rPr>
          <w:rFonts w:hint="eastAsia" w:ascii="黑体" w:hAnsi="黑体" w:eastAsia="黑体" w:cs="黑体"/>
          <w:bCs w:val="0"/>
          <w:color w:val="01528E"/>
          <w:sz w:val="36"/>
          <w:szCs w:val="36"/>
        </w:rPr>
        <w:t>个人信息</w:t>
      </w:r>
      <w:bookmarkEnd w:id="8"/>
      <w:bookmarkEnd w:id="9"/>
      <w:bookmarkEnd w:id="10"/>
    </w:p>
    <w:tbl>
      <w:tblPr>
        <w:tblStyle w:val="16"/>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53"/>
        <w:gridCol w:w="2015"/>
        <w:gridCol w:w="1344"/>
        <w:gridCol w:w="791"/>
        <w:gridCol w:w="898"/>
        <w:gridCol w:w="506"/>
        <w:gridCol w:w="726"/>
        <w:gridCol w:w="1708"/>
      </w:tblGrid>
      <w:tr w14:paraId="376BA0F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7FEB3C9C">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288A393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1F77D441">
            <w:pPr>
              <w:rPr>
                <w:rFonts w:hint="eastAsia" w:ascii="黑体" w:hAnsi="黑体" w:eastAsia="黑体" w:cs="黑体"/>
                <w:b/>
                <w:color w:val="01528E"/>
                <w:kern w:val="0"/>
                <w:szCs w:val="21"/>
              </w:rPr>
            </w:pPr>
            <w:r>
              <w:rPr>
                <w:rFonts w:hint="eastAsia" w:ascii="黑体" w:hAnsi="黑体" w:eastAsia="黑体" w:cs="黑体"/>
                <w:b/>
                <w:color w:val="01528E"/>
                <w:kern w:val="0"/>
              </w:rPr>
              <w:t>姓    名：</w:t>
            </w:r>
          </w:p>
        </w:tc>
        <w:tc>
          <w:tcPr>
            <w:tcW w:w="2015" w:type="dxa"/>
            <w:vAlign w:val="center"/>
          </w:tcPr>
          <w:p w14:paraId="246B13DE">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{{client}}</w:t>
            </w:r>
          </w:p>
        </w:tc>
        <w:tc>
          <w:tcPr>
            <w:tcW w:w="1344" w:type="dxa"/>
            <w:vAlign w:val="center"/>
          </w:tcPr>
          <w:p w14:paraId="2A1303C6">
            <w:pPr>
              <w:rPr>
                <w:rFonts w:hint="eastAsia" w:ascii="黑体" w:hAnsi="黑体" w:eastAsia="黑体" w:cs="黑体"/>
                <w:b/>
                <w:color w:val="006AB4"/>
                <w:kern w:val="0"/>
                <w:szCs w:val="21"/>
              </w:rPr>
            </w:pPr>
            <w:r>
              <w:rPr>
                <w:rFonts w:hint="eastAsia" w:ascii="黑体" w:hAnsi="黑体" w:eastAsia="黑体" w:cs="黑体"/>
                <w:b/>
                <w:color w:val="01528E"/>
                <w:kern w:val="0"/>
              </w:rPr>
              <w:t>性    别：</w:t>
            </w:r>
          </w:p>
        </w:tc>
        <w:tc>
          <w:tcPr>
            <w:tcW w:w="1689" w:type="dxa"/>
            <w:gridSpan w:val="2"/>
            <w:vAlign w:val="center"/>
          </w:tcPr>
          <w:p w14:paraId="3E4AE41E">
            <w:pPr>
              <w:rPr>
                <w:rFonts w:hint="eastAsia" w:ascii="黑体" w:hAnsi="黑体" w:eastAsia="黑体" w:cs="黑体"/>
                <w:kern w:val="0"/>
                <w:szCs w:val="21"/>
              </w:rPr>
            </w:pPr>
            <w:r>
              <w:rPr>
                <w:rFonts w:hint="eastAsia" w:ascii="黑体" w:hAnsi="黑体" w:eastAsia="黑体" w:cs="黑体"/>
                <w:color w:val="595959"/>
                <w:kern w:val="0"/>
                <w:lang w:val="en-US" w:eastAsia="zh-CN"/>
              </w:rPr>
              <w:t>{{sex}}</w:t>
            </w:r>
          </w:p>
        </w:tc>
        <w:tc>
          <w:tcPr>
            <w:tcW w:w="1232" w:type="dxa"/>
            <w:gridSpan w:val="2"/>
            <w:vAlign w:val="center"/>
          </w:tcPr>
          <w:p w14:paraId="09F4934D">
            <w:pPr>
              <w:rPr>
                <w:rFonts w:hint="eastAsia" w:ascii="黑体" w:hAnsi="黑体" w:eastAsia="黑体" w:cs="黑体"/>
                <w:b/>
                <w:color w:val="006AB4"/>
                <w:kern w:val="0"/>
                <w:szCs w:val="21"/>
              </w:rPr>
            </w:pPr>
            <w:r>
              <w:rPr>
                <w:rFonts w:hint="eastAsia" w:ascii="黑体" w:hAnsi="黑体" w:eastAsia="黑体" w:cs="黑体"/>
                <w:b/>
                <w:color w:val="01528E"/>
                <w:kern w:val="0"/>
              </w:rPr>
              <w:t>年    龄：</w:t>
            </w:r>
          </w:p>
        </w:tc>
        <w:tc>
          <w:tcPr>
            <w:tcW w:w="1708" w:type="dxa"/>
            <w:vAlign w:val="center"/>
          </w:tcPr>
          <w:p w14:paraId="2E5604EA">
            <w:pPr>
              <w:rPr>
                <w:rFonts w:hint="eastAsia" w:ascii="黑体" w:hAnsi="黑体" w:eastAsia="黑体" w:cs="黑体"/>
                <w:kern w:val="0"/>
                <w:szCs w:val="21"/>
              </w:rPr>
            </w:pPr>
            <w:r>
              <w:rPr>
                <w:rFonts w:hint="eastAsia" w:ascii="黑体" w:hAnsi="黑体" w:eastAsia="黑体" w:cs="黑体"/>
                <w:color w:val="595959"/>
                <w:kern w:val="0"/>
                <w:lang w:val="en-US" w:eastAsia="zh-CN"/>
              </w:rPr>
              <w:t>{{age}}</w:t>
            </w:r>
            <w:r>
              <w:rPr>
                <w:rFonts w:hint="eastAsia" w:ascii="黑体" w:hAnsi="黑体" w:eastAsia="黑体" w:cs="黑体"/>
                <w:color w:val="595959"/>
                <w:kern w:val="0"/>
              </w:rPr>
              <w:t>岁</w:t>
            </w:r>
          </w:p>
        </w:tc>
      </w:tr>
      <w:tr w14:paraId="43D7BED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F7BAA9F">
            <w:pPr>
              <w:rPr>
                <w:rFonts w:hint="eastAsia" w:ascii="黑体" w:hAnsi="黑体" w:eastAsia="黑体" w:cs="黑体"/>
                <w:b/>
                <w:kern w:val="0"/>
                <w:szCs w:val="21"/>
              </w:rPr>
            </w:pPr>
            <w:r>
              <w:rPr>
                <w:rFonts w:hint="eastAsia" w:ascii="黑体" w:hAnsi="黑体" w:eastAsia="黑体" w:cs="黑体"/>
                <w:b/>
                <w:color w:val="01528E"/>
                <w:kern w:val="0"/>
              </w:rPr>
              <w:t>样本编号：</w:t>
            </w:r>
          </w:p>
        </w:tc>
        <w:tc>
          <w:tcPr>
            <w:tcW w:w="2015" w:type="dxa"/>
            <w:vAlign w:val="center"/>
          </w:tcPr>
          <w:p w14:paraId="55F4BD9F">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{{subbarcode}}</w:t>
            </w:r>
          </w:p>
        </w:tc>
        <w:tc>
          <w:tcPr>
            <w:tcW w:w="1344" w:type="dxa"/>
            <w:vAlign w:val="center"/>
          </w:tcPr>
          <w:p w14:paraId="01DA10FA">
            <w:pPr>
              <w:rPr>
                <w:rFonts w:hint="eastAsia" w:ascii="黑体" w:hAnsi="黑体" w:eastAsia="黑体" w:cs="黑体"/>
                <w:b/>
                <w:kern w:val="0"/>
                <w:szCs w:val="21"/>
              </w:rPr>
            </w:pPr>
            <w:r>
              <w:rPr>
                <w:rFonts w:hint="eastAsia" w:ascii="黑体" w:hAnsi="黑体" w:eastAsia="黑体" w:cs="黑体"/>
                <w:b/>
                <w:color w:val="01528E"/>
                <w:kern w:val="0"/>
              </w:rPr>
              <w:t>样本类型：</w:t>
            </w:r>
          </w:p>
        </w:tc>
        <w:tc>
          <w:tcPr>
            <w:tcW w:w="4629" w:type="dxa"/>
            <w:gridSpan w:val="5"/>
            <w:vAlign w:val="center"/>
          </w:tcPr>
          <w:p w14:paraId="46C0E3DE">
            <w:pPr>
              <w:rPr>
                <w:rFonts w:hint="eastAsia" w:ascii="黑体" w:hAnsi="黑体" w:eastAsia="黑体" w:cs="黑体"/>
                <w:kern w:val="0"/>
                <w:szCs w:val="21"/>
              </w:rPr>
            </w:pPr>
            <w:r>
              <w:rPr>
                <w:rFonts w:hint="eastAsia" w:ascii="黑体" w:hAnsi="黑体" w:eastAsia="黑体" w:cs="黑体"/>
                <w:color w:val="595959"/>
                <w:kern w:val="0"/>
                <w:lang w:val="en-US" w:eastAsia="zh-CN"/>
              </w:rPr>
              <w:t>{{specimentype}}</w:t>
            </w:r>
          </w:p>
        </w:tc>
      </w:tr>
      <w:tr w14:paraId="4DCFCC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73C540C7">
            <w:pPr>
              <w:rPr>
                <w:rFonts w:hint="eastAsia" w:ascii="黑体" w:hAnsi="黑体" w:eastAsia="黑体" w:cs="黑体"/>
                <w:b/>
                <w:color w:val="006AB4"/>
                <w:kern w:val="0"/>
                <w:szCs w:val="21"/>
              </w:rPr>
            </w:pPr>
            <w:r>
              <w:rPr>
                <w:rFonts w:hint="eastAsia" w:ascii="黑体" w:hAnsi="黑体" w:eastAsia="黑体" w:cs="黑体"/>
                <w:b/>
                <w:color w:val="01528E"/>
                <w:kern w:val="0"/>
              </w:rPr>
              <w:t>检测项目：</w:t>
            </w:r>
          </w:p>
        </w:tc>
        <w:tc>
          <w:tcPr>
            <w:tcW w:w="7988" w:type="dxa"/>
            <w:gridSpan w:val="7"/>
            <w:vAlign w:val="center"/>
          </w:tcPr>
          <w:p w14:paraId="66B70ED4">
            <w:pPr>
              <w:rPr>
                <w:rFonts w:hint="eastAsia" w:ascii="黑体" w:hAnsi="黑体" w:eastAsia="黑体" w:cs="黑体"/>
                <w:color w:val="595959"/>
                <w:kern w:val="0"/>
                <w:szCs w:val="21"/>
                <w:lang w:val="en-US" w:eastAsia="zh-CN"/>
              </w:rPr>
            </w:pPr>
            <w:r>
              <w:rPr>
                <w:rFonts w:hint="eastAsia" w:ascii="黑体" w:hAnsi="黑体" w:eastAsia="黑体" w:cs="黑体"/>
                <w:color w:val="595959"/>
                <w:kern w:val="0"/>
              </w:rPr>
              <w:t>实体瘤微小残留病灶（MRD）检测（1+3）-</w:t>
            </w:r>
            <w:r>
              <w:rPr>
                <w:rFonts w:hint="eastAsia" w:ascii="黑体" w:hAnsi="黑体" w:eastAsia="黑体" w:cs="黑体"/>
                <w:color w:val="595959"/>
                <w:kern w:val="0"/>
                <w:lang w:val="en-US" w:eastAsia="zh-CN"/>
              </w:rPr>
              <w:t>监测</w:t>
            </w:r>
          </w:p>
        </w:tc>
      </w:tr>
      <w:tr w14:paraId="32ABFD0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45336ABD">
            <w:pPr>
              <w:rPr>
                <w:rFonts w:hint="eastAsia" w:ascii="黑体" w:hAnsi="黑体" w:eastAsia="黑体" w:cs="黑体"/>
                <w:b/>
                <w:color w:val="01528E"/>
                <w:kern w:val="0"/>
                <w:szCs w:val="21"/>
              </w:rPr>
            </w:pPr>
            <w:r>
              <w:rPr>
                <w:rFonts w:hint="eastAsia" w:ascii="黑体" w:hAnsi="黑体" w:eastAsia="黑体" w:cs="黑体"/>
                <w:b/>
                <w:color w:val="01528E"/>
                <w:kern w:val="0"/>
              </w:rPr>
              <w:t xml:space="preserve">临床诊断： </w:t>
            </w:r>
          </w:p>
        </w:tc>
        <w:tc>
          <w:tcPr>
            <w:tcW w:w="7988" w:type="dxa"/>
            <w:gridSpan w:val="7"/>
            <w:vAlign w:val="center"/>
          </w:tcPr>
          <w:p w14:paraId="03E85499">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{{diseaseName}}</w:t>
            </w:r>
          </w:p>
        </w:tc>
      </w:tr>
      <w:tr w14:paraId="2B15C5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D182DB6">
            <w:pPr>
              <w:rPr>
                <w:rFonts w:hint="eastAsia" w:ascii="黑体" w:hAnsi="黑体" w:eastAsia="黑体" w:cs="黑体"/>
                <w:b/>
                <w:color w:val="01528E"/>
                <w:kern w:val="0"/>
                <w:szCs w:val="21"/>
              </w:rPr>
            </w:pPr>
            <w:r>
              <w:rPr>
                <w:rFonts w:hint="eastAsia" w:ascii="黑体" w:hAnsi="黑体" w:eastAsia="黑体" w:cs="黑体"/>
                <w:b/>
                <w:color w:val="01528E"/>
                <w:kern w:val="0"/>
              </w:rPr>
              <w:t>病理描述：</w:t>
            </w:r>
          </w:p>
        </w:tc>
        <w:tc>
          <w:tcPr>
            <w:tcW w:w="7988" w:type="dxa"/>
            <w:gridSpan w:val="7"/>
            <w:vAlign w:val="center"/>
          </w:tcPr>
          <w:p w14:paraId="48AC0EC5">
            <w:pPr>
              <w:rPr>
                <w:rFonts w:hint="eastAsia" w:ascii="黑体" w:hAnsi="黑体" w:eastAsia="黑体" w:cs="黑体"/>
                <w:color w:val="595959"/>
                <w:kern w:val="0"/>
                <w:szCs w:val="21"/>
              </w:rPr>
            </w:pPr>
            <w:r>
              <w:rPr>
                <w:rFonts w:hint="eastAsia" w:ascii="黑体" w:hAnsi="黑体" w:eastAsia="黑体" w:cs="黑体"/>
                <w:color w:val="595959"/>
                <w:kern w:val="0"/>
              </w:rPr>
              <w:t>--</w:t>
            </w:r>
          </w:p>
        </w:tc>
      </w:tr>
      <w:tr w14:paraId="0DE008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54A93EDC">
            <w:pPr>
              <w:rPr>
                <w:rFonts w:hint="eastAsia" w:ascii="黑体" w:hAnsi="黑体" w:eastAsia="黑体" w:cs="黑体"/>
                <w:b/>
                <w:color w:val="01528E"/>
                <w:kern w:val="0"/>
                <w:szCs w:val="21"/>
              </w:rPr>
            </w:pPr>
            <w:r>
              <w:rPr>
                <w:rFonts w:hint="eastAsia" w:ascii="黑体" w:hAnsi="黑体" w:eastAsia="黑体" w:cs="黑体"/>
                <w:b/>
                <w:color w:val="01528E"/>
                <w:kern w:val="0"/>
              </w:rPr>
              <w:t>送检日期：</w:t>
            </w:r>
          </w:p>
        </w:tc>
        <w:tc>
          <w:tcPr>
            <w:tcW w:w="4150" w:type="dxa"/>
            <w:gridSpan w:val="3"/>
            <w:vAlign w:val="center"/>
          </w:tcPr>
          <w:p w14:paraId="564DE5D7">
            <w:pPr>
              <w:rPr>
                <w:rFonts w:hint="eastAsia" w:ascii="黑体" w:hAnsi="黑体" w:eastAsia="黑体" w:cs="黑体"/>
                <w:kern w:val="0"/>
                <w:szCs w:val="21"/>
              </w:rPr>
            </w:pPr>
            <w:r>
              <w:rPr>
                <w:rFonts w:hint="eastAsia" w:ascii="黑体" w:hAnsi="黑体" w:eastAsia="黑体" w:cs="黑体"/>
                <w:color w:val="595959"/>
                <w:kern w:val="0"/>
                <w:lang w:val="en-US" w:eastAsia="zh-CN"/>
              </w:rPr>
              <w:t>{{ commission_date }}</w:t>
            </w:r>
          </w:p>
        </w:tc>
        <w:tc>
          <w:tcPr>
            <w:tcW w:w="1404" w:type="dxa"/>
            <w:gridSpan w:val="2"/>
            <w:vAlign w:val="center"/>
          </w:tcPr>
          <w:p w14:paraId="6ED60E13">
            <w:pPr>
              <w:rPr>
                <w:rFonts w:hint="eastAsia" w:ascii="黑体" w:hAnsi="黑体" w:eastAsia="黑体" w:cs="黑体"/>
                <w:b/>
                <w:kern w:val="0"/>
                <w:szCs w:val="21"/>
              </w:rPr>
            </w:pPr>
            <w:r>
              <w:rPr>
                <w:rFonts w:hint="eastAsia" w:ascii="黑体" w:hAnsi="黑体" w:eastAsia="黑体" w:cs="黑体"/>
                <w:b/>
                <w:color w:val="01528E"/>
                <w:kern w:val="0"/>
              </w:rPr>
              <w:t>报告日期：</w:t>
            </w:r>
          </w:p>
        </w:tc>
        <w:tc>
          <w:tcPr>
            <w:tcW w:w="2434" w:type="dxa"/>
            <w:gridSpan w:val="2"/>
            <w:vAlign w:val="center"/>
          </w:tcPr>
          <w:p w14:paraId="1B73525E">
            <w:pPr>
              <w:rPr>
                <w:rFonts w:hint="eastAsia" w:ascii="黑体" w:hAnsi="黑体" w:eastAsia="黑体" w:cs="黑体"/>
                <w:kern w:val="0"/>
                <w:szCs w:val="21"/>
              </w:rPr>
            </w:pPr>
            <w:r>
              <w:rPr>
                <w:rFonts w:hint="eastAsia" w:ascii="黑体" w:hAnsi="黑体" w:eastAsia="黑体" w:cs="黑体"/>
                <w:color w:val="595959"/>
                <w:kern w:val="0"/>
                <w:lang w:val="en-US" w:eastAsia="zh-CN"/>
              </w:rPr>
              <w:t>{{reportdate}}</w:t>
            </w:r>
          </w:p>
        </w:tc>
      </w:tr>
    </w:tbl>
    <w:p w14:paraId="0187B787">
      <w:pPr>
        <w:rPr>
          <w:rFonts w:hint="eastAsia" w:ascii="黑体" w:hAnsi="黑体" w:eastAsia="黑体" w:cs="黑体"/>
        </w:rPr>
      </w:pPr>
      <w:r>
        <w:rPr>
          <w:rFonts w:hint="eastAsia" w:ascii="黑体" w:hAnsi="黑体" w:eastAsia="黑体" w:cs="黑体"/>
        </w:rPr>
        <w:br w:type="page"/>
      </w:r>
    </w:p>
    <w:p w14:paraId="11A41FF1">
      <w:pPr>
        <w:pStyle w:val="3"/>
        <w:spacing w:after="312" w:afterLines="100"/>
        <w:jc w:val="center"/>
        <w:rPr>
          <w:rFonts w:hint="eastAsia" w:ascii="黑体" w:hAnsi="黑体" w:eastAsia="黑体" w:cs="黑体"/>
        </w:rPr>
      </w:pPr>
      <w:bookmarkStart w:id="11" w:name="_Toc114664078"/>
      <w:bookmarkStart w:id="12" w:name="_Toc7383"/>
      <w:bookmarkStart w:id="13" w:name="_Toc93496791"/>
      <w:r>
        <w:rPr>
          <w:rFonts w:hint="eastAsia" w:ascii="黑体" w:hAnsi="黑体" w:eastAsia="黑体" w:cs="黑体"/>
          <w:bCs w:val="0"/>
          <w:color w:val="01528E"/>
          <w:sz w:val="36"/>
          <w:szCs w:val="36"/>
        </w:rPr>
        <w:t>检</w:t>
      </w:r>
      <w:bookmarkStart w:id="14" w:name="_Hlk79586569"/>
      <w:r>
        <w:rPr>
          <w:rFonts w:hint="eastAsia" w:ascii="黑体" w:hAnsi="黑体" w:eastAsia="黑体" w:cs="黑体"/>
          <w:bCs w:val="0"/>
          <w:color w:val="01528E"/>
          <w:sz w:val="36"/>
          <w:szCs w:val="36"/>
        </w:rPr>
        <w:t>测概况</w:t>
      </w:r>
      <w:bookmarkEnd w:id="11"/>
      <w:bookmarkEnd w:id="12"/>
    </w:p>
    <w:tbl>
      <w:tblPr>
        <w:tblStyle w:val="29"/>
        <w:tblW w:w="958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830"/>
        <w:gridCol w:w="4314"/>
        <w:gridCol w:w="2436"/>
      </w:tblGrid>
      <w:tr w14:paraId="6F91C8D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shd w:val="clear" w:color="auto" w:fill="01528E"/>
            <w:vAlign w:val="center"/>
          </w:tcPr>
          <w:p w14:paraId="30130394">
            <w:pPr>
              <w:jc w:val="center"/>
              <w:rPr>
                <w:rFonts w:hint="eastAsia" w:ascii="黑体" w:hAnsi="黑体" w:eastAsia="黑体" w:cs="黑体"/>
                <w:b/>
                <w:i w:val="0"/>
                <w:color w:val="FFFFFF"/>
                <w:kern w:val="0"/>
                <w:sz w:val="24"/>
                <w:szCs w:val="20"/>
              </w:rPr>
            </w:pPr>
            <w:r>
              <w:rPr>
                <w:rFonts w:hint="eastAsia" w:ascii="黑体" w:hAnsi="黑体" w:eastAsia="黑体" w:cs="黑体"/>
                <w:b/>
                <w:i w:val="0"/>
                <w:color w:val="FFFFFF"/>
                <w:kern w:val="0"/>
                <w:sz w:val="24"/>
                <w:szCs w:val="20"/>
              </w:rPr>
              <w:t>检测项目</w:t>
            </w:r>
          </w:p>
        </w:tc>
        <w:tc>
          <w:tcPr>
            <w:tcW w:w="4314" w:type="dxa"/>
            <w:shd w:val="clear" w:color="auto" w:fill="01528E"/>
            <w:vAlign w:val="center"/>
          </w:tcPr>
          <w:p w14:paraId="6A18A20A">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检测内容</w:t>
            </w:r>
          </w:p>
        </w:tc>
        <w:tc>
          <w:tcPr>
            <w:tcW w:w="2436" w:type="dxa"/>
            <w:shd w:val="clear" w:color="auto" w:fill="01528E"/>
            <w:vAlign w:val="center"/>
          </w:tcPr>
          <w:p w14:paraId="7C49E8EF">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检测结果</w:t>
            </w:r>
          </w:p>
        </w:tc>
      </w:tr>
      <w:tr w14:paraId="464D0F9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1583AB9F">
            <w:pPr>
              <w:jc w:val="center"/>
              <w:rPr>
                <w:rFonts w:hint="eastAsia" w:ascii="黑体" w:hAnsi="黑体" w:eastAsia="黑体" w:cs="黑体"/>
                <w:b/>
                <w:bCs/>
                <w:color w:val="01528E"/>
                <w:kern w:val="0"/>
                <w:sz w:val="22"/>
                <w:szCs w:val="20"/>
              </w:rPr>
            </w:pPr>
            <w:r>
              <w:rPr>
                <w:rFonts w:hint="eastAsia" w:ascii="黑体" w:hAnsi="黑体" w:eastAsia="黑体" w:cs="黑体"/>
                <w:b/>
                <w:bCs/>
                <w:color w:val="01528E"/>
                <w:kern w:val="0"/>
                <w:sz w:val="22"/>
                <w:szCs w:val="20"/>
              </w:rPr>
              <w:t>MRD</w:t>
            </w:r>
          </w:p>
        </w:tc>
        <w:tc>
          <w:tcPr>
            <w:tcW w:w="4314" w:type="dxa"/>
            <w:vAlign w:val="center"/>
          </w:tcPr>
          <w:p w14:paraId="6249544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分子残留病灶</w:t>
            </w:r>
          </w:p>
          <w:p w14:paraId="272BDE37">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（molecular residual disease,MRD）</w:t>
            </w:r>
          </w:p>
        </w:tc>
        <w:tc>
          <w:tcPr>
            <w:tcW w:w="2436" w:type="dxa"/>
            <w:vAlign w:val="center"/>
          </w:tcPr>
          <w:p w14:paraId="6BDCA725">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{{mrd.mrd_status}}</w:t>
            </w:r>
          </w:p>
        </w:tc>
      </w:tr>
      <w:tr w14:paraId="213566D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2F547787">
            <w:pPr>
              <w:jc w:val="center"/>
              <w:rPr>
                <w:rFonts w:hint="eastAsia" w:ascii="黑体" w:hAnsi="黑体" w:eastAsia="黑体" w:cs="黑体"/>
                <w:b w:val="0"/>
                <w:bCs/>
                <w:color w:val="01528E"/>
                <w:kern w:val="0"/>
                <w:sz w:val="22"/>
                <w:szCs w:val="20"/>
              </w:rPr>
            </w:pPr>
            <w:r>
              <w:rPr>
                <w:rFonts w:hint="eastAsia" w:ascii="黑体" w:hAnsi="黑体" w:eastAsia="黑体" w:cs="黑体"/>
                <w:b/>
                <w:bCs/>
                <w:color w:val="01528E"/>
                <w:kern w:val="0"/>
                <w:sz w:val="22"/>
                <w:szCs w:val="20"/>
              </w:rPr>
              <w:t>ctDNA含量（MTM/mL）</w:t>
            </w:r>
          </w:p>
        </w:tc>
        <w:tc>
          <w:tcPr>
            <w:tcW w:w="4314" w:type="dxa"/>
            <w:vAlign w:val="center"/>
          </w:tcPr>
          <w:p w14:paraId="4EA4E243">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循环肿瘤DNA（circulating tumor DNA）含量</w:t>
            </w:r>
          </w:p>
        </w:tc>
        <w:tc>
          <w:tcPr>
            <w:tcW w:w="2436" w:type="dxa"/>
            <w:vAlign w:val="center"/>
          </w:tcPr>
          <w:p w14:paraId="086E2086">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{{mrd.mrdJson.ctDNA_content}}</w:t>
            </w:r>
          </w:p>
        </w:tc>
      </w:tr>
      <w:tr w14:paraId="4E848B70">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07FF80CB">
            <w:pPr>
              <w:jc w:val="center"/>
              <w:rPr>
                <w:rFonts w:hint="eastAsia" w:ascii="黑体" w:hAnsi="黑体" w:eastAsia="黑体" w:cs="黑体"/>
                <w:b/>
                <w:color w:val="01528E"/>
                <w:kern w:val="0"/>
                <w:sz w:val="22"/>
                <w:szCs w:val="20"/>
              </w:rPr>
            </w:pPr>
            <w:r>
              <w:rPr>
                <w:rFonts w:hint="eastAsia" w:ascii="黑体" w:hAnsi="黑体" w:eastAsia="黑体" w:cs="黑体"/>
                <w:b/>
                <w:bCs/>
                <w:color w:val="01528E"/>
                <w:kern w:val="0"/>
                <w:sz w:val="22"/>
                <w:szCs w:val="20"/>
              </w:rPr>
              <w:t>体细胞变异</w:t>
            </w:r>
          </w:p>
        </w:tc>
        <w:tc>
          <w:tcPr>
            <w:tcW w:w="4314" w:type="dxa"/>
            <w:vAlign w:val="center"/>
          </w:tcPr>
          <w:p w14:paraId="736C76F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根据患者肿瘤组织</w:t>
            </w:r>
            <w:r>
              <w:rPr>
                <w:rFonts w:hint="eastAsia" w:ascii="黑体" w:hAnsi="黑体" w:eastAsia="黑体" w:cs="黑体"/>
                <w:color w:val="595959"/>
                <w:kern w:val="0"/>
                <w:sz w:val="18"/>
                <w:szCs w:val="20"/>
                <w:lang w:val="en-US" w:eastAsia="zh-CN"/>
              </w:rPr>
              <w:t xml:space="preserve">1238 </w:t>
            </w:r>
            <w:r>
              <w:rPr>
                <w:rFonts w:hint="eastAsia" w:ascii="黑体" w:hAnsi="黑体" w:eastAsia="黑体" w:cs="黑体"/>
                <w:color w:val="595959"/>
                <w:kern w:val="0"/>
                <w:sz w:val="18"/>
                <w:szCs w:val="20"/>
              </w:rPr>
              <w:t>panel突变检测结果，并结合本癌种/实体瘤核心基因，为患者定制个性化监测探针</w:t>
            </w:r>
            <w:bookmarkEnd w:id="13"/>
          </w:p>
        </w:tc>
        <w:tc>
          <w:tcPr>
            <w:tcW w:w="2436" w:type="dxa"/>
            <w:vAlign w:val="center"/>
          </w:tcPr>
          <w:p w14:paraId="2F333EDA">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 xml:space="preserve">{% set ns = namespace(mrd_nums=0) %}{% for tds in mrd.mrdJson.mrd_tds %}{% if tds[-1] != '-' %}{% set ns.mrd_nums = ns.mrd_nums + 1 %} {% endif %}{% endfor %}{% if </w:t>
            </w:r>
            <w:r>
              <w:rPr>
                <w:rFonts w:hint="eastAsia" w:ascii="黑体" w:hAnsi="黑体" w:eastAsia="黑体" w:cs="黑体"/>
                <w:color w:val="595959"/>
                <w:kern w:val="0"/>
                <w:sz w:val="18"/>
                <w:szCs w:val="20"/>
                <w:lang w:val="en-US" w:eastAsia="zh-CN"/>
              </w:rPr>
              <w:t>ns.</w:t>
            </w:r>
            <w:r>
              <w:rPr>
                <w:rFonts w:hint="eastAsia" w:ascii="黑体" w:hAnsi="黑体" w:eastAsia="黑体" w:cs="黑体"/>
                <w:color w:val="595959"/>
                <w:kern w:val="0"/>
                <w:sz w:val="18"/>
                <w:szCs w:val="20"/>
              </w:rPr>
              <w:t>mrd_nums != 0 %}共检出{{ ns.mrd_nums }}个基因变异 {% else %}未检出基因变异{% endif %}</w:t>
            </w:r>
          </w:p>
        </w:tc>
      </w:tr>
    </w:tbl>
    <w:p w14:paraId="79A39648">
      <w:pPr>
        <w:rPr>
          <w:rStyle w:val="28"/>
          <w:rFonts w:hint="eastAsia" w:ascii="黑体" w:hAnsi="黑体" w:eastAsia="黑体" w:cs="黑体"/>
        </w:rPr>
      </w:pPr>
    </w:p>
    <w:bookmarkEnd w:id="14"/>
    <w:p w14:paraId="5AAB1D3F">
      <w:pPr>
        <w:widowControl/>
        <w:jc w:val="left"/>
        <w:rPr>
          <w:rFonts w:hint="eastAsia" w:ascii="黑体" w:hAnsi="黑体" w:eastAsia="黑体" w:cs="黑体"/>
          <w:b/>
          <w:bCs/>
          <w:color w:val="5B9CD6"/>
          <w:sz w:val="32"/>
          <w:szCs w:val="32"/>
        </w:rPr>
      </w:pPr>
    </w:p>
    <w:p w14:paraId="4BB5D36D">
      <w:pPr>
        <w:rPr>
          <w:rFonts w:hint="eastAsia" w:ascii="黑体" w:hAnsi="黑体" w:eastAsia="黑体" w:cs="黑体"/>
        </w:rPr>
      </w:pPr>
      <w:r>
        <w:rPr>
          <w:rFonts w:hint="eastAsia" w:ascii="黑体" w:hAnsi="黑体" w:eastAsia="黑体" w:cs="黑体"/>
        </w:rPr>
        <w:br w:type="page"/>
      </w:r>
    </w:p>
    <w:p w14:paraId="2DC0E978">
      <w:pPr>
        <w:pStyle w:val="3"/>
        <w:snapToGrid w:val="0"/>
        <w:spacing w:line="360" w:lineRule="auto"/>
        <w:jc w:val="center"/>
        <w:rPr>
          <w:rFonts w:hint="eastAsia" w:ascii="黑体" w:hAnsi="黑体" w:eastAsia="黑体" w:cs="黑体"/>
          <w:color w:val="01528E"/>
          <w:sz w:val="36"/>
          <w:szCs w:val="36"/>
        </w:rPr>
      </w:pPr>
      <w:bookmarkStart w:id="15" w:name="_Toc114664079"/>
      <w:bookmarkStart w:id="16" w:name="_Toc31190"/>
      <w:bookmarkStart w:id="17" w:name="_Toc93496792"/>
      <w:r>
        <w:rPr>
          <w:rFonts w:hint="eastAsia" w:ascii="黑体" w:hAnsi="黑体" w:eastAsia="黑体" w:cs="黑体"/>
          <w:color w:val="01528E"/>
          <w:sz w:val="36"/>
          <w:szCs w:val="36"/>
        </w:rPr>
        <w:t>样本质控</w:t>
      </w:r>
      <w:bookmarkEnd w:id="15"/>
      <w:bookmarkEnd w:id="16"/>
    </w:p>
    <w:tbl>
      <w:tblPr>
        <w:tblStyle w:val="15"/>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100B4F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67F39D9B">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01B0BCE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5866182E">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1C455548">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76AEAB0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61D96721">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病理评估</w:t>
            </w:r>
          </w:p>
        </w:tc>
        <w:tc>
          <w:tcPr>
            <w:tcW w:w="2717" w:type="dxa"/>
            <w:shd w:val="clear" w:color="auto" w:fill="auto"/>
            <w:vAlign w:val="center"/>
          </w:tcPr>
          <w:p w14:paraId="39F4CF0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肿瘤细胞含量</w:t>
            </w:r>
          </w:p>
        </w:tc>
        <w:tc>
          <w:tcPr>
            <w:tcW w:w="2378" w:type="dxa"/>
            <w:shd w:val="clear" w:color="auto" w:fill="auto"/>
            <w:vAlign w:val="center"/>
          </w:tcPr>
          <w:p w14:paraId="48B41806">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tumorcellcontent }}</w:t>
            </w:r>
          </w:p>
        </w:tc>
        <w:tc>
          <w:tcPr>
            <w:tcW w:w="2731" w:type="dxa"/>
            <w:shd w:val="clear" w:color="auto" w:fill="auto"/>
            <w:vAlign w:val="center"/>
          </w:tcPr>
          <w:p w14:paraId="59C4B33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≥10%</w:t>
            </w:r>
          </w:p>
        </w:tc>
      </w:tr>
      <w:tr w14:paraId="49BB26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A516C93">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核酸质量评估</w:t>
            </w:r>
          </w:p>
        </w:tc>
        <w:tc>
          <w:tcPr>
            <w:tcW w:w="2717" w:type="dxa"/>
            <w:shd w:val="clear" w:color="auto" w:fill="auto"/>
            <w:vAlign w:val="center"/>
          </w:tcPr>
          <w:p w14:paraId="58C8A879">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DNA总量（ng）</w:t>
            </w:r>
          </w:p>
        </w:tc>
        <w:tc>
          <w:tcPr>
            <w:tcW w:w="2378" w:type="dxa"/>
            <w:shd w:val="clear" w:color="auto" w:fill="auto"/>
            <w:vAlign w:val="center"/>
          </w:tcPr>
          <w:p w14:paraId="67562AFE">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DNA_total }}</w:t>
            </w:r>
          </w:p>
        </w:tc>
        <w:tc>
          <w:tcPr>
            <w:tcW w:w="2731" w:type="dxa"/>
            <w:shd w:val="clear" w:color="auto" w:fill="auto"/>
            <w:vAlign w:val="center"/>
          </w:tcPr>
          <w:p w14:paraId="5B1993F1">
            <w:pPr>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≥20</w:t>
            </w:r>
          </w:p>
        </w:tc>
      </w:tr>
      <w:tr w14:paraId="1ACCF0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D3534C0">
            <w:pPr>
              <w:rPr>
                <w:rFonts w:hint="eastAsia" w:ascii="黑体" w:hAnsi="黑体" w:eastAsia="黑体" w:cs="黑体"/>
                <w:b/>
                <w:bCs/>
                <w:color w:val="01528E"/>
                <w:sz w:val="21"/>
                <w:szCs w:val="21"/>
              </w:rPr>
            </w:pPr>
          </w:p>
        </w:tc>
        <w:tc>
          <w:tcPr>
            <w:tcW w:w="2717" w:type="dxa"/>
            <w:shd w:val="clear" w:color="auto" w:fill="auto"/>
            <w:vAlign w:val="center"/>
          </w:tcPr>
          <w:p w14:paraId="371DE01E">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DNA降解程度</w:t>
            </w:r>
          </w:p>
        </w:tc>
        <w:tc>
          <w:tcPr>
            <w:tcW w:w="2378" w:type="dxa"/>
            <w:shd w:val="clear" w:color="auto" w:fill="auto"/>
            <w:vAlign w:val="center"/>
          </w:tcPr>
          <w:p w14:paraId="1248639F">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DNA_degradation }}</w:t>
            </w:r>
          </w:p>
        </w:tc>
        <w:tc>
          <w:tcPr>
            <w:tcW w:w="2731" w:type="dxa"/>
            <w:shd w:val="clear" w:color="auto" w:fill="auto"/>
            <w:vAlign w:val="center"/>
          </w:tcPr>
          <w:p w14:paraId="171E9A8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A/B/C级</w:t>
            </w:r>
          </w:p>
        </w:tc>
      </w:tr>
      <w:tr w14:paraId="6EDCA43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36C8138">
            <w:pPr>
              <w:rPr>
                <w:rFonts w:hint="eastAsia" w:ascii="黑体" w:hAnsi="黑体" w:eastAsia="黑体" w:cs="黑体"/>
                <w:b/>
                <w:bCs/>
                <w:color w:val="01528E"/>
                <w:sz w:val="21"/>
                <w:szCs w:val="21"/>
              </w:rPr>
            </w:pPr>
          </w:p>
        </w:tc>
        <w:tc>
          <w:tcPr>
            <w:tcW w:w="2717" w:type="dxa"/>
            <w:shd w:val="clear" w:color="auto" w:fill="auto"/>
            <w:vAlign w:val="center"/>
          </w:tcPr>
          <w:p w14:paraId="33CDD96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预文库总量（ng）</w:t>
            </w:r>
          </w:p>
        </w:tc>
        <w:tc>
          <w:tcPr>
            <w:tcW w:w="2378" w:type="dxa"/>
            <w:shd w:val="clear" w:color="auto" w:fill="auto"/>
            <w:vAlign w:val="center"/>
          </w:tcPr>
          <w:p w14:paraId="6ECDEE33">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outbound_quantity }}</w:t>
            </w:r>
          </w:p>
        </w:tc>
        <w:tc>
          <w:tcPr>
            <w:tcW w:w="2731" w:type="dxa"/>
            <w:shd w:val="clear" w:color="auto" w:fill="auto"/>
            <w:vAlign w:val="center"/>
          </w:tcPr>
          <w:p w14:paraId="47C1DD7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≥500</w:t>
            </w:r>
          </w:p>
        </w:tc>
      </w:tr>
      <w:tr w14:paraId="04E3F98A">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46C7B769">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测序质量评估</w:t>
            </w:r>
          </w:p>
        </w:tc>
        <w:tc>
          <w:tcPr>
            <w:tcW w:w="2717" w:type="dxa"/>
            <w:shd w:val="clear" w:color="auto" w:fill="auto"/>
            <w:vAlign w:val="center"/>
          </w:tcPr>
          <w:p w14:paraId="12EB2C56">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平均测序深度</w:t>
            </w:r>
          </w:p>
        </w:tc>
        <w:tc>
          <w:tcPr>
            <w:tcW w:w="2378" w:type="dxa"/>
            <w:shd w:val="clear" w:color="auto" w:fill="auto"/>
            <w:vAlign w:val="center"/>
          </w:tcPr>
          <w:p w14:paraId="1DD0A987">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sequencing_depth }}</w:t>
            </w:r>
          </w:p>
        </w:tc>
        <w:tc>
          <w:tcPr>
            <w:tcW w:w="2731" w:type="dxa"/>
            <w:shd w:val="clear" w:color="auto" w:fill="auto"/>
            <w:vAlign w:val="center"/>
          </w:tcPr>
          <w:p w14:paraId="1C4B42E5">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highlight w:val="none"/>
                <w:lang w:eastAsia="zh-CN" w:bidi="ar"/>
              </w:rPr>
              <w:t>≥</w:t>
            </w:r>
            <w:r>
              <w:rPr>
                <w:rFonts w:hint="eastAsia" w:ascii="黑体" w:hAnsi="黑体" w:eastAsia="黑体" w:cs="黑体"/>
                <w:color w:val="595959"/>
                <w:sz w:val="18"/>
                <w:szCs w:val="18"/>
                <w:highlight w:val="none"/>
                <w:lang w:val="en-US" w:eastAsia="zh-CN" w:bidi="ar"/>
              </w:rPr>
              <w:t>30000</w:t>
            </w:r>
          </w:p>
        </w:tc>
      </w:tr>
      <w:tr w14:paraId="1ABAEA7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07FA47E">
            <w:pPr>
              <w:rPr>
                <w:rFonts w:hint="eastAsia" w:ascii="黑体" w:hAnsi="黑体" w:eastAsia="黑体" w:cs="黑体"/>
                <w:b/>
                <w:bCs/>
                <w:color w:val="01528E"/>
                <w:sz w:val="21"/>
                <w:szCs w:val="21"/>
              </w:rPr>
            </w:pPr>
          </w:p>
        </w:tc>
        <w:tc>
          <w:tcPr>
            <w:tcW w:w="2717" w:type="dxa"/>
            <w:shd w:val="clear" w:color="auto" w:fill="auto"/>
            <w:vAlign w:val="center"/>
          </w:tcPr>
          <w:p w14:paraId="3AE2E12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覆盖均一性</w:t>
            </w:r>
          </w:p>
        </w:tc>
        <w:tc>
          <w:tcPr>
            <w:tcW w:w="2378" w:type="dxa"/>
            <w:shd w:val="clear" w:color="auto" w:fill="auto"/>
            <w:vAlign w:val="center"/>
          </w:tcPr>
          <w:p w14:paraId="7866C6F1">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coverage_uniformity }}</w:t>
            </w:r>
          </w:p>
        </w:tc>
        <w:tc>
          <w:tcPr>
            <w:tcW w:w="2731" w:type="dxa"/>
            <w:shd w:val="clear" w:color="auto" w:fill="auto"/>
            <w:vAlign w:val="center"/>
          </w:tcPr>
          <w:p w14:paraId="749EEA9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≥90%</w:t>
            </w:r>
          </w:p>
        </w:tc>
      </w:tr>
      <w:tr w14:paraId="06327D2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DADDBAE">
            <w:pPr>
              <w:rPr>
                <w:rFonts w:hint="eastAsia" w:ascii="黑体" w:hAnsi="黑体" w:eastAsia="黑体" w:cs="黑体"/>
                <w:b/>
                <w:bCs/>
                <w:color w:val="01528E"/>
                <w:sz w:val="21"/>
                <w:szCs w:val="21"/>
              </w:rPr>
            </w:pPr>
          </w:p>
        </w:tc>
        <w:tc>
          <w:tcPr>
            <w:tcW w:w="2717" w:type="dxa"/>
            <w:shd w:val="clear" w:color="auto" w:fill="auto"/>
            <w:vAlign w:val="center"/>
          </w:tcPr>
          <w:p w14:paraId="005FF2A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基因组比对率</w:t>
            </w:r>
          </w:p>
        </w:tc>
        <w:tc>
          <w:tcPr>
            <w:tcW w:w="2378" w:type="dxa"/>
            <w:shd w:val="clear" w:color="auto" w:fill="auto"/>
            <w:vAlign w:val="center"/>
          </w:tcPr>
          <w:p w14:paraId="4E9A03B5">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genome_alignment }}</w:t>
            </w:r>
          </w:p>
        </w:tc>
        <w:tc>
          <w:tcPr>
            <w:tcW w:w="2731" w:type="dxa"/>
            <w:shd w:val="clear" w:color="auto" w:fill="auto"/>
            <w:vAlign w:val="center"/>
          </w:tcPr>
          <w:p w14:paraId="058A45C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≥95%</w:t>
            </w:r>
          </w:p>
        </w:tc>
      </w:tr>
      <w:tr w14:paraId="03E60BB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33022AC">
            <w:pPr>
              <w:rPr>
                <w:rFonts w:hint="eastAsia" w:ascii="黑体" w:hAnsi="黑体" w:eastAsia="黑体" w:cs="黑体"/>
                <w:b/>
                <w:bCs/>
                <w:color w:val="01528E"/>
                <w:sz w:val="21"/>
                <w:szCs w:val="21"/>
              </w:rPr>
            </w:pPr>
          </w:p>
        </w:tc>
        <w:tc>
          <w:tcPr>
            <w:tcW w:w="2717" w:type="dxa"/>
            <w:shd w:val="clear" w:color="auto" w:fill="auto"/>
            <w:vAlign w:val="center"/>
          </w:tcPr>
          <w:p w14:paraId="4438C9D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碱基质量Q30占比</w:t>
            </w:r>
          </w:p>
        </w:tc>
        <w:tc>
          <w:tcPr>
            <w:tcW w:w="2378" w:type="dxa"/>
            <w:shd w:val="clear" w:color="auto" w:fill="auto"/>
            <w:vAlign w:val="center"/>
          </w:tcPr>
          <w:p w14:paraId="3A7B7607">
            <w:pPr>
              <w:autoSpaceDE w:val="0"/>
              <w:ind w:left="105" w:leftChars="50"/>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base_quality }}</w:t>
            </w:r>
          </w:p>
        </w:tc>
        <w:tc>
          <w:tcPr>
            <w:tcW w:w="2731" w:type="dxa"/>
            <w:shd w:val="clear" w:color="auto" w:fill="auto"/>
            <w:vAlign w:val="center"/>
          </w:tcPr>
          <w:p w14:paraId="65705CCF">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≥80%</w:t>
            </w:r>
          </w:p>
        </w:tc>
      </w:tr>
      <w:tr w14:paraId="6EF5F25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289E261D">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总体质量评估</w:t>
            </w:r>
          </w:p>
        </w:tc>
        <w:tc>
          <w:tcPr>
            <w:tcW w:w="7826" w:type="dxa"/>
            <w:gridSpan w:val="3"/>
            <w:shd w:val="clear" w:color="auto" w:fill="auto"/>
            <w:vAlign w:val="center"/>
          </w:tcPr>
          <w:p w14:paraId="5A1A7F20">
            <w:pPr>
              <w:autoSpaceDE w:val="0"/>
              <w:ind w:left="105" w:leftChars="50"/>
              <w:jc w:val="center"/>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 overall_quality_assessment }}</w:t>
            </w:r>
          </w:p>
        </w:tc>
      </w:tr>
    </w:tbl>
    <w:p w14:paraId="79953425">
      <w:pPr>
        <w:snapToGrid w:val="0"/>
        <w:spacing w:line="360" w:lineRule="auto"/>
        <w:ind w:left="0" w:leftChars="0" w:right="210" w:rightChars="100" w:firstLine="0" w:firstLineChars="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EF8A02">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5B4212A8">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DNA总量：送检样本的DNA提取总量。</w:t>
      </w:r>
    </w:p>
    <w:p w14:paraId="0F4CE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DNA降解程度：{% if summaryOfRresults.type == “blood” %}cfDNA样本不适用于此项评估。{% endif %}</w:t>
      </w:r>
    </w:p>
    <w:p w14:paraId="2DF0C74E">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A级：有主带，或降解均匀且降解区域主要集中在5000bp以上；</w:t>
      </w:r>
    </w:p>
    <w:p w14:paraId="22454D94">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B级：无主带，降解均匀且降解区域主要集中在1500-5000bp之间；</w:t>
      </w:r>
    </w:p>
    <w:p w14:paraId="0B3B74BA">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C级：无主带，降解均匀且降解区域主要集中在500-1500bp之间；</w:t>
      </w:r>
    </w:p>
    <w:p w14:paraId="6DD8A13E">
      <w:pPr>
        <w:numPr>
          <w:ilvl w:val="0"/>
          <w:numId w:val="4"/>
        </w:numPr>
        <w:spacing w:line="270" w:lineRule="exact"/>
        <w:ind w:left="598" w:leftChars="150" w:hanging="283"/>
        <w:jc w:val="left"/>
        <w:rPr>
          <w:rFonts w:hint="eastAsia" w:ascii="黑体" w:hAnsi="黑体" w:eastAsia="黑体" w:cs="黑体"/>
          <w:color w:val="595959"/>
          <w:kern w:val="0"/>
          <w:sz w:val="18"/>
          <w:szCs w:val="18"/>
          <w:lang w:eastAsia="zh-CN"/>
        </w:rPr>
      </w:pPr>
      <w:r>
        <w:rPr>
          <w:rFonts w:hint="eastAsia" w:ascii="黑体" w:hAnsi="黑体" w:eastAsia="黑体" w:cs="黑体"/>
          <w:bCs/>
          <w:color w:val="595959"/>
          <w:kern w:val="0"/>
          <w:sz w:val="18"/>
          <w:szCs w:val="18"/>
          <w:lang w:eastAsia="zh-CN"/>
        </w:rPr>
        <w:t>D级（不合格））：无主带，降解均匀且降解区域主要集中在500-1500bp之间，但总量介于100ng到300ng之间；或降解区域弥散在150-1000bp，或集中在500bp以下。</w:t>
      </w:r>
    </w:p>
    <w:p w14:paraId="1DA2734F">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预文库总量：核酸片段经过接头连接和扩增纯化后中间产物的总量。</w:t>
      </w:r>
    </w:p>
    <w:p w14:paraId="67121B0C">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平均测序深度：目标区域每个碱基被测到的平均次数。</w:t>
      </w:r>
    </w:p>
    <w:p w14:paraId="41177580">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覆盖均一性：测序深度达到平均测序深度20%的碱基占比。</w:t>
      </w:r>
    </w:p>
    <w:p w14:paraId="259B0AB5">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基因组比对率：比对到参考基因组上的reads数目占比。</w:t>
      </w:r>
    </w:p>
    <w:p w14:paraId="668DCD34">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碱基质量Q30占比：测序数据中碱基质量在Q30以上（即碱基识别错误率在千分之一以下）的占比。</w:t>
      </w:r>
    </w:p>
    <w:p w14:paraId="220AA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总体质量评估：根据 DNA 平均测序深度进行评估，分为“合格”、“警戒”、“不合格”三个等级。总体质量评估为“警戒”或者“不合格”时，均会影响检测的准确性和敏感性。</w:t>
      </w:r>
    </w:p>
    <w:bookmarkEnd w:id="17"/>
    <w:p w14:paraId="7F038BC7">
      <w:pPr>
        <w:rPr>
          <w:rFonts w:hint="eastAsia" w:ascii="黑体" w:hAnsi="黑体" w:eastAsia="黑体" w:cs="黑体"/>
        </w:rPr>
      </w:pPr>
      <w:r>
        <w:rPr>
          <w:rFonts w:hint="eastAsia" w:ascii="黑体" w:hAnsi="黑体" w:eastAsia="黑体" w:cs="黑体"/>
        </w:rPr>
        <w:br w:type="page"/>
      </w:r>
    </w:p>
    <w:p w14:paraId="521DD280">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18" w:name="_Toc2261"/>
      <w:r>
        <w:rPr>
          <w:rFonts w:hint="eastAsia" w:ascii="黑体" w:hAnsi="黑体" w:eastAsia="黑体" w:cs="黑体"/>
          <w:bCs w:val="0"/>
          <w:color w:val="01528E"/>
          <w:sz w:val="44"/>
          <w:szCs w:val="44"/>
          <w:lang w:val="en-US" w:eastAsia="zh-CN"/>
        </w:rPr>
        <w:t>第二</w:t>
      </w:r>
      <w:r>
        <w:rPr>
          <w:rFonts w:hint="eastAsia" w:ascii="黑体" w:hAnsi="黑体" w:eastAsia="黑体" w:cs="黑体"/>
          <w:bCs w:val="0"/>
          <w:color w:val="01528E"/>
          <w:sz w:val="44"/>
          <w:szCs w:val="44"/>
        </w:rPr>
        <w:t>部分：检测结果总览</w:t>
      </w:r>
      <w:bookmarkEnd w:id="18"/>
    </w:p>
    <w:p w14:paraId="50FAE5CE">
      <w:pPr>
        <w:pStyle w:val="3"/>
        <w:keepNext/>
        <w:keepLines/>
        <w:pageBreakBefore w:val="0"/>
        <w:widowControl w:val="0"/>
        <w:kinsoku/>
        <w:wordWrap/>
        <w:overflowPunct/>
        <w:topLinePunct w:val="0"/>
        <w:autoSpaceDE/>
        <w:autoSpaceDN/>
        <w:bidi w:val="0"/>
        <w:adjustRightInd/>
        <w:snapToGrid/>
        <w:spacing w:before="0" w:after="0" w:line="416" w:lineRule="auto"/>
        <w:jc w:val="center"/>
        <w:textAlignment w:val="auto"/>
        <w:rPr>
          <w:rFonts w:hint="eastAsia" w:ascii="黑体" w:hAnsi="黑体" w:eastAsia="黑体" w:cs="黑体"/>
          <w:bCs w:val="0"/>
          <w:color w:val="01528E"/>
          <w:sz w:val="36"/>
          <w:szCs w:val="36"/>
        </w:rPr>
      </w:pPr>
      <w:bookmarkStart w:id="19" w:name="_Toc12953"/>
      <w:r>
        <w:rPr>
          <w:rFonts w:hint="eastAsia" w:ascii="黑体" w:hAnsi="黑体" w:eastAsia="黑体" w:cs="黑体"/>
          <w:bCs w:val="0"/>
          <w:color w:val="01528E"/>
          <w:sz w:val="36"/>
          <w:szCs w:val="36"/>
        </w:rPr>
        <w:t>1. ctDNA检测预后提示</w:t>
      </w:r>
      <w:bookmarkEnd w:id="19"/>
    </w:p>
    <w:p w14:paraId="321C21CB">
      <w:pPr>
        <w:rPr>
          <w:rFonts w:hint="eastAsia" w:ascii="黑体" w:hAnsi="黑体" w:eastAsia="黑体" w:cs="黑体"/>
          <w:b/>
          <w:bCs/>
          <w:color w:val="02528E"/>
        </w:rPr>
      </w:pPr>
      <w:bookmarkStart w:id="20" w:name="_Toc8569"/>
      <w:bookmarkStart w:id="21" w:name="_Toc488"/>
      <w:bookmarkStart w:id="22" w:name="_Toc116571898"/>
      <w:r>
        <w:rPr>
          <w:rFonts w:hint="eastAsia" w:ascii="黑体" w:hAnsi="黑体" w:eastAsia="黑体" w:cs="黑体"/>
          <w:b/>
          <w:bCs/>
          <w:color w:val="02528E"/>
          <w:sz w:val="32"/>
          <w:szCs w:val="32"/>
        </w:rPr>
        <w:t>检测结果</w:t>
      </w:r>
      <w:bookmarkEnd w:id="20"/>
      <w:bookmarkEnd w:id="21"/>
      <w:bookmarkEnd w:id="22"/>
    </w:p>
    <w:tbl>
      <w:tblPr>
        <w:tblStyle w:val="15"/>
        <w:tblW w:w="9752" w:type="dxa"/>
        <w:tblInd w:w="0" w:type="dxa"/>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Layout w:type="fixed"/>
        <w:tblCellMar>
          <w:top w:w="0" w:type="dxa"/>
          <w:left w:w="108" w:type="dxa"/>
          <w:bottom w:w="0" w:type="dxa"/>
          <w:right w:w="108" w:type="dxa"/>
        </w:tblCellMar>
      </w:tblPr>
      <w:tblGrid>
        <w:gridCol w:w="3078"/>
        <w:gridCol w:w="3337"/>
        <w:gridCol w:w="3337"/>
      </w:tblGrid>
      <w:tr w14:paraId="5F835075">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rPr>
          <w:trHeight w:val="713" w:hRule="atLeast"/>
        </w:trPr>
        <w:tc>
          <w:tcPr>
            <w:tcW w:w="3078" w:type="dxa"/>
            <w:tcBorders>
              <w:bottom w:val="nil"/>
              <w:right w:val="nil"/>
            </w:tcBorders>
            <w:shd w:val="clear" w:color="auto" w:fill="01528E"/>
            <w:vAlign w:val="center"/>
          </w:tcPr>
          <w:p w14:paraId="785B1EAA">
            <w:pPr>
              <w:pStyle w:val="26"/>
              <w:rPr>
                <w:rFonts w:hint="eastAsia" w:ascii="黑体" w:hAnsi="黑体" w:eastAsia="黑体" w:cs="黑体"/>
                <w:sz w:val="21"/>
                <w:szCs w:val="21"/>
              </w:rPr>
            </w:pPr>
            <w:r>
              <w:rPr>
                <w:rFonts w:hint="eastAsia" w:ascii="黑体" w:hAnsi="黑体" w:eastAsia="黑体" w:cs="黑体"/>
                <w:sz w:val="21"/>
                <w:szCs w:val="21"/>
              </w:rPr>
              <w:t>检测指标</w:t>
            </w:r>
          </w:p>
        </w:tc>
        <w:tc>
          <w:tcPr>
            <w:tcW w:w="3337" w:type="dxa"/>
            <w:tcBorders>
              <w:left w:val="nil"/>
              <w:right w:val="nil"/>
            </w:tcBorders>
            <w:shd w:val="clear" w:color="auto" w:fill="01528E"/>
            <w:vAlign w:val="center"/>
          </w:tcPr>
          <w:p w14:paraId="159B1BA8">
            <w:pPr>
              <w:pStyle w:val="26"/>
              <w:rPr>
                <w:rFonts w:hint="eastAsia" w:ascii="黑体" w:hAnsi="黑体" w:eastAsia="黑体" w:cs="黑体"/>
                <w:sz w:val="21"/>
                <w:szCs w:val="21"/>
              </w:rPr>
            </w:pPr>
            <w:r>
              <w:rPr>
                <w:rFonts w:hint="eastAsia" w:ascii="黑体" w:hAnsi="黑体" w:eastAsia="黑体" w:cs="黑体"/>
                <w:sz w:val="21"/>
                <w:szCs w:val="21"/>
              </w:rPr>
              <w:t>检测方法</w:t>
            </w:r>
          </w:p>
        </w:tc>
        <w:tc>
          <w:tcPr>
            <w:tcW w:w="3337" w:type="dxa"/>
            <w:tcBorders>
              <w:left w:val="nil"/>
              <w:bottom w:val="nil"/>
            </w:tcBorders>
            <w:shd w:val="clear" w:color="auto" w:fill="01528E"/>
            <w:vAlign w:val="center"/>
          </w:tcPr>
          <w:p w14:paraId="681BAE4F">
            <w:pPr>
              <w:pStyle w:val="26"/>
              <w:rPr>
                <w:rFonts w:hint="eastAsia" w:ascii="黑体" w:hAnsi="黑体" w:eastAsia="黑体" w:cs="黑体"/>
                <w:sz w:val="21"/>
                <w:szCs w:val="21"/>
              </w:rPr>
            </w:pPr>
            <w:r>
              <w:rPr>
                <w:rFonts w:hint="eastAsia" w:ascii="黑体" w:hAnsi="黑体" w:eastAsia="黑体" w:cs="黑体"/>
                <w:sz w:val="21"/>
                <w:szCs w:val="21"/>
              </w:rPr>
              <w:t>检测结果</w:t>
            </w:r>
          </w:p>
        </w:tc>
      </w:tr>
      <w:tr w14:paraId="7B642211">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c>
          <w:tcPr>
            <w:tcW w:w="3078" w:type="dxa"/>
            <w:tcBorders>
              <w:top w:val="single" w:color="38849B" w:sz="4" w:space="0"/>
              <w:right w:val="nil"/>
            </w:tcBorders>
            <w:vAlign w:val="center"/>
          </w:tcPr>
          <w:p w14:paraId="04C1BD56">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术后外周血MRD</w:t>
            </w:r>
          </w:p>
        </w:tc>
        <w:tc>
          <w:tcPr>
            <w:tcW w:w="3337" w:type="dxa"/>
            <w:tcBorders>
              <w:top w:val="single" w:color="38849B" w:sz="4" w:space="0"/>
              <w:left w:val="nil"/>
              <w:right w:val="nil"/>
            </w:tcBorders>
          </w:tcPr>
          <w:p w14:paraId="31B3F5C4">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高通量基因测序</w:t>
            </w:r>
          </w:p>
        </w:tc>
        <w:tc>
          <w:tcPr>
            <w:tcW w:w="3337" w:type="dxa"/>
            <w:tcBorders>
              <w:top w:val="single" w:color="38849B" w:sz="4" w:space="0"/>
              <w:left w:val="nil"/>
            </w:tcBorders>
            <w:vAlign w:val="center"/>
          </w:tcPr>
          <w:p w14:paraId="59DBA7A3">
            <w:pPr>
              <w:spacing w:before="72"/>
              <w:jc w:val="center"/>
              <w:rPr>
                <w:rFonts w:hint="eastAsia" w:ascii="黑体" w:hAnsi="黑体" w:eastAsia="黑体" w:cs="黑体"/>
                <w:color w:val="01528E"/>
                <w:sz w:val="21"/>
                <w:szCs w:val="21"/>
              </w:rPr>
            </w:pPr>
            <w:r>
              <w:rPr>
                <w:rFonts w:hint="eastAsia" w:ascii="黑体" w:hAnsi="黑体" w:eastAsia="黑体" w:cs="黑体"/>
                <w:color w:val="595959"/>
                <w:kern w:val="0"/>
                <w:sz w:val="21"/>
                <w:szCs w:val="21"/>
                <w:lang w:val="en-US" w:eastAsia="zh-CN"/>
              </w:rPr>
              <w:t>{{mrd.mrd_status}}</w:t>
            </w:r>
          </w:p>
        </w:tc>
      </w:tr>
    </w:tbl>
    <w:p w14:paraId="37C0307C">
      <w:pPr>
        <w:rPr>
          <w:rFonts w:hint="eastAsia" w:ascii="黑体" w:hAnsi="黑体" w:eastAsia="黑体" w:cs="黑体"/>
          <w:sz w:val="18"/>
          <w:szCs w:val="18"/>
        </w:rPr>
      </w:pPr>
    </w:p>
    <w:p w14:paraId="20CB66C5">
      <w:pPr>
        <w:pStyle w:val="37"/>
        <w:spacing w:after="156"/>
        <w:rPr>
          <w:rFonts w:hint="eastAsia" w:ascii="黑体" w:hAnsi="黑体" w:eastAsia="黑体" w:cs="黑体"/>
        </w:rPr>
      </w:pPr>
      <w:r>
        <w:rPr>
          <w:rFonts w:hint="eastAsia" w:ascii="黑体" w:hAnsi="黑体" w:eastAsia="黑体" w:cs="黑体"/>
        </w:rPr>
        <w:t>临床意义：</w:t>
      </w:r>
    </w:p>
    <w:p w14:paraId="4DA8DD4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“阳性”%}分子残留病灶（MRD）状态阳性：提示存在分子残留病灶（MRD）阳性，复发风险可能较高。{% else %}</w:t>
      </w:r>
      <w:r>
        <w:rPr>
          <w:rFonts w:hint="eastAsia" w:ascii="黑体" w:hAnsi="黑体" w:eastAsia="黑体" w:cs="黑体"/>
          <w:sz w:val="18"/>
          <w:highlight w:val="none"/>
          <w:lang w:eastAsia="zh-CN"/>
        </w:rPr>
        <w:t>分子残留病灶（MRD）状态</w:t>
      </w:r>
      <w:r>
        <w:rPr>
          <w:rFonts w:hint="eastAsia" w:ascii="黑体" w:hAnsi="黑体" w:eastAsia="黑体" w:cs="黑体"/>
          <w:sz w:val="18"/>
          <w:highlight w:val="none"/>
          <w:lang w:val="en-US" w:eastAsia="zh-CN"/>
        </w:rPr>
        <w:t>阴性</w:t>
      </w:r>
      <w:r>
        <w:rPr>
          <w:rFonts w:hint="eastAsia" w:ascii="黑体" w:hAnsi="黑体" w:eastAsia="黑体" w:cs="黑体"/>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r>
        <w:rPr>
          <w:rFonts w:hint="eastAsia" w:ascii="黑体" w:hAnsi="黑体" w:eastAsia="黑体" w:cs="黑体"/>
          <w:sz w:val="18"/>
          <w:highlight w:val="none"/>
          <w:lang w:val="en-US" w:eastAsia="zh-CN"/>
        </w:rPr>
        <w:t>{% endif %}</w:t>
      </w:r>
    </w:p>
    <w:p w14:paraId="599EC936">
      <w:pPr>
        <w:pStyle w:val="37"/>
        <w:spacing w:after="156"/>
        <w:rPr>
          <w:rFonts w:hint="eastAsia" w:ascii="黑体" w:hAnsi="黑体" w:eastAsia="黑体" w:cs="黑体"/>
        </w:rPr>
      </w:pPr>
      <w:r>
        <w:rPr>
          <w:rFonts w:hint="eastAsia" w:ascii="黑体" w:hAnsi="黑体" w:eastAsia="黑体" w:cs="黑体"/>
        </w:rPr>
        <w:t>MRD指标解析：</w:t>
      </w:r>
    </w:p>
    <w:p w14:paraId="1F4C635A">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“阳性”%}阳性：本次样本检测出与初次肿瘤组织样本相关的突变残存，提示存在分子残留病灶，复发风险可能较高。{% else%}阴性：本次样本未检测出与初次肿瘤组织样本相关的突变残存，提示复发风险可能较低。</w:t>
      </w:r>
    </w:p>
    <w:p w14:paraId="67FC83D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(由于肿瘤生物学行为的复杂性，不排除有些肿瘤因释放 ctDNA 极少而导致 MRD 检测结果呈阴性。){% endif %}</w:t>
      </w:r>
    </w:p>
    <w:p w14:paraId="1188FD1D">
      <w:pPr>
        <w:pStyle w:val="37"/>
        <w:spacing w:after="156"/>
        <w:rPr>
          <w:rFonts w:hint="eastAsia" w:ascii="黑体" w:hAnsi="黑体" w:eastAsia="黑体" w:cs="黑体"/>
        </w:rPr>
      </w:pPr>
      <w:r>
        <w:rPr>
          <w:rFonts w:hint="eastAsia" w:ascii="黑体" w:hAnsi="黑体" w:eastAsia="黑体" w:cs="黑体"/>
        </w:rPr>
        <w:t>文献报道：</w:t>
      </w:r>
    </w:p>
    <w:p w14:paraId="5CC39AF6">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在实体瘤中，MRD通常指分子残留病灶（molecular residual disease）也称微小残留病灶（minimal residual disease），即通过循环肿瘤DNA（circulating tumor DNA，ctDNA）等</w:t>
      </w:r>
    </w:p>
    <w:p w14:paraId="29E8AAB1">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肿瘤来源的分子异常，发现影像学（包括正电子发射计算机断层显像）或传统实验室方法不能发现的潜在病灶，代表着肿瘤的持续存在和临床进展可能。</w:t>
      </w:r>
    </w:p>
    <w:p w14:paraId="3D4A086B">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基于NGS的MRD检测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42A43ABC">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肺癌、乳腺癌等多种实体瘤中积累了大量证据，表明MRD检测可有效区分复发风险，可作为预后分层的重要指标 [PMID: 28445469；PMID: 34505064；PMID: 35543554；PMID: 28899864；PMID:26311728；PMID: 27384348；PMID: 31711920；PMID: 26154128；PMID: 31059311；PMID:34625408；ESMO2019 110P]。多项研究已证实MRD阳性实体瘤患者的无疾病生存期（DFS）与总生存期（OS）显著降低，复发风险显著升高（HR=3.1~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中国《实体瘤分子残留病灶检测共识》推荐意见：实体瘤MRD的Landmark检测（治疗后首次检测）大多选择在根治性治疗后1个月内进行，MRD动态监测有助于提升检测性能。中国《非小细胞肺癌分子残留病灶专家共识》建议对术后患者MRD进行密切随访管理，每3~6个月进行一次MRD检测。</w:t>
      </w:r>
    </w:p>
    <w:p w14:paraId="142A59BB">
      <w:pPr>
        <w:widowControl/>
        <w:spacing w:line="360" w:lineRule="atLeast"/>
        <w:ind w:right="210" w:rightChars="10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05D8BD2D">
      <w:pPr>
        <w:pStyle w:val="5"/>
        <w:spacing w:before="93"/>
        <w:rPr>
          <w:rFonts w:hint="eastAsia" w:ascii="黑体" w:hAnsi="黑体" w:eastAsia="黑体" w:cs="黑体"/>
          <w:color w:val="595959"/>
          <w:kern w:val="2"/>
        </w:rPr>
      </w:pPr>
      <w:r>
        <w:rPr>
          <w:rFonts w:hint="eastAsia" w:ascii="黑体" w:hAnsi="黑体" w:eastAsia="黑体" w:cs="黑体"/>
          <w:color w:val="595959"/>
          <w:kern w:val="2"/>
        </w:rPr>
        <w:t>MRD的预后提示基于现有临床研究报道，还需结合患者具体临床情况，不应单独作为指导临床决策的依据。</w:t>
      </w:r>
    </w:p>
    <w:p w14:paraId="7C169038">
      <w:pPr>
        <w:rPr>
          <w:rFonts w:hint="eastAsia" w:ascii="黑体" w:hAnsi="黑体" w:eastAsia="黑体" w:cs="黑体"/>
        </w:rPr>
      </w:pPr>
      <w:r>
        <w:rPr>
          <w:rFonts w:hint="eastAsia" w:ascii="黑体" w:hAnsi="黑体" w:eastAsia="黑体" w:cs="黑体"/>
        </w:rPr>
        <w:br w:type="page"/>
      </w:r>
    </w:p>
    <w:p w14:paraId="673967B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3" w:name="_Toc114664082"/>
      <w:bookmarkStart w:id="24" w:name="_Toc5882"/>
      <w:r>
        <w:rPr>
          <w:rFonts w:hint="eastAsia" w:ascii="黑体" w:hAnsi="黑体" w:eastAsia="黑体" w:cs="黑体"/>
          <w:color w:val="01528E"/>
          <w:kern w:val="0"/>
          <w:sz w:val="36"/>
          <w:szCs w:val="36"/>
        </w:rPr>
        <w:t>2.</w:t>
      </w:r>
      <w:bookmarkEnd w:id="23"/>
      <w:r>
        <w:rPr>
          <w:rFonts w:hint="eastAsia" w:ascii="黑体" w:hAnsi="黑体" w:eastAsia="黑体" w:cs="黑体"/>
          <w:color w:val="01528E"/>
          <w:kern w:val="0"/>
          <w:sz w:val="36"/>
          <w:szCs w:val="36"/>
        </w:rPr>
        <w:t xml:space="preserve"> ctDNA变化趋势</w:t>
      </w:r>
      <w:bookmarkEnd w:id="24"/>
    </w:p>
    <w:p w14:paraId="03FEC65F">
      <w:pPr>
        <w:rPr>
          <w:rFonts w:hint="eastAsia" w:ascii="黑体" w:hAnsi="黑体" w:eastAsia="黑体" w:cs="黑体"/>
        </w:rPr>
      </w:pPr>
    </w:p>
    <w:p w14:paraId="7675C6C8">
      <w:pPr>
        <w:jc w:val="center"/>
        <w:rPr>
          <w:rFonts w:hint="eastAsia" w:ascii="黑体" w:hAnsi="黑体" w:eastAsia="黑体" w:cs="黑体"/>
          <w:b/>
          <w:bCs/>
          <w:sz w:val="18"/>
          <w:szCs w:val="18"/>
          <w:lang w:val="en-US" w:eastAsia="zh-CN" w:bidi="ar"/>
        </w:rPr>
      </w:pPr>
      <w:r>
        <w:rPr>
          <w:rFonts w:hint="eastAsia" w:ascii="黑体" w:hAnsi="黑体" w:eastAsia="黑体" w:cs="黑体"/>
          <w:b/>
          <w:bCs/>
          <w:sz w:val="18"/>
          <w:szCs w:val="18"/>
          <w:lang w:val="en-US" w:eastAsia="zh-CN" w:bidi="ar"/>
        </w:rPr>
        <w:t>{{mrd.imgStr | pdi(510.5,276.5)}}</w:t>
      </w:r>
    </w:p>
    <w:p w14:paraId="3EAF292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6C3EAE88">
      <w:pPr>
        <w:widowControl/>
        <w:jc w:val="left"/>
        <w:rPr>
          <w:rFonts w:hint="eastAsia" w:ascii="黑体" w:hAnsi="黑体" w:eastAsia="黑体" w:cs="黑体"/>
          <w:kern w:val="0"/>
          <w:sz w:val="24"/>
          <w:szCs w:val="24"/>
        </w:rPr>
      </w:pPr>
      <w:r>
        <w:rPr>
          <w:rFonts w:hint="eastAsia" w:ascii="黑体" w:hAnsi="黑体" w:eastAsia="黑体" w:cs="黑体"/>
          <w:b/>
          <w:bCs/>
          <w:color w:val="01528E"/>
          <w:kern w:val="0"/>
          <w:sz w:val="18"/>
          <w:szCs w:val="18"/>
        </w:rPr>
        <w:t xml:space="preserve">备注： </w:t>
      </w:r>
    </w:p>
    <w:p w14:paraId="150E4A8F">
      <w:pPr>
        <w:numPr>
          <w:ilvl w:val="0"/>
          <w:numId w:val="5"/>
        </w:numPr>
        <w:ind w:left="425" w:leftChars="0" w:hanging="425" w:firstLineChars="0"/>
        <w:rPr>
          <w:rFonts w:hint="eastAsia" w:ascii="黑体" w:hAnsi="黑体" w:eastAsia="黑体" w:cs="黑体"/>
          <w:color w:val="595959"/>
          <w:sz w:val="18"/>
          <w:highlight w:val="none"/>
          <w:lang w:eastAsia="zh-CN"/>
        </w:rPr>
      </w:pPr>
      <w:r>
        <w:rPr>
          <w:rFonts w:hint="eastAsia" w:ascii="黑体" w:hAnsi="黑体" w:eastAsia="黑体" w:cs="黑体"/>
          <w:color w:val="595959"/>
          <w:sz w:val="18"/>
          <w:highlight w:val="none"/>
          <w:lang w:eastAsia="zh-CN"/>
        </w:rPr>
        <w:t>ctDNA浓度：指每毫升血浆中的平均肿瘤分子含量（mean tumor molecule per milliliter，MTM/mL）。</w:t>
      </w:r>
    </w:p>
    <w:p w14:paraId="2AB40DE7">
      <w:pPr>
        <w:rPr>
          <w:rFonts w:hint="eastAsia" w:ascii="黑体" w:hAnsi="黑体" w:eastAsia="黑体" w:cs="黑体"/>
        </w:rPr>
      </w:pPr>
      <w:r>
        <w:rPr>
          <w:rFonts w:hint="eastAsia" w:ascii="黑体" w:hAnsi="黑体" w:eastAsia="黑体" w:cs="黑体"/>
        </w:rPr>
        <w:br w:type="page"/>
      </w:r>
    </w:p>
    <w:p w14:paraId="1344056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5" w:name="_Toc21244"/>
      <w:r>
        <w:rPr>
          <w:rFonts w:hint="eastAsia" w:ascii="黑体" w:hAnsi="黑体" w:eastAsia="黑体" w:cs="黑体"/>
          <w:color w:val="01528E"/>
          <w:kern w:val="0"/>
          <w:sz w:val="36"/>
          <w:szCs w:val="36"/>
        </w:rPr>
        <w:t>3. 循环肿瘤DNA检测结果</w:t>
      </w:r>
      <w:bookmarkEnd w:id="25"/>
    </w:p>
    <w:p w14:paraId="72FFC0C3">
      <w:pPr>
        <w:pStyle w:val="43"/>
        <w:outlineLvl w:val="9"/>
        <w:rPr>
          <w:rFonts w:hint="eastAsia" w:ascii="黑体" w:hAnsi="黑体" w:eastAsia="黑体" w:cs="黑体"/>
          <w:sz w:val="32"/>
          <w:szCs w:val="32"/>
        </w:rPr>
      </w:pPr>
      <w:bookmarkStart w:id="26" w:name="_Toc8808"/>
      <w:bookmarkStart w:id="27" w:name="_Toc11900"/>
      <w:bookmarkStart w:id="28" w:name="_Toc205305063"/>
      <w:r>
        <w:rPr>
          <w:rFonts w:hint="eastAsia" w:ascii="黑体" w:hAnsi="黑体" w:eastAsia="黑体" w:cs="黑体"/>
          <w:sz w:val="32"/>
          <w:szCs w:val="32"/>
        </w:rPr>
        <w:t>历次检测结果</w:t>
      </w:r>
      <w:bookmarkEnd w:id="26"/>
      <w:bookmarkEnd w:id="27"/>
      <w:bookmarkEnd w:id="28"/>
    </w:p>
    <w:tbl>
      <w:tblPr>
        <w:tblStyle w:val="60"/>
        <w:tblW w:w="10071"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2460"/>
        <w:gridCol w:w="4850"/>
        <w:gridCol w:w="2761"/>
      </w:tblGrid>
      <w:tr w14:paraId="0906C09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720" w:hRule="atLeast"/>
          <w:jc w:val="center"/>
        </w:trPr>
        <w:tc>
          <w:tcPr>
            <w:tcW w:w="2460" w:type="dxa"/>
            <w:shd w:val="clear" w:color="auto" w:fill="00528E"/>
            <w:vAlign w:val="center"/>
          </w:tcPr>
          <w:p w14:paraId="66827E51">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for th in mrd.mrdJson.mrd_th%}</w:t>
            </w:r>
          </w:p>
        </w:tc>
        <w:tc>
          <w:tcPr>
            <w:tcW w:w="4850" w:type="dxa"/>
            <w:shd w:val="clear" w:color="auto" w:fill="00528E"/>
            <w:vAlign w:val="center"/>
          </w:tcPr>
          <w:p w14:paraId="7DD96A7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endif %}</w:t>
            </w:r>
          </w:p>
        </w:tc>
        <w:tc>
          <w:tcPr>
            <w:tcW w:w="2761" w:type="dxa"/>
            <w:shd w:val="clear" w:color="auto" w:fill="00528E"/>
            <w:vAlign w:val="center"/>
          </w:tcPr>
          <w:p w14:paraId="7F13BDF3">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endfor %}</w:t>
            </w:r>
          </w:p>
        </w:tc>
      </w:tr>
      <w:tr w14:paraId="6EC2D5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7812739C">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{%tr for tds in mrd.mrdJson.mrd_tds %}</w:t>
            </w:r>
          </w:p>
        </w:tc>
      </w:tr>
      <w:tr w14:paraId="6B4BE24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2460" w:type="dxa"/>
            <w:shd w:val="clear" w:color="auto" w:fill="auto"/>
            <w:vAlign w:val="center"/>
          </w:tcPr>
          <w:p w14:paraId="2ACA92E0">
            <w:pPr>
              <w:spacing w:before="20"/>
              <w:jc w:val="center"/>
              <w:rPr>
                <w:rFonts w:hint="eastAsia" w:ascii="黑体" w:hAnsi="黑体" w:eastAsia="黑体" w:cs="黑体"/>
                <w:b/>
                <w:bCs/>
                <w:color w:val="595959"/>
                <w:sz w:val="18"/>
                <w:szCs w:val="18"/>
                <w:lang w:val="en-US" w:eastAsia="zh-CN"/>
              </w:rPr>
            </w:pPr>
            <w:r>
              <w:rPr>
                <w:rFonts w:hint="eastAsia" w:ascii="黑体" w:hAnsi="黑体" w:eastAsia="黑体" w:cs="黑体"/>
                <w:b/>
                <w:bCs/>
                <w:color w:val="595959"/>
                <w:sz w:val="18"/>
                <w:szCs w:val="18"/>
                <w:lang w:val="en-US" w:eastAsia="zh-CN"/>
              </w:rPr>
              <w:t>{%tc for td in tds%}</w:t>
            </w:r>
          </w:p>
        </w:tc>
        <w:tc>
          <w:tcPr>
            <w:tcW w:w="4850" w:type="dxa"/>
            <w:shd w:val="clear" w:color="auto" w:fill="auto"/>
            <w:vAlign w:val="center"/>
          </w:tcPr>
          <w:p w14:paraId="3E632BF5">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{{td}}</w:t>
            </w:r>
          </w:p>
        </w:tc>
        <w:tc>
          <w:tcPr>
            <w:tcW w:w="2761" w:type="dxa"/>
            <w:shd w:val="clear" w:color="auto" w:fill="auto"/>
            <w:vAlign w:val="center"/>
          </w:tcPr>
          <w:p w14:paraId="27950F4A">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{%tc endfor %}</w:t>
            </w:r>
          </w:p>
        </w:tc>
      </w:tr>
      <w:tr w14:paraId="6F58720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003E9389">
            <w:pPr>
              <w:spacing w:before="20"/>
              <w:jc w:val="center"/>
              <w:rPr>
                <w:rFonts w:hint="eastAsia" w:ascii="黑体" w:hAnsi="黑体" w:eastAsia="黑体" w:cs="黑体"/>
                <w:color w:val="595959"/>
                <w:sz w:val="18"/>
                <w:szCs w:val="18"/>
                <w:lang w:val="en-US" w:eastAsia="zh-CN" w:bidi="ar-SA"/>
              </w:rPr>
            </w:pPr>
            <w:r>
              <w:rPr>
                <w:rFonts w:hint="eastAsia" w:ascii="黑体" w:hAnsi="黑体" w:eastAsia="黑体" w:cs="黑体"/>
                <w:color w:val="595959"/>
                <w:sz w:val="18"/>
                <w:szCs w:val="18"/>
                <w:lang w:val="en-US" w:eastAsia="zh-CN" w:bidi="ar-SA"/>
              </w:rPr>
              <w:t>{%tr endfor %}</w:t>
            </w:r>
          </w:p>
        </w:tc>
      </w:tr>
    </w:tbl>
    <w:p w14:paraId="718F9FB4">
      <w:pPr>
        <w:widowControl/>
        <w:jc w:val="left"/>
        <w:rPr>
          <w:rFonts w:hint="eastAsia" w:ascii="黑体" w:hAnsi="黑体" w:eastAsia="黑体" w:cs="黑体"/>
          <w:kern w:val="0"/>
          <w:sz w:val="18"/>
          <w:szCs w:val="18"/>
        </w:rPr>
      </w:pPr>
      <w:r>
        <w:rPr>
          <w:rFonts w:hint="eastAsia" w:ascii="黑体" w:hAnsi="黑体" w:eastAsia="黑体" w:cs="黑体"/>
          <w:b/>
          <w:bCs/>
          <w:color w:val="01528E"/>
          <w:kern w:val="0"/>
          <w:sz w:val="18"/>
          <w:szCs w:val="18"/>
        </w:rPr>
        <w:t xml:space="preserve">备注： </w:t>
      </w:r>
    </w:p>
    <w:p w14:paraId="17D17CF8">
      <w:pPr>
        <w:numPr>
          <w:ilvl w:val="0"/>
          <w:numId w:val="6"/>
        </w:numPr>
        <w:ind w:left="425" w:leftChars="0" w:hanging="425" w:firstLineChars="0"/>
        <w:rPr>
          <w:rFonts w:hint="eastAsia" w:ascii="黑体" w:hAnsi="黑体" w:eastAsia="黑体" w:cs="黑体"/>
          <w:color w:val="595959"/>
          <w:sz w:val="18"/>
          <w:szCs w:val="18"/>
          <w:highlight w:val="none"/>
          <w:lang w:eastAsia="zh-CN"/>
        </w:rPr>
      </w:pPr>
      <w:r>
        <w:rPr>
          <w:rFonts w:hint="eastAsia" w:ascii="黑体" w:hAnsi="黑体" w:eastAsia="黑体" w:cs="黑体"/>
          <w:color w:val="595959"/>
          <w:sz w:val="18"/>
          <w:szCs w:val="18"/>
          <w:highlight w:val="none"/>
          <w:lang w:eastAsia="zh-CN"/>
        </w:rPr>
        <w:t>历次检测结果展示突变为分子残留病灶（MRD）监测产品追踪的特异性突变（仅体细胞变异）。</w:t>
      </w:r>
    </w:p>
    <w:p w14:paraId="7D5F16EE">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"-"表示本次检测未发现</w:t>
      </w:r>
      <w:r>
        <w:rPr>
          <w:rFonts w:hint="eastAsia" w:ascii="黑体" w:hAnsi="黑体" w:eastAsia="黑体" w:cs="黑体"/>
          <w:color w:val="595959"/>
          <w:sz w:val="18"/>
          <w:szCs w:val="18"/>
          <w:lang w:val="en-US" w:eastAsia="zh-CN"/>
        </w:rPr>
        <w:t>该</w:t>
      </w:r>
      <w:r>
        <w:rPr>
          <w:rFonts w:hint="eastAsia" w:ascii="黑体" w:hAnsi="黑体" w:eastAsia="黑体" w:cs="黑体"/>
          <w:color w:val="595959"/>
          <w:sz w:val="18"/>
          <w:szCs w:val="18"/>
          <w:lang w:eastAsia="zh-CN"/>
        </w:rPr>
        <w:t>变异。</w:t>
      </w:r>
    </w:p>
    <w:p w14:paraId="4E1113EE">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变异丰度：在某位点产生突变的等位基因在该位点全部等位基因中所占比率。</w:t>
      </w:r>
    </w:p>
    <w:p w14:paraId="53ABFCF2">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基因变异检测结果：“c”为DNA序列，“p”为蛋白质。在DNA水平对某一突变位点的描述方式包括：碱基位点，正常碱基，“&gt;”符号，突变碱基。</w:t>
      </w:r>
    </w:p>
    <w:p w14:paraId="48A21059">
      <w:pPr>
        <w:rPr>
          <w:rFonts w:hint="eastAsia" w:ascii="黑体" w:hAnsi="黑体" w:eastAsia="黑体" w:cs="黑体"/>
        </w:rPr>
      </w:pPr>
      <w:r>
        <w:rPr>
          <w:rFonts w:hint="eastAsia" w:ascii="黑体" w:hAnsi="黑体" w:eastAsia="黑体" w:cs="黑体"/>
        </w:rPr>
        <w:br w:type="page"/>
      </w:r>
    </w:p>
    <w:p w14:paraId="0D10E726">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29" w:name="_Toc30962"/>
      <w:bookmarkStart w:id="30" w:name="_Toc114664096"/>
      <w:r>
        <w:rPr>
          <w:rFonts w:hint="eastAsia" w:ascii="黑体" w:hAnsi="黑体" w:eastAsia="黑体" w:cs="黑体"/>
          <w:bCs w:val="0"/>
          <w:color w:val="01528E"/>
          <w:sz w:val="44"/>
          <w:szCs w:val="44"/>
          <w:lang w:val="en-US" w:eastAsia="zh-CN"/>
        </w:rPr>
        <w:t>第三部分：备注与附录</w:t>
      </w:r>
      <w:bookmarkEnd w:id="29"/>
    </w:p>
    <w:p w14:paraId="7ECD8F27">
      <w:pPr>
        <w:pStyle w:val="2"/>
        <w:jc w:val="center"/>
        <w:rPr>
          <w:rFonts w:hint="eastAsia" w:ascii="黑体" w:hAnsi="黑体" w:eastAsia="黑体" w:cs="黑体"/>
          <w:bCs w:val="0"/>
          <w:color w:val="01528E"/>
          <w:sz w:val="36"/>
          <w:szCs w:val="36"/>
        </w:rPr>
      </w:pPr>
      <w:bookmarkStart w:id="31" w:name="_Toc30924"/>
      <w:r>
        <w:rPr>
          <w:rFonts w:hint="eastAsia" w:ascii="黑体" w:hAnsi="黑体" w:eastAsia="黑体" w:cs="黑体"/>
          <w:bCs w:val="0"/>
          <w:color w:val="01528E"/>
          <w:sz w:val="36"/>
          <w:szCs w:val="36"/>
        </w:rPr>
        <w:t>备  注</w:t>
      </w:r>
      <w:bookmarkEnd w:id="30"/>
      <w:bookmarkEnd w:id="31"/>
    </w:p>
    <w:p w14:paraId="6F892BE9">
      <w:pPr>
        <w:pStyle w:val="42"/>
        <w:numPr>
          <w:ilvl w:val="0"/>
          <w:numId w:val="7"/>
        </w:numPr>
        <w:snapToGrid w:val="0"/>
        <w:spacing w:before="156" w:beforeLines="50" w:after="156" w:afterLines="50" w:line="440" w:lineRule="exact"/>
        <w:ind w:right="210" w:rightChars="100" w:firstLineChars="0"/>
        <w:rPr>
          <w:rFonts w:hint="eastAsia" w:ascii="黑体" w:hAnsi="黑体" w:eastAsia="黑体" w:cs="黑体"/>
          <w:b/>
          <w:color w:val="01528E"/>
        </w:rPr>
      </w:pPr>
      <w:r>
        <w:rPr>
          <w:rFonts w:hint="eastAsia" w:ascii="黑体" w:hAnsi="黑体" w:eastAsia="黑体" w:cs="黑体"/>
          <w:b/>
          <w:color w:val="01528E"/>
        </w:rPr>
        <w:t>关于本产品</w:t>
      </w:r>
    </w:p>
    <w:p w14:paraId="18C302FC">
      <w:pPr>
        <w:snapToGrid w:val="0"/>
        <w:spacing w:line="440" w:lineRule="exact"/>
        <w:ind w:left="210" w:leftChars="100" w:right="210" w:rightChars="100"/>
        <w:rPr>
          <w:rFonts w:hint="eastAsia" w:ascii="黑体" w:hAnsi="黑体" w:eastAsia="黑体" w:cs="黑体"/>
          <w:color w:val="595959"/>
          <w:szCs w:val="21"/>
        </w:rPr>
      </w:pPr>
      <w:r>
        <w:rPr>
          <w:rFonts w:hint="eastAsia" w:ascii="黑体" w:hAnsi="黑体" w:eastAsia="黑体" w:cs="黑体"/>
          <w:bCs/>
          <w:color w:val="595959"/>
          <w:szCs w:val="21"/>
        </w:rPr>
        <w:t>1. 本次检测结果只对本次送检样本负责，检测结果的解释及建议基于当前的科学研究水平，</w:t>
      </w:r>
      <w:r>
        <w:rPr>
          <w:rFonts w:hint="eastAsia" w:ascii="黑体" w:hAnsi="黑体" w:eastAsia="黑体" w:cs="黑体"/>
          <w:color w:val="595959"/>
          <w:szCs w:val="21"/>
        </w:rPr>
        <w:t>已发表的文献和公开的数据库，随着科学研究的发展和数据库的更新，变异解读可能变化。</w:t>
      </w:r>
    </w:p>
    <w:p w14:paraId="15F7D835">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2. 本检测仅为临床诊断及治疗决策提供参考和辅助。临床诊断及治疗应由临床医生结合受检者全面的临床信息进行综合判断。</w:t>
      </w:r>
    </w:p>
    <w:p w14:paraId="378D406D">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3. 肿瘤具有异质性，组织检测到的变异可能无法完全反映病灶部位全部细胞变异情况，不应仅因本检测的结果评估判断肿瘤是否消失或复发。</w:t>
      </w:r>
    </w:p>
    <w:p w14:paraId="3543B5D8">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4.本检测采用特定肿瘤组织检测结果设计定制化panel进行高深度测序，不包含其他肿瘤相关的变异。</w:t>
      </w:r>
    </w:p>
    <w:p w14:paraId="78D2938A">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5.肿瘤生物学行为复杂，部分肿瘤的变异可能不释放入血（non-shedding），或者释放入血的ctDNA低于本检测的下限，而导致MRD阴性。</w:t>
      </w:r>
    </w:p>
    <w:p w14:paraId="09FBE4FC">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6.本检测个性化 panel的定制采用独家算法进行计算，筛选的位点高度个性化，报告中不提供定制化位点的信息。</w:t>
      </w:r>
    </w:p>
    <w:p w14:paraId="39822FB9">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7.某些患者可能由于个性化定制突变位点数量不足，将导致外周血监测质量存在风险或监测Panel定制失败。</w:t>
      </w:r>
    </w:p>
    <w:p w14:paraId="710C950F">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8．报告依据人类基因组变异学会（Human Genome Variation Society, HGVS）制定并公布的规则进行变异命名，变异的临床意义判断解读规则参考美国医学遗传学和基因组学学会（American College of Medical Genetics and Genomics，ACMG）指南，以及由美国分子病理学会（Association of Molecular Pathology, AMP）、美国临床肿瘤学会（American Society of Clinical Oncology, ASCO）和美国病理学家协会（College of American Pathologists, CAP）联合发布的癌症相关变异解读和报告指南。本报告结果采用的注释软件及数据库版本号：参考基因组（GRCh37）、注释版本（NCBI Annotation Release 104）、1000G（phaseIII - ucsc）、EXAC（0.3.1）、dbSNP（147）、PolyPhen2/SIFT（ensdb v73）、PhyloP（2013-12-06）、Clinvar（2017-12-12）、Cosmic（V80）。</w:t>
      </w:r>
    </w:p>
    <w:p w14:paraId="195B0B8F">
      <w:pPr>
        <w:snapToGrid w:val="0"/>
        <w:spacing w:line="440" w:lineRule="exact"/>
        <w:ind w:left="210" w:leftChars="100" w:right="210" w:rightChars="100"/>
        <w:rPr>
          <w:rFonts w:hint="eastAsia" w:ascii="黑体" w:hAnsi="黑体" w:eastAsia="黑体" w:cs="黑体"/>
          <w:szCs w:val="21"/>
        </w:rPr>
      </w:pPr>
      <w:r>
        <w:rPr>
          <w:rFonts w:hint="eastAsia" w:ascii="黑体" w:hAnsi="黑体" w:eastAsia="黑体" w:cs="黑体"/>
          <w:color w:val="595959"/>
          <w:szCs w:val="21"/>
        </w:rPr>
        <w:t xml:space="preserve">9.如对报告有异议，请在收到报告后的7个工作日内联系我们。  </w:t>
      </w:r>
    </w:p>
    <w:p w14:paraId="2459EB58">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094336BC">
      <w:pPr>
        <w:snapToGrid w:val="0"/>
        <w:spacing w:before="156" w:beforeLines="50" w:after="156" w:afterLines="50" w:line="440" w:lineRule="exact"/>
        <w:ind w:left="210" w:leftChars="100" w:right="210" w:rightChars="100" w:firstLine="420" w:firstLineChars="200"/>
        <w:rPr>
          <w:rFonts w:hint="eastAsia" w:ascii="黑体" w:hAnsi="黑体" w:eastAsia="黑体" w:cs="黑体"/>
          <w:b/>
          <w:color w:val="595959" w:themeColor="text1" w:themeTint="A6"/>
          <w14:textFill>
            <w14:solidFill>
              <w14:schemeClr w14:val="tx1">
                <w14:lumMod w14:val="65000"/>
                <w14:lumOff w14:val="35000"/>
              </w14:schemeClr>
            </w14:solidFill>
          </w14:textFill>
        </w:rPr>
      </w:pPr>
      <w:r>
        <w:rPr>
          <w:rFonts w:hint="eastAsia" w:ascii="黑体" w:hAnsi="黑体" w:eastAsia="黑体" w:cs="黑体"/>
          <w:color w:val="595959" w:themeColor="text1" w:themeTint="A6"/>
          <w14:textFill>
            <w14:solidFill>
              <w14:schemeClr w14:val="tx1">
                <w14:lumMod w14:val="65000"/>
                <w14:lumOff w14:val="35000"/>
              </w14:schemeClr>
            </w14:solidFill>
          </w14:textFill>
        </w:rPr>
        <w:t>本产品采用高通量基因</w:t>
      </w:r>
      <w:r>
        <w:rPr>
          <w:rFonts w:hint="eastAsia" w:ascii="黑体" w:hAnsi="黑体" w:eastAsia="黑体" w:cs="黑体"/>
          <w:color w:val="595959"/>
        </w:rPr>
        <w:t>测序平台，对血浆游离D</w:t>
      </w:r>
      <w:r>
        <w:rPr>
          <w:rFonts w:hint="eastAsia" w:ascii="黑体" w:hAnsi="黑体" w:eastAsia="黑体" w:cs="黑体"/>
          <w:color w:val="595959" w:themeColor="text1" w:themeTint="A6"/>
          <w14:textFill>
            <w14:solidFill>
              <w14:schemeClr w14:val="tx1">
                <w14:lumMod w14:val="65000"/>
                <w14:lumOff w14:val="35000"/>
              </w14:schemeClr>
            </w14:solidFill>
          </w14:textFill>
        </w:rPr>
        <w:t>NA进行检测。根据患者肿瘤组织检测结果中的突变位点，结合癌种核心基因，为每位患者定制个性化探针。通过ER-Seq检测方法，对血浆中ctDNA（循环肿瘤DNA）进行超高深度测序，分析是否存在MRD（分子残留病变）。该检测方式兼具准确性与全面性，提供最全面可信的检测结果。</w:t>
      </w:r>
    </w:p>
    <w:p w14:paraId="286FE1D9">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三、临床方案决定</w:t>
      </w:r>
    </w:p>
    <w:p w14:paraId="185D3B02">
      <w:pPr>
        <w:snapToGrid w:val="0"/>
        <w:spacing w:line="440" w:lineRule="exact"/>
        <w:ind w:left="210" w:leftChars="100" w:right="210" w:rightChars="100" w:firstLine="420" w:firstLineChars="200"/>
        <w:rPr>
          <w:rFonts w:hint="eastAsia" w:ascii="黑体" w:hAnsi="黑体" w:eastAsia="黑体" w:cs="黑体"/>
          <w:bCs/>
          <w:color w:val="595959"/>
          <w:szCs w:val="21"/>
        </w:rPr>
      </w:pPr>
      <w:r>
        <w:rPr>
          <w:rFonts w:hint="eastAsia" w:ascii="黑体" w:hAnsi="黑体" w:eastAsia="黑体" w:cs="黑体"/>
          <w:bCs/>
          <w:color w:val="595959"/>
          <w:szCs w:val="21"/>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p w14:paraId="5820F5AD">
      <w:pPr>
        <w:snapToGrid w:val="0"/>
        <w:spacing w:line="440" w:lineRule="exact"/>
        <w:ind w:right="210" w:rightChars="100"/>
        <w:rPr>
          <w:rFonts w:hint="eastAsia" w:ascii="黑体" w:hAnsi="黑体" w:eastAsia="黑体" w:cs="黑体"/>
          <w:color w:val="595959"/>
          <w:sz w:val="18"/>
          <w:szCs w:val="18"/>
        </w:rPr>
      </w:pPr>
    </w:p>
    <w:p w14:paraId="16CA3DF7">
      <w:pPr>
        <w:snapToGrid w:val="0"/>
        <w:spacing w:line="440" w:lineRule="exact"/>
        <w:ind w:right="210" w:rightChars="100"/>
        <w:rPr>
          <w:rFonts w:hint="eastAsia" w:ascii="黑体" w:hAnsi="黑体" w:eastAsia="黑体" w:cs="黑体"/>
          <w:color w:val="595959"/>
          <w:sz w:val="18"/>
          <w:szCs w:val="18"/>
        </w:rPr>
      </w:pPr>
    </w:p>
    <w:tbl>
      <w:tblPr>
        <w:tblStyle w:val="15"/>
        <w:tblpPr w:leftFromText="180" w:rightFromText="180" w:vertAnchor="text" w:horzAnchor="page" w:tblpXSpec="center" w:tblpY="368"/>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30F40299">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1F22E5D6">
            <w:pPr>
              <w:spacing w:line="360" w:lineRule="auto"/>
              <w:jc w:val="left"/>
              <w:rPr>
                <w:rFonts w:hint="eastAsia" w:ascii="黑体" w:hAnsi="黑体" w:eastAsia="黑体" w:cs="黑体"/>
                <w:sz w:val="18"/>
                <w:szCs w:val="18"/>
              </w:rPr>
            </w:pPr>
          </w:p>
          <w:p w14:paraId="30AD068C">
            <w:pPr>
              <w:spacing w:line="360" w:lineRule="auto"/>
              <w:jc w:val="cente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sz w:val="18"/>
                <w:szCs w:val="18"/>
              </w:rPr>
              <w:drawing>
                <wp:inline distT="0" distB="0" distL="0" distR="0">
                  <wp:extent cx="942975" cy="405765"/>
                  <wp:effectExtent l="0" t="0" r="9525" b="635"/>
                  <wp:docPr id="8"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C:\Users\ADMINI~1\AppData\Local\Temp\WeChat Files\2c703b009205a96c1d7b6da9c88e0d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970707" cy="417772"/>
                          </a:xfrm>
                          <a:prstGeom prst="rect">
                            <a:avLst/>
                          </a:prstGeom>
                          <a:noFill/>
                          <a:ln>
                            <a:noFill/>
                          </a:ln>
                        </pic:spPr>
                      </pic:pic>
                    </a:graphicData>
                  </a:graphic>
                </wp:inline>
              </w:drawing>
            </w:r>
            <w:r>
              <w:rPr>
                <w:rFonts w:hint="eastAsia" w:ascii="黑体" w:hAnsi="黑体" w:eastAsia="黑体" w:cs="黑体"/>
                <w:sz w:val="18"/>
                <w:szCs w:val="18"/>
              </w:rPr>
              <w:t xml:space="preserve">  </w:t>
            </w:r>
          </w:p>
        </w:tc>
        <w:tc>
          <w:tcPr>
            <w:tcW w:w="2881" w:type="dxa"/>
            <w:tcBorders>
              <w:left w:val="nil"/>
              <w:right w:val="nil"/>
            </w:tcBorders>
            <w:vAlign w:val="center"/>
          </w:tcPr>
          <w:p w14:paraId="1D15BA70">
            <w:pPr>
              <w:spacing w:line="360" w:lineRule="auto"/>
              <w:jc w:val="left"/>
              <w:rPr>
                <w:rFonts w:hint="eastAsia" w:ascii="黑体" w:hAnsi="黑体" w:eastAsia="黑体" w:cs="黑体"/>
                <w:bCs/>
                <w:sz w:val="22"/>
              </w:rPr>
            </w:pPr>
          </w:p>
        </w:tc>
        <w:tc>
          <w:tcPr>
            <w:tcW w:w="1123" w:type="dxa"/>
            <w:tcBorders>
              <w:left w:val="nil"/>
              <w:right w:val="nil"/>
            </w:tcBorders>
            <w:vAlign w:val="center"/>
          </w:tcPr>
          <w:p w14:paraId="60682608">
            <w:pPr>
              <w:spacing w:line="360" w:lineRule="auto"/>
              <w:jc w:val="left"/>
              <w:rPr>
                <w:rFonts w:hint="eastAsia" w:ascii="黑体" w:hAnsi="黑体" w:eastAsia="黑体" w:cs="黑体"/>
                <w:sz w:val="18"/>
                <w:szCs w:val="18"/>
              </w:rPr>
            </w:pPr>
          </w:p>
          <w:p w14:paraId="244481E7">
            <w:pPr>
              <w:spacing w:line="360" w:lineRule="auto"/>
              <w:jc w:val="left"/>
              <w:rPr>
                <w:rFonts w:hint="eastAsia" w:ascii="黑体" w:hAnsi="黑体" w:eastAsia="黑体" w:cs="黑体"/>
                <w:sz w:val="18"/>
                <w:szCs w:val="18"/>
              </w:rPr>
            </w:pPr>
          </w:p>
          <w:p w14:paraId="5DC3B0B5">
            <w:pPr>
              <w:spacing w:line="360" w:lineRule="auto"/>
              <w:jc w:val="left"/>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审核人：</w:t>
            </w:r>
            <w:r>
              <w:rPr>
                <w:rFonts w:hint="eastAsia" w:ascii="黑体" w:hAnsi="黑体" w:eastAsia="黑体" w:cs="黑体"/>
                <w:sz w:val="18"/>
                <w:szCs w:val="18"/>
              </w:rPr>
              <w:t xml:space="preserve"> </w:t>
            </w:r>
          </w:p>
        </w:tc>
        <w:tc>
          <w:tcPr>
            <w:tcW w:w="2896" w:type="dxa"/>
            <w:gridSpan w:val="2"/>
            <w:tcBorders>
              <w:left w:val="nil"/>
            </w:tcBorders>
            <w:vAlign w:val="center"/>
          </w:tcPr>
          <w:p w14:paraId="6F799973">
            <w:pPr>
              <w:spacing w:line="360" w:lineRule="auto"/>
              <w:jc w:val="left"/>
              <w:rPr>
                <w:rFonts w:hint="eastAsia" w:ascii="黑体" w:hAnsi="黑体" w:eastAsia="黑体" w:cs="黑体"/>
                <w:sz w:val="18"/>
                <w:szCs w:val="18"/>
              </w:rPr>
            </w:pPr>
            <w:r>
              <w:rPr>
                <w:rFonts w:hint="eastAsia" w:ascii="黑体" w:hAnsi="黑体" w:eastAsia="黑体" w:cs="黑体"/>
                <w:sz w:val="18"/>
                <w:szCs w:val="18"/>
              </w:rPr>
              <w:drawing>
                <wp:inline distT="0" distB="0" distL="114300" distR="114300">
                  <wp:extent cx="1638300" cy="1159510"/>
                  <wp:effectExtent l="0" t="0" r="0" b="889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9" cstate="print"/>
                          <a:stretch>
                            <a:fillRect/>
                          </a:stretch>
                        </pic:blipFill>
                        <pic:spPr>
                          <a:xfrm>
                            <a:off x="0" y="0"/>
                            <a:ext cx="1648756" cy="1167097"/>
                          </a:xfrm>
                          <a:prstGeom prst="rect">
                            <a:avLst/>
                          </a:prstGeom>
                        </pic:spPr>
                      </pic:pic>
                    </a:graphicData>
                  </a:graphic>
                </wp:inline>
              </w:drawing>
            </w:r>
          </w:p>
        </w:tc>
      </w:tr>
      <w:tr w14:paraId="63B595CE">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2EC92F8D">
            <w:pPr>
              <w:rPr>
                <w:rFonts w:hint="eastAsia" w:ascii="黑体" w:hAnsi="黑体" w:eastAsia="黑体" w:cs="黑体"/>
                <w:sz w:val="22"/>
              </w:rPr>
            </w:pPr>
          </w:p>
        </w:tc>
        <w:tc>
          <w:tcPr>
            <w:tcW w:w="4010" w:type="dxa"/>
            <w:gridSpan w:val="2"/>
            <w:vAlign w:val="center"/>
          </w:tcPr>
          <w:p w14:paraId="26932212">
            <w:pP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日期：{{reportdate}}</w:t>
            </w:r>
          </w:p>
        </w:tc>
      </w:tr>
    </w:tbl>
    <w:p w14:paraId="2AABD9DC">
      <w:pPr>
        <w:rPr>
          <w:rFonts w:hint="eastAsia" w:ascii="黑体" w:hAnsi="黑体" w:eastAsia="黑体" w:cs="黑体"/>
        </w:rPr>
      </w:pPr>
    </w:p>
    <w:p w14:paraId="21E96CAD">
      <w:pPr>
        <w:rPr>
          <w:rFonts w:hint="eastAsia" w:ascii="黑体" w:hAnsi="黑体" w:eastAsia="黑体" w:cs="黑体"/>
        </w:rPr>
      </w:pPr>
    </w:p>
    <w:p w14:paraId="0BBC0D6D">
      <w:pPr>
        <w:rPr>
          <w:rFonts w:hint="eastAsia" w:ascii="黑体" w:hAnsi="黑体" w:eastAsia="黑体" w:cs="黑体"/>
        </w:rPr>
      </w:pPr>
      <w:r>
        <w:rPr>
          <w:rFonts w:hint="eastAsia" w:ascii="黑体" w:hAnsi="黑体" w:eastAsia="黑体" w:cs="黑体"/>
        </w:rPr>
        <w:t xml:space="preserve">                                                                </w:t>
      </w:r>
    </w:p>
    <w:p w14:paraId="6A010CD5">
      <w:pPr>
        <w:rPr>
          <w:rFonts w:hint="eastAsia" w:ascii="黑体" w:hAnsi="黑体" w:eastAsia="黑体" w:cs="黑体"/>
        </w:rPr>
      </w:pPr>
    </w:p>
    <w:p w14:paraId="4DB6ED7B">
      <w:pPr>
        <w:rPr>
          <w:rFonts w:hint="eastAsia" w:ascii="黑体" w:hAnsi="黑体" w:eastAsia="黑体" w:cs="黑体"/>
        </w:rPr>
      </w:pPr>
      <w:r>
        <w:rPr>
          <w:rFonts w:hint="eastAsia" w:ascii="黑体" w:hAnsi="黑体" w:eastAsia="黑体" w:cs="黑体"/>
        </w:rPr>
        <w:br w:type="page"/>
      </w:r>
    </w:p>
    <w:p w14:paraId="38AC2BFE">
      <w:pPr>
        <w:snapToGrid w:val="0"/>
        <w:spacing w:line="360" w:lineRule="auto"/>
        <w:ind w:left="102"/>
        <w:jc w:val="center"/>
        <w:outlineLvl w:val="1"/>
        <w:rPr>
          <w:rFonts w:hint="eastAsia" w:ascii="黑体" w:hAnsi="黑体" w:eastAsia="黑体" w:cs="黑体"/>
          <w:b/>
          <w:bCs/>
          <w:color w:val="01528E"/>
          <w:kern w:val="0"/>
          <w:sz w:val="32"/>
          <w:szCs w:val="32"/>
        </w:rPr>
      </w:pPr>
      <w:bookmarkStart w:id="32" w:name="_Toc25852"/>
      <w:r>
        <w:rPr>
          <w:rFonts w:hint="eastAsia" w:ascii="黑体" w:hAnsi="黑体" w:eastAsia="黑体" w:cs="黑体"/>
          <w:b/>
          <w:bCs/>
          <w:color w:val="01528E"/>
          <w:kern w:val="0"/>
          <w:sz w:val="32"/>
          <w:szCs w:val="32"/>
        </w:rPr>
        <w:t>附录.参考文献</w:t>
      </w:r>
      <w:bookmarkEnd w:id="32"/>
    </w:p>
    <w:p w14:paraId="00E202FB">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《实体瘤分子残留病灶检测共识</w:t>
      </w:r>
      <w:r>
        <w:rPr>
          <w:rFonts w:hint="eastAsia" w:ascii="黑体" w:hAnsi="黑体" w:eastAsia="黑体" w:cs="黑体"/>
          <w:color w:val="595959"/>
          <w:sz w:val="18"/>
          <w:szCs w:val="18"/>
          <w:highlight w:val="none"/>
          <w:lang w:eastAsia="zh-CN"/>
        </w:rPr>
        <w:t>（202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 xml:space="preserve"> 年版）</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lang w:eastAsia="zh-CN"/>
        </w:rPr>
        <w:t>,中华医学会病理学分会,国家病理质控中心.中华病理学202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年第</w:t>
      </w:r>
      <w:r>
        <w:rPr>
          <w:rFonts w:hint="eastAsia" w:ascii="黑体" w:hAnsi="黑体" w:eastAsia="黑体" w:cs="黑体"/>
          <w:color w:val="595959"/>
          <w:sz w:val="18"/>
          <w:szCs w:val="18"/>
          <w:highlight w:val="none"/>
          <w:lang w:val="en-US" w:eastAsia="zh-CN"/>
        </w:rPr>
        <w:t>53</w:t>
      </w:r>
      <w:r>
        <w:rPr>
          <w:rFonts w:hint="eastAsia" w:ascii="黑体" w:hAnsi="黑体" w:eastAsia="黑体" w:cs="黑体"/>
          <w:color w:val="595959"/>
          <w:sz w:val="18"/>
          <w:szCs w:val="18"/>
          <w:highlight w:val="none"/>
          <w:lang w:eastAsia="zh-CN"/>
        </w:rPr>
        <w:t>卷第</w:t>
      </w:r>
      <w:r>
        <w:rPr>
          <w:rFonts w:hint="eastAsia" w:ascii="黑体" w:hAnsi="黑体" w:eastAsia="黑体" w:cs="黑体"/>
          <w:color w:val="595959"/>
          <w:sz w:val="18"/>
          <w:szCs w:val="18"/>
          <w:highlight w:val="none"/>
          <w:lang w:val="en-US" w:eastAsia="zh-CN"/>
        </w:rPr>
        <w:t>11</w:t>
      </w:r>
      <w:r>
        <w:rPr>
          <w:rFonts w:hint="eastAsia" w:ascii="黑体" w:hAnsi="黑体" w:eastAsia="黑体" w:cs="黑体"/>
          <w:color w:val="595959"/>
          <w:sz w:val="18"/>
          <w:szCs w:val="18"/>
          <w:highlight w:val="none"/>
          <w:lang w:eastAsia="zh-CN"/>
        </w:rPr>
        <w:t>期.</w:t>
      </w:r>
    </w:p>
    <w:p w14:paraId="255611C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《非小细胞肺癌分子残留病灶专家共识（202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年版）》,中国抗癌协会肺癌</w:t>
      </w:r>
      <w:r>
        <w:rPr>
          <w:rFonts w:hint="eastAsia" w:ascii="黑体" w:hAnsi="黑体" w:eastAsia="黑体" w:cs="黑体"/>
          <w:color w:val="595959"/>
          <w:sz w:val="18"/>
          <w:szCs w:val="18"/>
          <w:highlight w:val="none"/>
          <w:shd w:val="clear" w:color="auto" w:fill="FFFFFF"/>
          <w:lang w:val="en-US" w:eastAsia="zh-CN" w:bidi="ar"/>
        </w:rPr>
        <w:t>专业委员会</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3</w:t>
      </w:r>
      <w:r>
        <w:rPr>
          <w:rFonts w:hint="eastAsia" w:ascii="黑体" w:hAnsi="黑体" w:eastAsia="黑体" w:cs="黑体"/>
          <w:color w:val="595959"/>
          <w:sz w:val="18"/>
          <w:szCs w:val="18"/>
          <w:highlight w:val="none"/>
          <w:shd w:val="clear" w:color="auto" w:fill="FFFFFF"/>
          <w:lang w:eastAsia="zh-CN" w:bidi="ar"/>
        </w:rPr>
        <w:t>期.</w:t>
      </w:r>
    </w:p>
    <w:p w14:paraId="30A4F914">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《引领肺癌治疗新时代的标志物——微小残留病灶（202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年版）》,张嘉涛</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杨学宁</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吴一龙.</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期.</w:t>
      </w:r>
    </w:p>
    <w:p w14:paraId="371BD75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28899864</w:t>
      </w:r>
      <w:r>
        <w:rPr>
          <w:rFonts w:hint="eastAsia" w:ascii="黑体" w:hAnsi="黑体" w:eastAsia="黑体" w:cs="黑体"/>
          <w:color w:val="595959"/>
          <w:sz w:val="18"/>
          <w:szCs w:val="18"/>
          <w:highlight w:val="none"/>
          <w:shd w:val="clear" w:color="auto" w:fill="FFFFFF"/>
          <w:lang w:val="en-US" w:eastAsia="zh-CN" w:bidi="ar"/>
        </w:rPr>
        <w:t>]</w:t>
      </w:r>
    </w:p>
    <w:p w14:paraId="517EE81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Abbosh C, Birkbak NJ, Wilson GA, et al. Phylogenetic ctDNA analysis depicts early-stage lung cancer evolution. Nature 2017;545:446-51.</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28445469</w:t>
      </w:r>
      <w:r>
        <w:rPr>
          <w:rFonts w:hint="eastAsia" w:ascii="黑体" w:hAnsi="黑体" w:eastAsia="黑体" w:cs="黑体"/>
          <w:color w:val="595959"/>
          <w:sz w:val="18"/>
          <w:szCs w:val="18"/>
          <w:highlight w:val="none"/>
          <w:shd w:val="clear" w:color="auto" w:fill="FFFFFF"/>
          <w:lang w:val="en-US" w:eastAsia="zh-CN" w:bidi="ar"/>
        </w:rPr>
        <w:t>]</w:t>
      </w:r>
    </w:p>
    <w:p w14:paraId="5FB720B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34505064</w:t>
      </w:r>
      <w:r>
        <w:rPr>
          <w:rFonts w:hint="eastAsia" w:ascii="黑体" w:hAnsi="黑体" w:eastAsia="黑体" w:cs="黑体"/>
          <w:color w:val="595959"/>
          <w:sz w:val="18"/>
          <w:szCs w:val="18"/>
          <w:highlight w:val="none"/>
          <w:shd w:val="clear" w:color="auto" w:fill="FFFFFF"/>
          <w:lang w:val="en-US" w:eastAsia="zh-CN" w:bidi="ar"/>
        </w:rPr>
        <w:t>]</w:t>
      </w:r>
    </w:p>
    <w:p w14:paraId="04BB66ED">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35543554</w:t>
      </w:r>
      <w:r>
        <w:rPr>
          <w:rFonts w:hint="eastAsia" w:ascii="黑体" w:hAnsi="黑体" w:eastAsia="黑体" w:cs="黑体"/>
          <w:color w:val="595959"/>
          <w:sz w:val="18"/>
          <w:szCs w:val="18"/>
          <w:highlight w:val="none"/>
          <w:shd w:val="clear" w:color="auto" w:fill="FFFFFF"/>
          <w:lang w:val="en-US" w:eastAsia="zh-CN" w:bidi="ar"/>
        </w:rPr>
        <w:t>]</w:t>
      </w:r>
    </w:p>
    <w:p w14:paraId="54CA06C3">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12661006</w:t>
      </w:r>
      <w:r>
        <w:rPr>
          <w:rFonts w:hint="eastAsia" w:ascii="黑体" w:hAnsi="黑体" w:eastAsia="黑体" w:cs="黑体"/>
          <w:color w:val="595959"/>
          <w:sz w:val="18"/>
          <w:szCs w:val="18"/>
          <w:highlight w:val="none"/>
          <w:shd w:val="clear" w:color="auto" w:fill="FFFFFF"/>
          <w:lang w:val="en-US" w:eastAsia="zh-CN" w:bidi="ar"/>
        </w:rPr>
        <w:t>]</w:t>
      </w:r>
    </w:p>
    <w:p w14:paraId="2A3AE06C">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val="en-US" w:eastAsia="zh-CN" w:bidi="ar"/>
        </w:rPr>
      </w:pPr>
      <w:r>
        <w:rPr>
          <w:rFonts w:hint="eastAsia" w:ascii="黑体" w:hAnsi="黑体" w:eastAsia="黑体" w:cs="黑体"/>
          <w:color w:val="595959"/>
          <w:sz w:val="18"/>
          <w:szCs w:val="18"/>
          <w:highlight w:val="none"/>
          <w:shd w:val="clear" w:color="auto" w:fill="FFFFFF"/>
          <w:lang w:eastAsia="zh-CN" w:bidi="ar"/>
        </w:rPr>
        <w:t>Rikova K, Guo A, Zeng Q, et al. Global survey of phosphotyrosine signaling identifies oncogenic kinases in lung cancer. Cell. 2007;131:1190–1203.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18083107</w:t>
      </w:r>
      <w:r>
        <w:rPr>
          <w:rFonts w:hint="eastAsia" w:ascii="黑体" w:hAnsi="黑体" w:eastAsia="黑体" w:cs="黑体"/>
          <w:color w:val="595959"/>
          <w:sz w:val="18"/>
          <w:szCs w:val="18"/>
          <w:highlight w:val="none"/>
          <w:shd w:val="clear" w:color="auto" w:fill="FFFFFF"/>
          <w:lang w:val="en-US" w:eastAsia="zh-CN" w:bidi="ar"/>
        </w:rPr>
        <w:t>]</w:t>
      </w:r>
    </w:p>
    <w:p w14:paraId="18C888B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Gu TL</w:t>
      </w:r>
      <w:r>
        <w:rPr>
          <w:rFonts w:hint="eastAsia" w:ascii="黑体" w:hAnsi="黑体" w:eastAsia="黑体" w:cs="黑体"/>
          <w:color w:val="595959"/>
          <w:sz w:val="18"/>
          <w:szCs w:val="18"/>
          <w:highlight w:val="none"/>
          <w:shd w:val="clear" w:color="auto" w:fill="FFFFFF"/>
          <w:lang w:val="en-US" w:eastAsia="zh-CN" w:bidi="ar"/>
        </w:rPr>
        <w:t>, Deng X, Huang F,</w:t>
      </w:r>
      <w:r>
        <w:rPr>
          <w:rFonts w:hint="eastAsia" w:ascii="黑体" w:hAnsi="黑体" w:eastAsia="黑体" w:cs="黑体"/>
          <w:color w:val="595959"/>
          <w:sz w:val="18"/>
          <w:szCs w:val="18"/>
          <w:highlight w:val="none"/>
          <w:shd w:val="clear" w:color="auto" w:fill="FFFFFF"/>
          <w:lang w:eastAsia="zh-CN" w:bidi="ar"/>
        </w:rPr>
        <w:t xml:space="preserve"> et al. Survey of tyrosine kinase signaling reveals ROS kinase fusions in human cholangiocarcinoma. PLoS ONE. 2011;6(1):e15640.</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21253578</w:t>
      </w:r>
      <w:r>
        <w:rPr>
          <w:rFonts w:hint="eastAsia" w:ascii="黑体" w:hAnsi="黑体" w:eastAsia="黑体" w:cs="黑体"/>
          <w:color w:val="595959"/>
          <w:sz w:val="18"/>
          <w:szCs w:val="18"/>
          <w:highlight w:val="none"/>
          <w:shd w:val="clear" w:color="auto" w:fill="FFFFFF"/>
          <w:lang w:val="en-US" w:eastAsia="zh-CN" w:bidi="ar"/>
        </w:rPr>
        <w:t>]</w:t>
      </w:r>
    </w:p>
    <w:p w14:paraId="063C16EC">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Davies KD, Doebele RC. Molecular pathways: ROS1 fusion proteins in cancer. Clin Cancer Res 2013; 19: 4040–4045.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23719267</w:t>
      </w:r>
      <w:r>
        <w:rPr>
          <w:rFonts w:hint="eastAsia" w:ascii="黑体" w:hAnsi="黑体" w:eastAsia="黑体" w:cs="黑体"/>
          <w:color w:val="595959"/>
          <w:sz w:val="18"/>
          <w:szCs w:val="18"/>
          <w:highlight w:val="none"/>
          <w:shd w:val="clear" w:color="auto" w:fill="FFFFFF"/>
          <w:lang w:val="en-US" w:eastAsia="zh-CN" w:bidi="ar"/>
        </w:rPr>
        <w:t>]</w:t>
      </w:r>
    </w:p>
    <w:p w14:paraId="09A6F4A5">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Discovery</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2017</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7:1394–403. [PMID: 28899864]</w:t>
      </w:r>
    </w:p>
    <w:p w14:paraId="0498AB3D">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Garcia-Murillas I, Schiavon G, Weigelt B, et al. Mutation tracking in circulating tumor DNA predicts relapse in early breast cancer. Sci Transl Med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2015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7(302):302ra133. [PMID: 26311728]</w:t>
      </w:r>
    </w:p>
    <w:p w14:paraId="62730B64">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Tie J, Wang Y, Tomasetti C, et al. Circulating tumor DNA analysis detects minimal residual disease and predicts recurrence in patients with stage II colon cancer. Sci Transl Med. 2016;8(346):346ra92 [PMID: 27384348]</w:t>
      </w:r>
    </w:p>
    <w:p w14:paraId="59E8209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68DBBB7A">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Sausen M., Phallen J., Adleff V., et al. Clinical implications of genomic alterations in the tumour and circulation of pancreatic cancer patients. Nat. Commun. 2015;6:7686. [PMID: 26154128]</w:t>
      </w:r>
    </w:p>
    <w:p w14:paraId="250BE6D5">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7E60BDA8">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34625408]</w:t>
      </w:r>
    </w:p>
    <w:p w14:paraId="6A17961F">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Coakley M., Garcia-Murillas I. Turner N.C. Molecular Residual Disease and Adjuvant Trial Design in Solid Tumors. Clin. Cancer Res. 2019;25:6026–6034. [PMID: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31088829]</w:t>
      </w:r>
    </w:p>
    <w:p w14:paraId="5DA60A43">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rPr>
      </w:pPr>
      <w:r>
        <w:rPr>
          <w:rFonts w:hint="eastAsia" w:ascii="黑体" w:hAnsi="黑体" w:eastAsia="黑体" w:cs="黑体"/>
          <w:color w:val="595959"/>
          <w:sz w:val="18"/>
          <w:szCs w:val="18"/>
          <w:highlight w:val="none"/>
          <w:shd w:val="clear" w:color="auto" w:fill="FFFFFF"/>
          <w:lang w:eastAsia="zh-CN" w:bidi="ar"/>
        </w:rPr>
        <w:t>Moding EJ, Nabet BY, Alizadeh AA, et al. Detecting liquid remnants of solid tumors: circulating tumor DNA minimal residual disease. Cancer Discov 2021;11:2968–86. [PMID: 34785539]</w:t>
      </w:r>
      <w:r>
        <w:rPr>
          <w:rFonts w:hint="eastAsia" w:ascii="黑体" w:hAnsi="黑体" w:eastAsia="黑体" w:cs="黑体"/>
          <w:color w:val="595959"/>
        </w:rPr>
        <w:br w:type="page"/>
      </w:r>
    </w:p>
    <w:p w14:paraId="3F5D182B">
      <w:pPr>
        <w:widowControl/>
        <w:jc w:val="left"/>
        <w:rPr>
          <w:rFonts w:hint="eastAsia" w:ascii="黑体" w:hAnsi="黑体" w:eastAsia="黑体" w:cs="黑体"/>
        </w:rPr>
      </w:pPr>
    </w:p>
    <w:p w14:paraId="1108A1FB">
      <w:pPr>
        <w:rPr>
          <w:rFonts w:hint="eastAsia" w:ascii="黑体" w:hAnsi="黑体" w:eastAsia="黑体" w:cs="黑体"/>
        </w:rPr>
      </w:pPr>
      <w:bookmarkStart w:id="33" w:name="_GoBack"/>
      <w:r>
        <w:rPr>
          <w:sz w:val="15"/>
        </w:rPr>
        <mc:AlternateContent>
          <mc:Choice Requires="wpg">
            <w:drawing>
              <wp:anchor distT="0" distB="0" distL="114300" distR="114300" simplePos="0" relativeHeight="251664384" behindDoc="0" locked="0" layoutInCell="1" allowOverlap="1">
                <wp:simplePos x="0" y="0"/>
                <wp:positionH relativeFrom="column">
                  <wp:posOffset>-636270</wp:posOffset>
                </wp:positionH>
                <wp:positionV relativeFrom="paragraph">
                  <wp:posOffset>-1207770</wp:posOffset>
                </wp:positionV>
                <wp:extent cx="4174490" cy="5801360"/>
                <wp:effectExtent l="0" t="0" r="1270" b="5080"/>
                <wp:wrapNone/>
                <wp:docPr id="3" name="组合 3"/>
                <wp:cNvGraphicFramePr/>
                <a:graphic xmlns:a="http://schemas.openxmlformats.org/drawingml/2006/main">
                  <a:graphicData uri="http://schemas.microsoft.com/office/word/2010/wordprocessingGroup">
                    <wpg:wgp>
                      <wpg:cNvGrpSpPr/>
                      <wpg:grpSpPr>
                        <a:xfrm>
                          <a:off x="0" y="0"/>
                          <a:ext cx="4174490" cy="5801360"/>
                          <a:chOff x="3698" y="719499"/>
                          <a:chExt cx="6574" cy="9136"/>
                        </a:xfrm>
                      </wpg:grpSpPr>
                      <wps:wsp>
                        <wps:cNvPr id="42" name="文本框 42"/>
                        <wps:cNvSpPr txBox="1"/>
                        <wps:spPr>
                          <a:xfrm>
                            <a:off x="3698" y="719499"/>
                            <a:ext cx="6575" cy="913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13E3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842E82E">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2A07C46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7B398CFF">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CD2814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62E9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0BA3ED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3F3B8B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7818368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7BD6BFC1">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302CAF34">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27C64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3DCB35E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042E95D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70396E7E">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587EE956">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7A7B82B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5BDF9C18">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039E3C7F">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10"/>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p>
                            <w:p w14:paraId="5D924412">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518C6EBA">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27A2B5BB">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224F876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29E5745E">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7CD68807">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61"/>
                                <w:tblW w:w="4447" w:type="dxa"/>
                                <w:tblInd w:w="0" w:type="dxa"/>
                                <w:tblLayout w:type="fixed"/>
                                <w:tblCellMar>
                                  <w:top w:w="0" w:type="dxa"/>
                                  <w:left w:w="0" w:type="dxa"/>
                                  <w:bottom w:w="0" w:type="dxa"/>
                                  <w:right w:w="0" w:type="dxa"/>
                                </w:tblCellMar>
                              </w:tblPr>
                              <w:tblGrid>
                                <w:gridCol w:w="835"/>
                                <w:gridCol w:w="1392"/>
                                <w:gridCol w:w="984"/>
                                <w:gridCol w:w="1236"/>
                              </w:tblGrid>
                              <w:tr w14:paraId="30AABAEE">
                                <w:tblPrEx>
                                  <w:tblCellMar>
                                    <w:top w:w="0" w:type="dxa"/>
                                    <w:left w:w="0" w:type="dxa"/>
                                    <w:bottom w:w="0" w:type="dxa"/>
                                    <w:right w:w="0" w:type="dxa"/>
                                  </w:tblCellMar>
                                </w:tblPrEx>
                                <w:trPr>
                                  <w:trHeight w:val="441" w:hRule="exact"/>
                                </w:trPr>
                                <w:tc>
                                  <w:tcPr>
                                    <w:tcW w:w="835" w:type="dxa"/>
                                    <w:vAlign w:val="center"/>
                                  </w:tcPr>
                                  <w:p w14:paraId="07D5EC17">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2D921304">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4A28AB4C">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30B5096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717A885">
                                <w:tblPrEx>
                                  <w:tblCellMar>
                                    <w:top w:w="0" w:type="dxa"/>
                                    <w:left w:w="0" w:type="dxa"/>
                                    <w:bottom w:w="0" w:type="dxa"/>
                                    <w:right w:w="0" w:type="dxa"/>
                                  </w:tblCellMar>
                                </w:tblPrEx>
                                <w:trPr>
                                  <w:trHeight w:val="457" w:hRule="exact"/>
                                </w:trPr>
                                <w:tc>
                                  <w:tcPr>
                                    <w:tcW w:w="835" w:type="dxa"/>
                                    <w:vAlign w:val="center"/>
                                  </w:tcPr>
                                  <w:p w14:paraId="0406CA99">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606BB4B4">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72AE607E">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6233C60">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05A4ED6">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6F70D254">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61"/>
                                <w:tblW w:w="4543" w:type="dxa"/>
                                <w:tblInd w:w="0" w:type="dxa"/>
                                <w:tblLayout w:type="fixed"/>
                                <w:tblCellMar>
                                  <w:top w:w="0" w:type="dxa"/>
                                  <w:left w:w="0" w:type="dxa"/>
                                  <w:bottom w:w="0" w:type="dxa"/>
                                  <w:right w:w="0" w:type="dxa"/>
                                </w:tblCellMar>
                              </w:tblPr>
                              <w:tblGrid>
                                <w:gridCol w:w="835"/>
                                <w:gridCol w:w="1308"/>
                                <w:gridCol w:w="912"/>
                                <w:gridCol w:w="1488"/>
                              </w:tblGrid>
                              <w:tr w14:paraId="489AE45F">
                                <w:tblPrEx>
                                  <w:tblCellMar>
                                    <w:top w:w="0" w:type="dxa"/>
                                    <w:left w:w="0" w:type="dxa"/>
                                    <w:bottom w:w="0" w:type="dxa"/>
                                    <w:right w:w="0" w:type="dxa"/>
                                  </w:tblCellMar>
                                </w:tblPrEx>
                                <w:trPr>
                                  <w:trHeight w:val="441" w:hRule="exact"/>
                                </w:trPr>
                                <w:tc>
                                  <w:tcPr>
                                    <w:tcW w:w="835" w:type="dxa"/>
                                    <w:vAlign w:val="center"/>
                                  </w:tcPr>
                                  <w:p w14:paraId="28B9DEB1">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025F222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6485872E">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FEE0AA8">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3804A56D">
                                <w:tblPrEx>
                                  <w:tblCellMar>
                                    <w:top w:w="0" w:type="dxa"/>
                                    <w:left w:w="0" w:type="dxa"/>
                                    <w:bottom w:w="0" w:type="dxa"/>
                                    <w:right w:w="0" w:type="dxa"/>
                                  </w:tblCellMar>
                                </w:tblPrEx>
                                <w:trPr>
                                  <w:trHeight w:val="457" w:hRule="exact"/>
                                </w:trPr>
                                <w:tc>
                                  <w:tcPr>
                                    <w:tcW w:w="835" w:type="dxa"/>
                                    <w:vAlign w:val="center"/>
                                  </w:tcPr>
                                  <w:p w14:paraId="654F5F7D">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22284B00">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74D4D477">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01314A53">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20361FCE">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6863" y="725010"/>
                            <a:ext cx="1098" cy="1098"/>
                          </a:xfrm>
                          <a:prstGeom prst="rect">
                            <a:avLst/>
                          </a:prstGeom>
                          <a:noFill/>
                          <a:ln>
                            <a:noFill/>
                          </a:ln>
                        </pic:spPr>
                      </pic:pic>
                    </wpg:wgp>
                  </a:graphicData>
                </a:graphic>
              </wp:anchor>
            </w:drawing>
          </mc:Choice>
          <mc:Fallback>
            <w:pict>
              <v:group id="_x0000_s1026" o:spid="_x0000_s1026" o:spt="203" style="position:absolute;left:0pt;margin-left:-50.1pt;margin-top:-95.1pt;height:456.8pt;width:328.7pt;z-index:251664384;mso-width-relative:page;mso-height-relative:page;" coordorigin="3698,719499" coordsize="6574,9136" o:gfxdata="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AjkcqS2wAAAA0BAAAPAAAAAAAAAAEAIAAAACIAAABkcnMvZG93&#10;bnJldi54bWxQSwECFAAUAAAACACHTuJAUfVzfuEDAADKCAAADgAAAAAAAAABACAAAAAq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719499;height:9137;width:6575;" fillcolor="#FFFFFF [3201]" filled="t" stroked="f" coordsize="21600,21600" o:gfxdata="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edvke2AAAA2wAAAA8A&#10;AAAAAAAAAQAgAAAAIgAAAGRycy9kb3ducmV2LnhtbFBLAQIUABQAAAAIAIdO4kAzLwWeOwAAADkA&#10;AAAQAAAAAAAAAAEAIAAAAAUBAABkcnMvc2hhcGV4bWwueG1sUEsFBgAAAAAGAAYAWwEAAK8DAAAA&#10;AA==&#10;">
                  <v:fill on="t" focussize="0,0"/>
                  <v:stroke on="f" weight="0.5pt"/>
                  <v:imagedata o:title=""/>
                  <o:lock v:ext="edit" aspectratio="f"/>
                  <v:textbox>
                    <w:txbxContent>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13E3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842E82E">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2A07C46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7B398CFF">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CD2814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62E9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0BA3ED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3F3B8B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7818368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7BD6BFC1">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302CAF34">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27C64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3DCB35E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042E95D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70396E7E">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587EE956">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7A7B82B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5BDF9C18">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039E3C7F">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10"/>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p>
                      <w:p w14:paraId="5D924412">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518C6EBA">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27A2B5BB">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224F876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29E5745E">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7CD68807">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61"/>
                          <w:tblW w:w="4447" w:type="dxa"/>
                          <w:tblInd w:w="0" w:type="dxa"/>
                          <w:tblLayout w:type="fixed"/>
                          <w:tblCellMar>
                            <w:top w:w="0" w:type="dxa"/>
                            <w:left w:w="0" w:type="dxa"/>
                            <w:bottom w:w="0" w:type="dxa"/>
                            <w:right w:w="0" w:type="dxa"/>
                          </w:tblCellMar>
                        </w:tblPr>
                        <w:tblGrid>
                          <w:gridCol w:w="835"/>
                          <w:gridCol w:w="1392"/>
                          <w:gridCol w:w="984"/>
                          <w:gridCol w:w="1236"/>
                        </w:tblGrid>
                        <w:tr w14:paraId="30AABAEE">
                          <w:tblPrEx>
                            <w:tblCellMar>
                              <w:top w:w="0" w:type="dxa"/>
                              <w:left w:w="0" w:type="dxa"/>
                              <w:bottom w:w="0" w:type="dxa"/>
                              <w:right w:w="0" w:type="dxa"/>
                            </w:tblCellMar>
                          </w:tblPrEx>
                          <w:trPr>
                            <w:trHeight w:val="441" w:hRule="exact"/>
                          </w:trPr>
                          <w:tc>
                            <w:tcPr>
                              <w:tcW w:w="835" w:type="dxa"/>
                              <w:vAlign w:val="center"/>
                            </w:tcPr>
                            <w:p w14:paraId="07D5EC17">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2D921304">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4A28AB4C">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30B5096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717A885">
                          <w:tblPrEx>
                            <w:tblCellMar>
                              <w:top w:w="0" w:type="dxa"/>
                              <w:left w:w="0" w:type="dxa"/>
                              <w:bottom w:w="0" w:type="dxa"/>
                              <w:right w:w="0" w:type="dxa"/>
                            </w:tblCellMar>
                          </w:tblPrEx>
                          <w:trPr>
                            <w:trHeight w:val="457" w:hRule="exact"/>
                          </w:trPr>
                          <w:tc>
                            <w:tcPr>
                              <w:tcW w:w="835" w:type="dxa"/>
                              <w:vAlign w:val="center"/>
                            </w:tcPr>
                            <w:p w14:paraId="0406CA99">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606BB4B4">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72AE607E">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6233C60">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05A4ED6">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6F70D254">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61"/>
                          <w:tblW w:w="4543" w:type="dxa"/>
                          <w:tblInd w:w="0" w:type="dxa"/>
                          <w:tblLayout w:type="fixed"/>
                          <w:tblCellMar>
                            <w:top w:w="0" w:type="dxa"/>
                            <w:left w:w="0" w:type="dxa"/>
                            <w:bottom w:w="0" w:type="dxa"/>
                            <w:right w:w="0" w:type="dxa"/>
                          </w:tblCellMar>
                        </w:tblPr>
                        <w:tblGrid>
                          <w:gridCol w:w="835"/>
                          <w:gridCol w:w="1308"/>
                          <w:gridCol w:w="912"/>
                          <w:gridCol w:w="1488"/>
                        </w:tblGrid>
                        <w:tr w14:paraId="489AE45F">
                          <w:tblPrEx>
                            <w:tblCellMar>
                              <w:top w:w="0" w:type="dxa"/>
                              <w:left w:w="0" w:type="dxa"/>
                              <w:bottom w:w="0" w:type="dxa"/>
                              <w:right w:w="0" w:type="dxa"/>
                            </w:tblCellMar>
                          </w:tblPrEx>
                          <w:trPr>
                            <w:trHeight w:val="441" w:hRule="exact"/>
                          </w:trPr>
                          <w:tc>
                            <w:tcPr>
                              <w:tcW w:w="835" w:type="dxa"/>
                              <w:vAlign w:val="center"/>
                            </w:tcPr>
                            <w:p w14:paraId="28B9DEB1">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025F222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6485872E">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FEE0AA8">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3804A56D">
                          <w:tblPrEx>
                            <w:tblCellMar>
                              <w:top w:w="0" w:type="dxa"/>
                              <w:left w:w="0" w:type="dxa"/>
                              <w:bottom w:w="0" w:type="dxa"/>
                              <w:right w:w="0" w:type="dxa"/>
                            </w:tblCellMar>
                          </w:tblPrEx>
                          <w:trPr>
                            <w:trHeight w:val="457" w:hRule="exact"/>
                          </w:trPr>
                          <w:tc>
                            <w:tcPr>
                              <w:tcW w:w="835" w:type="dxa"/>
                              <w:vAlign w:val="center"/>
                            </w:tcPr>
                            <w:p w14:paraId="654F5F7D">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22284B00">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74D4D477">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01314A53">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20361FCE">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v:textbox>
                </v:shape>
                <v:shape id="图片 25" o:spid="_x0000_s1026" o:spt="75" type="#_x0000_t75" style="position:absolute;left:6863;top:725010;height:1098;width:1098;"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bookmarkEnd w:id="33"/>
      <w:r>
        <w:rPr>
          <w:rFonts w:hint="eastAsia" w:ascii="黑体" w:hAnsi="黑体" w:eastAsia="黑体" w:cs="黑体"/>
          <w:b/>
          <w:bCs/>
          <w:color w:val="005BAB"/>
          <w:sz w:val="28"/>
          <w:szCs w:val="28"/>
        </w:rPr>
        <w:drawing>
          <wp:anchor distT="0" distB="0" distL="0" distR="0" simplePos="0" relativeHeight="251660288" behindDoc="0" locked="0" layoutInCell="1" allowOverlap="1">
            <wp:simplePos x="0" y="0"/>
            <wp:positionH relativeFrom="page">
              <wp:posOffset>-19050</wp:posOffset>
            </wp:positionH>
            <wp:positionV relativeFrom="paragraph">
              <wp:posOffset>-1316990</wp:posOffset>
            </wp:positionV>
            <wp:extent cx="7741920" cy="10893425"/>
            <wp:effectExtent l="0" t="0" r="0" b="3175"/>
            <wp:wrapNone/>
            <wp:docPr id="11" name="图片 24"/>
            <wp:cNvGraphicFramePr/>
            <a:graphic xmlns:a="http://schemas.openxmlformats.org/drawingml/2006/main">
              <a:graphicData uri="http://schemas.openxmlformats.org/drawingml/2006/picture">
                <pic:pic xmlns:pic="http://schemas.openxmlformats.org/drawingml/2006/picture">
                  <pic:nvPicPr>
                    <pic:cNvPr id="11" name="图片 24"/>
                    <pic:cNvPicPr/>
                  </pic:nvPicPr>
                  <pic:blipFill>
                    <a:blip r:embed="rId16" cstate="print"/>
                    <a:srcRect/>
                    <a:stretch>
                      <a:fillRect/>
                    </a:stretch>
                  </pic:blipFill>
                  <pic:spPr>
                    <a:xfrm>
                      <a:off x="0" y="0"/>
                      <a:ext cx="7741919" cy="10893425"/>
                    </a:xfrm>
                    <a:prstGeom prst="rect">
                      <a:avLst/>
                    </a:prstGeom>
                  </pic:spPr>
                </pic:pic>
              </a:graphicData>
            </a:graphic>
          </wp:anchor>
        </w:drawing>
      </w:r>
    </w:p>
    <w:sectPr>
      <w:headerReference r:id="rId3" w:type="default"/>
      <w:footerReference r:id="rId4" w:type="default"/>
      <w:pgSz w:w="11906" w:h="16838"/>
      <w:pgMar w:top="1724" w:right="1077" w:bottom="1440" w:left="1077" w:header="851" w:footer="567" w:gutter="0"/>
      <w:pgBorders>
        <w:top w:val="none" w:sz="0" w:space="0"/>
        <w:left w:val="none" w:sz="0" w:space="0"/>
        <w:bottom w:val="none" w:sz="0" w:space="0"/>
        <w:right w:val="none" w:sz="0" w:space="0"/>
      </w:pgBorders>
      <w:pgNumType w:start="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OPPOSans R">
    <w:altName w:val="宋体"/>
    <w:panose1 w:val="00000000000000000000"/>
    <w:charset w:val="86"/>
    <w:family w:val="auto"/>
    <w:pitch w:val="default"/>
    <w:sig w:usb0="00000000" w:usb1="00000000" w:usb2="00000016" w:usb3="00000000" w:csb0="0004009F" w:csb1="00000000"/>
  </w:font>
  <w:font w:name="Heiti SC Medium">
    <w:altName w:val="微软雅黑"/>
    <w:panose1 w:val="00000000000000000000"/>
    <w:charset w:val="86"/>
    <w:family w:val="auto"/>
    <w:pitch w:val="default"/>
    <w:sig w:usb0="00000000" w:usb1="00000000" w:usb2="00000000" w:usb3="00000000" w:csb0="203E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BE9766">
    <w:pPr>
      <w:pStyle w:val="8"/>
      <w:jc w:val="center"/>
      <w:rPr>
        <w:rFonts w:hint="eastAsia"/>
      </w:rPr>
    </w:pPr>
    <w:r>
      <w:fldChar w:fldCharType="begin"/>
    </w:r>
    <w:r>
      <w:instrText xml:space="preserve">PAGE   \* MERGEFORMAT</w:instrText>
    </w:r>
    <w:r>
      <w:fldChar w:fldCharType="separate"/>
    </w:r>
    <w:r>
      <w:rPr>
        <w:lang w:val="zh-CN"/>
      </w:rPr>
      <w:t>2</w:t>
    </w:r>
    <w:r>
      <w:fldChar w:fldCharType="end"/>
    </w:r>
  </w:p>
  <w:p w14:paraId="12D820DD">
    <w:pPr>
      <w:pStyle w:val="8"/>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99C6E">
    <w:pPr>
      <w:pStyle w:val="9"/>
      <w:pBdr>
        <w:bottom w:val="none" w:color="auto" w:sz="0" w:space="1"/>
      </w:pBdr>
      <w:ind w:left="-991" w:leftChars="-472"/>
      <w:rPr>
        <w:rFonts w:hint="eastAsia"/>
      </w:rPr>
    </w:pPr>
    <w:r>
      <w:drawing>
        <wp:anchor distT="0" distB="0" distL="0" distR="0" simplePos="0" relativeHeight="251661312" behindDoc="0" locked="0" layoutInCell="1" allowOverlap="1">
          <wp:simplePos x="0" y="0"/>
          <wp:positionH relativeFrom="margin">
            <wp:posOffset>5067935</wp:posOffset>
          </wp:positionH>
          <wp:positionV relativeFrom="paragraph">
            <wp:posOffset>166370</wp:posOffset>
          </wp:positionV>
          <wp:extent cx="1109980" cy="342900"/>
          <wp:effectExtent l="0" t="0" r="7620" b="0"/>
          <wp:wrapNone/>
          <wp:docPr id="12" name="图片 5"/>
          <wp:cNvGraphicFramePr/>
          <a:graphic xmlns:a="http://schemas.openxmlformats.org/drawingml/2006/main">
            <a:graphicData uri="http://schemas.openxmlformats.org/drawingml/2006/picture">
              <pic:pic xmlns:pic="http://schemas.openxmlformats.org/drawingml/2006/picture">
                <pic:nvPicPr>
                  <pic:cNvPr id="12" name="图片 5"/>
                  <pic:cNvPicPr/>
                </pic:nvPicPr>
                <pic:blipFill>
                  <a:blip r:embed="rId1" cstate="print"/>
                  <a:srcRect/>
                  <a:stretch>
                    <a:fillRect/>
                  </a:stretch>
                </pic:blipFill>
                <pic:spPr>
                  <a:xfrm>
                    <a:off x="0" y="0"/>
                    <a:ext cx="1109979" cy="342899"/>
                  </a:xfrm>
                  <a:prstGeom prst="rect">
                    <a:avLst/>
                  </a:prstGeom>
                </pic:spPr>
              </pic:pic>
            </a:graphicData>
          </a:graphic>
        </wp:anchor>
      </w:drawing>
    </w:r>
    <w:r>
      <w:drawing>
        <wp:anchor distT="0" distB="0" distL="0" distR="0" simplePos="0" relativeHeight="251662336" behindDoc="0" locked="0" layoutInCell="1" allowOverlap="1">
          <wp:simplePos x="0" y="0"/>
          <wp:positionH relativeFrom="column">
            <wp:posOffset>6985</wp:posOffset>
          </wp:positionH>
          <wp:positionV relativeFrom="paragraph">
            <wp:posOffset>166370</wp:posOffset>
          </wp:positionV>
          <wp:extent cx="1026160" cy="329565"/>
          <wp:effectExtent l="0" t="0" r="15240" b="635"/>
          <wp:wrapNone/>
          <wp:docPr id="13" name="图片 6" descr="标准logo"/>
          <wp:cNvGraphicFramePr/>
          <a:graphic xmlns:a="http://schemas.openxmlformats.org/drawingml/2006/main">
            <a:graphicData uri="http://schemas.openxmlformats.org/drawingml/2006/picture">
              <pic:pic xmlns:pic="http://schemas.openxmlformats.org/drawingml/2006/picture">
                <pic:nvPicPr>
                  <pic:cNvPr id="13" name="图片 6" descr="标准logo"/>
                  <pic:cNvPicPr/>
                </pic:nvPicPr>
                <pic:blipFill>
                  <a:blip r:embed="rId2" cstate="print"/>
                  <a:srcRect/>
                  <a:stretch>
                    <a:fillRect/>
                  </a:stretch>
                </pic:blipFill>
                <pic:spPr>
                  <a:xfrm>
                    <a:off x="0" y="0"/>
                    <a:ext cx="1026159" cy="32956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黑体" w:hAnsi="黑体" w:eastAsia="黑体" w:cs="黑体"/>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EFA4EED"/>
    <w:multiLevelType w:val="singleLevel"/>
    <w:tmpl w:val="EEFA4EED"/>
    <w:lvl w:ilvl="0" w:tentative="0">
      <w:start w:val="1"/>
      <w:numFmt w:val="decimal"/>
      <w:suff w:val="nothing"/>
      <w:lvlText w:val="%1."/>
      <w:lvlJc w:val="left"/>
      <w:pPr>
        <w:ind w:left="425" w:hanging="425"/>
      </w:pPr>
      <w:rPr>
        <w:rFonts w:hint="default"/>
      </w:rPr>
    </w:lvl>
  </w:abstractNum>
  <w:abstractNum w:abstractNumId="3">
    <w:nsid w:val="00000002"/>
    <w:multiLevelType w:val="multilevel"/>
    <w:tmpl w:val="00000002"/>
    <w:lvl w:ilvl="0" w:tentative="0">
      <w:start w:val="1"/>
      <w:numFmt w:val="none"/>
      <w:pStyle w:val="46"/>
      <w:suff w:val="nothing"/>
      <w:lvlText w:val="%1"/>
      <w:lvlJc w:val="left"/>
      <w:pPr>
        <w:ind w:left="0" w:firstLine="0"/>
      </w:pPr>
      <w:rPr>
        <w:rFonts w:hint="eastAsia"/>
        <w:b/>
        <w:bCs/>
        <w:color w:val="auto"/>
        <w:sz w:val="21"/>
        <w:szCs w:val="22"/>
      </w:rPr>
    </w:lvl>
    <w:lvl w:ilvl="1" w:tentative="0">
      <w:start w:val="1"/>
      <w:numFmt w:val="bullet"/>
      <w:suff w:val="space"/>
      <w:lvlText w:val=""/>
      <w:lvlJc w:val="left"/>
      <w:pPr>
        <w:ind w:left="0" w:firstLine="0"/>
      </w:pPr>
      <w:rPr>
        <w:rFonts w:hint="default" w:ascii="Symbol" w:hAnsi="Symbol"/>
        <w:b/>
        <w:bCs/>
        <w:i w:val="0"/>
        <w:iCs w:val="0"/>
        <w:caps w:val="0"/>
        <w:smallCaps w:val="0"/>
        <w:outline w:val="0"/>
        <w:emboss w:val="0"/>
        <w:imprint w:val="0"/>
        <w:color w:val="auto"/>
        <w:spacing w:val="0"/>
        <w:position w:val="0"/>
        <w:u w:val="none"/>
        <w:vertAlign w:val="baseline"/>
        <w14:shadow w14:blurRad="0" w14:dist="0" w14:dir="0" w14:sx="0" w14:sy="0" w14:kx="0" w14:ky="0" w14:algn="none">
          <w14:srgbClr w14:val="000000"/>
        </w14:shadow>
      </w:rPr>
    </w:lvl>
    <w:lvl w:ilvl="2" w:tentative="0">
      <w:start w:val="1"/>
      <w:numFmt w:val="decimal"/>
      <w:pStyle w:val="47"/>
      <w:suff w:val="space"/>
      <w:lvlText w:val="%2%3."/>
      <w:lvlJc w:val="left"/>
      <w:pPr>
        <w:ind w:left="284" w:hanging="284"/>
      </w:pPr>
      <w:rPr>
        <w:rFonts w:hint="eastAsia" w:ascii="OPPOSans R" w:eastAsia="OPPOSans R"/>
        <w:b/>
        <w:bCs w:val="0"/>
        <w:i w:val="0"/>
        <w:iCs w:val="0"/>
        <w:caps w:val="0"/>
        <w:smallCaps w:val="0"/>
        <w:color w:val="2A728E"/>
        <w:spacing w:val="0"/>
        <w:kern w:val="0"/>
        <w:position w:val="0"/>
        <w:sz w:val="18"/>
        <w:szCs w:val="18"/>
        <w:u w:val="none"/>
        <w:vertAlign w:val="baseline"/>
      </w:rPr>
    </w:lvl>
    <w:lvl w:ilvl="3" w:tentative="0">
      <w:start w:val="1"/>
      <w:numFmt w:val="decimal"/>
      <w:pStyle w:val="48"/>
      <w:suff w:val="space"/>
      <w:lvlText w:val="%2%3.%4"/>
      <w:lvlJc w:val="left"/>
      <w:pPr>
        <w:ind w:left="284" w:hanging="284"/>
      </w:pPr>
      <w:rPr>
        <w:rFonts w:hint="eastAsia" w:ascii="OPPOSans R" w:eastAsia="OPPOSans R"/>
        <w:b/>
        <w:i w:val="0"/>
        <w:color w:val="098688"/>
        <w:sz w:val="18"/>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226C46CD"/>
    <w:multiLevelType w:val="multilevel"/>
    <w:tmpl w:val="226C46CD"/>
    <w:lvl w:ilvl="0" w:tentative="0">
      <w:start w:val="1"/>
      <w:numFmt w:val="decimal"/>
      <w:pStyle w:val="51"/>
      <w:lvlText w:val="%1."/>
      <w:lvlJc w:val="left"/>
      <w:pPr>
        <w:ind w:left="1260" w:hanging="420"/>
      </w:pPr>
      <w:rPr>
        <w:rFonts w:hint="eastAsia" w:eastAsia="微软雅黑"/>
        <w:b w:val="0"/>
        <w:i w:val="0"/>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5">
    <w:nsid w:val="55AD84B2"/>
    <w:multiLevelType w:val="singleLevel"/>
    <w:tmpl w:val="55AD84B2"/>
    <w:lvl w:ilvl="0" w:tentative="0">
      <w:start w:val="1"/>
      <w:numFmt w:val="decimal"/>
      <w:lvlText w:val="%1."/>
      <w:lvlJc w:val="left"/>
      <w:pPr>
        <w:ind w:left="425" w:hanging="42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89C4F3F"/>
    <w:multiLevelType w:val="multilevel"/>
    <w:tmpl w:val="689C4F3F"/>
    <w:lvl w:ilvl="0" w:tentative="0">
      <w:start w:val="1"/>
      <w:numFmt w:val="japaneseCounting"/>
      <w:lvlText w:val="%1、"/>
      <w:lvlJc w:val="left"/>
      <w:pPr>
        <w:ind w:left="456" w:hanging="456"/>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3"/>
  </w:num>
  <w:num w:numId="2">
    <w:abstractNumId w:val="4"/>
  </w:num>
  <w:num w:numId="3">
    <w:abstractNumId w:val="1"/>
  </w:num>
  <w:num w:numId="4">
    <w:abstractNumId w:val="6"/>
  </w:num>
  <w:num w:numId="5">
    <w:abstractNumId w:val="0"/>
  </w:num>
  <w:num w:numId="6">
    <w:abstractNumId w:val="5"/>
  </w:num>
  <w:num w:numId="7">
    <w:abstractNumId w:val="7"/>
    <w:lvlOverride w:ilvl="0">
      <w:startOverride w:val="1"/>
    </w:lvlOverride>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4A4B87"/>
    <w:rsid w:val="03F139E0"/>
    <w:rsid w:val="05502988"/>
    <w:rsid w:val="06694871"/>
    <w:rsid w:val="06AE3E0A"/>
    <w:rsid w:val="06F83075"/>
    <w:rsid w:val="0ACA39F0"/>
    <w:rsid w:val="0ACC2D2E"/>
    <w:rsid w:val="0AF4446C"/>
    <w:rsid w:val="0C9B4C39"/>
    <w:rsid w:val="0F210455"/>
    <w:rsid w:val="11744968"/>
    <w:rsid w:val="11991213"/>
    <w:rsid w:val="12C10918"/>
    <w:rsid w:val="14C21C66"/>
    <w:rsid w:val="15C62BE0"/>
    <w:rsid w:val="15FA6724"/>
    <w:rsid w:val="16331C36"/>
    <w:rsid w:val="17667CD2"/>
    <w:rsid w:val="194E7F6F"/>
    <w:rsid w:val="19D16FD9"/>
    <w:rsid w:val="1C2838BF"/>
    <w:rsid w:val="1C3B3107"/>
    <w:rsid w:val="1DF81251"/>
    <w:rsid w:val="1F2760BC"/>
    <w:rsid w:val="1FEF4A96"/>
    <w:rsid w:val="204937EF"/>
    <w:rsid w:val="290D24E8"/>
    <w:rsid w:val="2A314286"/>
    <w:rsid w:val="2A6E5785"/>
    <w:rsid w:val="2C1A44DE"/>
    <w:rsid w:val="2E786529"/>
    <w:rsid w:val="2F3E4062"/>
    <w:rsid w:val="30134D2F"/>
    <w:rsid w:val="31316D92"/>
    <w:rsid w:val="321E71A6"/>
    <w:rsid w:val="33FD1962"/>
    <w:rsid w:val="37307DA0"/>
    <w:rsid w:val="37694EA4"/>
    <w:rsid w:val="381F0AD4"/>
    <w:rsid w:val="38877E93"/>
    <w:rsid w:val="39316051"/>
    <w:rsid w:val="3A845D87"/>
    <w:rsid w:val="3B082DE1"/>
    <w:rsid w:val="3C0A2068"/>
    <w:rsid w:val="3EB23790"/>
    <w:rsid w:val="404B5C4A"/>
    <w:rsid w:val="40CD665F"/>
    <w:rsid w:val="42B23D5F"/>
    <w:rsid w:val="432A5D73"/>
    <w:rsid w:val="487A3570"/>
    <w:rsid w:val="495F4514"/>
    <w:rsid w:val="4D1F6B46"/>
    <w:rsid w:val="4E5B79A0"/>
    <w:rsid w:val="4F3B1580"/>
    <w:rsid w:val="508A3A3E"/>
    <w:rsid w:val="51071EFE"/>
    <w:rsid w:val="528D20F2"/>
    <w:rsid w:val="52A02093"/>
    <w:rsid w:val="52DC2732"/>
    <w:rsid w:val="54FE4BE1"/>
    <w:rsid w:val="58413C5F"/>
    <w:rsid w:val="58CF5213"/>
    <w:rsid w:val="58DB5141"/>
    <w:rsid w:val="599D7038"/>
    <w:rsid w:val="5CFE08AF"/>
    <w:rsid w:val="5D9814F7"/>
    <w:rsid w:val="5EEA4A34"/>
    <w:rsid w:val="5F602F3B"/>
    <w:rsid w:val="62CF5694"/>
    <w:rsid w:val="63100901"/>
    <w:rsid w:val="636E387A"/>
    <w:rsid w:val="637F15E3"/>
    <w:rsid w:val="652F1BCA"/>
    <w:rsid w:val="65440D49"/>
    <w:rsid w:val="67553A45"/>
    <w:rsid w:val="6965127B"/>
    <w:rsid w:val="697D4817"/>
    <w:rsid w:val="6BC10B9D"/>
    <w:rsid w:val="6C507FC1"/>
    <w:rsid w:val="6F32654D"/>
    <w:rsid w:val="70390D6C"/>
    <w:rsid w:val="70A739A2"/>
    <w:rsid w:val="70CE5958"/>
    <w:rsid w:val="711A34A8"/>
    <w:rsid w:val="735073B5"/>
    <w:rsid w:val="73E071AD"/>
    <w:rsid w:val="7440091B"/>
    <w:rsid w:val="77E912C9"/>
    <w:rsid w:val="782A7184"/>
    <w:rsid w:val="7AA54114"/>
    <w:rsid w:val="7C8F68E3"/>
    <w:rsid w:val="7DD46199"/>
    <w:rsid w:val="7E64651B"/>
    <w:rsid w:val="7EEF18BB"/>
    <w:rsid w:val="7FDA1D9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99"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宋体"/>
      <w:kern w:val="2"/>
      <w:sz w:val="21"/>
      <w:szCs w:val="22"/>
      <w:lang w:val="en-US" w:eastAsia="zh-CN" w:bidi="ar-SA"/>
    </w:rPr>
  </w:style>
  <w:style w:type="paragraph" w:styleId="2">
    <w:name w:val="heading 1"/>
    <w:basedOn w:val="1"/>
    <w:next w:val="1"/>
    <w:link w:val="23"/>
    <w:qFormat/>
    <w:uiPriority w:val="0"/>
    <w:pPr>
      <w:spacing w:before="240" w:after="240" w:line="300" w:lineRule="auto"/>
      <w:outlineLvl w:val="0"/>
    </w:pPr>
    <w:rPr>
      <w:rFonts w:ascii="黑体" w:hAnsi="黑体" w:eastAsia="微软雅黑" w:cs="黑体"/>
      <w:b/>
      <w:bCs/>
      <w:color w:val="006AB4"/>
      <w:kern w:val="44"/>
      <w:sz w:val="24"/>
      <w:szCs w:val="44"/>
    </w:rPr>
  </w:style>
  <w:style w:type="paragraph" w:styleId="3">
    <w:name w:val="heading 2"/>
    <w:basedOn w:val="1"/>
    <w:next w:val="1"/>
    <w:link w:val="24"/>
    <w:qFormat/>
    <w:uiPriority w:val="1"/>
    <w:pPr>
      <w:keepNext/>
      <w:keepLines/>
      <w:spacing w:before="260" w:after="260" w:line="416" w:lineRule="auto"/>
      <w:outlineLvl w:val="1"/>
    </w:pPr>
    <w:rPr>
      <w:rFonts w:ascii="等线 Light" w:hAnsi="等线 Light" w:eastAsia="等线 Light"/>
      <w:b/>
      <w:bCs/>
      <w:sz w:val="32"/>
      <w:szCs w:val="32"/>
    </w:rPr>
  </w:style>
  <w:style w:type="paragraph" w:styleId="4">
    <w:name w:val="heading 3"/>
    <w:basedOn w:val="1"/>
    <w:next w:val="1"/>
    <w:link w:val="49"/>
    <w:qFormat/>
    <w:uiPriority w:val="9"/>
    <w:pPr>
      <w:keepNext/>
      <w:keepLines/>
      <w:spacing w:before="260" w:after="260" w:line="416" w:lineRule="auto"/>
      <w:outlineLvl w:val="2"/>
    </w:pPr>
    <w:rPr>
      <w:b/>
      <w:bCs/>
      <w:sz w:val="32"/>
      <w:szCs w:val="32"/>
    </w:rPr>
  </w:style>
  <w:style w:type="character" w:default="1" w:styleId="17">
    <w:name w:val="Default Paragraph Font"/>
    <w:unhideWhenUsed/>
    <w:qFormat/>
    <w:uiPriority w:val="1"/>
  </w:style>
  <w:style w:type="table" w:default="1" w:styleId="15">
    <w:name w:val="Normal Table"/>
    <w:unhideWhenUsed/>
    <w:qFormat/>
    <w:uiPriority w:val="99"/>
    <w:tblPr>
      <w:tblCellMar>
        <w:top w:w="0" w:type="dxa"/>
        <w:left w:w="108" w:type="dxa"/>
        <w:bottom w:w="0" w:type="dxa"/>
        <w:right w:w="108" w:type="dxa"/>
      </w:tblCellMar>
    </w:tblPr>
  </w:style>
  <w:style w:type="paragraph" w:styleId="5">
    <w:name w:val="annotation text"/>
    <w:basedOn w:val="1"/>
    <w:link w:val="35"/>
    <w:qFormat/>
    <w:uiPriority w:val="99"/>
    <w:pPr>
      <w:widowControl/>
      <w:adjustRightInd w:val="0"/>
      <w:snapToGrid w:val="0"/>
      <w:spacing w:before="30" w:beforeLines="30" w:line="288" w:lineRule="auto"/>
      <w:jc w:val="left"/>
    </w:pPr>
    <w:rPr>
      <w:rFonts w:ascii="OPPOSans R" w:hAnsi="OPPOSans R" w:eastAsia="OPPOSans R" w:cs="OPPOSans R"/>
      <w:color w:val="262626"/>
      <w:kern w:val="0"/>
      <w:sz w:val="18"/>
      <w:szCs w:val="18"/>
    </w:rPr>
  </w:style>
  <w:style w:type="paragraph" w:styleId="6">
    <w:name w:val="toc 3"/>
    <w:basedOn w:val="1"/>
    <w:next w:val="1"/>
    <w:qFormat/>
    <w:uiPriority w:val="39"/>
    <w:pPr>
      <w:widowControl/>
      <w:spacing w:after="100" w:line="259" w:lineRule="auto"/>
      <w:ind w:left="440"/>
      <w:jc w:val="left"/>
    </w:pPr>
    <w:rPr>
      <w:rFonts w:cs="Times New Roman"/>
      <w:kern w:val="0"/>
      <w:sz w:val="22"/>
    </w:rPr>
  </w:style>
  <w:style w:type="paragraph" w:styleId="7">
    <w:name w:val="Plain Text"/>
    <w:basedOn w:val="1"/>
    <w:link w:val="39"/>
    <w:qFormat/>
    <w:uiPriority w:val="99"/>
    <w:rPr>
      <w:rFonts w:hAnsi="Courier New" w:cs="Courier New"/>
    </w:r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1"/>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widowControl/>
      <w:tabs>
        <w:tab w:val="right" w:leader="dot" w:pos="9742"/>
      </w:tabs>
      <w:spacing w:after="100" w:line="360" w:lineRule="auto"/>
      <w:jc w:val="left"/>
    </w:pPr>
    <w:rPr>
      <w:rFonts w:ascii="黑体" w:hAnsi="黑体" w:eastAsia="黑体" w:cs="Heiti SC Medium"/>
      <w:color w:val="0070C0"/>
      <w:kern w:val="0"/>
      <w:sz w:val="24"/>
      <w:szCs w:val="24"/>
    </w:rPr>
  </w:style>
  <w:style w:type="paragraph" w:styleId="11">
    <w:name w:val="toc 2"/>
    <w:basedOn w:val="1"/>
    <w:next w:val="1"/>
    <w:qFormat/>
    <w:uiPriority w:val="39"/>
    <w:pPr>
      <w:widowControl/>
      <w:spacing w:after="100" w:line="259" w:lineRule="auto"/>
      <w:ind w:left="220"/>
      <w:jc w:val="left"/>
    </w:pPr>
    <w:rPr>
      <w:rFonts w:cs="Times New Roman"/>
      <w:kern w:val="0"/>
      <w:sz w:val="22"/>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99"/>
    <w:pPr>
      <w:widowControl/>
      <w:adjustRightInd w:val="0"/>
      <w:snapToGrid w:val="0"/>
      <w:spacing w:before="100" w:beforeLines="30" w:beforeAutospacing="1" w:after="100" w:afterAutospacing="1" w:line="288" w:lineRule="auto"/>
      <w:jc w:val="left"/>
    </w:pPr>
    <w:rPr>
      <w:rFonts w:ascii="Times New Roman" w:hAnsi="Times New Roman" w:eastAsia="OPPOSans R" w:cs="Times New Roman"/>
      <w:color w:val="262626"/>
      <w:kern w:val="0"/>
      <w:sz w:val="18"/>
      <w:szCs w:val="18"/>
    </w:rPr>
  </w:style>
  <w:style w:type="paragraph" w:styleId="14">
    <w:name w:val="annotation subject"/>
    <w:basedOn w:val="5"/>
    <w:next w:val="5"/>
    <w:link w:val="36"/>
    <w:qFormat/>
    <w:uiPriority w:val="99"/>
    <w:rPr>
      <w:b/>
      <w:bCs/>
      <w:color w:val="2A728E"/>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qFormat/>
    <w:uiPriority w:val="99"/>
    <w:rPr>
      <w:color w:val="0563C1"/>
      <w:u w:val="single"/>
    </w:rPr>
  </w:style>
  <w:style w:type="character" w:styleId="19">
    <w:name w:val="HTML Code"/>
    <w:basedOn w:val="17"/>
    <w:qFormat/>
    <w:uiPriority w:val="0"/>
    <w:rPr>
      <w:rFonts w:ascii="Courier New" w:hAnsi="Courier New"/>
      <w:sz w:val="20"/>
    </w:rPr>
  </w:style>
  <w:style w:type="character" w:styleId="20">
    <w:name w:val="annotation reference"/>
    <w:basedOn w:val="17"/>
    <w:qFormat/>
    <w:uiPriority w:val="99"/>
    <w:rPr>
      <w:sz w:val="21"/>
      <w:szCs w:val="21"/>
    </w:rPr>
  </w:style>
  <w:style w:type="character" w:customStyle="1" w:styleId="21">
    <w:name w:val="页眉 字符"/>
    <w:basedOn w:val="17"/>
    <w:link w:val="9"/>
    <w:qFormat/>
    <w:uiPriority w:val="99"/>
    <w:rPr>
      <w:sz w:val="18"/>
      <w:szCs w:val="18"/>
    </w:rPr>
  </w:style>
  <w:style w:type="character" w:customStyle="1" w:styleId="22">
    <w:name w:val="页脚 字符"/>
    <w:basedOn w:val="17"/>
    <w:link w:val="8"/>
    <w:qFormat/>
    <w:uiPriority w:val="99"/>
    <w:rPr>
      <w:sz w:val="18"/>
      <w:szCs w:val="18"/>
    </w:rPr>
  </w:style>
  <w:style w:type="character" w:customStyle="1" w:styleId="23">
    <w:name w:val="标题 1 字符"/>
    <w:basedOn w:val="17"/>
    <w:link w:val="2"/>
    <w:qFormat/>
    <w:uiPriority w:val="0"/>
    <w:rPr>
      <w:rFonts w:ascii="黑体" w:hAnsi="黑体" w:eastAsia="微软雅黑" w:cs="黑体"/>
      <w:b/>
      <w:bCs/>
      <w:color w:val="006AB4"/>
      <w:kern w:val="44"/>
      <w:sz w:val="24"/>
      <w:szCs w:val="44"/>
    </w:rPr>
  </w:style>
  <w:style w:type="character" w:customStyle="1" w:styleId="24">
    <w:name w:val="标题 2 字符"/>
    <w:basedOn w:val="17"/>
    <w:link w:val="3"/>
    <w:qFormat/>
    <w:uiPriority w:val="9"/>
    <w:rPr>
      <w:rFonts w:ascii="等线 Light" w:hAnsi="等线 Light" w:eastAsia="等线 Light" w:cs="宋体"/>
      <w:b/>
      <w:bCs/>
      <w:sz w:val="32"/>
      <w:szCs w:val="32"/>
    </w:rPr>
  </w:style>
  <w:style w:type="table" w:customStyle="1" w:styleId="25">
    <w:name w:val="网格型1"/>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6">
    <w:name w:val="表格表头"/>
    <w:qFormat/>
    <w:uiPriority w:val="0"/>
    <w:pPr>
      <w:adjustRightInd w:val="0"/>
      <w:snapToGrid w:val="0"/>
      <w:spacing w:line="288" w:lineRule="auto"/>
      <w:jc w:val="center"/>
    </w:pPr>
    <w:rPr>
      <w:rFonts w:ascii="OPPOSans R" w:hAnsi="OPPOSans R" w:eastAsia="OPPOSans R" w:cs="OPPOSans R"/>
      <w:b/>
      <w:color w:val="FFFFFF"/>
      <w:sz w:val="18"/>
      <w:szCs w:val="18"/>
      <w:lang w:val="en-US" w:eastAsia="zh-CN" w:bidi="ar-SA"/>
    </w:rPr>
  </w:style>
  <w:style w:type="paragraph" w:customStyle="1" w:styleId="27">
    <w:name w:val="表格内容"/>
    <w:qFormat/>
    <w:uiPriority w:val="0"/>
    <w:pPr>
      <w:adjustRightInd w:val="0"/>
      <w:snapToGrid w:val="0"/>
      <w:spacing w:before="30" w:beforeLines="30" w:line="288" w:lineRule="auto"/>
    </w:pPr>
    <w:rPr>
      <w:rFonts w:ascii="OPPOSans R" w:hAnsi="OPPOSans R" w:eastAsia="OPPOSans R" w:cs="OPPOSans R"/>
      <w:color w:val="262626"/>
      <w:sz w:val="18"/>
      <w:szCs w:val="21"/>
      <w:lang w:val="en-US" w:eastAsia="zh-CN" w:bidi="ar-SA"/>
    </w:rPr>
  </w:style>
  <w:style w:type="character" w:customStyle="1" w:styleId="28">
    <w:name w:val="未处理的提及1"/>
    <w:basedOn w:val="17"/>
    <w:qFormat/>
    <w:uiPriority w:val="99"/>
    <w:rPr>
      <w:color w:val="605E5C"/>
      <w:shd w:val="clear" w:color="auto" w:fill="E1DFDD"/>
    </w:rPr>
  </w:style>
  <w:style w:type="table" w:customStyle="1" w:styleId="29">
    <w:name w:val="表1-检测概况"/>
    <w:basedOn w:val="15"/>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sz w:val="24"/>
      </w:rPr>
    </w:tblStylePr>
  </w:style>
  <w:style w:type="paragraph" w:customStyle="1" w:styleId="30">
    <w:name w:val="摘要段落"/>
    <w:basedOn w:val="1"/>
    <w:link w:val="31"/>
    <w:qFormat/>
    <w:uiPriority w:val="0"/>
    <w:pPr>
      <w:spacing w:before="78" w:beforeLines="25" w:after="78" w:afterLines="25" w:line="360" w:lineRule="auto"/>
      <w:ind w:firstLine="420" w:firstLineChars="200"/>
    </w:pPr>
    <w:rPr>
      <w:rFonts w:ascii="黑体" w:hAnsi="黑体" w:eastAsia="黑体" w:cs="黑体"/>
      <w:szCs w:val="21"/>
    </w:rPr>
  </w:style>
  <w:style w:type="character" w:customStyle="1" w:styleId="31">
    <w:name w:val="摘要段落 字符"/>
    <w:basedOn w:val="17"/>
    <w:link w:val="30"/>
    <w:qFormat/>
    <w:uiPriority w:val="0"/>
    <w:rPr>
      <w:rFonts w:ascii="黑体" w:hAnsi="黑体" w:eastAsia="黑体" w:cs="黑体"/>
      <w:szCs w:val="21"/>
    </w:rPr>
  </w:style>
  <w:style w:type="paragraph" w:customStyle="1" w:styleId="32">
    <w:name w:val="免疫段落"/>
    <w:basedOn w:val="1"/>
    <w:link w:val="33"/>
    <w:qFormat/>
    <w:uiPriority w:val="0"/>
    <w:pPr>
      <w:adjustRightInd w:val="0"/>
      <w:snapToGrid w:val="0"/>
      <w:spacing w:before="25" w:beforeLines="25" w:after="25" w:afterLines="25" w:line="360" w:lineRule="auto"/>
      <w:jc w:val="left"/>
    </w:pPr>
    <w:rPr>
      <w:rFonts w:ascii="黑体" w:hAnsi="黑体" w:eastAsia="黑体" w:cs="黑体"/>
      <w:szCs w:val="21"/>
    </w:rPr>
  </w:style>
  <w:style w:type="character" w:customStyle="1" w:styleId="33">
    <w:name w:val="免疫段落 字符"/>
    <w:basedOn w:val="17"/>
    <w:link w:val="32"/>
    <w:qFormat/>
    <w:uiPriority w:val="0"/>
    <w:rPr>
      <w:rFonts w:ascii="黑体" w:hAnsi="黑体" w:eastAsia="黑体" w:cs="黑体"/>
      <w:szCs w:val="21"/>
    </w:rPr>
  </w:style>
  <w:style w:type="table" w:customStyle="1" w:styleId="34">
    <w:name w:val="表2-结果摘要小标题"/>
    <w:basedOn w:val="15"/>
    <w:qFormat/>
    <w:uiPriority w:val="99"/>
    <w:rPr>
      <w:rFonts w:eastAsia="黑体"/>
      <w:color w:val="FFFFFF"/>
    </w:rPr>
    <w:tcPr>
      <w:shd w:val="clear" w:color="auto" w:fill="01528E"/>
      <w:vAlign w:val="center"/>
    </w:tcPr>
  </w:style>
  <w:style w:type="character" w:customStyle="1" w:styleId="35">
    <w:name w:val="批注文字 字符"/>
    <w:basedOn w:val="17"/>
    <w:link w:val="5"/>
    <w:qFormat/>
    <w:uiPriority w:val="99"/>
    <w:rPr>
      <w:rFonts w:ascii="OPPOSans R" w:hAnsi="OPPOSans R" w:eastAsia="OPPOSans R" w:cs="OPPOSans R"/>
      <w:color w:val="262626"/>
      <w:kern w:val="0"/>
      <w:sz w:val="18"/>
      <w:szCs w:val="18"/>
    </w:rPr>
  </w:style>
  <w:style w:type="character" w:customStyle="1" w:styleId="36">
    <w:name w:val="批注主题 字符"/>
    <w:basedOn w:val="35"/>
    <w:link w:val="14"/>
    <w:qFormat/>
    <w:uiPriority w:val="99"/>
    <w:rPr>
      <w:rFonts w:ascii="OPPOSans R" w:hAnsi="OPPOSans R" w:eastAsia="OPPOSans R" w:cs="OPPOSans R"/>
      <w:b/>
      <w:bCs/>
      <w:color w:val="2A728E"/>
      <w:kern w:val="0"/>
      <w:sz w:val="18"/>
      <w:szCs w:val="18"/>
    </w:rPr>
  </w:style>
  <w:style w:type="paragraph" w:customStyle="1" w:styleId="37">
    <w:name w:val="3_2_p4"/>
    <w:basedOn w:val="7"/>
    <w:link w:val="38"/>
    <w:qFormat/>
    <w:uiPriority w:val="0"/>
    <w:pPr>
      <w:snapToGrid w:val="0"/>
      <w:spacing w:after="50" w:afterLines="50"/>
    </w:pPr>
    <w:rPr>
      <w:rFonts w:ascii="宋体" w:eastAsia="黑体"/>
      <w:b/>
      <w:color w:val="01528E"/>
      <w:sz w:val="24"/>
      <w:szCs w:val="21"/>
    </w:rPr>
  </w:style>
  <w:style w:type="character" w:customStyle="1" w:styleId="38">
    <w:name w:val="3_2_p4 字符"/>
    <w:basedOn w:val="39"/>
    <w:link w:val="37"/>
    <w:qFormat/>
    <w:uiPriority w:val="0"/>
    <w:rPr>
      <w:rFonts w:ascii="宋体" w:hAnsi="Courier New" w:eastAsia="黑体" w:cs="Courier New"/>
      <w:b/>
      <w:color w:val="01528E"/>
      <w:sz w:val="24"/>
      <w:szCs w:val="21"/>
    </w:rPr>
  </w:style>
  <w:style w:type="character" w:customStyle="1" w:styleId="39">
    <w:name w:val="纯文本 字符"/>
    <w:basedOn w:val="17"/>
    <w:link w:val="7"/>
    <w:qFormat/>
    <w:uiPriority w:val="99"/>
    <w:rPr>
      <w:rFonts w:ascii="等线" w:hAnsi="Courier New" w:cs="Courier New"/>
    </w:rPr>
  </w:style>
  <w:style w:type="paragraph" w:customStyle="1" w:styleId="40">
    <w:name w:val="3_2_p5"/>
    <w:basedOn w:val="7"/>
    <w:link w:val="41"/>
    <w:qFormat/>
    <w:uiPriority w:val="0"/>
    <w:rPr>
      <w:rFonts w:eastAsia="黑体"/>
      <w:color w:val="595959"/>
      <w:sz w:val="18"/>
      <w:szCs w:val="21"/>
    </w:rPr>
  </w:style>
  <w:style w:type="character" w:customStyle="1" w:styleId="41">
    <w:name w:val="3_2_p5 字符"/>
    <w:basedOn w:val="39"/>
    <w:link w:val="40"/>
    <w:qFormat/>
    <w:uiPriority w:val="0"/>
    <w:rPr>
      <w:rFonts w:ascii="等线" w:hAnsi="Courier New" w:eastAsia="黑体" w:cs="Courier New"/>
      <w:color w:val="595959"/>
      <w:sz w:val="18"/>
      <w:szCs w:val="21"/>
    </w:rPr>
  </w:style>
  <w:style w:type="paragraph" w:customStyle="1" w:styleId="42">
    <w:name w:val="List Paragraph"/>
    <w:basedOn w:val="1"/>
    <w:qFormat/>
    <w:uiPriority w:val="34"/>
    <w:pPr>
      <w:ind w:firstLine="420" w:firstLineChars="200"/>
    </w:pPr>
  </w:style>
  <w:style w:type="paragraph" w:customStyle="1" w:styleId="43">
    <w:name w:val="3_2_p3"/>
    <w:basedOn w:val="7"/>
    <w:link w:val="44"/>
    <w:qFormat/>
    <w:uiPriority w:val="0"/>
    <w:pPr>
      <w:spacing w:line="360" w:lineRule="auto"/>
      <w:outlineLvl w:val="2"/>
    </w:pPr>
    <w:rPr>
      <w:rFonts w:ascii="黑体" w:hAnsi="黑体" w:eastAsia="黑体" w:cs="黑体"/>
      <w:b/>
      <w:color w:val="01528E"/>
      <w:sz w:val="28"/>
      <w:szCs w:val="28"/>
    </w:rPr>
  </w:style>
  <w:style w:type="character" w:customStyle="1" w:styleId="44">
    <w:name w:val="3_2_p3 字符"/>
    <w:basedOn w:val="39"/>
    <w:link w:val="43"/>
    <w:qFormat/>
    <w:uiPriority w:val="0"/>
    <w:rPr>
      <w:rFonts w:ascii="黑体" w:hAnsi="黑体" w:eastAsia="黑体" w:cs="黑体"/>
      <w:b/>
      <w:color w:val="01528E"/>
      <w:sz w:val="28"/>
      <w:szCs w:val="28"/>
    </w:rPr>
  </w:style>
  <w:style w:type="paragraph" w:customStyle="1" w:styleId="45">
    <w:name w:val="JYJ1表格内容带颜色加粗"/>
    <w:basedOn w:val="27"/>
    <w:qFormat/>
    <w:uiPriority w:val="0"/>
    <w:pPr>
      <w:framePr w:hSpace="180" w:wrap="around" w:vAnchor="text" w:hAnchor="text" w:y="1"/>
      <w:spacing w:before="72"/>
    </w:pPr>
    <w:rPr>
      <w:b/>
      <w:color w:val="2A728E"/>
    </w:rPr>
  </w:style>
  <w:style w:type="paragraph" w:customStyle="1" w:styleId="46">
    <w:name w:val="JYJ1级"/>
    <w:qFormat/>
    <w:uiPriority w:val="0"/>
    <w:pPr>
      <w:numPr>
        <w:ilvl w:val="0"/>
        <w:numId w:val="1"/>
      </w:numPr>
      <w:adjustRightInd w:val="0"/>
      <w:snapToGrid w:val="0"/>
      <w:spacing w:before="72"/>
      <w:jc w:val="center"/>
      <w:outlineLvl w:val="0"/>
    </w:pPr>
    <w:rPr>
      <w:rFonts w:ascii="OPPOSans R" w:hAnsi="OPPOSans R" w:eastAsia="OPPOSans R" w:cs="OPPOSans R"/>
      <w:b/>
      <w:color w:val="595959"/>
      <w:spacing w:val="5"/>
      <w:sz w:val="21"/>
      <w:szCs w:val="21"/>
      <w:lang w:val="en-US" w:eastAsia="zh-CN" w:bidi="ar-SA"/>
    </w:rPr>
  </w:style>
  <w:style w:type="paragraph" w:customStyle="1" w:styleId="47">
    <w:name w:val="JYJ3级"/>
    <w:basedOn w:val="4"/>
    <w:qFormat/>
    <w:uiPriority w:val="0"/>
    <w:pPr>
      <w:keepNext w:val="0"/>
      <w:keepLines w:val="0"/>
      <w:widowControl/>
      <w:numPr>
        <w:ilvl w:val="2"/>
        <w:numId w:val="1"/>
      </w:numPr>
      <w:tabs>
        <w:tab w:val="left" w:pos="360"/>
      </w:tabs>
      <w:adjustRightInd w:val="0"/>
      <w:snapToGrid w:val="0"/>
      <w:spacing w:before="30" w:beforeLines="30" w:after="0" w:line="288" w:lineRule="auto"/>
      <w:ind w:left="0" w:firstLine="0"/>
      <w:jc w:val="left"/>
    </w:pPr>
    <w:rPr>
      <w:rFonts w:ascii="OPPOSans R" w:hAnsi="OPPOSans R" w:eastAsia="OPPOSans R" w:cs="OPPOSans R"/>
      <w:bCs w:val="0"/>
      <w:color w:val="2A728E"/>
      <w:spacing w:val="5"/>
      <w:kern w:val="0"/>
      <w:sz w:val="18"/>
      <w:szCs w:val="18"/>
    </w:rPr>
  </w:style>
  <w:style w:type="paragraph" w:customStyle="1" w:styleId="48">
    <w:name w:val="JYJ4级"/>
    <w:qFormat/>
    <w:uiPriority w:val="0"/>
    <w:pPr>
      <w:keepNext/>
      <w:keepLines/>
      <w:numPr>
        <w:ilvl w:val="3"/>
        <w:numId w:val="1"/>
      </w:numPr>
      <w:adjustRightInd w:val="0"/>
      <w:snapToGrid w:val="0"/>
      <w:spacing w:before="30" w:beforeLines="30" w:line="288" w:lineRule="auto"/>
      <w:outlineLvl w:val="3"/>
    </w:pPr>
    <w:rPr>
      <w:rFonts w:ascii="OPPOSans R" w:hAnsi="OPPOSans R" w:eastAsia="OPPOSans R" w:cs="OPPOSans R"/>
      <w:b/>
      <w:bCs/>
      <w:color w:val="2A728E"/>
      <w:kern w:val="2"/>
      <w:sz w:val="18"/>
      <w:szCs w:val="22"/>
      <w:lang w:val="en-US" w:eastAsia="zh-CN" w:bidi="ar-SA"/>
    </w:rPr>
  </w:style>
  <w:style w:type="character" w:customStyle="1" w:styleId="49">
    <w:name w:val="标题 3 字符"/>
    <w:basedOn w:val="17"/>
    <w:link w:val="4"/>
    <w:qFormat/>
    <w:uiPriority w:val="9"/>
    <w:rPr>
      <w:b/>
      <w:bCs/>
      <w:sz w:val="32"/>
      <w:szCs w:val="32"/>
    </w:rPr>
  </w:style>
  <w:style w:type="paragraph" w:customStyle="1" w:styleId="50">
    <w:name w:val="JYJ正文"/>
    <w:qFormat/>
    <w:uiPriority w:val="0"/>
    <w:pPr>
      <w:adjustRightInd w:val="0"/>
      <w:snapToGrid w:val="0"/>
      <w:spacing w:before="30" w:beforeLines="30"/>
    </w:pPr>
    <w:rPr>
      <w:rFonts w:ascii="OPPOSans R" w:hAnsi="OPPOSans R" w:eastAsia="OPPOSans R" w:cs="OPPOSans R"/>
      <w:color w:val="262626"/>
      <w:sz w:val="18"/>
      <w:szCs w:val="18"/>
      <w:lang w:val="en-US" w:eastAsia="zh-CN" w:bidi="ar-SA"/>
    </w:rPr>
  </w:style>
  <w:style w:type="paragraph" w:customStyle="1" w:styleId="51">
    <w:name w:val="JYJ正文序号"/>
    <w:basedOn w:val="1"/>
    <w:qFormat/>
    <w:uiPriority w:val="0"/>
    <w:pPr>
      <w:widowControl/>
      <w:numPr>
        <w:ilvl w:val="0"/>
        <w:numId w:val="2"/>
      </w:numPr>
      <w:adjustRightInd w:val="0"/>
      <w:snapToGrid w:val="0"/>
      <w:spacing w:before="72" w:beforeLines="30" w:line="288" w:lineRule="auto"/>
      <w:jc w:val="left"/>
    </w:pPr>
    <w:rPr>
      <w:rFonts w:ascii="OPPOSans R" w:hAnsi="OPPOSans R" w:eastAsia="OPPOSans R" w:cs="OPPOSans R"/>
      <w:color w:val="262626"/>
      <w:kern w:val="0"/>
      <w:sz w:val="18"/>
      <w:szCs w:val="18"/>
    </w:rPr>
  </w:style>
  <w:style w:type="character" w:customStyle="1" w:styleId="52">
    <w:name w:val="正文-带序号 字符"/>
    <w:basedOn w:val="17"/>
    <w:qFormat/>
    <w:uiPriority w:val="0"/>
    <w:rPr>
      <w:rFonts w:ascii="OPPOSans R" w:hAnsi="OPPOSans R" w:eastAsia="OPPOSans R" w:cs="OPPOSans R"/>
      <w:sz w:val="18"/>
      <w:szCs w:val="18"/>
    </w:rPr>
  </w:style>
  <w:style w:type="paragraph" w:customStyle="1" w:styleId="53">
    <w:name w:val="TOC Heading_fa38b769-2182-4a0a-82a0-4eb9c6679dd8"/>
    <w:basedOn w:val="2"/>
    <w:next w:val="1"/>
    <w:qFormat/>
    <w:uiPriority w:val="39"/>
    <w:pPr>
      <w:keepNext/>
      <w:keepLines/>
      <w:widowControl/>
      <w:spacing w:after="0" w:line="259" w:lineRule="auto"/>
      <w:jc w:val="left"/>
      <w:outlineLvl w:val="9"/>
    </w:pPr>
    <w:rPr>
      <w:rFonts w:ascii="等线 Light" w:hAnsi="等线 Light" w:eastAsia="等线 Light" w:cs="宋体"/>
      <w:b w:val="0"/>
      <w:bCs w:val="0"/>
      <w:color w:val="2F5597"/>
      <w:kern w:val="0"/>
      <w:sz w:val="32"/>
      <w:szCs w:val="32"/>
    </w:rPr>
  </w:style>
  <w:style w:type="table" w:customStyle="1" w:styleId="54">
    <w:name w:val="网格型2"/>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5">
    <w:name w:val="Revision_e3a7762f-15d4-46a6-bf88-945a50bca01f"/>
    <w:qFormat/>
    <w:uiPriority w:val="99"/>
    <w:rPr>
      <w:rFonts w:ascii="等线" w:hAnsi="等线" w:eastAsia="等线" w:cs="宋体"/>
      <w:kern w:val="2"/>
      <w:sz w:val="21"/>
      <w:szCs w:val="22"/>
      <w:lang w:val="en-US" w:eastAsia="zh-CN" w:bidi="ar-SA"/>
    </w:rPr>
  </w:style>
  <w:style w:type="paragraph" w:customStyle="1" w:styleId="56">
    <w:name w:val="Revision"/>
    <w:hidden/>
    <w:semiHidden/>
    <w:qFormat/>
    <w:uiPriority w:val="99"/>
    <w:rPr>
      <w:rFonts w:ascii="等线" w:hAnsi="等线" w:eastAsia="等线" w:cs="宋体"/>
      <w:kern w:val="2"/>
      <w:sz w:val="21"/>
      <w:szCs w:val="22"/>
      <w:lang w:val="en-US" w:eastAsia="zh-CN" w:bidi="ar-SA"/>
    </w:rPr>
  </w:style>
  <w:style w:type="character" w:customStyle="1" w:styleId="57">
    <w:name w:val="15"/>
    <w:basedOn w:val="17"/>
    <w:qFormat/>
    <w:uiPriority w:val="0"/>
    <w:rPr>
      <w:rFonts w:hint="eastAsia" w:ascii="OPPOSans R" w:hAnsi="OPPOSans R" w:eastAsia="OPPOSans R"/>
      <w:sz w:val="18"/>
      <w:szCs w:val="18"/>
    </w:rPr>
  </w:style>
  <w:style w:type="character" w:customStyle="1" w:styleId="58">
    <w:name w:val="未处理的提及2"/>
    <w:basedOn w:val="17"/>
    <w:unhideWhenUsed/>
    <w:qFormat/>
    <w:uiPriority w:val="99"/>
    <w:rPr>
      <w:color w:val="605E5C"/>
      <w:shd w:val="clear" w:color="auto" w:fill="E1DFDD"/>
    </w:rPr>
  </w:style>
  <w:style w:type="paragraph" w:customStyle="1" w:styleId="59">
    <w:name w:val="Table Paragraph"/>
    <w:basedOn w:val="1"/>
    <w:autoRedefine/>
    <w:qFormat/>
    <w:uiPriority w:val="1"/>
  </w:style>
  <w:style w:type="table" w:customStyle="1" w:styleId="60">
    <w:name w:val="Table Normal1"/>
    <w:autoRedefine/>
    <w:unhideWhenUsed/>
    <w:qFormat/>
    <w:uiPriority w:val="2"/>
    <w:tblPr>
      <w:tblCellMar>
        <w:top w:w="0" w:type="dxa"/>
        <w:left w:w="0" w:type="dxa"/>
        <w:bottom w:w="0" w:type="dxa"/>
        <w:right w:w="0" w:type="dxa"/>
      </w:tblCellMar>
    </w:tblPr>
  </w:style>
  <w:style w:type="table" w:customStyle="1" w:styleId="61">
    <w:name w:val="Table Normal"/>
    <w:basedOn w:val="15"/>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4451</Words>
  <Characters>8619</Characters>
  <Lines>57</Lines>
  <Paragraphs>16</Paragraphs>
  <TotalTime>0</TotalTime>
  <ScaleCrop>false</ScaleCrop>
  <LinksUpToDate>false</LinksUpToDate>
  <CharactersWithSpaces>9419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2025-08-05T16:37:00Z</dcterms:created>
  <dc:creator>Administrator</dc:creator>
  <cp:lastModifiedBy>yolo</cp:lastModifiedBy>
  <cp:lastPrinted>2025-08-05T16:51:00Z</cp:lastPrinted>
  <dcterms:modified xsi:type="dcterms:W3CDTF">2025-11-25T03:22:59Z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CA6A78B812A34DF28E86CED556CD2086</vt:lpwstr>
  </property>
  <property fmtid="{D5CDD505-2E9C-101B-9397-08002B2CF9AE}" pid="4" name="KSOTemplateDocerSaveRecord">
    <vt:lpwstr>eyJoZGlkIjoiNzhjODRmNWJhZTVkNTI1OGI2YWZlNjVkNDIwMWYwMDkiLCJ1c2VySWQiOiIzMTAxODgzOTQifQ==</vt:lpwstr>
  </property>
</Properties>
</file>