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41BA23">
      <w:pPr>
        <w:rPr>
          <w:rFonts w:ascii="Times New Roman" w:hAnsi="Times New Roman" w:eastAsia="微软雅黑" w:cs="Times New Roman"/>
          <w:sz w:val="52"/>
          <w:szCs w:val="44"/>
          <w:lang w:eastAsia="zh-CN"/>
        </w:rPr>
      </w:pPr>
      <w:bookmarkStart w:id="0" w:name="_Toc12869"/>
      <w:bookmarkStart w:id="1" w:name="_Toc26189"/>
    </w:p>
    <w:p w14:paraId="6836B7DC">
      <w:pPr>
        <w:rPr>
          <w:rFonts w:ascii="Times New Roman" w:hAnsi="Times New Roman" w:eastAsia="微软雅黑" w:cs="Times New Roman"/>
          <w:sz w:val="52"/>
          <w:szCs w:val="44"/>
          <w:lang w:eastAsia="zh-CN"/>
        </w:rPr>
      </w:pPr>
    </w:p>
    <w:p w14:paraId="747311F2">
      <w:pPr>
        <w:rPr>
          <w:rFonts w:ascii="Times New Roman" w:hAnsi="Times New Roman" w:eastAsia="微软雅黑" w:cs="Times New Roman"/>
          <w:sz w:val="52"/>
          <w:szCs w:val="44"/>
          <w:lang w:eastAsia="zh-CN"/>
        </w:rPr>
      </w:pPr>
    </w:p>
    <w:p w14:paraId="6053E06B">
      <w:pPr>
        <w:rPr>
          <w:rFonts w:ascii="Times New Roman" w:hAnsi="Times New Roman" w:eastAsia="微软雅黑" w:cs="Times New Roman"/>
          <w:sz w:val="52"/>
          <w:szCs w:val="44"/>
          <w:lang w:eastAsia="zh-CN"/>
        </w:rPr>
      </w:pPr>
    </w:p>
    <w:p w14:paraId="090BA037">
      <w:pPr>
        <w:rPr>
          <w:rFonts w:ascii="Times New Roman" w:hAnsi="Times New Roman" w:eastAsia="微软雅黑" w:cs="Times New Roman"/>
          <w:sz w:val="52"/>
          <w:szCs w:val="44"/>
          <w:lang w:eastAsia="zh-CN"/>
        </w:rPr>
      </w:pPr>
    </w:p>
    <w:bookmarkEnd w:id="0"/>
    <w:bookmarkEnd w:id="1"/>
    <w:p w14:paraId="637A5917">
      <w:pPr>
        <w:jc w:val="center"/>
        <w:rPr>
          <w:rFonts w:hint="eastAsia"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肿瘤融合基因</w:t>
      </w:r>
      <w:r>
        <w:rPr>
          <w:rFonts w:hint="eastAsia" w:ascii="黑体" w:hAnsi="黑体" w:eastAsia="黑体" w:cs="黑体"/>
          <w:color w:val="548235" w:themeColor="accent6" w:themeShade="BF"/>
          <w:sz w:val="72"/>
          <w:szCs w:val="72"/>
          <w:lang w:val="en-US" w:eastAsia="zh-CN"/>
        </w:rPr>
        <w:t>RNA</w:t>
      </w:r>
      <w:r>
        <w:rPr>
          <w:rFonts w:hint="eastAsia" w:ascii="黑体" w:hAnsi="黑体" w:eastAsia="黑体" w:cs="黑体"/>
          <w:color w:val="548235" w:themeColor="accent6" w:themeShade="BF"/>
          <w:sz w:val="72"/>
          <w:szCs w:val="72"/>
          <w:lang w:eastAsia="zh-CN"/>
        </w:rPr>
        <w:t>{% if PDInfo %}+PD-L1</w:t>
      </w:r>
    </w:p>
    <w:p w14:paraId="3A0BBCE0">
      <w:pPr>
        <w:jc w:val="cente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endif %}检测报告</w:t>
      </w:r>
    </w:p>
    <w:p w14:paraId="1E3F357B">
      <w:pPr>
        <w:tabs>
          <w:tab w:val="left" w:pos="6082"/>
          <w:tab w:val="left" w:pos="6324"/>
          <w:tab w:val="left" w:pos="9183"/>
        </w:tabs>
        <w:spacing w:before="411" w:line="308" w:lineRule="auto"/>
        <w:ind w:right="2699"/>
        <w:jc w:val="both"/>
        <w:rPr>
          <w:sz w:val="30"/>
          <w:u w:val="single"/>
          <w:lang w:eastAsia="zh-CN"/>
        </w:rPr>
      </w:pPr>
    </w:p>
    <w:p w14:paraId="2BDCDAA9">
      <w:pPr>
        <w:tabs>
          <w:tab w:val="left" w:pos="6082"/>
          <w:tab w:val="left" w:pos="6324"/>
          <w:tab w:val="left" w:pos="9183"/>
        </w:tabs>
        <w:spacing w:before="411" w:line="308" w:lineRule="auto"/>
        <w:ind w:right="2699"/>
        <w:jc w:val="both"/>
        <w:rPr>
          <w:sz w:val="30"/>
          <w:u w:val="single"/>
          <w:lang w:eastAsia="zh-CN"/>
        </w:rPr>
      </w:pPr>
    </w:p>
    <w:tbl>
      <w:tblPr>
        <w:tblStyle w:val="16"/>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4D442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0662B203">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14:paraId="31C08D94">
            <w:pPr>
              <w:pStyle w:val="6"/>
              <w:jc w:val="center"/>
              <w:rPr>
                <w:rFonts w:ascii="黑体"/>
                <w:sz w:val="48"/>
                <w:lang w:eastAsia="zh-CN"/>
              </w:rPr>
            </w:pPr>
            <w:r>
              <w:rPr>
                <w:rFonts w:hint="eastAsia" w:ascii="微软雅黑" w:eastAsia="微软雅黑"/>
                <w:sz w:val="30"/>
                <w:lang w:eastAsia="zh-CN"/>
              </w:rPr>
              <w:t>{{ client }}</w:t>
            </w:r>
          </w:p>
        </w:tc>
      </w:tr>
      <w:tr w14:paraId="441F8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2E7540F6">
            <w:pPr>
              <w:pStyle w:val="6"/>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14:paraId="07EA3AAD">
            <w:pPr>
              <w:pStyle w:val="6"/>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commission_date }}</w:t>
            </w:r>
          </w:p>
        </w:tc>
      </w:tr>
      <w:tr w14:paraId="36B46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120B6C53">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144ECB2D">
            <w:pPr>
              <w:pStyle w:val="6"/>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subbarcode }}</w:t>
            </w:r>
          </w:p>
        </w:tc>
      </w:tr>
      <w:tr w14:paraId="5B8B4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480BBB3D">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00ED8AF5">
            <w:pPr>
              <w:pStyle w:val="6"/>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reportdate }}</w:t>
            </w:r>
          </w:p>
        </w:tc>
      </w:tr>
    </w:tbl>
    <w:p w14:paraId="066B5F8C">
      <w:pPr>
        <w:tabs>
          <w:tab w:val="left" w:pos="6082"/>
          <w:tab w:val="left" w:pos="6324"/>
          <w:tab w:val="left" w:pos="9183"/>
        </w:tabs>
        <w:spacing w:before="411" w:line="308" w:lineRule="auto"/>
        <w:ind w:right="2699"/>
        <w:jc w:val="both"/>
        <w:rPr>
          <w:sz w:val="30"/>
          <w:u w:val="single"/>
          <w:lang w:eastAsia="zh-CN"/>
        </w:rPr>
        <w:sectPr>
          <w:pgSz w:w="11911" w:h="16838"/>
          <w:pgMar w:top="1037" w:right="1020" w:bottom="981" w:left="1020" w:header="0" w:footer="720" w:gutter="0"/>
          <w:pgBorders>
            <w:top w:val="none" w:sz="0" w:space="0"/>
            <w:left w:val="none" w:sz="0" w:space="0"/>
            <w:bottom w:val="none" w:sz="0" w:space="0"/>
            <w:right w:val="none" w:sz="0" w:space="0"/>
          </w:pgBorders>
          <w:pgNumType w:start="1"/>
          <w:cols w:space="0" w:num="1"/>
        </w:sectPr>
      </w:pPr>
    </w:p>
    <w:p w14:paraId="35E6957C">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2EE55AF8">
      <w:pPr>
        <w:jc w:val="center"/>
        <w:rPr>
          <w:sz w:val="24"/>
          <w:szCs w:val="24"/>
          <w:lang w:eastAsia="zh-CN"/>
        </w:rPr>
      </w:pPr>
      <w:r>
        <w:rPr>
          <w:rFonts w:hint="eastAsia" w:ascii="Times New Roman" w:hAnsi="Times New Roman" w:eastAsia="微软雅黑"/>
          <w:sz w:val="36"/>
          <w:szCs w:val="36"/>
          <w:lang w:eastAsia="zh-CN"/>
        </w:rPr>
        <w:t>Content</w:t>
      </w:r>
    </w:p>
    <w:p w14:paraId="7E55F1CE">
      <w:pPr>
        <w:jc w:val="center"/>
      </w:pPr>
    </w:p>
    <w:p w14:paraId="740404BE">
      <w:pPr>
        <w:jc w:val="center"/>
      </w:pPr>
    </w:p>
    <w:p w14:paraId="5AC9DED6">
      <w:pPr>
        <w:jc w:val="center"/>
      </w:pPr>
    </w:p>
    <w:p w14:paraId="1AF4FF77">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b/>
          <w:color w:val="62B541"/>
          <w:sz w:val="32"/>
          <w:lang w:eastAsia="zh-CN"/>
        </w:rPr>
      </w:pPr>
      <w:r>
        <w:rPr>
          <w:rStyle w:val="19"/>
          <w:rFonts w:ascii="Times New Roman" w:hAnsi="Times New Roman" w:eastAsia="微软雅黑" w:cs="Times New Roman"/>
          <w:color w:val="FFFFFF" w:themeColor="background1"/>
          <w:sz w:val="28"/>
          <w:szCs w:val="28"/>
          <w:shd w:val="clear" w:color="auto" w:fill="00B050"/>
          <w14:textFill>
            <w14:solidFill>
              <w14:schemeClr w14:val="bg1"/>
            </w14:solidFill>
          </w14:textFill>
        </w:rPr>
        <w:fldChar w:fldCharType="begin"/>
      </w:r>
      <w:r>
        <w:rPr>
          <w:rStyle w:val="19"/>
          <w:rFonts w:hint="eastAsia" w:ascii="Times New Roman" w:hAnsi="Times New Roman" w:eastAsia="微软雅黑" w:cs="Times New Roman"/>
          <w:color w:val="FFFFFF" w:themeColor="background1"/>
          <w:sz w:val="28"/>
          <w:szCs w:val="28"/>
          <w:shd w:val="clear" w:color="auto" w:fill="00B050"/>
          <w14:textFill>
            <w14:solidFill>
              <w14:schemeClr w14:val="bg1"/>
            </w14:solidFill>
          </w14:textFill>
        </w:rPr>
        <w:instrText xml:space="preserve">TOC \o "1-3" \h \u </w:instrText>
      </w:r>
      <w:r>
        <w:rPr>
          <w:rStyle w:val="19"/>
          <w:rFonts w:ascii="Times New Roman" w:hAnsi="Times New Roman" w:eastAsia="微软雅黑" w:cs="Times New Roman"/>
          <w:color w:val="FFFFFF" w:themeColor="background1"/>
          <w:sz w:val="28"/>
          <w:szCs w:val="28"/>
          <w:shd w:val="clear" w:color="auto" w:fill="00B050"/>
          <w14:textFill>
            <w14:solidFill>
              <w14:schemeClr w14:val="bg1"/>
            </w14:solidFill>
          </w14:textFill>
        </w:rPr>
        <w:fldChar w:fldCharType="separate"/>
      </w: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_Toc409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样本信息</w:t>
      </w:r>
      <w:r>
        <w:rPr>
          <w:rFonts w:hint="default" w:ascii="Times New Roman" w:hAnsi="Times New Roman" w:eastAsia="微软雅黑" w:cs="Times New Roman"/>
          <w:b/>
          <w:color w:val="62B541"/>
          <w:sz w:val="32"/>
          <w:lang w:eastAsia="zh-CN"/>
        </w:rPr>
        <w:tab/>
      </w: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PAGEREF _Toc409 \h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1</w:t>
      </w:r>
      <w:r>
        <w:rPr>
          <w:rFonts w:hint="default"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p>
    <w:p w14:paraId="5BE91321">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b/>
          <w:color w:val="62B541"/>
          <w:sz w:val="32"/>
          <w:lang w:eastAsia="zh-CN"/>
        </w:rPr>
      </w:pP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_Toc16697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检测项目</w:t>
      </w:r>
      <w:r>
        <w:rPr>
          <w:rFonts w:hint="default" w:ascii="Times New Roman" w:hAnsi="Times New Roman" w:eastAsia="微软雅黑" w:cs="Times New Roman"/>
          <w:b/>
          <w:color w:val="62B541"/>
          <w:sz w:val="32"/>
          <w:lang w:eastAsia="zh-CN"/>
        </w:rPr>
        <w:tab/>
      </w: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PAGEREF _Toc16697 \h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1</w:t>
      </w:r>
      <w:r>
        <w:rPr>
          <w:rFonts w:hint="default"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p>
    <w:p w14:paraId="4EDE6931">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b/>
          <w:color w:val="62B541"/>
          <w:sz w:val="32"/>
          <w:lang w:eastAsia="zh-CN"/>
        </w:rPr>
      </w:pP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_Toc17731 </w:instrText>
      </w:r>
      <w:r>
        <w:rPr>
          <w:rFonts w:hint="default" w:ascii="Times New Roman" w:hAnsi="Times New Roman" w:eastAsia="微软雅黑" w:cs="Times New Roman"/>
          <w:b/>
          <w:color w:val="62B541"/>
          <w:sz w:val="32"/>
          <w:lang w:eastAsia="zh-CN"/>
        </w:rPr>
        <w:fldChar w:fldCharType="separate"/>
      </w:r>
      <w:r>
        <w:rPr>
          <w:rFonts w:hint="eastAsia" w:ascii="Times New Roman" w:hAnsi="Times New Roman" w:eastAsia="微软雅黑" w:cs="Times New Roman"/>
          <w:b/>
          <w:color w:val="62B541"/>
          <w:sz w:val="32"/>
          <w:lang w:eastAsia="zh-CN"/>
        </w:rPr>
        <w:t>检测结果总览</w:t>
      </w:r>
      <w:r>
        <w:rPr>
          <w:rFonts w:hint="default" w:ascii="Times New Roman" w:hAnsi="Times New Roman" w:eastAsia="微软雅黑" w:cs="Times New Roman"/>
          <w:b/>
          <w:color w:val="62B541"/>
          <w:sz w:val="32"/>
          <w:lang w:eastAsia="zh-CN"/>
        </w:rPr>
        <w:tab/>
      </w: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PAGEREF _Toc17731 \h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1</w:t>
      </w:r>
      <w:r>
        <w:rPr>
          <w:rFonts w:hint="default"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p>
    <w:p w14:paraId="182E91E0">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HYPERLINK \l _Toc10962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检测结果小结</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_Toc10962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1</w:t>
      </w:r>
      <w:r>
        <w:rPr>
          <w:rStyle w:val="19"/>
          <w:rFonts w:hint="eastAsia" w:ascii="Times New Roman" w:hAnsi="Times New Roman" w:eastAsia="微软雅黑" w:cs="Times New Roman"/>
          <w:sz w:val="28"/>
          <w:lang w:eastAsia="zh-CN"/>
        </w:rPr>
        <w:fldChar w:fldCharType="end"/>
      </w:r>
      <w:r>
        <w:rPr>
          <w:rStyle w:val="19"/>
          <w:rFonts w:hint="eastAsia" w:ascii="Times New Roman" w:hAnsi="Times New Roman" w:eastAsia="微软雅黑" w:cs="Times New Roman"/>
          <w:sz w:val="28"/>
          <w:lang w:eastAsia="zh-CN"/>
        </w:rPr>
        <w:fldChar w:fldCharType="end"/>
      </w:r>
    </w:p>
    <w:p w14:paraId="6B9BF618">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b/>
          <w:color w:val="62B541"/>
          <w:sz w:val="32"/>
          <w:lang w:eastAsia="zh-CN"/>
        </w:rPr>
      </w:pP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_Toc13776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检测结果</w:t>
      </w:r>
      <w:r>
        <w:rPr>
          <w:rFonts w:hint="default" w:ascii="Times New Roman" w:hAnsi="Times New Roman" w:eastAsia="微软雅黑" w:cs="Times New Roman"/>
          <w:b/>
          <w:color w:val="62B541"/>
          <w:sz w:val="32"/>
          <w:lang w:eastAsia="zh-CN"/>
        </w:rPr>
        <w:tab/>
      </w: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PAGEREF _Toc13776 \h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3</w:t>
      </w:r>
      <w:r>
        <w:rPr>
          <w:rFonts w:hint="default"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r>
        <w:rPr>
          <w:rFonts w:hint="eastAsia" w:ascii="Times New Roman" w:hAnsi="Times New Roman" w:eastAsia="微软雅黑" w:cs="黑体"/>
          <w:sz w:val="24"/>
          <w:szCs w:val="24"/>
          <w:highlight w:val="none"/>
          <w:lang w:val="en-US" w:eastAsia="zh-CN"/>
        </w:rPr>
        <w:t>{% if b</w:t>
      </w:r>
      <w:r>
        <w:rPr>
          <w:rFonts w:hint="default" w:ascii="Times New Roman" w:hAnsi="Times New Roman" w:eastAsia="微软雅黑" w:cs="黑体"/>
          <w:sz w:val="24"/>
          <w:szCs w:val="24"/>
          <w:highlight w:val="none"/>
          <w:lang w:val="en-US" w:eastAsia="zh-CN"/>
        </w:rPr>
        <w:t>rainGlioma</w:t>
      </w:r>
      <w:r>
        <w:rPr>
          <w:rFonts w:hint="eastAsia" w:ascii="Times New Roman" w:hAnsi="Times New Roman" w:eastAsia="微软雅黑" w:cs="黑体"/>
          <w:sz w:val="24"/>
          <w:szCs w:val="24"/>
          <w:highlight w:val="none"/>
          <w:lang w:val="en-US" w:eastAsia="zh-CN"/>
        </w:rPr>
        <w:t>Flag %}</w:t>
      </w:r>
    </w:p>
    <w:p w14:paraId="1A0A8D75">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HYPERLINK \l _Toc28615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val="en-US" w:eastAsia="zh-CN"/>
        </w:rPr>
        <w:t>脑胶质瘤相关分子标记物检测结果</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_Toc28615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3</w:t>
      </w:r>
      <w:r>
        <w:rPr>
          <w:rStyle w:val="19"/>
          <w:rFonts w:hint="eastAsia" w:ascii="Times New Roman" w:hAnsi="Times New Roman" w:eastAsia="微软雅黑" w:cs="Times New Roman"/>
          <w:sz w:val="28"/>
          <w:lang w:eastAsia="zh-CN"/>
        </w:rPr>
        <w:fldChar w:fldCharType="end"/>
      </w:r>
      <w:r>
        <w:rPr>
          <w:rStyle w:val="19"/>
          <w:rFonts w:hint="eastAsia" w:ascii="Times New Roman" w:hAnsi="Times New Roman" w:eastAsia="微软雅黑" w:cs="Times New Roman"/>
          <w:sz w:val="28"/>
          <w:lang w:eastAsia="zh-CN"/>
        </w:rPr>
        <w:fldChar w:fldCharType="end"/>
      </w:r>
      <w:r>
        <w:rPr>
          <w:rFonts w:hint="default" w:ascii="Times New Roman" w:hAnsi="Times New Roman" w:cs="Times New Roman"/>
          <w:sz w:val="24"/>
          <w:szCs w:val="24"/>
          <w:lang w:val="en-US" w:eastAsia="zh-CN"/>
        </w:rPr>
        <w:t>{% endif %}</w:t>
      </w:r>
      <w:r>
        <w:rPr>
          <w:rFonts w:hint="eastAsia" w:ascii="Times New Roman" w:hAnsi="Times New Roman" w:cs="Times New Roman"/>
          <w:sz w:val="24"/>
          <w:szCs w:val="24"/>
          <w:lang w:val="en-US" w:eastAsia="zh-CN"/>
        </w:rPr>
        <w:t>{% if disease.Sarcoma or disease.Midline or disease.KidneyFlag %}</w:t>
      </w:r>
    </w:p>
    <w:p w14:paraId="64325E88">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HYPERLINK \l _Toc18242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val="en-US" w:eastAsia="zh-CN"/>
        </w:rPr>
        <w:t>辅助诊断提示</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_Toc18242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5</w:t>
      </w:r>
      <w:r>
        <w:rPr>
          <w:rStyle w:val="19"/>
          <w:rFonts w:hint="eastAsia" w:ascii="Times New Roman" w:hAnsi="Times New Roman" w:eastAsia="微软雅黑" w:cs="Times New Roman"/>
          <w:sz w:val="28"/>
          <w:lang w:eastAsia="zh-CN"/>
        </w:rPr>
        <w:fldChar w:fldCharType="end"/>
      </w:r>
      <w:r>
        <w:rPr>
          <w:rStyle w:val="19"/>
          <w:rFonts w:hint="eastAsia" w:ascii="Times New Roman" w:hAnsi="Times New Roman" w:eastAsia="微软雅黑" w:cs="Times New Roman"/>
          <w:sz w:val="28"/>
          <w:lang w:eastAsia="zh-CN"/>
        </w:rPr>
        <w:fldChar w:fldCharType="end"/>
      </w:r>
      <w:r>
        <w:rPr>
          <w:rFonts w:hint="default" w:ascii="Times New Roman" w:hAnsi="Times New Roman" w:cs="Times New Roman"/>
          <w:sz w:val="24"/>
          <w:szCs w:val="24"/>
          <w:lang w:val="en-US" w:eastAsia="zh-CN"/>
        </w:rPr>
        <w:t>{% endif %}</w:t>
      </w:r>
    </w:p>
    <w:p w14:paraId="1A4B8CDF">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HYPERLINK \l _Toc11808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val="en-US" w:eastAsia="zh-CN"/>
        </w:rPr>
        <w:t>靶向药物用药</w:t>
      </w:r>
      <w:r>
        <w:rPr>
          <w:rStyle w:val="19"/>
          <w:rFonts w:hint="eastAsia" w:ascii="Times New Roman" w:hAnsi="Times New Roman" w:eastAsia="微软雅黑" w:cs="Times New Roman"/>
          <w:sz w:val="28"/>
          <w:lang w:eastAsia="zh-CN"/>
        </w:rPr>
        <w:t>提示</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_Toc11808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7</w:t>
      </w:r>
      <w:r>
        <w:rPr>
          <w:rStyle w:val="19"/>
          <w:rFonts w:hint="eastAsia" w:ascii="Times New Roman" w:hAnsi="Times New Roman" w:eastAsia="微软雅黑" w:cs="Times New Roman"/>
          <w:sz w:val="28"/>
          <w:lang w:eastAsia="zh-CN"/>
        </w:rPr>
        <w:fldChar w:fldCharType="end"/>
      </w:r>
      <w:r>
        <w:rPr>
          <w:rStyle w:val="19"/>
          <w:rFonts w:hint="eastAsia" w:ascii="Times New Roman" w:hAnsi="Times New Roman" w:eastAsia="微软雅黑" w:cs="Times New Roman"/>
          <w:sz w:val="28"/>
          <w:lang w:eastAsia="zh-CN"/>
        </w:rPr>
        <w:fldChar w:fldCharType="end"/>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77A084A9">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HYPERLINK \l _Toc31051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PD-L1检测结果</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_Toc31051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10</w:t>
      </w:r>
      <w:r>
        <w:rPr>
          <w:rStyle w:val="19"/>
          <w:rFonts w:hint="eastAsia" w:ascii="Times New Roman" w:hAnsi="Times New Roman" w:eastAsia="微软雅黑" w:cs="Times New Roman"/>
          <w:sz w:val="28"/>
          <w:lang w:eastAsia="zh-CN"/>
        </w:rPr>
        <w:fldChar w:fldCharType="end"/>
      </w:r>
      <w:r>
        <w:rPr>
          <w:rStyle w:val="19"/>
          <w:rFonts w:hint="eastAsia" w:ascii="Times New Roman" w:hAnsi="Times New Roman" w:eastAsia="微软雅黑" w:cs="Times New Roman"/>
          <w:sz w:val="28"/>
          <w:lang w:eastAsia="zh-CN"/>
        </w:rPr>
        <w:fldChar w:fldCharType="end"/>
      </w:r>
      <w:r>
        <w:rPr>
          <w:rFonts w:hint="default" w:ascii="Times New Roman" w:hAnsi="Times New Roman" w:cs="Times New Roman"/>
          <w:sz w:val="24"/>
          <w:szCs w:val="24"/>
          <w:lang w:val="en-US" w:eastAsia="zh-CN"/>
        </w:rPr>
        <w:t>{% endif %}</w:t>
      </w:r>
      <w:r>
        <w:rPr>
          <w:rFonts w:hint="eastAsia" w:ascii="Times New Roman" w:hAnsi="Times New Roman" w:eastAsia="微软雅黑" w:cs="Times New Roman"/>
          <w:sz w:val="24"/>
          <w:szCs w:val="24"/>
          <w:lang w:eastAsia="zh-CN"/>
        </w:rPr>
        <w:t>{%if BodyDrugDrugDetectionStr or unknownVarAnalysisStr %}</w:t>
      </w:r>
    </w:p>
    <w:p w14:paraId="74B42042">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b/>
          <w:color w:val="62B541"/>
          <w:sz w:val="32"/>
          <w:lang w:eastAsia="zh-CN"/>
        </w:rPr>
      </w:pP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_Toc359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检测结果解析</w:t>
      </w:r>
      <w:r>
        <w:rPr>
          <w:rFonts w:hint="default" w:ascii="Times New Roman" w:hAnsi="Times New Roman" w:eastAsia="微软雅黑" w:cs="Times New Roman"/>
          <w:b/>
          <w:color w:val="62B541"/>
          <w:sz w:val="32"/>
          <w:lang w:eastAsia="zh-CN"/>
        </w:rPr>
        <w:tab/>
      </w: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PAGEREF _Toc359 \h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12</w:t>
      </w:r>
      <w:r>
        <w:rPr>
          <w:rFonts w:hint="default"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p>
    <w:p w14:paraId="2D3F7C82">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HYPERLINK \l _Toc12645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变异位点结果解析</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_Toc12645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12</w:t>
      </w:r>
      <w:r>
        <w:rPr>
          <w:rStyle w:val="19"/>
          <w:rFonts w:hint="eastAsia" w:ascii="Times New Roman" w:hAnsi="Times New Roman" w:eastAsia="微软雅黑" w:cs="Times New Roman"/>
          <w:sz w:val="28"/>
          <w:lang w:eastAsia="zh-CN"/>
        </w:rPr>
        <w:fldChar w:fldCharType="end"/>
      </w:r>
      <w:r>
        <w:rPr>
          <w:rStyle w:val="19"/>
          <w:rFonts w:hint="eastAsia" w:ascii="Times New Roman" w:hAnsi="Times New Roman" w:eastAsia="微软雅黑" w:cs="Times New Roman"/>
          <w:sz w:val="28"/>
          <w:lang w:eastAsia="zh-CN"/>
        </w:rPr>
        <w:fldChar w:fldCharType="end"/>
      </w:r>
      <w:r>
        <w:rPr>
          <w:rFonts w:hint="default" w:ascii="Times New Roman" w:hAnsi="Times New Roman" w:cs="Times New Roman"/>
          <w:sz w:val="24"/>
          <w:szCs w:val="24"/>
          <w:lang w:val="en-US" w:eastAsia="zh-CN"/>
        </w:rPr>
        <w:t>{% endif %}</w:t>
      </w:r>
    </w:p>
    <w:p w14:paraId="05870FE0">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b/>
          <w:color w:val="62B541"/>
          <w:sz w:val="32"/>
          <w:lang w:eastAsia="zh-CN"/>
        </w:rPr>
      </w:pP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_Toc30951 </w:instrText>
      </w:r>
      <w:r>
        <w:rPr>
          <w:rFonts w:hint="default" w:ascii="Times New Roman" w:hAnsi="Times New Roman" w:eastAsia="微软雅黑" w:cs="Times New Roman"/>
          <w:b/>
          <w:color w:val="62B541"/>
          <w:sz w:val="32"/>
          <w:lang w:eastAsia="zh-CN"/>
        </w:rPr>
        <w:fldChar w:fldCharType="separate"/>
      </w:r>
      <w:r>
        <w:rPr>
          <w:rFonts w:hint="eastAsia" w:ascii="Times New Roman" w:hAnsi="Times New Roman" w:eastAsia="微软雅黑" w:cs="Times New Roman"/>
          <w:b/>
          <w:color w:val="62B541"/>
          <w:sz w:val="32"/>
          <w:lang w:eastAsia="zh-CN"/>
        </w:rPr>
        <w:t>附录</w:t>
      </w:r>
      <w:r>
        <w:rPr>
          <w:rFonts w:hint="default" w:ascii="Times New Roman" w:hAnsi="Times New Roman" w:eastAsia="微软雅黑" w:cs="Times New Roman"/>
          <w:b/>
          <w:color w:val="62B541"/>
          <w:sz w:val="32"/>
          <w:lang w:eastAsia="zh-CN"/>
        </w:rPr>
        <w:tab/>
      </w: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PAGEREF _Toc30951 \h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15</w:t>
      </w:r>
      <w:r>
        <w:rPr>
          <w:rFonts w:hint="default"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p>
    <w:p w14:paraId="2FE64FCC">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HYPERLINK \l _Toc19101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样本质控情况</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_Toc19101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15</w:t>
      </w:r>
      <w:r>
        <w:rPr>
          <w:rStyle w:val="19"/>
          <w:rFonts w:hint="eastAsia" w:ascii="Times New Roman" w:hAnsi="Times New Roman" w:eastAsia="微软雅黑" w:cs="Times New Roman"/>
          <w:sz w:val="28"/>
          <w:lang w:eastAsia="zh-CN"/>
        </w:rPr>
        <w:fldChar w:fldCharType="end"/>
      </w:r>
      <w:r>
        <w:rPr>
          <w:rStyle w:val="19"/>
          <w:rFonts w:hint="eastAsia" w:ascii="Times New Roman" w:hAnsi="Times New Roman" w:eastAsia="微软雅黑" w:cs="Times New Roman"/>
          <w:sz w:val="28"/>
          <w:lang w:eastAsia="zh-CN"/>
        </w:rPr>
        <w:fldChar w:fldCharType="end"/>
      </w:r>
      <w:r>
        <w:rPr>
          <w:rFonts w:hint="default" w:ascii="Times New Roman" w:hAnsi="Times New Roman" w:eastAsia="微软雅黑" w:cs="Times New Roman"/>
          <w:kern w:val="0"/>
          <w:sz w:val="24"/>
          <w:szCs w:val="24"/>
          <w:lang w:val="en-US" w:eastAsia="zh-CN" w:bidi="ar"/>
        </w:rPr>
        <w:t xml:space="preserve">{% if </w:t>
      </w:r>
      <w:r>
        <w:rPr>
          <w:rFonts w:hint="eastAsia" w:ascii="Times New Roman" w:hAnsi="Times New Roman" w:eastAsia="微软雅黑" w:cs="Times New Roman"/>
          <w:kern w:val="0"/>
          <w:sz w:val="24"/>
          <w:szCs w:val="24"/>
          <w:lang w:val="en-US" w:eastAsia="zh-CN" w:bidi="ar"/>
        </w:rPr>
        <w:t>b</w:t>
      </w:r>
      <w:r>
        <w:rPr>
          <w:rFonts w:hint="default" w:ascii="Times New Roman" w:hAnsi="Times New Roman" w:eastAsia="微软雅黑" w:cs="黑体"/>
          <w:kern w:val="0"/>
          <w:sz w:val="24"/>
          <w:szCs w:val="24"/>
          <w:lang w:val="en-US" w:eastAsia="zh-CN" w:bidi="ar"/>
        </w:rPr>
        <w:t>rainGlioma</w:t>
      </w:r>
      <w:r>
        <w:rPr>
          <w:rFonts w:hint="eastAsia" w:ascii="Times New Roman" w:hAnsi="Times New Roman" w:eastAsia="微软雅黑" w:cs="黑体"/>
          <w:kern w:val="0"/>
          <w:sz w:val="24"/>
          <w:szCs w:val="24"/>
          <w:lang w:val="en-US" w:eastAsia="zh-CN" w:bidi="ar"/>
        </w:rPr>
        <w:t xml:space="preserve">Flag </w:t>
      </w:r>
      <w:r>
        <w:rPr>
          <w:rFonts w:hint="default" w:ascii="Times New Roman" w:hAnsi="Times New Roman" w:eastAsia="微软雅黑" w:cs="Times New Roman"/>
          <w:kern w:val="0"/>
          <w:sz w:val="24"/>
          <w:szCs w:val="24"/>
          <w:lang w:val="en-US" w:eastAsia="zh-CN" w:bidi="ar"/>
        </w:rPr>
        <w:t>%}</w:t>
      </w:r>
    </w:p>
    <w:p w14:paraId="5BFD7EAC">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HYPERLINK \l _Toc4278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常见胶质瘤分型相关基因变异</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_Toc4278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16</w:t>
      </w:r>
      <w:r>
        <w:rPr>
          <w:rStyle w:val="19"/>
          <w:rFonts w:hint="eastAsia" w:ascii="Times New Roman" w:hAnsi="Times New Roman" w:eastAsia="微软雅黑" w:cs="Times New Roman"/>
          <w:sz w:val="28"/>
          <w:lang w:eastAsia="zh-CN"/>
        </w:rPr>
        <w:fldChar w:fldCharType="end"/>
      </w:r>
      <w:r>
        <w:rPr>
          <w:rStyle w:val="19"/>
          <w:rFonts w:hint="eastAsia" w:ascii="Times New Roman" w:hAnsi="Times New Roman" w:eastAsia="微软雅黑" w:cs="Times New Roman"/>
          <w:sz w:val="28"/>
          <w:lang w:eastAsia="zh-CN"/>
        </w:rPr>
        <w:fldChar w:fldCharType="end"/>
      </w:r>
      <w:r>
        <w:rPr>
          <w:rFonts w:hint="default" w:ascii="Times New Roman" w:hAnsi="Times New Roman" w:eastAsia="微软雅黑" w:cs="Times New Roman"/>
          <w:kern w:val="0"/>
          <w:sz w:val="24"/>
          <w:szCs w:val="24"/>
          <w:lang w:val="en-US" w:eastAsia="zh-CN" w:bidi="ar"/>
        </w:rPr>
        <w:t xml:space="preserve">{% </w:t>
      </w:r>
      <w:r>
        <w:rPr>
          <w:rFonts w:hint="eastAsia" w:ascii="Times New Roman" w:hAnsi="Times New Roman" w:eastAsia="微软雅黑" w:cs="Times New Roman"/>
          <w:kern w:val="0"/>
          <w:sz w:val="24"/>
          <w:szCs w:val="24"/>
          <w:lang w:val="en-US" w:eastAsia="zh-CN" w:bidi="ar"/>
        </w:rPr>
        <w:t xml:space="preserve">endif </w:t>
      </w:r>
      <w:r>
        <w:rPr>
          <w:rFonts w:hint="default" w:ascii="Times New Roman" w:hAnsi="Times New Roman" w:eastAsia="微软雅黑" w:cs="Times New Roman"/>
          <w:kern w:val="0"/>
          <w:sz w:val="24"/>
          <w:szCs w:val="24"/>
          <w:lang w:val="en-US" w:eastAsia="zh-CN" w:bidi="ar"/>
        </w:rPr>
        <w:t>%}{% if disease.</w:t>
      </w:r>
      <w:r>
        <w:rPr>
          <w:rFonts w:hint="eastAsia" w:ascii="Times New Roman" w:hAnsi="Times New Roman" w:eastAsia="微软雅黑" w:cs="黑体"/>
          <w:kern w:val="0"/>
          <w:sz w:val="24"/>
          <w:szCs w:val="24"/>
          <w:lang w:val="en-US" w:eastAsia="zh-CN" w:bidi="ar"/>
        </w:rPr>
        <w:t xml:space="preserve">Midline </w:t>
      </w:r>
      <w:r>
        <w:rPr>
          <w:rFonts w:hint="default" w:ascii="Times New Roman" w:hAnsi="Times New Roman" w:eastAsia="微软雅黑" w:cs="Times New Roman"/>
          <w:kern w:val="0"/>
          <w:sz w:val="24"/>
          <w:szCs w:val="24"/>
          <w:lang w:val="en-US" w:eastAsia="zh-CN" w:bidi="ar"/>
        </w:rPr>
        <w:t>%}</w:t>
      </w:r>
    </w:p>
    <w:p w14:paraId="120046C5">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HYPERLINK \l _Toc12522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val="en-US" w:eastAsia="zh-CN"/>
        </w:rPr>
        <w:t>中线癌相关分子标记物检测意义</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_Toc12522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17</w:t>
      </w:r>
      <w:r>
        <w:rPr>
          <w:rStyle w:val="19"/>
          <w:rFonts w:hint="eastAsia" w:ascii="Times New Roman" w:hAnsi="Times New Roman" w:eastAsia="微软雅黑" w:cs="Times New Roman"/>
          <w:sz w:val="28"/>
          <w:lang w:eastAsia="zh-CN"/>
        </w:rPr>
        <w:fldChar w:fldCharType="end"/>
      </w:r>
      <w:r>
        <w:rPr>
          <w:rStyle w:val="19"/>
          <w:rFonts w:hint="eastAsia" w:ascii="Times New Roman" w:hAnsi="Times New Roman" w:eastAsia="微软雅黑" w:cs="Times New Roman"/>
          <w:sz w:val="28"/>
          <w:lang w:eastAsia="zh-CN"/>
        </w:rPr>
        <w:fldChar w:fldCharType="end"/>
      </w:r>
      <w:r>
        <w:rPr>
          <w:rFonts w:hint="default" w:ascii="Times New Roman" w:hAnsi="Times New Roman" w:cs="Times New Roman"/>
          <w:sz w:val="24"/>
          <w:szCs w:val="24"/>
          <w:lang w:val="en-US" w:eastAsia="zh-CN"/>
        </w:rPr>
        <w:t>{% endif %}{%</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if disease.</w:t>
      </w:r>
      <w:r>
        <w:rPr>
          <w:rFonts w:hint="eastAsia" w:ascii="Times New Roman" w:hAnsi="Times New Roman" w:cs="Times New Roman"/>
          <w:sz w:val="24"/>
          <w:szCs w:val="24"/>
          <w:lang w:val="en-US" w:eastAsia="zh-CN"/>
        </w:rPr>
        <w:t>KidneyFlag</w:t>
      </w:r>
      <w:r>
        <w:rPr>
          <w:rFonts w:hint="default" w:ascii="Times New Roman" w:hAnsi="Times New Roman" w:cs="Times New Roman"/>
          <w:sz w:val="24"/>
          <w:szCs w:val="24"/>
          <w:lang w:val="en-US" w:eastAsia="zh-CN"/>
        </w:rPr>
        <w:t xml:space="preserve"> %}</w:t>
      </w:r>
    </w:p>
    <w:p w14:paraId="4333ADC0">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HYPERLINK \l _Toc19525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val="en-US" w:eastAsia="zh-CN"/>
        </w:rPr>
        <w:t>分子定义的肾细胞癌的形态学和分子特征</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_Toc19525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18</w:t>
      </w:r>
      <w:r>
        <w:rPr>
          <w:rStyle w:val="19"/>
          <w:rFonts w:hint="eastAsia" w:ascii="Times New Roman" w:hAnsi="Times New Roman" w:eastAsia="微软雅黑" w:cs="Times New Roman"/>
          <w:sz w:val="28"/>
          <w:lang w:eastAsia="zh-CN"/>
        </w:rPr>
        <w:fldChar w:fldCharType="end"/>
      </w:r>
      <w:r>
        <w:rPr>
          <w:rStyle w:val="19"/>
          <w:rFonts w:hint="eastAsia" w:ascii="Times New Roman" w:hAnsi="Times New Roman" w:eastAsia="微软雅黑" w:cs="Times New Roman"/>
          <w:sz w:val="28"/>
          <w:lang w:eastAsia="zh-CN"/>
        </w:rPr>
        <w:fldChar w:fldCharType="end"/>
      </w:r>
      <w:r>
        <w:rPr>
          <w:rStyle w:val="19"/>
          <w:rFonts w:hint="eastAsia" w:ascii="Times New Roman" w:hAnsi="Times New Roman" w:eastAsia="微软雅黑" w:cs="Times New Roman"/>
          <w:sz w:val="24"/>
          <w:szCs w:val="24"/>
          <w:lang w:eastAsia="zh-CN"/>
        </w:rPr>
        <w:t>{% endif %}{% if disease.Sarcoma %}</w:t>
      </w:r>
    </w:p>
    <w:p w14:paraId="23D8ACFB">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HYPERLINK \l _Toc19457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val="en-US" w:eastAsia="zh-CN"/>
        </w:rPr>
        <w:t>常见肉瘤分型相关基因变异</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_Toc19457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19</w:t>
      </w:r>
      <w:r>
        <w:rPr>
          <w:rStyle w:val="19"/>
          <w:rFonts w:hint="eastAsia" w:ascii="Times New Roman" w:hAnsi="Times New Roman" w:eastAsia="微软雅黑" w:cs="Times New Roman"/>
          <w:sz w:val="28"/>
          <w:lang w:eastAsia="zh-CN"/>
        </w:rPr>
        <w:fldChar w:fldCharType="end"/>
      </w:r>
      <w:r>
        <w:rPr>
          <w:rStyle w:val="19"/>
          <w:rFonts w:hint="eastAsia" w:ascii="Times New Roman" w:hAnsi="Times New Roman" w:eastAsia="微软雅黑" w:cs="Times New Roman"/>
          <w:sz w:val="28"/>
          <w:lang w:eastAsia="zh-CN"/>
        </w:rPr>
        <w:fldChar w:fldCharType="end"/>
      </w:r>
      <w:r>
        <w:rPr>
          <w:rFonts w:hint="default" w:ascii="Times New Roman" w:hAnsi="Times New Roman" w:cs="Times New Roman"/>
          <w:sz w:val="24"/>
          <w:szCs w:val="24"/>
          <w:lang w:val="en-US" w:eastAsia="zh-CN"/>
        </w:rPr>
        <w:t>{% endif %}</w:t>
      </w:r>
    </w:p>
    <w:p w14:paraId="56E9FD54">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HYPERLINK \l _Toc18001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val="en-US" w:eastAsia="zh-CN"/>
        </w:rPr>
        <w:t>检测基因列表（639个基因）</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_Toc18001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29</w:t>
      </w:r>
      <w:r>
        <w:rPr>
          <w:rStyle w:val="19"/>
          <w:rFonts w:hint="eastAsia" w:ascii="Times New Roman" w:hAnsi="Times New Roman" w:eastAsia="微软雅黑" w:cs="Times New Roman"/>
          <w:sz w:val="28"/>
          <w:lang w:eastAsia="zh-CN"/>
        </w:rPr>
        <w:fldChar w:fldCharType="end"/>
      </w:r>
      <w:r>
        <w:rPr>
          <w:rStyle w:val="19"/>
          <w:rFonts w:hint="eastAsia" w:ascii="Times New Roman" w:hAnsi="Times New Roman" w:eastAsia="微软雅黑" w:cs="Times New Roman"/>
          <w:sz w:val="28"/>
          <w:lang w:eastAsia="zh-CN"/>
        </w:rPr>
        <w:fldChar w:fldCharType="end"/>
      </w:r>
    </w:p>
    <w:p w14:paraId="62E1A4EF">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HYPERLINK \l _Toc24071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检测方法与局限性</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_Toc24071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30</w:t>
      </w:r>
      <w:r>
        <w:rPr>
          <w:rStyle w:val="19"/>
          <w:rFonts w:hint="eastAsia" w:ascii="Times New Roman" w:hAnsi="Times New Roman" w:eastAsia="微软雅黑" w:cs="Times New Roman"/>
          <w:sz w:val="28"/>
          <w:lang w:eastAsia="zh-CN"/>
        </w:rPr>
        <w:fldChar w:fldCharType="end"/>
      </w:r>
      <w:r>
        <w:rPr>
          <w:rStyle w:val="19"/>
          <w:rFonts w:hint="eastAsia" w:ascii="Times New Roman" w:hAnsi="Times New Roman" w:eastAsia="微软雅黑" w:cs="Times New Roman"/>
          <w:sz w:val="28"/>
          <w:lang w:eastAsia="zh-CN"/>
        </w:rPr>
        <w:fldChar w:fldCharType="end"/>
      </w:r>
    </w:p>
    <w:p w14:paraId="1856ED37">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HYPERLINK \l _Toc26977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参考文献</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_Toc26977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31</w:t>
      </w:r>
      <w:r>
        <w:rPr>
          <w:rStyle w:val="19"/>
          <w:rFonts w:hint="eastAsia" w:ascii="Times New Roman" w:hAnsi="Times New Roman" w:eastAsia="微软雅黑" w:cs="Times New Roman"/>
          <w:sz w:val="28"/>
          <w:lang w:eastAsia="zh-CN"/>
        </w:rPr>
        <w:fldChar w:fldCharType="end"/>
      </w:r>
      <w:r>
        <w:rPr>
          <w:rStyle w:val="19"/>
          <w:rFonts w:hint="eastAsia" w:ascii="Times New Roman" w:hAnsi="Times New Roman" w:eastAsia="微软雅黑" w:cs="Times New Roman"/>
          <w:sz w:val="28"/>
          <w:lang w:eastAsia="zh-CN"/>
        </w:rPr>
        <w:fldChar w:fldCharType="end"/>
      </w:r>
    </w:p>
    <w:p w14:paraId="5F443ECB">
      <w:pPr>
        <w:spacing w:line="520" w:lineRule="atLeast"/>
        <w:rPr>
          <w:lang w:eastAsia="zh-CN"/>
        </w:rPr>
        <w:sectPr>
          <w:headerReference r:id="rId3" w:type="default"/>
          <w:footerReference r:id="rId4" w:type="default"/>
          <w:pgSz w:w="11911" w:h="16838"/>
          <w:pgMar w:top="1037" w:right="1020" w:bottom="981" w:left="1020" w:header="0" w:footer="720" w:gutter="0"/>
          <w:pgBorders>
            <w:top w:val="none" w:sz="0" w:space="0"/>
            <w:left w:val="none" w:sz="0" w:space="0"/>
            <w:bottom w:val="none" w:sz="0" w:space="0"/>
            <w:right w:val="none" w:sz="0" w:space="0"/>
          </w:pgBorders>
          <w:pgNumType w:start="1"/>
          <w:cols w:space="0" w:num="1"/>
          <w:docGrid w:linePitch="299" w:charSpace="0"/>
        </w:sectPr>
      </w:pPr>
      <w:r>
        <w:rPr>
          <w:lang w:eastAsia="zh-CN"/>
        </w:rPr>
        <w:fldChar w:fldCharType="end"/>
      </w:r>
      <w:r>
        <w:rPr>
          <w:lang w:eastAsia="zh-CN"/>
        </w:rPr>
        <w:br w:type="page"/>
      </w:r>
    </w:p>
    <w:p w14:paraId="4BB5DCFA">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2" w:name="_Toc107825547"/>
      <w:bookmarkStart w:id="3" w:name="_Toc14123"/>
      <w:bookmarkStart w:id="4" w:name="_Toc24178_WPSOffice_Level1"/>
      <w:bookmarkStart w:id="5" w:name="_Toc3619"/>
      <w:bookmarkStart w:id="6" w:name="_Toc21009_WPSOffice_Level1"/>
      <w:bookmarkStart w:id="7" w:name="_Toc30143_WPSOffice_Level1"/>
      <w:bookmarkStart w:id="8" w:name="_Toc409"/>
      <w:bookmarkStart w:id="9" w:name="_Toc13806"/>
      <w:bookmarkStart w:id="10" w:name="_Toc21669"/>
      <w:r>
        <w:rPr>
          <w:color w:val="62B541"/>
          <w:sz w:val="32"/>
          <w14:shadow w14:blurRad="50800" w14:dist="38100" w14:dir="10800000" w14:sx="100000" w14:sy="100000" w14:kx="0" w14:ky="0" w14:algn="r">
            <w14:srgbClr w14:val="62B541">
              <w14:alpha w14:val="60000"/>
            </w14:srgbClr>
          </w14:shadow>
        </w:rPr>
        <w:t>样本信息</w:t>
      </w:r>
      <w:bookmarkEnd w:id="2"/>
      <w:bookmarkEnd w:id="3"/>
      <w:bookmarkEnd w:id="4"/>
      <w:bookmarkEnd w:id="5"/>
      <w:bookmarkEnd w:id="6"/>
      <w:bookmarkEnd w:id="7"/>
      <w:bookmarkEnd w:id="8"/>
      <w:bookmarkEnd w:id="9"/>
      <w:bookmarkEnd w:id="10"/>
    </w:p>
    <w:tbl>
      <w:tblPr>
        <w:tblStyle w:val="15"/>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6A6D90D2">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5218A75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53452F5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01D0EEC8">
            <w:pPr>
              <w:jc w:val="both"/>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eastAsia="zh-CN"/>
              </w:rPr>
              <w:t>样本条码：{{ subbarcode }}</w:t>
            </w:r>
          </w:p>
        </w:tc>
      </w:tr>
      <w:tr w14:paraId="545623B4">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7476507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406049C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送检科室：</w:t>
            </w:r>
            <w:r>
              <w:rPr>
                <w:rFonts w:hint="eastAsia" w:ascii="Times New Roman" w:hAnsi="Times New Roman" w:eastAsia="微软雅黑" w:cs="Times New Roman"/>
                <w:bCs/>
                <w:color w:val="000000"/>
                <w:sz w:val="21"/>
                <w:szCs w:val="21"/>
                <w:lang w:eastAsia="zh-CN"/>
              </w:rPr>
              <w:t>{{ locationname }}</w:t>
            </w:r>
          </w:p>
        </w:tc>
        <w:tc>
          <w:tcPr>
            <w:tcW w:w="3316" w:type="dxa"/>
            <w:tcBorders>
              <w:tl2br w:val="nil"/>
              <w:tr2bl w:val="nil"/>
            </w:tcBorders>
            <w:shd w:val="clear" w:color="auto" w:fill="auto"/>
            <w:vAlign w:val="center"/>
          </w:tcPr>
          <w:p w14:paraId="6B3101A4">
            <w:pPr>
              <w:jc w:val="both"/>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eastAsia="zh-CN"/>
              </w:rPr>
              <w:t>样本编号：{{ subbarcode }}</w:t>
            </w:r>
          </w:p>
        </w:tc>
      </w:tr>
      <w:tr w14:paraId="75245F5A">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644862D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14ECC75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送检医生：</w:t>
            </w:r>
            <w:r>
              <w:rPr>
                <w:rFonts w:hint="eastAsia" w:ascii="Times New Roman" w:hAnsi="Times New Roman" w:eastAsia="微软雅黑" w:cs="Times New Roman"/>
                <w:bCs/>
                <w:color w:val="000000"/>
                <w:sz w:val="21"/>
                <w:szCs w:val="21"/>
                <w:lang w:eastAsia="zh-CN"/>
              </w:rPr>
              <w:t>{{ doctorname }}</w:t>
            </w:r>
          </w:p>
        </w:tc>
        <w:tc>
          <w:tcPr>
            <w:tcW w:w="3316" w:type="dxa"/>
            <w:tcBorders>
              <w:tl2br w:val="nil"/>
              <w:tr2bl w:val="nil"/>
            </w:tcBorders>
            <w:shd w:val="clear" w:color="auto" w:fill="auto"/>
            <w:vAlign w:val="center"/>
          </w:tcPr>
          <w:p w14:paraId="6D7BE670">
            <w:pPr>
              <w:jc w:val="both"/>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eastAsia="zh-CN"/>
              </w:rPr>
              <w:t>门诊/住院号：{{ room }}</w:t>
            </w:r>
          </w:p>
        </w:tc>
      </w:tr>
      <w:tr w14:paraId="252C8B50">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5BE67F8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0DAA6D8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20922A91">
            <w:pPr>
              <w:jc w:val="both"/>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eastAsia="zh-CN"/>
              </w:rPr>
              <w:t>送检时间：{{ commission_date }}</w:t>
            </w:r>
          </w:p>
        </w:tc>
      </w:tr>
      <w:tr w14:paraId="035999C0">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58AA444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14CE5E99">
            <w:pPr>
              <w:jc w:val="both"/>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eastAsia="zh-CN"/>
              </w:rPr>
              <w:t>病理编号：</w:t>
            </w:r>
            <w:r>
              <w:rPr>
                <w:rFonts w:hint="eastAsia" w:ascii="Times New Roman" w:hAnsi="Times New Roman" w:eastAsia="微软雅黑" w:cs="Times New Roman"/>
                <w:bCs/>
                <w:color w:val="000000"/>
                <w:sz w:val="21"/>
                <w:szCs w:val="21"/>
                <w:lang w:val="en-US" w:eastAsia="zh-CN"/>
              </w:rPr>
              <w:t>-</w:t>
            </w:r>
          </w:p>
        </w:tc>
        <w:tc>
          <w:tcPr>
            <w:tcW w:w="3316" w:type="dxa"/>
            <w:tcBorders>
              <w:tl2br w:val="nil"/>
              <w:tr2bl w:val="nil"/>
            </w:tcBorders>
            <w:shd w:val="clear" w:color="auto" w:fill="auto"/>
            <w:vAlign w:val="center"/>
          </w:tcPr>
          <w:p w14:paraId="45E9A386">
            <w:pPr>
              <w:jc w:val="both"/>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eastAsia="zh-CN"/>
              </w:rPr>
              <w:t>接收时间：{{ receiveddate }}</w:t>
            </w:r>
          </w:p>
        </w:tc>
      </w:tr>
    </w:tbl>
    <w:p w14:paraId="270C72D6">
      <w:pPr>
        <w:rPr>
          <w:rFonts w:ascii="Times New Roman" w:hAnsi="Times New Roman" w:eastAsia="微软雅黑" w:cs="Times New Roman"/>
          <w:b/>
          <w:color w:val="00B050"/>
          <w:sz w:val="28"/>
          <w:szCs w:val="28"/>
          <w:lang w:eastAsia="zh-CN"/>
        </w:rPr>
      </w:pPr>
    </w:p>
    <w:p w14:paraId="462D054E">
      <w:pPr>
        <w:rPr>
          <w:rFonts w:ascii="Times New Roman" w:hAnsi="Times New Roman" w:eastAsia="微软雅黑" w:cs="Times New Roman"/>
          <w:b/>
          <w:color w:val="00B050"/>
          <w:sz w:val="28"/>
          <w:szCs w:val="28"/>
          <w:lang w:eastAsia="zh-CN"/>
        </w:rPr>
      </w:pPr>
    </w:p>
    <w:p w14:paraId="12F56EF3">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11" w:name="_Toc26731"/>
      <w:bookmarkStart w:id="12" w:name="_Toc11015_WPSOffice_Level1"/>
      <w:bookmarkStart w:id="13" w:name="_Toc17451"/>
      <w:bookmarkStart w:id="14" w:name="_Toc107825548"/>
      <w:bookmarkStart w:id="15" w:name="_Toc7021_WPSOffice_Level1"/>
      <w:bookmarkStart w:id="16" w:name="_Toc16697"/>
      <w:bookmarkStart w:id="17" w:name="_Toc18062_WPSOffice_Level1"/>
      <w:bookmarkStart w:id="18" w:name="_Toc29272"/>
      <w:bookmarkStart w:id="19" w:name="_Toc3823"/>
      <w:r>
        <w:rPr>
          <w:color w:val="62B541"/>
          <w:sz w:val="32"/>
          <w14:shadow w14:blurRad="50800" w14:dist="38100" w14:dir="10800000" w14:sx="100000" w14:sy="100000" w14:kx="0" w14:ky="0" w14:algn="r">
            <w14:srgbClr w14:val="62B541">
              <w14:alpha w14:val="60000"/>
            </w14:srgbClr>
          </w14:shadow>
        </w:rPr>
        <w:t>检测项目</w:t>
      </w:r>
      <w:bookmarkEnd w:id="11"/>
      <w:bookmarkEnd w:id="12"/>
      <w:bookmarkEnd w:id="13"/>
      <w:bookmarkEnd w:id="14"/>
      <w:bookmarkEnd w:id="15"/>
      <w:bookmarkEnd w:id="16"/>
      <w:bookmarkEnd w:id="17"/>
      <w:bookmarkEnd w:id="18"/>
    </w:p>
    <w:p w14:paraId="2F41C358">
      <w:pPr>
        <w:spacing w:line="276" w:lineRule="auto"/>
        <w:ind w:firstLine="420" w:firstLineChars="200"/>
        <w:jc w:val="both"/>
        <w:rPr>
          <w:rFonts w:ascii="Times New Roman" w:hAnsi="Times New Roman" w:eastAsia="微软雅黑" w:cs="Times New Roman"/>
          <w:bCs/>
          <w:sz w:val="21"/>
          <w:szCs w:val="21"/>
          <w:lang w:eastAsia="zh-CN"/>
        </w:rPr>
      </w:pPr>
      <w:bookmarkStart w:id="20" w:name="_Toc534807930"/>
      <w:r>
        <w:rPr>
          <w:rFonts w:hint="eastAsia" w:ascii="Times New Roman" w:hAnsi="Times New Roman" w:eastAsia="微软雅黑" w:cs="Times New Roman"/>
          <w:bCs/>
          <w:sz w:val="21"/>
          <w:szCs w:val="21"/>
          <w:lang w:eastAsia="zh-CN"/>
        </w:rPr>
        <w:t>本产品利用探针杂交捕获技术和高通量测序技术全面检测639个基因，基于RNA水平精准检测多种重排，包括已知、未知以及复杂融合变异类型，</w:t>
      </w:r>
      <w:r>
        <w:rPr>
          <w:rFonts w:hint="eastAsia" w:ascii="Times New Roman" w:hAnsi="Times New Roman" w:eastAsia="微软雅黑" w:cs="Times New Roman"/>
          <w:bCs/>
          <w:sz w:val="21"/>
          <w:szCs w:val="21"/>
          <w:highlight w:val="none"/>
          <w:lang w:val="en-US" w:eastAsia="zh-CN"/>
        </w:rPr>
        <w:t>开展{% if brainGliomaFlag or disease.Sarcoma or disease.Midline or disease.KidneyFlag %}分子</w:t>
      </w:r>
      <w:r>
        <w:rPr>
          <w:rFonts w:hint="eastAsia" w:ascii="Times New Roman" w:hAnsi="Times New Roman" w:eastAsia="微软雅黑" w:cs="Times New Roman"/>
          <w:bCs/>
          <w:sz w:val="21"/>
          <w:szCs w:val="21"/>
          <w:highlight w:val="none"/>
          <w:lang w:eastAsia="zh-CN"/>
        </w:rPr>
        <w:t>分型辅助诊断</w:t>
      </w:r>
      <w:r>
        <w:rPr>
          <w:rFonts w:hint="eastAsia" w:ascii="Times New Roman" w:hAnsi="Times New Roman" w:eastAsia="微软雅黑" w:cs="Times New Roman"/>
          <w:bCs/>
          <w:sz w:val="21"/>
          <w:szCs w:val="21"/>
          <w:highlight w:val="none"/>
          <w:lang w:val="en-US" w:eastAsia="zh-CN"/>
        </w:rPr>
        <w:t>和{% endif %}实体瘤靶药融合基因检测</w:t>
      </w:r>
      <w:r>
        <w:rPr>
          <w:rFonts w:hint="eastAsia"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00A1DF71">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本报告全面分析基因融合变异，</w:t>
      </w:r>
      <w:r>
        <w:rPr>
          <w:rFonts w:hint="eastAsia" w:ascii="Times New Roman" w:hAnsi="Times New Roman" w:eastAsia="微软雅黑" w:cs="Times New Roman"/>
          <w:bCs/>
          <w:sz w:val="21"/>
          <w:szCs w:val="21"/>
          <w:lang w:val="en-US" w:eastAsia="zh-CN"/>
        </w:rPr>
        <w:t>给出{% if brainGliomaFlag or disease.Sarcoma or disease.Midline or disease.KidneyFlag %}</w:t>
      </w:r>
      <w:r>
        <w:rPr>
          <w:rFonts w:hint="eastAsia" w:ascii="Times New Roman" w:hAnsi="Times New Roman" w:eastAsia="微软雅黑" w:cs="Times New Roman"/>
          <w:bCs/>
          <w:sz w:val="21"/>
          <w:szCs w:val="21"/>
          <w:lang w:eastAsia="zh-CN"/>
        </w:rPr>
        <w:t>肿瘤分型辅助诊断提示</w:t>
      </w:r>
      <w:r>
        <w:rPr>
          <w:rFonts w:hint="eastAsia" w:ascii="Times New Roman" w:hAnsi="Times New Roman" w:eastAsia="微软雅黑" w:cs="Times New Roman"/>
          <w:bCs/>
          <w:sz w:val="21"/>
          <w:szCs w:val="21"/>
          <w:lang w:val="en-US" w:eastAsia="zh-CN"/>
        </w:rPr>
        <w:t>和{% endif %}用药</w:t>
      </w:r>
      <w:r>
        <w:rPr>
          <w:rFonts w:hint="eastAsia" w:ascii="Times New Roman" w:hAnsi="Times New Roman" w:eastAsia="微软雅黑" w:cs="Times New Roman"/>
          <w:bCs/>
          <w:sz w:val="21"/>
          <w:szCs w:val="21"/>
          <w:highlight w:val="none"/>
          <w:lang w:val="en-US" w:eastAsia="zh-CN"/>
        </w:rPr>
        <w:t>提示</w:t>
      </w:r>
      <w:r>
        <w:rPr>
          <w:rFonts w:hint="eastAsia" w:ascii="Times New Roman" w:hAnsi="Times New Roman" w:eastAsia="微软雅黑" w:cs="Times New Roman"/>
          <w:bCs/>
          <w:sz w:val="21"/>
          <w:szCs w:val="21"/>
          <w:lang w:eastAsia="zh-CN"/>
        </w:rPr>
        <w:t>，从而为临床制定治疗方案提供参考信息。</w:t>
      </w:r>
    </w:p>
    <w:p w14:paraId="148A80EC">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注：检测基因列表见附录。</w:t>
      </w:r>
    </w:p>
    <w:p w14:paraId="3877C5D1">
      <w:pPr>
        <w:bidi w:val="0"/>
        <w:outlineLvl w:val="9"/>
        <w:rPr>
          <w:rFonts w:hint="eastAsia" w:ascii="微软雅黑" w:hAnsi="微软雅黑" w:eastAsia="微软雅黑" w:cs="微软雅黑"/>
          <w:sz w:val="32"/>
          <w:szCs w:val="32"/>
        </w:rPr>
      </w:pPr>
      <w:bookmarkStart w:id="21" w:name="_Toc115357585"/>
      <w:bookmarkStart w:id="22" w:name="_Toc27650"/>
    </w:p>
    <w:p w14:paraId="4D523A79">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23" w:name="_Toc17731"/>
      <w:r>
        <w:rPr>
          <w:rFonts w:hint="eastAsia"/>
          <w:color w:val="62B541"/>
          <w:sz w:val="32"/>
          <w14:shadow w14:blurRad="50800" w14:dist="38100" w14:dir="10800000" w14:sx="100000" w14:sy="100000" w14:kx="0" w14:ky="0" w14:algn="r">
            <w14:srgbClr w14:val="62B541">
              <w14:alpha w14:val="60000"/>
            </w14:srgbClr>
          </w14:shadow>
        </w:rPr>
        <w:t>检测结果</w:t>
      </w:r>
      <w:bookmarkEnd w:id="21"/>
      <w:bookmarkEnd w:id="22"/>
      <w:r>
        <w:rPr>
          <w:rFonts w:hint="eastAsia"/>
          <w:color w:val="62B541"/>
          <w:sz w:val="32"/>
          <w14:shadow w14:blurRad="50800" w14:dist="38100" w14:dir="10800000" w14:sx="100000" w14:sy="100000" w14:kx="0" w14:ky="0" w14:algn="r">
            <w14:srgbClr w14:val="62B541">
              <w14:alpha w14:val="60000"/>
            </w14:srgbClr>
          </w14:shadow>
        </w:rPr>
        <w:t>总览</w:t>
      </w:r>
      <w:bookmarkEnd w:id="23"/>
    </w:p>
    <w:p w14:paraId="3196C41B">
      <w:pPr>
        <w:pStyle w:val="3"/>
        <w:keepNext w:val="0"/>
        <w:keepLines w:val="0"/>
        <w:pageBreakBefore w:val="0"/>
        <w:widowControl w:val="0"/>
        <w:numPr>
          <w:ilvl w:val="255"/>
          <w:numId w:val="0"/>
        </w:numPr>
        <w:kinsoku/>
        <w:wordWrap/>
        <w:overflowPunct/>
        <w:topLinePunct w:val="0"/>
        <w:autoSpaceDE/>
        <w:autoSpaceDN/>
        <w:bidi w:val="0"/>
        <w:adjustRightInd/>
        <w:snapToGrid/>
        <w:spacing w:before="120" w:beforeLines="50" w:afterAutospacing="0"/>
        <w:jc w:val="left"/>
        <w:textAlignment w:val="auto"/>
        <w:rPr>
          <w:lang w:eastAsia="zh-CN"/>
        </w:rPr>
      </w:pPr>
      <w:bookmarkStart w:id="24" w:name="_Toc149837254"/>
      <w:bookmarkStart w:id="25" w:name="_Toc10962"/>
      <w:r>
        <w:rPr>
          <w:rFonts w:hint="eastAsia"/>
          <w:color w:val="auto"/>
          <w:sz w:val="30"/>
          <w:lang w:eastAsia="zh-CN"/>
        </w:rPr>
        <w:t>检测结果小结</w:t>
      </w:r>
      <w:bookmarkEnd w:id="24"/>
      <w:bookmarkEnd w:id="25"/>
    </w:p>
    <w:tbl>
      <w:tblPr>
        <w:tblStyle w:val="15"/>
        <w:tblpPr w:leftFromText="180" w:rightFromText="180" w:vertAnchor="text" w:horzAnchor="page" w:tblpXSpec="center" w:tblpY="10"/>
        <w:tblOverlap w:val="never"/>
        <w:tblW w:w="9870" w:type="dxa"/>
        <w:jc w:val="center"/>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3869"/>
        <w:gridCol w:w="6001"/>
      </w:tblGrid>
      <w:tr w14:paraId="7B135305">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3869" w:type="dxa"/>
            <w:tcBorders>
              <w:top w:val="nil"/>
              <w:bottom w:val="nil"/>
              <w:right w:val="single" w:color="FFFFFF" w:sz="18" w:space="0"/>
            </w:tcBorders>
            <w:shd w:val="clear" w:color="auto" w:fill="62BC41"/>
            <w:vAlign w:val="center"/>
          </w:tcPr>
          <w:p w14:paraId="4C6B1CF8">
            <w:pPr>
              <w:jc w:val="center"/>
              <w:rPr>
                <w:rFonts w:ascii="Times New Roman" w:hAnsi="Times New Roman" w:eastAsia="微软雅黑" w:cs="Times New Roman"/>
                <w:b/>
                <w:color w:val="FFFFFF" w:themeColor="background1"/>
                <w:sz w:val="24"/>
                <w:szCs w:val="24"/>
                <w14:textFill>
                  <w14:solidFill>
                    <w14:schemeClr w14:val="bg1"/>
                  </w14:solidFill>
                </w14:textFill>
              </w:rPr>
            </w:pPr>
            <w:r>
              <w:rPr>
                <w:rFonts w:ascii="Times New Roman" w:hAnsi="Times New Roman" w:eastAsia="微软雅黑" w:cs="Times New Roman"/>
                <w:b/>
                <w:bCs/>
                <w:color w:val="FFFFFF" w:themeColor="background1"/>
                <w:sz w:val="24"/>
                <w:szCs w:val="24"/>
                <w:lang w:eastAsia="zh-CN"/>
                <w14:textFill>
                  <w14:solidFill>
                    <w14:schemeClr w14:val="bg1"/>
                  </w14:solidFill>
                </w14:textFill>
              </w:rPr>
              <w:br w:type="page"/>
            </w:r>
            <w:r>
              <w:rPr>
                <w:rFonts w:ascii="Times New Roman" w:hAnsi="Times New Roman" w:eastAsia="微软雅黑" w:cs="Times New Roman"/>
                <w:b/>
                <w:color w:val="FFFFFF" w:themeColor="background1"/>
                <w:sz w:val="24"/>
                <w:szCs w:val="24"/>
                <w14:textFill>
                  <w14:solidFill>
                    <w14:schemeClr w14:val="bg1"/>
                  </w14:solidFill>
                </w14:textFill>
              </w:rPr>
              <w:t>检测类型</w:t>
            </w:r>
          </w:p>
        </w:tc>
        <w:tc>
          <w:tcPr>
            <w:tcW w:w="6001" w:type="dxa"/>
            <w:tcBorders>
              <w:top w:val="nil"/>
              <w:left w:val="single" w:color="FFFFFF" w:sz="18" w:space="0"/>
              <w:bottom w:val="nil"/>
            </w:tcBorders>
            <w:shd w:val="clear" w:color="auto" w:fill="62BC41"/>
            <w:vAlign w:val="center"/>
          </w:tcPr>
          <w:p w14:paraId="4E8A2594">
            <w:pPr>
              <w:jc w:val="center"/>
              <w:rPr>
                <w:rFonts w:ascii="Times New Roman" w:hAnsi="Times New Roman" w:eastAsia="微软雅黑" w:cs="Times New Roman"/>
                <w:b/>
                <w:color w:val="FFFFFF" w:themeColor="background1"/>
                <w:sz w:val="24"/>
                <w:szCs w:val="24"/>
                <w14:textFill>
                  <w14:solidFill>
                    <w14:schemeClr w14:val="bg1"/>
                  </w14:solidFill>
                </w14:textFill>
              </w:rPr>
            </w:pPr>
            <w:r>
              <w:rPr>
                <w:rFonts w:ascii="Times New Roman" w:hAnsi="Times New Roman" w:eastAsia="微软雅黑" w:cs="Times New Roman"/>
                <w:b/>
                <w:color w:val="FFFFFF" w:themeColor="background1"/>
                <w:sz w:val="24"/>
                <w:szCs w:val="24"/>
                <w14:textFill>
                  <w14:solidFill>
                    <w14:schemeClr w14:val="bg1"/>
                  </w14:solidFill>
                </w14:textFill>
              </w:rPr>
              <w:t>检测结果</w:t>
            </w:r>
          </w:p>
        </w:tc>
      </w:tr>
      <w:tr w14:paraId="31A49ABA">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31" w:hRule="atLeast"/>
          <w:jc w:val="center"/>
        </w:trPr>
        <w:tc>
          <w:tcPr>
            <w:tcW w:w="9870" w:type="dxa"/>
            <w:gridSpan w:val="2"/>
            <w:tcBorders>
              <w:top w:val="nil"/>
              <w:bottom w:val="nil"/>
              <w:tl2br w:val="nil"/>
              <w:tr2bl w:val="nil"/>
            </w:tcBorders>
            <w:shd w:val="clear" w:color="auto" w:fill="auto"/>
            <w:vAlign w:val="center"/>
          </w:tcPr>
          <w:p w14:paraId="760EB94D">
            <w:pPr>
              <w:pStyle w:val="13"/>
              <w:keepNext w:val="0"/>
              <w:keepLines w:val="0"/>
              <w:widowControl/>
              <w:suppressLineNumbers w:val="0"/>
              <w:rPr>
                <w:rFonts w:hint="default" w:ascii="Times New Roman" w:hAnsi="Times New Roman" w:eastAsia="微软雅黑" w:cs="黑体"/>
                <w:sz w:val="21"/>
                <w:highlight w:val="none"/>
                <w:lang w:val="en-US" w:eastAsia="zh-CN"/>
              </w:rPr>
            </w:pPr>
            <w:r>
              <w:rPr>
                <w:rFonts w:hint="eastAsia" w:ascii="Times New Roman" w:hAnsi="Times New Roman" w:eastAsia="微软雅黑" w:cs="黑体"/>
                <w:sz w:val="21"/>
                <w:highlight w:val="none"/>
                <w:lang w:val="en-US" w:eastAsia="zh-CN"/>
              </w:rPr>
              <w:t>{%tr if brainGliomaFlag  %}</w:t>
            </w:r>
          </w:p>
        </w:tc>
      </w:tr>
      <w:tr w14:paraId="70FFAFCF">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31" w:hRule="atLeast"/>
          <w:jc w:val="center"/>
        </w:trPr>
        <w:tc>
          <w:tcPr>
            <w:tcW w:w="3869" w:type="dxa"/>
            <w:tcBorders>
              <w:top w:val="nil"/>
              <w:left w:val="nil"/>
              <w:bottom w:val="single" w:color="A4A4A4" w:sz="4" w:space="0"/>
            </w:tcBorders>
            <w:shd w:val="clear" w:color="auto" w:fill="auto"/>
            <w:vAlign w:val="center"/>
          </w:tcPr>
          <w:p w14:paraId="4BE43BAC">
            <w:pPr>
              <w:pStyle w:val="21"/>
              <w:ind w:left="119" w:leftChars="0"/>
              <w:rPr>
                <w:rFonts w:ascii="Times New Roman" w:hAnsi="Times New Roman" w:eastAsia="微软雅黑" w:cs="Times New Roman"/>
                <w:b/>
                <w:bCs/>
                <w:sz w:val="21"/>
                <w:szCs w:val="21"/>
                <w:lang w:val="en-US" w:eastAsia="en-US" w:bidi="ar-SA"/>
              </w:rPr>
            </w:pPr>
            <w:r>
              <w:rPr>
                <w:rFonts w:hint="eastAsia" w:ascii="Times New Roman" w:hAnsi="Times New Roman" w:eastAsia="微软雅黑" w:cs="Times New Roman"/>
                <w:b/>
                <w:bCs/>
                <w:sz w:val="21"/>
                <w:szCs w:val="21"/>
                <w:highlight w:val="none"/>
                <w:lang w:eastAsia="zh-CN"/>
              </w:rPr>
              <w:t>脑胶质瘤</w:t>
            </w:r>
            <w:r>
              <w:rPr>
                <w:rFonts w:hint="eastAsia" w:ascii="Times New Roman" w:hAnsi="Times New Roman" w:eastAsia="微软雅黑" w:cs="Times New Roman"/>
                <w:b/>
                <w:bCs/>
                <w:sz w:val="21"/>
                <w:szCs w:val="21"/>
                <w:highlight w:val="none"/>
                <w:lang w:val="en-US" w:eastAsia="zh-CN"/>
              </w:rPr>
              <w:t>相关</w:t>
            </w:r>
            <w:r>
              <w:rPr>
                <w:rFonts w:hint="eastAsia" w:ascii="Times New Roman" w:hAnsi="Times New Roman" w:eastAsia="微软雅黑" w:cs="Times New Roman"/>
                <w:b/>
                <w:bCs/>
                <w:sz w:val="21"/>
                <w:szCs w:val="21"/>
                <w:highlight w:val="none"/>
                <w:lang w:eastAsia="zh-CN"/>
              </w:rPr>
              <w:t>分子标记物检测</w:t>
            </w:r>
          </w:p>
        </w:tc>
        <w:tc>
          <w:tcPr>
            <w:tcW w:w="6001" w:type="dxa"/>
            <w:tcBorders>
              <w:top w:val="nil"/>
              <w:bottom w:val="single" w:color="A4A4A4" w:sz="4" w:space="0"/>
              <w:right w:val="nil"/>
            </w:tcBorders>
            <w:shd w:val="clear" w:color="auto" w:fill="auto"/>
            <w:vAlign w:val="center"/>
          </w:tcPr>
          <w:p w14:paraId="2B4C8345">
            <w:pPr>
              <w:pStyle w:val="21"/>
              <w:spacing w:before="100" w:line="187" w:lineRule="auto"/>
              <w:ind w:left="119" w:leftChars="0" w:right="119" w:rightChars="0"/>
              <w:rPr>
                <w:rFonts w:ascii="Times New Roman" w:hAnsi="Times New Roman" w:eastAsia="微软雅黑" w:cs="Times New Roman"/>
                <w:sz w:val="21"/>
                <w:szCs w:val="21"/>
                <w:lang w:val="en-US" w:eastAsia="zh-CN" w:bidi="ar-SA"/>
              </w:rPr>
            </w:pPr>
            <w:r>
              <w:rPr>
                <w:rFonts w:hint="eastAsia" w:ascii="Times New Roman" w:hAnsi="Times New Roman" w:eastAsia="微软雅黑" w:cs="黑体"/>
                <w:sz w:val="21"/>
                <w:highlight w:val="none"/>
                <w:lang w:val="en-US" w:eastAsia="zh-CN"/>
              </w:rPr>
              <w:t>共</w:t>
            </w:r>
            <w:r>
              <w:rPr>
                <w:rFonts w:hint="eastAsia" w:ascii="Times New Roman" w:hAnsi="Times New Roman" w:eastAsia="微软雅黑" w:cs="黑体"/>
                <w:sz w:val="21"/>
                <w:highlight w:val="none"/>
                <w:lang w:eastAsia="zh-CN"/>
              </w:rPr>
              <w:t>检出</w:t>
            </w:r>
            <w:r>
              <w:rPr>
                <w:rFonts w:hint="eastAsia" w:ascii="Times New Roman" w:hAnsi="Times New Roman" w:eastAsia="微软雅黑" w:cs="黑体"/>
                <w:sz w:val="21"/>
                <w:lang w:eastAsia="zh-CN"/>
              </w:rPr>
              <w:t>{{ summaryOfRresults</w:t>
            </w:r>
            <w:r>
              <w:rPr>
                <w:rFonts w:hint="eastAsia" w:ascii="Times New Roman" w:hAnsi="Times New Roman" w:eastAsia="微软雅黑" w:cs="黑体"/>
                <w:sz w:val="21"/>
                <w:lang w:val="en-US" w:eastAsia="zh-CN"/>
              </w:rPr>
              <w:t>.brainGliomaSize</w:t>
            </w:r>
            <w:r>
              <w:rPr>
                <w:rFonts w:hint="eastAsia" w:ascii="Times New Roman" w:hAnsi="Times New Roman" w:eastAsia="微软雅黑" w:cs="黑体"/>
                <w:sz w:val="21"/>
                <w:lang w:eastAsia="zh-CN"/>
              </w:rPr>
              <w:t xml:space="preserve"> }}</w:t>
            </w:r>
            <w:r>
              <w:rPr>
                <w:rFonts w:hint="eastAsia" w:ascii="Times New Roman" w:hAnsi="Times New Roman" w:eastAsia="微软雅黑" w:cs="黑体"/>
                <w:sz w:val="21"/>
                <w:highlight w:val="none"/>
                <w:lang w:eastAsia="zh-CN"/>
              </w:rPr>
              <w:t>个与脑胶质瘤诊断预后相关的分子标志物</w:t>
            </w:r>
          </w:p>
        </w:tc>
      </w:tr>
      <w:tr w14:paraId="64244C3D">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31" w:hRule="atLeast"/>
          <w:jc w:val="center"/>
        </w:trPr>
        <w:tc>
          <w:tcPr>
            <w:tcW w:w="9870" w:type="dxa"/>
            <w:gridSpan w:val="2"/>
            <w:tcBorders>
              <w:top w:val="single" w:color="A4A4A4" w:sz="4" w:space="0"/>
              <w:left w:val="nil"/>
              <w:bottom w:val="single" w:color="A4A4A4" w:sz="4" w:space="0"/>
              <w:right w:val="nil"/>
              <w:tl2br w:val="nil"/>
              <w:tr2bl w:val="nil"/>
            </w:tcBorders>
            <w:shd w:val="clear" w:color="auto" w:fill="auto"/>
            <w:vAlign w:val="center"/>
          </w:tcPr>
          <w:p w14:paraId="284936D2">
            <w:pPr>
              <w:pStyle w:val="21"/>
              <w:spacing w:before="100" w:line="187" w:lineRule="auto"/>
              <w:ind w:left="119" w:leftChars="0" w:right="119" w:rightChars="0"/>
              <w:rPr>
                <w:rFonts w:hint="default" w:ascii="Times New Roman" w:hAnsi="Times New Roman" w:eastAsia="微软雅黑" w:cs="黑体"/>
                <w:sz w:val="21"/>
                <w:highlight w:val="none"/>
                <w:lang w:val="en-US" w:eastAsia="zh-CN"/>
              </w:rPr>
            </w:pPr>
            <w:r>
              <w:rPr>
                <w:rFonts w:hint="eastAsia" w:ascii="Times New Roman" w:hAnsi="Times New Roman" w:eastAsia="微软雅黑" w:cs="黑体"/>
                <w:sz w:val="21"/>
                <w:highlight w:val="none"/>
                <w:lang w:val="en-US" w:eastAsia="zh-CN"/>
              </w:rPr>
              <w:t>{%tr endif %}</w:t>
            </w:r>
          </w:p>
        </w:tc>
      </w:tr>
      <w:tr w14:paraId="5C882271">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31" w:hRule="atLeast"/>
          <w:jc w:val="center"/>
        </w:trPr>
        <w:tc>
          <w:tcPr>
            <w:tcW w:w="9870" w:type="dxa"/>
            <w:gridSpan w:val="2"/>
            <w:tcBorders>
              <w:top w:val="single" w:color="A4A4A4" w:sz="4" w:space="0"/>
              <w:left w:val="nil"/>
              <w:bottom w:val="nil"/>
              <w:right w:val="nil"/>
              <w:tl2br w:val="nil"/>
              <w:tr2bl w:val="nil"/>
            </w:tcBorders>
            <w:shd w:val="clear" w:color="auto" w:fill="auto"/>
            <w:vAlign w:val="center"/>
          </w:tcPr>
          <w:p w14:paraId="01B1471D">
            <w:pPr>
              <w:pStyle w:val="21"/>
              <w:spacing w:before="100" w:line="187" w:lineRule="auto"/>
              <w:ind w:left="119" w:leftChars="0" w:right="119" w:rightChars="0"/>
              <w:rPr>
                <w:rFonts w:hint="eastAsia" w:ascii="Times New Roman" w:hAnsi="Times New Roman" w:eastAsia="微软雅黑" w:cs="黑体"/>
                <w:sz w:val="21"/>
                <w:highlight w:val="none"/>
                <w:lang w:val="en-US" w:eastAsia="zh-CN"/>
              </w:rPr>
            </w:pPr>
            <w:r>
              <w:rPr>
                <w:rFonts w:hint="eastAsia" w:ascii="Times New Roman" w:hAnsi="Times New Roman" w:eastAsia="微软雅黑" w:cs="黑体"/>
                <w:sz w:val="21"/>
                <w:highlight w:val="none"/>
                <w:lang w:val="en-US" w:eastAsia="zh-CN"/>
              </w:rPr>
              <w:t>{%tr if disease.Sarcoma or disease.Midline or disease.KidneyFlag %}</w:t>
            </w:r>
          </w:p>
        </w:tc>
      </w:tr>
      <w:tr w14:paraId="208D1895">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31" w:hRule="atLeast"/>
          <w:jc w:val="center"/>
        </w:trPr>
        <w:tc>
          <w:tcPr>
            <w:tcW w:w="3869" w:type="dxa"/>
            <w:tcBorders>
              <w:top w:val="nil"/>
              <w:left w:val="nil"/>
              <w:bottom w:val="single" w:color="A4A4A4" w:sz="4" w:space="0"/>
            </w:tcBorders>
            <w:shd w:val="clear" w:color="auto" w:fill="auto"/>
            <w:vAlign w:val="center"/>
          </w:tcPr>
          <w:p w14:paraId="2ED2DC1C">
            <w:pPr>
              <w:pStyle w:val="21"/>
              <w:ind w:left="119"/>
              <w:rPr>
                <w:rFonts w:ascii="Times New Roman" w:hAnsi="Times New Roman" w:eastAsia="微软雅黑" w:cs="Times New Roman"/>
                <w:b/>
                <w:bCs/>
                <w:sz w:val="21"/>
                <w:highlight w:val="yellow"/>
                <w:lang w:eastAsia="zh-CN"/>
              </w:rPr>
            </w:pPr>
            <w:r>
              <w:rPr>
                <w:rFonts w:ascii="Times New Roman" w:hAnsi="Times New Roman" w:eastAsia="微软雅黑" w:cs="Times New Roman"/>
                <w:b/>
                <w:bCs/>
                <w:sz w:val="21"/>
                <w:szCs w:val="21"/>
              </w:rPr>
              <w:t>辅助</w:t>
            </w:r>
            <w:r>
              <w:rPr>
                <w:rFonts w:ascii="Times New Roman" w:hAnsi="Times New Roman" w:eastAsia="微软雅黑" w:cs="Times New Roman"/>
                <w:b/>
                <w:bCs/>
                <w:sz w:val="21"/>
                <w:szCs w:val="21"/>
                <w:lang w:eastAsia="zh-CN"/>
              </w:rPr>
              <w:t>诊断</w:t>
            </w:r>
          </w:p>
        </w:tc>
        <w:tc>
          <w:tcPr>
            <w:tcW w:w="6001" w:type="dxa"/>
            <w:tcBorders>
              <w:top w:val="nil"/>
              <w:bottom w:val="single" w:color="A4A4A4" w:sz="4" w:space="0"/>
              <w:right w:val="nil"/>
            </w:tcBorders>
            <w:shd w:val="clear" w:color="auto" w:fill="auto"/>
            <w:vAlign w:val="center"/>
          </w:tcPr>
          <w:p w14:paraId="03B5B44D">
            <w:pPr>
              <w:pStyle w:val="21"/>
              <w:spacing w:before="100" w:line="187" w:lineRule="auto"/>
              <w:ind w:left="118" w:right="178"/>
              <w:rPr>
                <w:rFonts w:ascii="Times New Roman" w:hAnsi="Times New Roman" w:eastAsia="微软雅黑" w:cs="Times New Roman"/>
                <w:sz w:val="21"/>
                <w:szCs w:val="21"/>
                <w:highlight w:val="yellow"/>
                <w:lang w:eastAsia="zh-CN"/>
              </w:rPr>
            </w:pPr>
            <w:r>
              <w:rPr>
                <w:rFonts w:ascii="Times New Roman" w:hAnsi="Times New Roman" w:eastAsia="微软雅黑" w:cs="Times New Roman"/>
                <w:sz w:val="21"/>
                <w:lang w:eastAsia="zh-CN"/>
              </w:rPr>
              <w:t>共</w:t>
            </w:r>
            <w:r>
              <w:rPr>
                <w:rFonts w:hint="eastAsia" w:ascii="Times New Roman" w:hAnsi="Times New Roman" w:eastAsia="微软雅黑" w:cs="Times New Roman"/>
                <w:sz w:val="21"/>
                <w:lang w:val="en-US" w:eastAsia="zh-CN"/>
              </w:rPr>
              <w:t>检出{% if disease.Sarcoma %}</w:t>
            </w:r>
            <w:r>
              <w:rPr>
                <w:rFonts w:ascii="Times New Roman" w:hAnsi="Times New Roman" w:eastAsia="微软雅黑" w:cs="Times New Roman"/>
                <w:sz w:val="21"/>
                <w:lang w:eastAsia="zh-CN"/>
              </w:rPr>
              <w:t>{{ summaryOfRresults.geneRearrangementVariationSize</w:t>
            </w:r>
            <w:r>
              <w:rPr>
                <w:rFonts w:hint="eastAsia" w:ascii="Times New Roman" w:hAnsi="Times New Roman" w:eastAsia="微软雅黑" w:cs="Times New Roman"/>
                <w:sz w:val="21"/>
                <w:lang w:eastAsia="zh-CN"/>
              </w:rPr>
              <w:t>2</w:t>
            </w:r>
            <w:r>
              <w:rPr>
                <w:rFonts w:ascii="Times New Roman" w:hAnsi="Times New Roman" w:eastAsia="微软雅黑" w:cs="Times New Roman"/>
                <w:sz w:val="21"/>
                <w:lang w:eastAsia="zh-CN"/>
              </w:rPr>
              <w:t xml:space="preserve"> }}</w:t>
            </w:r>
            <w:r>
              <w:rPr>
                <w:rFonts w:hint="eastAsia" w:ascii="Times New Roman" w:hAnsi="Times New Roman" w:eastAsia="微软雅黑" w:cs="Times New Roman"/>
                <w:sz w:val="21"/>
                <w:lang w:val="en-US" w:eastAsia="zh-CN"/>
              </w:rPr>
              <w:t>{% else %}{{</w:t>
            </w:r>
            <w:r>
              <w:rPr>
                <w:rFonts w:ascii="Times New Roman" w:hAnsi="Times New Roman" w:eastAsia="微软雅黑" w:cs="Times New Roman"/>
                <w:sz w:val="21"/>
                <w:lang w:eastAsia="zh-CN"/>
              </w:rPr>
              <w:t>summaryOfRresults</w:t>
            </w:r>
            <w:r>
              <w:rPr>
                <w:rFonts w:hint="eastAsia" w:ascii="Times New Roman" w:hAnsi="Times New Roman" w:eastAsia="微软雅黑" w:cs="Times New Roman"/>
                <w:sz w:val="21"/>
                <w:lang w:val="en-US" w:eastAsia="zh-CN"/>
              </w:rPr>
              <w:t>.cancerCount1166</w:t>
            </w:r>
            <w:bookmarkStart w:id="115" w:name="_GoBack"/>
            <w:bookmarkEnd w:id="115"/>
            <w:r>
              <w:rPr>
                <w:rFonts w:hint="eastAsia" w:ascii="Times New Roman" w:hAnsi="Times New Roman" w:eastAsia="微软雅黑" w:cs="Times New Roman"/>
                <w:sz w:val="21"/>
                <w:lang w:val="en-US" w:eastAsia="zh-CN"/>
              </w:rPr>
              <w:t>}}{% endif %}</w:t>
            </w:r>
            <w:r>
              <w:rPr>
                <w:rFonts w:ascii="Times New Roman" w:hAnsi="Times New Roman" w:eastAsia="微软雅黑" w:cs="Times New Roman"/>
                <w:sz w:val="21"/>
                <w:lang w:eastAsia="zh-CN"/>
              </w:rPr>
              <w:t>个基因重排</w:t>
            </w:r>
            <w:r>
              <w:rPr>
                <w:rFonts w:hint="eastAsia" w:ascii="Times New Roman" w:hAnsi="Times New Roman" w:eastAsia="微软雅黑" w:cs="Times New Roman"/>
                <w:sz w:val="21"/>
                <w:lang w:eastAsia="zh-CN"/>
              </w:rPr>
              <w:t>与辅助诊断相关</w:t>
            </w:r>
          </w:p>
        </w:tc>
      </w:tr>
      <w:tr w14:paraId="169CC41B">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31" w:hRule="atLeast"/>
          <w:jc w:val="center"/>
        </w:trPr>
        <w:tc>
          <w:tcPr>
            <w:tcW w:w="3869" w:type="dxa"/>
            <w:tcBorders>
              <w:top w:val="single" w:color="A4A4A4" w:sz="4" w:space="0"/>
              <w:left w:val="nil"/>
              <w:bottom w:val="single" w:color="A4A4A4" w:sz="4" w:space="0"/>
              <w:tl2br w:val="nil"/>
              <w:tr2bl w:val="nil"/>
            </w:tcBorders>
            <w:shd w:val="clear" w:color="auto" w:fill="auto"/>
            <w:vAlign w:val="center"/>
          </w:tcPr>
          <w:p w14:paraId="73546B79">
            <w:pPr>
              <w:pStyle w:val="21"/>
              <w:ind w:left="119"/>
              <w:rPr>
                <w:rFonts w:ascii="Times New Roman" w:hAnsi="Times New Roman" w:eastAsia="微软雅黑" w:cs="Times New Roman"/>
                <w:b/>
                <w:bCs/>
                <w:sz w:val="21"/>
                <w:szCs w:val="21"/>
              </w:rPr>
            </w:pPr>
            <w:r>
              <w:rPr>
                <w:rFonts w:hint="eastAsia" w:ascii="Times New Roman" w:hAnsi="Times New Roman" w:eastAsia="微软雅黑" w:cs="黑体"/>
                <w:sz w:val="21"/>
                <w:highlight w:val="none"/>
                <w:lang w:val="en-US" w:eastAsia="zh-CN"/>
              </w:rPr>
              <w:t>{%tr endif %}</w:t>
            </w:r>
          </w:p>
        </w:tc>
        <w:tc>
          <w:tcPr>
            <w:tcW w:w="6001" w:type="dxa"/>
            <w:tcBorders>
              <w:top w:val="single" w:color="A4A4A4" w:sz="4" w:space="0"/>
              <w:bottom w:val="single" w:color="A4A4A4" w:sz="4" w:space="0"/>
              <w:right w:val="nil"/>
              <w:tl2br w:val="nil"/>
              <w:tr2bl w:val="nil"/>
            </w:tcBorders>
            <w:shd w:val="clear" w:color="auto" w:fill="auto"/>
            <w:vAlign w:val="center"/>
          </w:tcPr>
          <w:p w14:paraId="155A04A1">
            <w:pPr>
              <w:pStyle w:val="21"/>
              <w:spacing w:before="100" w:line="187" w:lineRule="auto"/>
              <w:ind w:left="118" w:right="178"/>
              <w:rPr>
                <w:rFonts w:ascii="Times New Roman" w:hAnsi="Times New Roman" w:eastAsia="微软雅黑" w:cs="Times New Roman"/>
                <w:sz w:val="21"/>
                <w:lang w:eastAsia="zh-CN"/>
              </w:rPr>
            </w:pPr>
          </w:p>
        </w:tc>
      </w:tr>
      <w:tr w14:paraId="7A5F5A7B">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31" w:hRule="atLeast"/>
          <w:jc w:val="center"/>
        </w:trPr>
        <w:tc>
          <w:tcPr>
            <w:tcW w:w="3869" w:type="dxa"/>
            <w:tcBorders>
              <w:top w:val="single" w:color="A4A4A4" w:sz="4" w:space="0"/>
              <w:left w:val="nil"/>
              <w:bottom w:val="single" w:color="A4A4A4" w:sz="4" w:space="0"/>
              <w:tl2br w:val="nil"/>
              <w:tr2bl w:val="nil"/>
            </w:tcBorders>
            <w:shd w:val="clear" w:color="auto" w:fill="auto"/>
            <w:vAlign w:val="center"/>
          </w:tcPr>
          <w:p w14:paraId="3D79936E">
            <w:pPr>
              <w:pStyle w:val="21"/>
              <w:ind w:left="119"/>
              <w:rPr>
                <w:rFonts w:hint="eastAsia" w:ascii="Times New Roman" w:hAnsi="Times New Roman" w:eastAsia="微软雅黑" w:cs="黑体"/>
                <w:sz w:val="21"/>
                <w:highlight w:val="none"/>
                <w:lang w:val="en-US" w:eastAsia="zh-CN"/>
              </w:rPr>
            </w:pPr>
            <w:r>
              <w:rPr>
                <w:rFonts w:ascii="Times New Roman" w:hAnsi="Times New Roman" w:eastAsia="微软雅黑" w:cs="Times New Roman"/>
                <w:b/>
                <w:bCs/>
                <w:sz w:val="21"/>
                <w:szCs w:val="21"/>
              </w:rPr>
              <w:t>靶向用药指导</w:t>
            </w:r>
          </w:p>
        </w:tc>
        <w:tc>
          <w:tcPr>
            <w:tcW w:w="6001" w:type="dxa"/>
            <w:tcBorders>
              <w:top w:val="single" w:color="A4A4A4" w:sz="4" w:space="0"/>
              <w:bottom w:val="single" w:color="A4A4A4" w:sz="4" w:space="0"/>
              <w:right w:val="nil"/>
              <w:tl2br w:val="nil"/>
              <w:tr2bl w:val="nil"/>
            </w:tcBorders>
            <w:shd w:val="clear" w:color="auto" w:fill="auto"/>
            <w:vAlign w:val="center"/>
          </w:tcPr>
          <w:p w14:paraId="6147A859">
            <w:pPr>
              <w:pStyle w:val="21"/>
              <w:spacing w:before="100" w:line="187" w:lineRule="auto"/>
              <w:ind w:left="118" w:right="178"/>
              <w:rPr>
                <w:rFonts w:ascii="Times New Roman" w:hAnsi="Times New Roman" w:eastAsia="微软雅黑" w:cs="Times New Roman"/>
                <w:sz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val="en-US" w:eastAsia="zh-CN"/>
              </w:rPr>
              <w:t>变异位点</w:t>
            </w:r>
            <w:r>
              <w:rPr>
                <w:rFonts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p>
        </w:tc>
      </w:tr>
      <w:tr w14:paraId="2247632C">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31" w:hRule="atLeast"/>
          <w:jc w:val="center"/>
        </w:trPr>
        <w:tc>
          <w:tcPr>
            <w:tcW w:w="9870" w:type="dxa"/>
            <w:gridSpan w:val="2"/>
            <w:tcBorders>
              <w:top w:val="single" w:color="A4A4A4" w:sz="4" w:space="0"/>
              <w:left w:val="nil"/>
              <w:bottom w:val="single" w:color="A4A4A4" w:sz="4" w:space="0"/>
              <w:right w:val="nil"/>
              <w:tl2br w:val="nil"/>
              <w:tr2bl w:val="nil"/>
            </w:tcBorders>
            <w:shd w:val="clear" w:color="auto" w:fill="auto"/>
            <w:vAlign w:val="center"/>
          </w:tcPr>
          <w:p w14:paraId="086F8DA1">
            <w:pPr>
              <w:pStyle w:val="21"/>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2FC90DC6">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31" w:hRule="atLeast"/>
          <w:jc w:val="center"/>
        </w:trPr>
        <w:tc>
          <w:tcPr>
            <w:tcW w:w="3869" w:type="dxa"/>
            <w:tcBorders>
              <w:top w:val="single" w:color="A4A4A4" w:sz="4" w:space="0"/>
              <w:left w:val="nil"/>
              <w:bottom w:val="single" w:color="A4A4A4" w:sz="4" w:space="0"/>
              <w:tl2br w:val="nil"/>
              <w:tr2bl w:val="nil"/>
            </w:tcBorders>
            <w:shd w:val="clear" w:color="auto" w:fill="auto"/>
            <w:vAlign w:val="center"/>
          </w:tcPr>
          <w:p w14:paraId="5A8375AF">
            <w:pPr>
              <w:pStyle w:val="21"/>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6001" w:type="dxa"/>
            <w:tcBorders>
              <w:top w:val="single" w:color="A4A4A4" w:sz="4" w:space="0"/>
              <w:bottom w:val="single" w:color="A4A4A4" w:sz="4" w:space="0"/>
              <w:right w:val="nil"/>
              <w:tl2br w:val="nil"/>
              <w:tr2bl w:val="nil"/>
            </w:tcBorders>
            <w:shd w:val="clear" w:color="auto" w:fill="auto"/>
            <w:vAlign w:val="center"/>
          </w:tcPr>
          <w:p w14:paraId="2FB0F835">
            <w:pPr>
              <w:pStyle w:val="21"/>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38F4C2B6">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31" w:hRule="atLeast"/>
          <w:jc w:val="center"/>
        </w:trPr>
        <w:tc>
          <w:tcPr>
            <w:tcW w:w="9870" w:type="dxa"/>
            <w:gridSpan w:val="2"/>
            <w:tcBorders>
              <w:top w:val="single" w:color="A4A4A4" w:sz="4" w:space="0"/>
              <w:left w:val="nil"/>
              <w:bottom w:val="single" w:color="A4A4A4" w:sz="4" w:space="0"/>
              <w:right w:val="nil"/>
              <w:tl2br w:val="nil"/>
              <w:tr2bl w:val="nil"/>
            </w:tcBorders>
            <w:shd w:val="clear" w:color="auto" w:fill="auto"/>
            <w:vAlign w:val="center"/>
          </w:tcPr>
          <w:p w14:paraId="751F2511">
            <w:pPr>
              <w:pStyle w:val="21"/>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6E54527A">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31" w:hRule="atLeast"/>
          <w:jc w:val="center"/>
        </w:trPr>
        <w:tc>
          <w:tcPr>
            <w:tcW w:w="3869" w:type="dxa"/>
            <w:tcBorders>
              <w:top w:val="single" w:color="A4A4A4" w:sz="4" w:space="0"/>
              <w:left w:val="nil"/>
              <w:tl2br w:val="nil"/>
              <w:tr2bl w:val="nil"/>
            </w:tcBorders>
            <w:shd w:val="clear" w:color="auto" w:fill="auto"/>
            <w:vAlign w:val="center"/>
          </w:tcPr>
          <w:p w14:paraId="73A3951E">
            <w:pPr>
              <w:pStyle w:val="21"/>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样品总体质量评估</w:t>
            </w:r>
          </w:p>
        </w:tc>
        <w:tc>
          <w:tcPr>
            <w:tcW w:w="6001" w:type="dxa"/>
            <w:tcBorders>
              <w:top w:val="single" w:color="A4A4A4" w:sz="4" w:space="0"/>
              <w:right w:val="nil"/>
              <w:tl2br w:val="nil"/>
              <w:tr2bl w:val="nil"/>
            </w:tcBorders>
            <w:shd w:val="clear" w:color="auto" w:fill="auto"/>
            <w:vAlign w:val="center"/>
          </w:tcPr>
          <w:p w14:paraId="57E69FB8">
            <w:pPr>
              <w:pStyle w:val="21"/>
              <w:ind w:lef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{%if rna != undefined%}</w:t>
            </w:r>
            <w:r>
              <w:rPr>
                <w:rFonts w:ascii="Times New Roman" w:hAnsi="Times New Roman" w:eastAsia="微软雅黑" w:cs="Times New Roman"/>
                <w:color w:val="000000"/>
                <w:sz w:val="21"/>
                <w:szCs w:val="21"/>
                <w:lang w:eastAsia="zh-CN"/>
              </w:rPr>
              <w:t xml:space="preserve">{{ </w:t>
            </w:r>
            <w:r>
              <w:rPr>
                <w:rFonts w:ascii="Times New Roman" w:hAnsi="Times New Roman" w:eastAsia="微软雅黑" w:cs="Times New Roman"/>
                <w:sz w:val="21"/>
                <w:szCs w:val="21"/>
                <w:lang w:eastAsia="zh-CN"/>
              </w:rPr>
              <w:t>rna.total_reads</w:t>
            </w:r>
            <w:r>
              <w:rPr>
                <w:rFonts w:ascii="Times New Roman" w:hAnsi="Times New Roman" w:eastAsia="微软雅黑" w:cs="Times New Roman"/>
                <w:color w:val="000000"/>
                <w:sz w:val="21"/>
                <w:szCs w:val="21"/>
                <w:lang w:eastAsia="zh-CN"/>
              </w:rPr>
              <w:t xml:space="preserve"> | oqa(</w:t>
            </w:r>
            <w:r>
              <w:rPr>
                <w:rFonts w:ascii="Times New Roman" w:hAnsi="Times New Roman" w:eastAsia="微软雅黑" w:cs="Times New Roman"/>
                <w:sz w:val="21"/>
                <w:szCs w:val="21"/>
                <w:lang w:eastAsia="zh-CN" w:bidi="ar"/>
              </w:rPr>
              <w:t>12000000</w:t>
            </w:r>
            <w:r>
              <w:rPr>
                <w:rFonts w:ascii="Times New Roman" w:hAnsi="Times New Roman" w:eastAsia="微软雅黑" w:cs="Times New Roman"/>
                <w:color w:val="000000"/>
                <w:sz w:val="21"/>
                <w:szCs w:val="21"/>
                <w:lang w:eastAsia="zh-CN"/>
              </w:rPr>
              <w:t>,</w:t>
            </w:r>
            <w:r>
              <w:rPr>
                <w:rFonts w:ascii="Times New Roman" w:hAnsi="Times New Roman" w:eastAsia="微软雅黑" w:cs="Times New Roman"/>
                <w:sz w:val="21"/>
                <w:szCs w:val="21"/>
                <w:lang w:eastAsia="zh-CN" w:bidi="ar"/>
              </w:rPr>
              <w:t>10000000</w:t>
            </w:r>
            <w:r>
              <w:rPr>
                <w:rFonts w:ascii="Times New Roman" w:hAnsi="Times New Roman" w:eastAsia="微软雅黑" w:cs="Times New Roman"/>
                <w:color w:val="000000"/>
                <w:sz w:val="21"/>
                <w:szCs w:val="21"/>
                <w:lang w:eastAsia="zh-CN"/>
              </w:rPr>
              <w:t>) }}</w:t>
            </w:r>
            <w:r>
              <w:rPr>
                <w:rFonts w:ascii="Times New Roman" w:hAnsi="Times New Roman" w:eastAsia="微软雅黑" w:cs="Times New Roman"/>
                <w:sz w:val="21"/>
                <w:szCs w:val="21"/>
                <w:lang w:eastAsia="zh-CN"/>
              </w:rPr>
              <w:t>{%endif%}</w:t>
            </w:r>
          </w:p>
        </w:tc>
      </w:tr>
    </w:tbl>
    <w:p w14:paraId="680D47B0">
      <w:pPr>
        <w:rPr>
          <w:rFonts w:ascii="Times New Roman" w:hAnsi="Times New Roman" w:eastAsia="微软雅黑" w:cs="Times New Roman"/>
          <w:b/>
          <w:bCs/>
          <w:sz w:val="18"/>
          <w:szCs w:val="18"/>
        </w:rPr>
      </w:pPr>
      <w:r>
        <w:rPr>
          <w:rFonts w:ascii="Times New Roman" w:hAnsi="Times New Roman" w:eastAsia="微软雅黑" w:cs="Times New Roman"/>
          <w:b/>
          <w:bCs/>
          <w:sz w:val="18"/>
          <w:szCs w:val="18"/>
          <w:lang w:eastAsia="zh-CN" w:bidi="ar"/>
        </w:rPr>
        <w:t>注：</w:t>
      </w:r>
    </w:p>
    <w:p w14:paraId="2015D8D6">
      <w:pPr>
        <w:pStyle w:val="14"/>
        <w:spacing w:before="77"/>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1.检测结果仅供医生参考，不作为临床诊断的依据。</w:t>
      </w:r>
    </w:p>
    <w:p w14:paraId="60970677">
      <w:pPr>
        <w:pStyle w:val="14"/>
        <w:spacing w:before="77"/>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2.检测结果仅对本样本负责，如有疑问，请在7个工作日内与我们联系。</w:t>
      </w:r>
    </w:p>
    <w:p w14:paraId="54F2D6DD">
      <w:pPr>
        <w:pStyle w:val="2"/>
        <w:numPr>
          <w:ilvl w:val="255"/>
          <w:numId w:val="0"/>
        </w:numPr>
        <w:jc w:val="left"/>
        <w:rPr>
          <w:rFonts w:hint="eastAsia"/>
          <w:color w:val="62B541"/>
          <w:sz w:val="32"/>
          <w14:shadow w14:blurRad="50800" w14:dist="38100" w14:dir="10800000" w14:sx="100000" w14:sy="100000" w14:kx="0" w14:ky="0" w14:algn="r">
            <w14:srgbClr w14:val="62B541">
              <w14:alpha w14:val="60000"/>
            </w14:srgbClr>
          </w14:shadow>
        </w:rPr>
      </w:pPr>
      <w:r>
        <w:rPr>
          <w:rFonts w:ascii="Times New Roman" w:hAnsi="Times New Roman" w:cs="Times New Roman"/>
          <w:b/>
          <w:bCs/>
          <w:color w:val="00B050"/>
          <w:sz w:val="28"/>
          <w:szCs w:val="36"/>
          <w:lang w:eastAsia="zh-CN"/>
        </w:rPr>
        <w:br w:type="page"/>
      </w:r>
      <w:bookmarkStart w:id="26" w:name="_Toc13776"/>
      <w:bookmarkStart w:id="27" w:name="_Toc107825550"/>
      <w:bookmarkStart w:id="28" w:name="_Toc20136_WPSOffice_Level1"/>
      <w:bookmarkStart w:id="29" w:name="_Toc19898_WPSOffice_Level1"/>
      <w:bookmarkStart w:id="30" w:name="_Toc2866"/>
      <w:bookmarkStart w:id="31" w:name="_Toc2781"/>
      <w:bookmarkStart w:id="32" w:name="_Toc24235"/>
      <w:bookmarkStart w:id="33" w:name="_Toc22132"/>
      <w:r>
        <w:rPr>
          <w:rFonts w:hint="eastAsia"/>
          <w:color w:val="62B541"/>
          <w:sz w:val="32"/>
          <w14:shadow w14:blurRad="50800" w14:dist="38100" w14:dir="10800000" w14:sx="100000" w14:sy="100000" w14:kx="0" w14:ky="0" w14:algn="r">
            <w14:srgbClr w14:val="62B541">
              <w14:alpha w14:val="60000"/>
            </w14:srgbClr>
          </w14:shadow>
        </w:rPr>
        <w:t>检测结果</w:t>
      </w:r>
      <w:bookmarkEnd w:id="20"/>
      <w:bookmarkEnd w:id="26"/>
      <w:bookmarkEnd w:id="27"/>
      <w:bookmarkEnd w:id="28"/>
      <w:bookmarkEnd w:id="29"/>
      <w:bookmarkEnd w:id="30"/>
      <w:bookmarkEnd w:id="31"/>
      <w:bookmarkEnd w:id="32"/>
      <w:bookmarkEnd w:id="33"/>
      <w:bookmarkStart w:id="34" w:name="_Toc15109"/>
    </w:p>
    <w:p w14:paraId="338A6195">
      <w:pPr>
        <w:keepNext w:val="0"/>
        <w:keepLines w:val="0"/>
        <w:pageBreakBefore w:val="0"/>
        <w:widowControl w:val="0"/>
        <w:numPr>
          <w:ilvl w:val="255"/>
          <w:numId w:val="0"/>
        </w:numPr>
        <w:kinsoku/>
        <w:wordWrap/>
        <w:overflowPunct/>
        <w:topLinePunct w:val="0"/>
        <w:autoSpaceDE/>
        <w:autoSpaceDN/>
        <w:bidi w:val="0"/>
        <w:adjustRightInd/>
        <w:snapToGrid/>
        <w:spacing w:after="0" w:line="0" w:lineRule="atLeast"/>
        <w:jc w:val="left"/>
        <w:textAlignment w:val="auto"/>
        <w:outlineLvl w:val="9"/>
        <w:rPr>
          <w:rStyle w:val="38"/>
          <w:color w:val="62B541"/>
          <w:sz w:val="21"/>
          <w:szCs w:val="21"/>
          <w14:shadow w14:blurRad="50800" w14:dist="38100" w14:dir="10800000" w14:sx="100000" w14:sy="100000" w14:kx="0" w14:ky="0" w14:algn="r">
            <w14:srgbClr w14:val="62B541">
              <w14:alpha w14:val="60000"/>
            </w14:srgbClr>
          </w14:shadow>
        </w:rPr>
      </w:pPr>
      <w:r>
        <w:rPr>
          <w:rFonts w:hint="eastAsia" w:ascii="Times New Roman" w:hAnsi="Times New Roman" w:eastAsia="微软雅黑" w:cs="黑体"/>
          <w:sz w:val="21"/>
          <w:szCs w:val="21"/>
          <w:highlight w:val="none"/>
          <w:lang w:val="en-US" w:eastAsia="zh-CN"/>
        </w:rPr>
        <w:t>{% if b</w:t>
      </w:r>
      <w:r>
        <w:rPr>
          <w:rFonts w:hint="default" w:ascii="Times New Roman" w:hAnsi="Times New Roman" w:eastAsia="微软雅黑" w:cs="黑体"/>
          <w:sz w:val="21"/>
          <w:szCs w:val="21"/>
          <w:highlight w:val="none"/>
          <w:lang w:val="en-US" w:eastAsia="zh-CN"/>
        </w:rPr>
        <w:t>rainGlioma</w:t>
      </w:r>
      <w:r>
        <w:rPr>
          <w:rFonts w:hint="eastAsia" w:ascii="Times New Roman" w:hAnsi="Times New Roman" w:eastAsia="微软雅黑" w:cs="黑体"/>
          <w:sz w:val="21"/>
          <w:szCs w:val="21"/>
          <w:highlight w:val="none"/>
          <w:lang w:val="en-US" w:eastAsia="zh-CN"/>
        </w:rPr>
        <w:t>Flag %}</w:t>
      </w:r>
    </w:p>
    <w:p w14:paraId="51C29952">
      <w:pPr>
        <w:keepNext w:val="0"/>
        <w:keepLines w:val="0"/>
        <w:pageBreakBefore w:val="0"/>
        <w:widowControl w:val="0"/>
        <w:numPr>
          <w:ilvl w:val="255"/>
          <w:numId w:val="0"/>
        </w:numPr>
        <w:kinsoku/>
        <w:wordWrap/>
        <w:overflowPunct/>
        <w:topLinePunct w:val="0"/>
        <w:autoSpaceDE/>
        <w:autoSpaceDN/>
        <w:bidi w:val="0"/>
        <w:adjustRightInd/>
        <w:snapToGrid/>
        <w:spacing w:after="0" w:afterLines="50"/>
        <w:jc w:val="left"/>
        <w:textAlignment w:val="auto"/>
        <w:outlineLvl w:val="1"/>
        <w:rPr>
          <w:rFonts w:hint="eastAsia" w:ascii="Times New Roman" w:hAnsi="Times New Roman" w:eastAsia="微软雅黑" w:cs="黑体"/>
          <w:b/>
          <w:bCs/>
          <w:color w:val="62B541"/>
          <w:sz w:val="22"/>
          <w:szCs w:val="18"/>
          <w:highlight w:val="none"/>
          <w:lang w:val="en-US" w:eastAsia="en-US" w:bidi="ar-SA"/>
          <w14:shadow w14:blurRad="50800" w14:dist="38100" w14:dir="10800000" w14:sx="100000" w14:sy="100000" w14:kx="0" w14:ky="0" w14:algn="r">
            <w14:srgbClr w14:val="62B541">
              <w14:alpha w14:val="60000"/>
            </w14:srgbClr>
          </w14:shadow>
        </w:rPr>
      </w:pPr>
      <w:bookmarkStart w:id="35" w:name="_Toc28615"/>
      <w:r>
        <w:rPr>
          <w:rFonts w:hint="eastAsia" w:ascii="Times New Roman" w:hAnsi="Times New Roman" w:eastAsia="微软雅黑" w:cs="黑体"/>
          <w:b/>
          <w:bCs/>
          <w:color w:val="auto"/>
          <w:sz w:val="30"/>
          <w:szCs w:val="30"/>
          <w:highlight w:val="none"/>
          <w:lang w:val="en-US" w:eastAsia="zh-CN" w:bidi="ar-SA"/>
        </w:rPr>
        <w:t>脑胶质瘤相关分子标记物检测结果</w:t>
      </w:r>
      <w:bookmarkEnd w:id="34"/>
      <w:bookmarkEnd w:id="35"/>
    </w:p>
    <w:tbl>
      <w:tblPr>
        <w:tblStyle w:val="15"/>
        <w:tblW w:w="9791"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975"/>
        <w:gridCol w:w="1519"/>
        <w:gridCol w:w="6297"/>
      </w:tblGrid>
      <w:tr w14:paraId="0BA307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75" w:type="dxa"/>
            <w:tcBorders>
              <w:top w:val="nil"/>
              <w:left w:val="nil"/>
              <w:bottom w:val="single" w:color="A4A4A4" w:themeColor="background1" w:themeShade="A5" w:sz="4" w:space="0"/>
              <w:right w:val="single" w:color="FFFFFF" w:sz="12" w:space="0"/>
            </w:tcBorders>
            <w:shd w:val="clear" w:color="auto" w:fill="62BC41"/>
            <w:vAlign w:val="center"/>
          </w:tcPr>
          <w:p w14:paraId="68E893FD">
            <w:pPr>
              <w:keepNext w:val="0"/>
              <w:keepLines w:val="0"/>
              <w:widowControl/>
              <w:suppressLineNumbers w:val="0"/>
              <w:jc w:val="center"/>
              <w:textAlignment w:val="center"/>
              <w:rPr>
                <w:rFonts w:hint="eastAsia" w:ascii="微软雅黑" w:hAnsi="微软雅黑" w:eastAsia="微软雅黑" w:cs="微软雅黑"/>
                <w:b/>
                <w:bCs/>
                <w:i w:val="0"/>
                <w:iCs w:val="0"/>
                <w:color w:val="FFFFFF"/>
                <w:sz w:val="21"/>
                <w:szCs w:val="21"/>
                <w:u w:val="none"/>
              </w:rPr>
            </w:pPr>
            <w:r>
              <w:rPr>
                <w:rStyle w:val="42"/>
                <w:rFonts w:hint="eastAsia" w:ascii="微软雅黑" w:hAnsi="微软雅黑" w:eastAsia="微软雅黑" w:cs="微软雅黑"/>
                <w:lang w:val="en-US" w:eastAsia="zh-CN" w:bidi="ar"/>
              </w:rPr>
              <w:t>分子标记物</w:t>
            </w:r>
          </w:p>
        </w:tc>
        <w:tc>
          <w:tcPr>
            <w:tcW w:w="1519" w:type="dxa"/>
            <w:tcBorders>
              <w:top w:val="nil"/>
              <w:left w:val="nil"/>
              <w:bottom w:val="single" w:color="A4A4A4" w:themeColor="background1" w:themeShade="A5" w:sz="4" w:space="0"/>
              <w:right w:val="dotted" w:color="00B050" w:sz="4" w:space="0"/>
            </w:tcBorders>
            <w:shd w:val="clear" w:color="auto" w:fill="62BC41"/>
            <w:vAlign w:val="center"/>
          </w:tcPr>
          <w:p w14:paraId="6203C1F0">
            <w:pPr>
              <w:keepNext w:val="0"/>
              <w:keepLines w:val="0"/>
              <w:widowControl/>
              <w:suppressLineNumbers w:val="0"/>
              <w:tabs>
                <w:tab w:val="left" w:pos="220"/>
              </w:tabs>
              <w:jc w:val="center"/>
              <w:textAlignment w:val="center"/>
              <w:rPr>
                <w:rFonts w:hint="eastAsia" w:ascii="微软雅黑" w:hAnsi="微软雅黑" w:eastAsia="微软雅黑" w:cs="微软雅黑"/>
                <w:b/>
                <w:bCs/>
                <w:i w:val="0"/>
                <w:iCs w:val="0"/>
                <w:color w:val="FFFFFF"/>
                <w:sz w:val="21"/>
                <w:szCs w:val="21"/>
                <w:u w:val="none"/>
              </w:rPr>
            </w:pPr>
            <w:r>
              <w:rPr>
                <w:rStyle w:val="42"/>
                <w:rFonts w:hint="eastAsia" w:ascii="微软雅黑" w:hAnsi="微软雅黑" w:eastAsia="微软雅黑" w:cs="微软雅黑"/>
                <w:lang w:val="en-US" w:eastAsia="zh-CN" w:bidi="ar"/>
              </w:rPr>
              <w:t>检测结果</w:t>
            </w:r>
          </w:p>
        </w:tc>
        <w:tc>
          <w:tcPr>
            <w:tcW w:w="6297" w:type="dxa"/>
            <w:tcBorders>
              <w:top w:val="nil"/>
              <w:left w:val="single" w:color="FFFFFF" w:sz="12" w:space="0"/>
              <w:bottom w:val="single" w:color="A4A4A4" w:themeColor="background1" w:themeShade="A5" w:sz="4" w:space="0"/>
              <w:right w:val="nil"/>
            </w:tcBorders>
            <w:shd w:val="clear" w:color="auto" w:fill="62BC41"/>
            <w:vAlign w:val="center"/>
          </w:tcPr>
          <w:p w14:paraId="43124B7C">
            <w:pPr>
              <w:keepNext w:val="0"/>
              <w:keepLines w:val="0"/>
              <w:widowControl/>
              <w:suppressLineNumbers w:val="0"/>
              <w:jc w:val="center"/>
              <w:textAlignment w:val="center"/>
              <w:rPr>
                <w:rFonts w:hint="eastAsia" w:ascii="微软雅黑" w:hAnsi="微软雅黑" w:eastAsia="微软雅黑" w:cs="微软雅黑"/>
                <w:b/>
                <w:bCs/>
                <w:i w:val="0"/>
                <w:iCs w:val="0"/>
                <w:color w:val="FFFFFF"/>
                <w:sz w:val="21"/>
                <w:szCs w:val="21"/>
                <w:u w:val="none"/>
              </w:rPr>
            </w:pPr>
            <w:r>
              <w:rPr>
                <w:rStyle w:val="42"/>
                <w:rFonts w:hint="eastAsia" w:ascii="微软雅黑" w:hAnsi="微软雅黑" w:eastAsia="微软雅黑" w:cs="微软雅黑"/>
                <w:lang w:val="en-US" w:eastAsia="zh-CN" w:bidi="ar"/>
              </w:rPr>
              <w:t>临床检测意义</w:t>
            </w:r>
          </w:p>
        </w:tc>
      </w:tr>
      <w:tr w14:paraId="620805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653E9459">
            <w:pPr>
              <w:keepNext w:val="0"/>
              <w:keepLines w:val="0"/>
              <w:widowControl/>
              <w:suppressLineNumbers w:val="0"/>
              <w:jc w:val="center"/>
              <w:textAlignment w:val="center"/>
              <w:rPr>
                <w:rFonts w:hint="default" w:ascii="微软雅黑" w:hAnsi="微软雅黑" w:eastAsia="微软雅黑" w:cs="微软雅黑"/>
                <w:b w:val="0"/>
                <w:bCs w:val="0"/>
                <w:i w:val="0"/>
                <w:iCs w:val="0"/>
                <w:color w:val="000000"/>
                <w:sz w:val="21"/>
                <w:szCs w:val="21"/>
                <w:u w:val="none"/>
                <w:lang w:val="en-US"/>
              </w:rPr>
            </w:pPr>
            <w:r>
              <w:rPr>
                <w:rFonts w:hint="eastAsia" w:ascii="微软雅黑" w:hAnsi="微软雅黑" w:eastAsia="微软雅黑" w:cs="微软雅黑"/>
                <w:b w:val="0"/>
                <w:bCs w:val="0"/>
                <w:i w:val="0"/>
                <w:iCs w:val="0"/>
                <w:color w:val="000000"/>
                <w:kern w:val="0"/>
                <w:sz w:val="21"/>
                <w:szCs w:val="21"/>
                <w:u w:val="none"/>
                <w:lang w:val="en-US" w:eastAsia="zh-CN" w:bidi="ar"/>
              </w:rPr>
              <w:t>BRAF 融合</w:t>
            </w:r>
          </w:p>
        </w:tc>
        <w:tc>
          <w:tcPr>
            <w:tcW w:w="1519"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670DAA7">
            <w:pPr>
              <w:keepNext w:val="0"/>
              <w:keepLines w:val="0"/>
              <w:widowControl/>
              <w:suppressLineNumbers w:val="0"/>
              <w:jc w:val="center"/>
              <w:textAlignment w:val="center"/>
              <w:rPr>
                <w:rFonts w:hint="eastAsia" w:ascii="微软雅黑" w:hAnsi="微软雅黑" w:eastAsia="微软雅黑" w:cs="微软雅黑"/>
                <w:i w:val="0"/>
                <w:iCs w:val="0"/>
                <w:color w:val="000000"/>
                <w:sz w:val="21"/>
                <w:szCs w:val="21"/>
                <w:highlight w:val="none"/>
                <w:u w:val="none"/>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BRAF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297"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52289FD4">
            <w:pPr>
              <w:keepNext w:val="0"/>
              <w:keepLines w:val="0"/>
              <w:widowControl/>
              <w:suppressLineNumbers w:val="0"/>
              <w:jc w:val="left"/>
              <w:textAlignment w:val="center"/>
              <w:rPr>
                <w:rFonts w:hint="eastAsia" w:ascii="微软雅黑" w:hAnsi="微软雅黑" w:eastAsia="微软雅黑" w:cs="微软雅黑"/>
                <w:i w:val="0"/>
                <w:iCs w:val="0"/>
                <w:color w:val="000000"/>
                <w:sz w:val="21"/>
                <w:szCs w:val="21"/>
                <w:highlight w:val="none"/>
                <w:u w:val="none"/>
              </w:rPr>
            </w:pPr>
            <w:r>
              <w:rPr>
                <w:rFonts w:hint="eastAsia" w:ascii="微软雅黑" w:hAnsi="微软雅黑" w:eastAsia="微软雅黑" w:cs="微软雅黑"/>
                <w:i w:val="0"/>
                <w:iCs w:val="0"/>
                <w:color w:val="000000"/>
                <w:kern w:val="0"/>
                <w:sz w:val="21"/>
                <w:szCs w:val="21"/>
                <w:highlight w:val="none"/>
                <w:u w:val="none"/>
                <w:lang w:val="en-US" w:eastAsia="zh-CN" w:bidi="ar"/>
              </w:rPr>
              <w:t>KIAA1549-BRAF 融合是毛细胞型星形细胞瘤的关键诊断指标。</w:t>
            </w:r>
          </w:p>
        </w:tc>
      </w:tr>
      <w:tr w14:paraId="24EE2C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4FF60BF7">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FGFR1 融合</w:t>
            </w:r>
          </w:p>
        </w:tc>
        <w:tc>
          <w:tcPr>
            <w:tcW w:w="1519"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E9EBBF3">
            <w:pPr>
              <w:keepNext w:val="0"/>
              <w:keepLines w:val="0"/>
              <w:widowControl/>
              <w:suppressLineNumbers w:val="0"/>
              <w:jc w:val="center"/>
              <w:textAlignment w:val="center"/>
              <w:rPr>
                <w:rFonts w:hint="eastAsia" w:ascii="微软雅黑" w:hAnsi="微软雅黑" w:eastAsia="微软雅黑" w:cs="微软雅黑"/>
                <w:i w:val="0"/>
                <w:iCs w:val="0"/>
                <w:color w:val="FF0000"/>
                <w:sz w:val="21"/>
                <w:szCs w:val="21"/>
                <w:highlight w:val="none"/>
                <w:u w:val="none"/>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FGFR1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297" w:type="dxa"/>
            <w:vMerge w:val="restart"/>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576401DC">
            <w:pPr>
              <w:keepNext w:val="0"/>
              <w:keepLines w:val="0"/>
              <w:widowControl/>
              <w:suppressLineNumbers w:val="0"/>
              <w:jc w:val="left"/>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FGFR1/2/3 融合常见于青少年多形性低阶别神经上皮肿瘤；其中FGFR1 融合也见于 IDH 野生型的脑室外神经细胞瘤中。FGFR1 激酶结构域重复（KDD）常见于弥漫性低级别胶质瘤，MAPK 信号通路突变型，在低级别星形细胞瘤中也有报道，包括毛细胞星形细胞瘤（通常是小脑外）和胚胎发育不良性神经上皮肿瘤。FGFR1 热点突变发生在 FGFR1的激酶结构域内，常见于在胚胎发育不良神经上皮肿瘤中，并已成为菊形团形成性胶质神经元肿瘤 (RGNT) 的分子标志，主要影响年轻人。靶向治疗靶点。</w:t>
            </w:r>
          </w:p>
        </w:tc>
      </w:tr>
      <w:tr w14:paraId="3EC323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CE7A0D9">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FGFR2 融合</w:t>
            </w:r>
          </w:p>
        </w:tc>
        <w:tc>
          <w:tcPr>
            <w:tcW w:w="1519"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9DCACF5">
            <w:pPr>
              <w:keepNext w:val="0"/>
              <w:keepLines w:val="0"/>
              <w:widowControl/>
              <w:suppressLineNumbers w:val="0"/>
              <w:jc w:val="center"/>
              <w:textAlignment w:val="center"/>
              <w:rPr>
                <w:rFonts w:hint="eastAsia" w:ascii="微软雅黑" w:hAnsi="微软雅黑" w:eastAsia="微软雅黑" w:cs="微软雅黑"/>
                <w:i w:val="0"/>
                <w:iCs w:val="0"/>
                <w:color w:val="FF0000"/>
                <w:sz w:val="21"/>
                <w:szCs w:val="21"/>
                <w:highlight w:val="none"/>
                <w:u w:val="none"/>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FGFR2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297"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2B97B701">
            <w:pPr>
              <w:jc w:val="left"/>
              <w:rPr>
                <w:rFonts w:hint="eastAsia" w:ascii="微软雅黑" w:hAnsi="微软雅黑" w:eastAsia="微软雅黑" w:cs="微软雅黑"/>
                <w:i w:val="0"/>
                <w:iCs w:val="0"/>
                <w:color w:val="000000"/>
                <w:sz w:val="21"/>
                <w:szCs w:val="21"/>
                <w:u w:val="none"/>
              </w:rPr>
            </w:pPr>
          </w:p>
        </w:tc>
      </w:tr>
      <w:tr w14:paraId="2D59BA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69933574">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FGFR3 融合</w:t>
            </w:r>
          </w:p>
        </w:tc>
        <w:tc>
          <w:tcPr>
            <w:tcW w:w="1519"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74FE9F">
            <w:pPr>
              <w:keepNext w:val="0"/>
              <w:keepLines w:val="0"/>
              <w:widowControl/>
              <w:suppressLineNumbers w:val="0"/>
              <w:jc w:val="center"/>
              <w:textAlignment w:val="center"/>
              <w:rPr>
                <w:rFonts w:hint="eastAsia" w:ascii="微软雅黑" w:hAnsi="微软雅黑" w:eastAsia="微软雅黑" w:cs="微软雅黑"/>
                <w:i w:val="0"/>
                <w:iCs w:val="0"/>
                <w:color w:val="FF0000"/>
                <w:sz w:val="21"/>
                <w:szCs w:val="21"/>
                <w:highlight w:val="none"/>
                <w:u w:val="none"/>
                <w:lang w:val="en-US" w:eastAsia="zh-CN"/>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FGFR3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297"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6967EFA9">
            <w:pPr>
              <w:jc w:val="left"/>
              <w:rPr>
                <w:rFonts w:hint="eastAsia" w:ascii="微软雅黑" w:hAnsi="微软雅黑" w:eastAsia="微软雅黑" w:cs="微软雅黑"/>
                <w:i w:val="0"/>
                <w:iCs w:val="0"/>
                <w:color w:val="000000"/>
                <w:sz w:val="21"/>
                <w:szCs w:val="21"/>
                <w:u w:val="none"/>
              </w:rPr>
            </w:pPr>
          </w:p>
        </w:tc>
      </w:tr>
      <w:tr w14:paraId="4B75B0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071538DC">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NTRK1 融合</w:t>
            </w:r>
          </w:p>
        </w:tc>
        <w:tc>
          <w:tcPr>
            <w:tcW w:w="1519"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AAAC19A">
            <w:pPr>
              <w:keepNext w:val="0"/>
              <w:keepLines w:val="0"/>
              <w:widowControl/>
              <w:suppressLineNumbers w:val="0"/>
              <w:jc w:val="center"/>
              <w:textAlignment w:val="center"/>
              <w:rPr>
                <w:rFonts w:hint="eastAsia" w:ascii="微软雅黑" w:hAnsi="微软雅黑" w:eastAsia="微软雅黑" w:cs="微软雅黑"/>
                <w:i w:val="0"/>
                <w:iCs w:val="0"/>
                <w:color w:val="FF0000"/>
                <w:sz w:val="21"/>
                <w:szCs w:val="21"/>
                <w:highlight w:val="none"/>
                <w:u w:val="none"/>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NTRK1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297" w:type="dxa"/>
            <w:vMerge w:val="restart"/>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376E1A50">
            <w:pPr>
              <w:keepNext w:val="0"/>
              <w:keepLines w:val="0"/>
              <w:widowControl/>
              <w:suppressLineNumbers w:val="0"/>
              <w:jc w:val="left"/>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常见于婴儿型半球胶质瘤。治疗意义：靶向治疗靶点。</w:t>
            </w:r>
          </w:p>
        </w:tc>
      </w:tr>
      <w:tr w14:paraId="030E86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BCF83E0">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NTRK2 融合</w:t>
            </w:r>
          </w:p>
        </w:tc>
        <w:tc>
          <w:tcPr>
            <w:tcW w:w="1519"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7B87953">
            <w:pPr>
              <w:keepNext w:val="0"/>
              <w:keepLines w:val="0"/>
              <w:widowControl/>
              <w:suppressLineNumbers w:val="0"/>
              <w:jc w:val="center"/>
              <w:textAlignment w:val="center"/>
              <w:rPr>
                <w:rFonts w:hint="eastAsia" w:ascii="微软雅黑" w:hAnsi="微软雅黑" w:eastAsia="微软雅黑" w:cs="微软雅黑"/>
                <w:i w:val="0"/>
                <w:iCs w:val="0"/>
                <w:color w:val="FF0000"/>
                <w:sz w:val="21"/>
                <w:szCs w:val="21"/>
                <w:highlight w:val="none"/>
                <w:u w:val="none"/>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NTRK2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297"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1520827F">
            <w:pPr>
              <w:jc w:val="left"/>
              <w:rPr>
                <w:rFonts w:hint="eastAsia" w:ascii="微软雅黑" w:hAnsi="微软雅黑" w:eastAsia="微软雅黑" w:cs="微软雅黑"/>
                <w:i w:val="0"/>
                <w:iCs w:val="0"/>
                <w:color w:val="000000"/>
                <w:sz w:val="21"/>
                <w:szCs w:val="21"/>
                <w:u w:val="none"/>
              </w:rPr>
            </w:pPr>
          </w:p>
        </w:tc>
      </w:tr>
      <w:tr w14:paraId="2D1BE0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0DD819EA">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NTRK3 融合</w:t>
            </w:r>
          </w:p>
        </w:tc>
        <w:tc>
          <w:tcPr>
            <w:tcW w:w="1519"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CD0A897">
            <w:pPr>
              <w:keepNext w:val="0"/>
              <w:keepLines w:val="0"/>
              <w:widowControl/>
              <w:suppressLineNumbers w:val="0"/>
              <w:jc w:val="center"/>
              <w:textAlignment w:val="center"/>
              <w:rPr>
                <w:rFonts w:hint="eastAsia" w:ascii="微软雅黑" w:hAnsi="微软雅黑" w:eastAsia="微软雅黑" w:cs="微软雅黑"/>
                <w:i w:val="0"/>
                <w:iCs w:val="0"/>
                <w:color w:val="FF0000"/>
                <w:sz w:val="21"/>
                <w:szCs w:val="21"/>
                <w:highlight w:val="none"/>
                <w:u w:val="none"/>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NTRK3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297"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4EF3A169">
            <w:pPr>
              <w:jc w:val="left"/>
              <w:rPr>
                <w:rFonts w:hint="eastAsia" w:ascii="微软雅黑" w:hAnsi="微软雅黑" w:eastAsia="微软雅黑" w:cs="微软雅黑"/>
                <w:i w:val="0"/>
                <w:iCs w:val="0"/>
                <w:color w:val="000000"/>
                <w:sz w:val="21"/>
                <w:szCs w:val="21"/>
                <w:u w:val="none"/>
              </w:rPr>
            </w:pPr>
          </w:p>
        </w:tc>
      </w:tr>
      <w:tr w14:paraId="259B27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3D5CBE38">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ALK 融合</w:t>
            </w:r>
          </w:p>
        </w:tc>
        <w:tc>
          <w:tcPr>
            <w:tcW w:w="1519"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9858E8">
            <w:pPr>
              <w:keepNext w:val="0"/>
              <w:keepLines w:val="0"/>
              <w:widowControl/>
              <w:suppressLineNumbers w:val="0"/>
              <w:jc w:val="center"/>
              <w:textAlignment w:val="center"/>
              <w:rPr>
                <w:rFonts w:hint="eastAsia" w:ascii="微软雅黑" w:hAnsi="微软雅黑" w:eastAsia="微软雅黑" w:cs="微软雅黑"/>
                <w:i w:val="0"/>
                <w:iCs w:val="0"/>
                <w:color w:val="FF0000"/>
                <w:sz w:val="21"/>
                <w:szCs w:val="21"/>
                <w:highlight w:val="none"/>
                <w:u w:val="none"/>
                <w:lang w:eastAsia="zh-CN"/>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ALK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297"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1957E6E7">
            <w:pPr>
              <w:keepNext w:val="0"/>
              <w:keepLines w:val="0"/>
              <w:widowControl/>
              <w:suppressLineNumbers w:val="0"/>
              <w:jc w:val="left"/>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常见于婴儿型半球胶质瘤。治疗意义：靶向治疗靶点。</w:t>
            </w:r>
          </w:p>
        </w:tc>
      </w:tr>
      <w:tr w14:paraId="2BAEA1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52AE7C6B">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ROS1 融合</w:t>
            </w:r>
          </w:p>
        </w:tc>
        <w:tc>
          <w:tcPr>
            <w:tcW w:w="1519"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6DFDDEE">
            <w:pPr>
              <w:keepNext w:val="0"/>
              <w:keepLines w:val="0"/>
              <w:widowControl/>
              <w:suppressLineNumbers w:val="0"/>
              <w:jc w:val="center"/>
              <w:textAlignment w:val="center"/>
              <w:rPr>
                <w:rFonts w:hint="eastAsia" w:ascii="微软雅黑" w:hAnsi="微软雅黑" w:eastAsia="微软雅黑" w:cs="微软雅黑"/>
                <w:i w:val="0"/>
                <w:iCs w:val="0"/>
                <w:color w:val="FF0000"/>
                <w:sz w:val="21"/>
                <w:szCs w:val="21"/>
                <w:highlight w:val="none"/>
                <w:u w:val="none"/>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ROS1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297"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1E322486">
            <w:pPr>
              <w:keepNext w:val="0"/>
              <w:keepLines w:val="0"/>
              <w:widowControl/>
              <w:suppressLineNumbers w:val="0"/>
              <w:jc w:val="left"/>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常见于婴儿型半球胶质瘤。治疗意义：靶向治疗靶点。</w:t>
            </w:r>
          </w:p>
        </w:tc>
      </w:tr>
      <w:tr w14:paraId="7EF94B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2FFE6EE">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kern w:val="0"/>
                <w:sz w:val="21"/>
                <w:szCs w:val="21"/>
                <w:u w:val="none"/>
                <w:lang w:val="en-US" w:eastAsia="zh-CN" w:bidi="ar"/>
              </w:rPr>
            </w:pPr>
            <w:r>
              <w:rPr>
                <w:rFonts w:hint="eastAsia" w:ascii="微软雅黑" w:hAnsi="微软雅黑" w:eastAsia="微软雅黑" w:cs="微软雅黑"/>
                <w:b w:val="0"/>
                <w:bCs w:val="0"/>
                <w:i w:val="0"/>
                <w:iCs w:val="0"/>
                <w:color w:val="000000"/>
                <w:kern w:val="0"/>
                <w:sz w:val="21"/>
                <w:szCs w:val="21"/>
                <w:u w:val="none"/>
                <w:lang w:val="en-US" w:eastAsia="zh-CN" w:bidi="ar"/>
              </w:rPr>
              <w:t>YAP1 融合</w:t>
            </w:r>
          </w:p>
        </w:tc>
        <w:tc>
          <w:tcPr>
            <w:tcW w:w="1519"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ED9B5BE">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21"/>
                <w:szCs w:val="21"/>
                <w:highlight w:val="none"/>
                <w:u w:val="none"/>
                <w:lang w:val="en-US" w:eastAsia="zh-CN" w:bidi="ar"/>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YAP1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297"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1443B537">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1"/>
                <w:szCs w:val="21"/>
                <w:u w:val="none"/>
                <w:lang w:val="en-US" w:eastAsia="zh-CN" w:bidi="ar"/>
              </w:rPr>
            </w:pPr>
            <w:r>
              <w:rPr>
                <w:rFonts w:hint="eastAsia" w:ascii="微软雅黑" w:hAnsi="微软雅黑" w:eastAsia="微软雅黑" w:cs="微软雅黑"/>
                <w:i w:val="0"/>
                <w:iCs w:val="0"/>
                <w:color w:val="000000"/>
                <w:kern w:val="0"/>
                <w:sz w:val="21"/>
                <w:szCs w:val="21"/>
                <w:u w:val="none"/>
                <w:lang w:val="en-US" w:eastAsia="zh-CN" w:bidi="ar"/>
              </w:rPr>
              <w:t>YAP1融合是幕上室管膜瘤的诊断指标。发生YAP1 融合变异的幕上室管膜瘤更具侵袭性，预后相对较差。</w:t>
            </w:r>
          </w:p>
        </w:tc>
      </w:tr>
      <w:tr w14:paraId="7D8E73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8DA9125">
            <w:pPr>
              <w:keepNext w:val="0"/>
              <w:keepLines w:val="0"/>
              <w:widowControl/>
              <w:suppressLineNumbers w:val="0"/>
              <w:jc w:val="center"/>
              <w:textAlignment w:val="center"/>
              <w:rPr>
                <w:rFonts w:hint="default" w:ascii="微软雅黑" w:hAnsi="微软雅黑" w:eastAsia="微软雅黑" w:cs="微软雅黑"/>
                <w:b w:val="0"/>
                <w:bCs w:val="0"/>
                <w:i w:val="0"/>
                <w:iCs w:val="0"/>
                <w:color w:val="000000"/>
                <w:kern w:val="0"/>
                <w:sz w:val="21"/>
                <w:szCs w:val="21"/>
                <w:u w:val="none"/>
                <w:lang w:val="en-US" w:eastAsia="zh-CN" w:bidi="ar"/>
              </w:rPr>
            </w:pPr>
            <w:r>
              <w:rPr>
                <w:rFonts w:hint="eastAsia" w:ascii="微软雅黑" w:hAnsi="微软雅黑" w:eastAsia="微软雅黑" w:cs="微软雅黑"/>
                <w:b w:val="0"/>
                <w:bCs w:val="0"/>
                <w:i w:val="0"/>
                <w:iCs w:val="0"/>
                <w:color w:val="000000"/>
                <w:kern w:val="0"/>
                <w:sz w:val="21"/>
                <w:szCs w:val="21"/>
                <w:u w:val="none"/>
                <w:lang w:val="en-US" w:eastAsia="zh-CN" w:bidi="ar"/>
              </w:rPr>
              <w:t>ZFTA（C11orf95）-RELA融合</w:t>
            </w:r>
          </w:p>
        </w:tc>
        <w:tc>
          <w:tcPr>
            <w:tcW w:w="1519"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67ED6D">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21"/>
                <w:szCs w:val="21"/>
                <w:highlight w:val="none"/>
                <w:u w:val="none"/>
                <w:lang w:val="en-US" w:eastAsia="zh-CN" w:bidi="ar"/>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ZFTA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297"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3A8B4ACA">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1"/>
                <w:szCs w:val="21"/>
                <w:u w:val="none"/>
                <w:lang w:val="en-US" w:eastAsia="zh-CN" w:bidi="ar"/>
              </w:rPr>
            </w:pPr>
            <w:r>
              <w:rPr>
                <w:rFonts w:hint="eastAsia" w:ascii="微软雅黑" w:hAnsi="微软雅黑" w:eastAsia="微软雅黑" w:cs="微软雅黑"/>
                <w:i w:val="0"/>
                <w:iCs w:val="0"/>
                <w:color w:val="000000"/>
                <w:kern w:val="0"/>
                <w:sz w:val="21"/>
                <w:szCs w:val="21"/>
                <w:u w:val="none"/>
                <w:lang w:val="en-US" w:eastAsia="zh-CN" w:bidi="ar"/>
              </w:rPr>
              <w:t>ZFTA-RELA 基因融合是室管膜瘤亚型的关键诊断指标。发生ZFTA-RELA 融合变异的幕上室管膜瘤更具侵袭性，预后相对较差。</w:t>
            </w:r>
          </w:p>
        </w:tc>
      </w:tr>
      <w:tr w14:paraId="5F6AEA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6B51B33E">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kern w:val="0"/>
                <w:sz w:val="21"/>
                <w:szCs w:val="21"/>
                <w:highlight w:val="none"/>
                <w:u w:val="none"/>
                <w:lang w:val="en-US" w:eastAsia="zh-CN" w:bidi="ar"/>
              </w:rPr>
            </w:pPr>
            <w:r>
              <w:rPr>
                <w:rFonts w:hint="eastAsia" w:ascii="微软雅黑" w:hAnsi="微软雅黑" w:eastAsia="微软雅黑" w:cs="微软雅黑"/>
                <w:b w:val="0"/>
                <w:bCs w:val="0"/>
                <w:i w:val="0"/>
                <w:iCs w:val="0"/>
                <w:color w:val="000000"/>
                <w:kern w:val="0"/>
                <w:sz w:val="21"/>
                <w:szCs w:val="21"/>
                <w:highlight w:val="none"/>
                <w:u w:val="none"/>
                <w:lang w:val="en-US" w:eastAsia="zh-CN" w:bidi="ar"/>
              </w:rPr>
              <w:t>EGFR vIII</w:t>
            </w:r>
          </w:p>
        </w:tc>
        <w:tc>
          <w:tcPr>
            <w:tcW w:w="1519"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361416A">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kern w:val="0"/>
                <w:sz w:val="21"/>
                <w:szCs w:val="21"/>
                <w:highlight w:val="none"/>
                <w:u w:val="none"/>
                <w:lang w:val="en-US" w:eastAsia="zh-CN" w:bidi="ar"/>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highlight w:val="none"/>
                <w:u w:val="none"/>
                <w:lang w:val="en-US" w:eastAsia="zh-CN" w:bidi="ar"/>
              </w:rPr>
              <w:t>EGFR</w:t>
            </w:r>
            <w:r>
              <w:rPr>
                <w:rFonts w:hint="eastAsia" w:ascii="微软雅黑" w:hAnsi="微软雅黑" w:eastAsia="微软雅黑" w:cs="微软雅黑"/>
                <w:b w:val="0"/>
                <w:bCs w:val="0"/>
                <w:i w:val="0"/>
                <w:iCs w:val="0"/>
                <w:color w:val="000000"/>
                <w:kern w:val="0"/>
                <w:sz w:val="21"/>
                <w:szCs w:val="21"/>
                <w:u w:val="none"/>
                <w:lang w:val="en-US" w:eastAsia="zh-CN" w:bidi="ar"/>
              </w:rPr>
              <w:t xml:space="preserve">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297"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32185351">
            <w:pPr>
              <w:keepNext w:val="0"/>
              <w:keepLines w:val="0"/>
              <w:widowControl/>
              <w:suppressLineNumbers w:val="0"/>
              <w:jc w:val="both"/>
              <w:textAlignment w:val="center"/>
              <w:rPr>
                <w:rFonts w:hint="eastAsia" w:ascii="微软雅黑" w:hAnsi="微软雅黑" w:eastAsia="微软雅黑" w:cs="微软雅黑"/>
                <w:b w:val="0"/>
                <w:bCs w:val="0"/>
                <w:i w:val="0"/>
                <w:iCs w:val="0"/>
                <w:color w:val="000000"/>
                <w:kern w:val="0"/>
                <w:sz w:val="21"/>
                <w:szCs w:val="21"/>
                <w:highlight w:val="none"/>
                <w:u w:val="none"/>
                <w:lang w:val="en-US" w:eastAsia="zh-CN" w:bidi="ar"/>
              </w:rPr>
            </w:pPr>
            <w:r>
              <w:rPr>
                <w:rFonts w:hint="eastAsia" w:ascii="微软雅黑" w:hAnsi="微软雅黑" w:eastAsia="微软雅黑" w:cs="微软雅黑"/>
                <w:b w:val="0"/>
                <w:bCs w:val="0"/>
                <w:i w:val="0"/>
                <w:iCs w:val="0"/>
                <w:color w:val="000000"/>
                <w:kern w:val="0"/>
                <w:sz w:val="21"/>
                <w:szCs w:val="21"/>
                <w:highlight w:val="none"/>
                <w:u w:val="none"/>
                <w:lang w:val="en-US" w:eastAsia="zh-CN" w:bidi="ar"/>
              </w:rPr>
              <w:t>在高级别胶质瘤中高频发生EGFR扩增和EGFRvIII突变，携带EGFRvIII突变的患者预后较差; EGFR扩增和vIII突变与胶质瘤预后和靶向治疗相关。</w:t>
            </w:r>
          </w:p>
        </w:tc>
      </w:tr>
      <w:tr w14:paraId="21F295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671BDD02">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kern w:val="0"/>
                <w:sz w:val="21"/>
                <w:szCs w:val="21"/>
                <w:highlight w:val="none"/>
                <w:u w:val="none"/>
                <w:lang w:val="en-US" w:eastAsia="zh-CN" w:bidi="ar"/>
              </w:rPr>
            </w:pPr>
            <w:r>
              <w:rPr>
                <w:rFonts w:hint="eastAsia" w:ascii="微软雅黑" w:hAnsi="微软雅黑" w:eastAsia="微软雅黑" w:cs="微软雅黑"/>
                <w:b w:val="0"/>
                <w:bCs w:val="0"/>
                <w:i w:val="0"/>
                <w:iCs w:val="0"/>
                <w:color w:val="000000"/>
                <w:kern w:val="0"/>
                <w:sz w:val="21"/>
                <w:szCs w:val="21"/>
                <w:highlight w:val="none"/>
                <w:u w:val="none"/>
                <w:lang w:val="en-US" w:eastAsia="zh-CN" w:bidi="ar"/>
              </w:rPr>
              <w:t>RELA融合</w:t>
            </w:r>
          </w:p>
        </w:tc>
        <w:tc>
          <w:tcPr>
            <w:tcW w:w="1519"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7629393">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kern w:val="0"/>
                <w:sz w:val="21"/>
                <w:szCs w:val="21"/>
                <w:highlight w:val="none"/>
                <w:u w:val="none"/>
                <w:lang w:val="en-US" w:eastAsia="zh-CN" w:bidi="ar"/>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highlight w:val="none"/>
                <w:u w:val="none"/>
                <w:lang w:val="en-US" w:eastAsia="zh-CN" w:bidi="ar"/>
              </w:rPr>
              <w:t xml:space="preserve">RELA </w:t>
            </w:r>
            <w:r>
              <w:rPr>
                <w:rFonts w:hint="eastAsia" w:ascii="微软雅黑" w:hAnsi="微软雅黑" w:eastAsia="微软雅黑" w:cs="微软雅黑"/>
                <w:b w:val="0"/>
                <w:bCs w:val="0"/>
                <w:i w:val="0"/>
                <w:iCs w:val="0"/>
                <w:color w:val="000000"/>
                <w:kern w:val="0"/>
                <w:sz w:val="21"/>
                <w:szCs w:val="21"/>
                <w:u w:val="none"/>
                <w:lang w:val="en-US" w:eastAsia="zh-CN" w:bidi="ar"/>
              </w:rPr>
              <w:t>|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297"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7AC93A8E">
            <w:pPr>
              <w:keepNext w:val="0"/>
              <w:keepLines w:val="0"/>
              <w:widowControl/>
              <w:suppressLineNumbers w:val="0"/>
              <w:jc w:val="both"/>
              <w:textAlignment w:val="center"/>
              <w:rPr>
                <w:rFonts w:hint="eastAsia" w:ascii="微软雅黑" w:hAnsi="微软雅黑" w:eastAsia="微软雅黑" w:cs="微软雅黑"/>
                <w:b w:val="0"/>
                <w:bCs w:val="0"/>
                <w:i w:val="0"/>
                <w:iCs w:val="0"/>
                <w:color w:val="000000"/>
                <w:kern w:val="0"/>
                <w:sz w:val="21"/>
                <w:szCs w:val="21"/>
                <w:highlight w:val="none"/>
                <w:u w:val="none"/>
                <w:lang w:val="en-US" w:eastAsia="zh-CN" w:bidi="ar"/>
              </w:rPr>
            </w:pPr>
            <w:r>
              <w:rPr>
                <w:rFonts w:hint="eastAsia" w:ascii="微软雅黑" w:hAnsi="微软雅黑" w:eastAsia="微软雅黑" w:cs="微软雅黑"/>
                <w:b w:val="0"/>
                <w:bCs w:val="0"/>
                <w:i w:val="0"/>
                <w:iCs w:val="0"/>
                <w:color w:val="000000"/>
                <w:kern w:val="0"/>
                <w:sz w:val="21"/>
                <w:szCs w:val="21"/>
                <w:highlight w:val="none"/>
                <w:u w:val="none"/>
                <w:lang w:val="en-US" w:eastAsia="zh-CN" w:bidi="ar"/>
              </w:rPr>
              <w:t>根据脑胶质瘤诊疗规范（2018版）和2016年中枢神经系统肿瘤分类，幕上室管膜瘤RELA融合阳性肿瘤需要进行RELA融合的分子检测。RELA融合阳性幕上室管膜瘤具有较差的临床预后特征。</w:t>
            </w:r>
          </w:p>
        </w:tc>
      </w:tr>
      <w:tr w14:paraId="313871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6FA2226B">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kern w:val="0"/>
                <w:sz w:val="21"/>
                <w:szCs w:val="21"/>
                <w:highlight w:val="none"/>
                <w:u w:val="none"/>
                <w:lang w:val="en-US" w:eastAsia="zh-CN" w:bidi="ar"/>
              </w:rPr>
            </w:pPr>
            <w:r>
              <w:rPr>
                <w:rFonts w:hint="eastAsia" w:ascii="微软雅黑" w:hAnsi="微软雅黑" w:eastAsia="微软雅黑" w:cs="微软雅黑"/>
                <w:b w:val="0"/>
                <w:bCs w:val="0"/>
                <w:i w:val="0"/>
                <w:iCs w:val="0"/>
                <w:color w:val="000000"/>
                <w:kern w:val="0"/>
                <w:sz w:val="21"/>
                <w:szCs w:val="21"/>
                <w:highlight w:val="none"/>
                <w:u w:val="none"/>
                <w:lang w:val="en-US" w:eastAsia="zh-CN" w:bidi="ar"/>
              </w:rPr>
              <w:t>JAK1融合</w:t>
            </w:r>
          </w:p>
        </w:tc>
        <w:tc>
          <w:tcPr>
            <w:tcW w:w="1519"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AC6C544">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kern w:val="0"/>
                <w:sz w:val="21"/>
                <w:szCs w:val="21"/>
                <w:highlight w:val="none"/>
                <w:u w:val="none"/>
                <w:lang w:val="en-US" w:eastAsia="zh-CN" w:bidi="ar"/>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highlight w:val="none"/>
                <w:u w:val="none"/>
                <w:lang w:val="en-US" w:eastAsia="zh-CN" w:bidi="ar"/>
              </w:rPr>
              <w:t>JAK1</w:t>
            </w:r>
            <w:r>
              <w:rPr>
                <w:rFonts w:hint="eastAsia" w:ascii="微软雅黑" w:hAnsi="微软雅黑" w:eastAsia="微软雅黑" w:cs="微软雅黑"/>
                <w:b w:val="0"/>
                <w:bCs w:val="0"/>
                <w:i w:val="0"/>
                <w:iCs w:val="0"/>
                <w:color w:val="000000"/>
                <w:kern w:val="0"/>
                <w:sz w:val="21"/>
                <w:szCs w:val="21"/>
                <w:u w:val="none"/>
                <w:lang w:val="en-US" w:eastAsia="zh-CN" w:bidi="ar"/>
              </w:rPr>
              <w:t>|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297"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76A48B9F">
            <w:pPr>
              <w:keepNext w:val="0"/>
              <w:keepLines w:val="0"/>
              <w:widowControl/>
              <w:suppressLineNumbers w:val="0"/>
              <w:jc w:val="both"/>
              <w:textAlignment w:val="center"/>
              <w:rPr>
                <w:rFonts w:hint="eastAsia" w:ascii="微软雅黑" w:hAnsi="微软雅黑" w:eastAsia="微软雅黑" w:cs="微软雅黑"/>
                <w:b w:val="0"/>
                <w:bCs w:val="0"/>
                <w:i w:val="0"/>
                <w:iCs w:val="0"/>
                <w:color w:val="000000"/>
                <w:kern w:val="0"/>
                <w:sz w:val="21"/>
                <w:szCs w:val="21"/>
                <w:highlight w:val="none"/>
                <w:u w:val="none"/>
                <w:lang w:val="en-US" w:eastAsia="zh-CN" w:bidi="ar"/>
              </w:rPr>
            </w:pPr>
            <w:r>
              <w:rPr>
                <w:rFonts w:hint="eastAsia" w:ascii="微软雅黑" w:hAnsi="微软雅黑" w:eastAsia="微软雅黑" w:cs="微软雅黑"/>
                <w:b w:val="0"/>
                <w:bCs w:val="0"/>
                <w:i w:val="0"/>
                <w:iCs w:val="0"/>
                <w:color w:val="000000"/>
                <w:kern w:val="0"/>
                <w:sz w:val="21"/>
                <w:szCs w:val="21"/>
                <w:highlight w:val="none"/>
                <w:u w:val="none"/>
                <w:lang w:val="en-US" w:eastAsia="zh-CN" w:bidi="ar"/>
              </w:rPr>
              <w:t>有研究表明JAK1参与的信号通路与促进缺氧期间胶质瘤干细胞样细胞的自我更新有关。</w:t>
            </w:r>
          </w:p>
        </w:tc>
      </w:tr>
      <w:tr w14:paraId="577254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5B6FE7BF">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kern w:val="0"/>
                <w:sz w:val="21"/>
                <w:szCs w:val="21"/>
                <w:highlight w:val="none"/>
                <w:u w:val="none"/>
                <w:lang w:val="en-US" w:eastAsia="zh-CN" w:bidi="ar"/>
              </w:rPr>
            </w:pPr>
            <w:r>
              <w:rPr>
                <w:rFonts w:hint="eastAsia" w:ascii="微软雅黑" w:hAnsi="微软雅黑" w:eastAsia="微软雅黑" w:cs="微软雅黑"/>
                <w:b w:val="0"/>
                <w:bCs w:val="0"/>
                <w:i w:val="0"/>
                <w:iCs w:val="0"/>
                <w:color w:val="000000"/>
                <w:kern w:val="0"/>
                <w:sz w:val="21"/>
                <w:szCs w:val="21"/>
                <w:highlight w:val="none"/>
                <w:u w:val="none"/>
                <w:lang w:val="en-US" w:eastAsia="zh-CN" w:bidi="ar"/>
              </w:rPr>
              <w:t>JAK2融合</w:t>
            </w:r>
          </w:p>
        </w:tc>
        <w:tc>
          <w:tcPr>
            <w:tcW w:w="1519"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9EC0103">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kern w:val="0"/>
                <w:sz w:val="21"/>
                <w:szCs w:val="21"/>
                <w:highlight w:val="none"/>
                <w:u w:val="none"/>
                <w:lang w:val="en-US" w:eastAsia="zh-CN" w:bidi="ar"/>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highlight w:val="none"/>
                <w:u w:val="none"/>
                <w:lang w:val="en-US" w:eastAsia="zh-CN" w:bidi="ar"/>
              </w:rPr>
              <w:t>JAK2</w:t>
            </w:r>
            <w:r>
              <w:rPr>
                <w:rFonts w:hint="eastAsia" w:ascii="微软雅黑" w:hAnsi="微软雅黑" w:eastAsia="微软雅黑" w:cs="微软雅黑"/>
                <w:b w:val="0"/>
                <w:bCs w:val="0"/>
                <w:i w:val="0"/>
                <w:iCs w:val="0"/>
                <w:color w:val="000000"/>
                <w:kern w:val="0"/>
                <w:sz w:val="21"/>
                <w:szCs w:val="21"/>
                <w:u w:val="none"/>
                <w:lang w:val="en-US" w:eastAsia="zh-CN" w:bidi="ar"/>
              </w:rPr>
              <w:t>|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297"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3F02815E">
            <w:pPr>
              <w:keepNext w:val="0"/>
              <w:keepLines w:val="0"/>
              <w:widowControl/>
              <w:suppressLineNumbers w:val="0"/>
              <w:jc w:val="both"/>
              <w:textAlignment w:val="center"/>
              <w:rPr>
                <w:rFonts w:hint="eastAsia" w:ascii="微软雅黑" w:hAnsi="微软雅黑" w:eastAsia="微软雅黑" w:cs="微软雅黑"/>
                <w:b w:val="0"/>
                <w:bCs w:val="0"/>
                <w:i w:val="0"/>
                <w:iCs w:val="0"/>
                <w:color w:val="000000"/>
                <w:kern w:val="0"/>
                <w:sz w:val="21"/>
                <w:szCs w:val="21"/>
                <w:highlight w:val="none"/>
                <w:u w:val="none"/>
                <w:lang w:val="en-US" w:eastAsia="zh-CN" w:bidi="ar"/>
              </w:rPr>
            </w:pPr>
            <w:r>
              <w:rPr>
                <w:rFonts w:hint="eastAsia" w:ascii="微软雅黑" w:hAnsi="微软雅黑" w:eastAsia="微软雅黑" w:cs="微软雅黑"/>
                <w:b w:val="0"/>
                <w:bCs w:val="0"/>
                <w:i w:val="0"/>
                <w:iCs w:val="0"/>
                <w:color w:val="000000"/>
                <w:kern w:val="0"/>
                <w:sz w:val="21"/>
                <w:szCs w:val="21"/>
                <w:highlight w:val="none"/>
                <w:u w:val="none"/>
                <w:lang w:val="en-US" w:eastAsia="zh-CN" w:bidi="ar"/>
              </w:rPr>
              <w:t>该基因融合和错义突变与慢性粒细胞白血病有关，有临床研究显示携带该基因融合突变的慢性粒细胞白血病患者对伊马替尼有效。</w:t>
            </w:r>
          </w:p>
        </w:tc>
      </w:tr>
      <w:tr w14:paraId="711788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0D5F04D">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kern w:val="0"/>
                <w:sz w:val="21"/>
                <w:szCs w:val="21"/>
                <w:highlight w:val="none"/>
                <w:u w:val="none"/>
                <w:lang w:val="en-US" w:eastAsia="zh-CN" w:bidi="ar"/>
              </w:rPr>
            </w:pPr>
            <w:r>
              <w:rPr>
                <w:rFonts w:hint="eastAsia" w:ascii="微软雅黑" w:hAnsi="微软雅黑" w:eastAsia="微软雅黑" w:cs="微软雅黑"/>
                <w:b w:val="0"/>
                <w:bCs w:val="0"/>
                <w:i w:val="0"/>
                <w:iCs w:val="0"/>
                <w:color w:val="000000"/>
                <w:kern w:val="0"/>
                <w:sz w:val="21"/>
                <w:szCs w:val="21"/>
                <w:highlight w:val="none"/>
                <w:u w:val="none"/>
                <w:lang w:val="en-US" w:eastAsia="zh-CN" w:bidi="ar"/>
              </w:rPr>
              <w:t>MYB融合</w:t>
            </w:r>
          </w:p>
        </w:tc>
        <w:tc>
          <w:tcPr>
            <w:tcW w:w="1519"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E5EA4E5">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kern w:val="0"/>
                <w:sz w:val="21"/>
                <w:szCs w:val="21"/>
                <w:highlight w:val="none"/>
                <w:u w:val="none"/>
                <w:lang w:val="en-US" w:eastAsia="zh-CN" w:bidi="ar"/>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highlight w:val="none"/>
                <w:u w:val="none"/>
                <w:lang w:val="en-US" w:eastAsia="zh-CN" w:bidi="ar"/>
              </w:rPr>
              <w:t xml:space="preserve">MYB </w:t>
            </w:r>
            <w:r>
              <w:rPr>
                <w:rFonts w:hint="eastAsia" w:ascii="微软雅黑" w:hAnsi="微软雅黑" w:eastAsia="微软雅黑" w:cs="微软雅黑"/>
                <w:b w:val="0"/>
                <w:bCs w:val="0"/>
                <w:i w:val="0"/>
                <w:iCs w:val="0"/>
                <w:color w:val="000000"/>
                <w:kern w:val="0"/>
                <w:sz w:val="21"/>
                <w:szCs w:val="21"/>
                <w:u w:val="none"/>
                <w:lang w:val="en-US" w:eastAsia="zh-CN" w:bidi="ar"/>
              </w:rPr>
              <w:t>|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297" w:type="dxa"/>
            <w:vMerge w:val="restart"/>
            <w:tcBorders>
              <w:top w:val="single" w:color="A4A4A4" w:themeColor="background1" w:themeShade="A5" w:sz="4" w:space="0"/>
              <w:left w:val="single" w:color="A4A4A4" w:themeColor="background1" w:themeShade="A5" w:sz="4" w:space="0"/>
              <w:right w:val="nil"/>
            </w:tcBorders>
            <w:shd w:val="clear" w:color="auto" w:fill="auto"/>
            <w:vAlign w:val="center"/>
          </w:tcPr>
          <w:p w14:paraId="45462B0E">
            <w:pPr>
              <w:keepNext w:val="0"/>
              <w:keepLines w:val="0"/>
              <w:widowControl/>
              <w:suppressLineNumbers w:val="0"/>
              <w:jc w:val="both"/>
              <w:textAlignment w:val="center"/>
              <w:rPr>
                <w:rFonts w:hint="eastAsia" w:ascii="微软雅黑" w:hAnsi="微软雅黑" w:eastAsia="微软雅黑" w:cs="微软雅黑"/>
                <w:b w:val="0"/>
                <w:bCs w:val="0"/>
                <w:i w:val="0"/>
                <w:iCs w:val="0"/>
                <w:color w:val="000000"/>
                <w:kern w:val="0"/>
                <w:sz w:val="21"/>
                <w:szCs w:val="21"/>
                <w:highlight w:val="none"/>
                <w:u w:val="none"/>
                <w:lang w:val="en-US" w:eastAsia="zh-CN" w:bidi="ar"/>
              </w:rPr>
            </w:pPr>
            <w:r>
              <w:rPr>
                <w:rFonts w:hint="eastAsia" w:ascii="微软雅黑" w:hAnsi="微软雅黑" w:eastAsia="微软雅黑" w:cs="微软雅黑"/>
                <w:b w:val="0"/>
                <w:bCs w:val="0"/>
                <w:i w:val="0"/>
                <w:iCs w:val="0"/>
                <w:color w:val="000000"/>
                <w:kern w:val="0"/>
                <w:sz w:val="21"/>
                <w:szCs w:val="21"/>
                <w:highlight w:val="none"/>
                <w:u w:val="none"/>
                <w:lang w:val="en-US" w:eastAsia="zh-CN" w:bidi="ar"/>
              </w:rPr>
              <w:t>病理类型为WHO II级的IDH野生/H3野生型弥漫胶质瘤，如果其有如下分子特征：BRAF V600E，FGFR1变异，MYB/BYBL1重排则此类患者预后较好，肿瘤较为惰性，很少向高级别进行。</w:t>
            </w:r>
          </w:p>
        </w:tc>
      </w:tr>
      <w:tr w14:paraId="324967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35A76886">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kern w:val="0"/>
                <w:sz w:val="21"/>
                <w:szCs w:val="21"/>
                <w:highlight w:val="none"/>
                <w:u w:val="none"/>
                <w:lang w:val="en-US" w:eastAsia="zh-CN" w:bidi="ar"/>
              </w:rPr>
            </w:pPr>
            <w:r>
              <w:rPr>
                <w:rFonts w:hint="eastAsia" w:ascii="微软雅黑" w:hAnsi="微软雅黑" w:eastAsia="微软雅黑" w:cs="微软雅黑"/>
                <w:b w:val="0"/>
                <w:bCs w:val="0"/>
                <w:i w:val="0"/>
                <w:iCs w:val="0"/>
                <w:color w:val="000000"/>
                <w:kern w:val="0"/>
                <w:sz w:val="21"/>
                <w:szCs w:val="21"/>
                <w:highlight w:val="none"/>
                <w:u w:val="none"/>
                <w:lang w:val="en-US" w:eastAsia="zh-CN" w:bidi="ar"/>
              </w:rPr>
              <w:t>MYBL1融合</w:t>
            </w:r>
          </w:p>
        </w:tc>
        <w:tc>
          <w:tcPr>
            <w:tcW w:w="1519"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AC00699">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kern w:val="0"/>
                <w:sz w:val="21"/>
                <w:szCs w:val="21"/>
                <w:highlight w:val="none"/>
                <w:u w:val="none"/>
                <w:lang w:val="en-US" w:eastAsia="zh-CN" w:bidi="ar"/>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highlight w:val="none"/>
                <w:u w:val="none"/>
                <w:lang w:val="en-US" w:eastAsia="zh-CN" w:bidi="ar"/>
              </w:rPr>
              <w:t>MYBL1</w:t>
            </w:r>
            <w:r>
              <w:rPr>
                <w:rFonts w:hint="eastAsia" w:ascii="微软雅黑" w:hAnsi="微软雅黑" w:eastAsia="微软雅黑" w:cs="微软雅黑"/>
                <w:b w:val="0"/>
                <w:bCs w:val="0"/>
                <w:i w:val="0"/>
                <w:iCs w:val="0"/>
                <w:color w:val="000000"/>
                <w:kern w:val="0"/>
                <w:sz w:val="21"/>
                <w:szCs w:val="21"/>
                <w:u w:val="none"/>
                <w:lang w:val="en-US" w:eastAsia="zh-CN" w:bidi="ar"/>
              </w:rPr>
              <w:t>|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297" w:type="dxa"/>
            <w:vMerge w:val="continue"/>
            <w:tcBorders>
              <w:left w:val="single" w:color="A4A4A4" w:themeColor="background1" w:themeShade="A5" w:sz="4" w:space="0"/>
              <w:bottom w:val="single" w:color="A4A4A4" w:themeColor="background1" w:themeShade="A5" w:sz="4" w:space="0"/>
              <w:right w:val="nil"/>
            </w:tcBorders>
            <w:shd w:val="clear" w:color="auto" w:fill="auto"/>
            <w:vAlign w:val="center"/>
          </w:tcPr>
          <w:p w14:paraId="408F5E6F">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1"/>
                <w:szCs w:val="21"/>
                <w:highlight w:val="none"/>
                <w:u w:val="none"/>
                <w:lang w:val="en-US" w:eastAsia="zh-CN" w:bidi="ar"/>
              </w:rPr>
            </w:pPr>
          </w:p>
        </w:tc>
      </w:tr>
      <w:tr w14:paraId="706882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635ED5BF">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kern w:val="0"/>
                <w:sz w:val="21"/>
                <w:szCs w:val="21"/>
                <w:highlight w:val="none"/>
                <w:u w:val="none"/>
                <w:lang w:val="en-US" w:eastAsia="zh-CN" w:bidi="ar"/>
              </w:rPr>
            </w:pPr>
            <w:r>
              <w:rPr>
                <w:rFonts w:hint="eastAsia" w:ascii="微软雅黑" w:hAnsi="微软雅黑" w:eastAsia="微软雅黑" w:cs="微软雅黑"/>
                <w:b w:val="0"/>
                <w:bCs w:val="0"/>
                <w:i w:val="0"/>
                <w:iCs w:val="0"/>
                <w:color w:val="000000"/>
                <w:kern w:val="0"/>
                <w:sz w:val="21"/>
                <w:szCs w:val="21"/>
                <w:highlight w:val="none"/>
                <w:u w:val="none"/>
                <w:lang w:val="en-US" w:eastAsia="zh-CN" w:bidi="ar"/>
              </w:rPr>
              <w:t>MET融合</w:t>
            </w:r>
          </w:p>
        </w:tc>
        <w:tc>
          <w:tcPr>
            <w:tcW w:w="1519"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64C5585">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kern w:val="0"/>
                <w:sz w:val="21"/>
                <w:szCs w:val="21"/>
                <w:highlight w:val="none"/>
                <w:u w:val="none"/>
                <w:lang w:val="en-US" w:eastAsia="zh-CN" w:bidi="ar"/>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highlight w:val="none"/>
                <w:u w:val="none"/>
                <w:lang w:val="en-US" w:eastAsia="zh-CN" w:bidi="ar"/>
              </w:rPr>
              <w:t xml:space="preserve">MET </w:t>
            </w:r>
            <w:r>
              <w:rPr>
                <w:rFonts w:hint="eastAsia" w:ascii="微软雅黑" w:hAnsi="微软雅黑" w:eastAsia="微软雅黑" w:cs="微软雅黑"/>
                <w:b w:val="0"/>
                <w:bCs w:val="0"/>
                <w:i w:val="0"/>
                <w:iCs w:val="0"/>
                <w:color w:val="000000"/>
                <w:kern w:val="0"/>
                <w:sz w:val="21"/>
                <w:szCs w:val="21"/>
                <w:u w:val="none"/>
                <w:lang w:val="en-US" w:eastAsia="zh-CN" w:bidi="ar"/>
              </w:rPr>
              <w:t>|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297"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00575885">
            <w:pPr>
              <w:keepNext w:val="0"/>
              <w:keepLines w:val="0"/>
              <w:widowControl/>
              <w:suppressLineNumbers w:val="0"/>
              <w:jc w:val="both"/>
              <w:textAlignment w:val="center"/>
              <w:rPr>
                <w:rFonts w:hint="eastAsia" w:ascii="微软雅黑" w:hAnsi="微软雅黑" w:eastAsia="微软雅黑" w:cs="微软雅黑"/>
                <w:b w:val="0"/>
                <w:bCs w:val="0"/>
                <w:i w:val="0"/>
                <w:iCs w:val="0"/>
                <w:color w:val="000000"/>
                <w:kern w:val="0"/>
                <w:sz w:val="21"/>
                <w:szCs w:val="21"/>
                <w:highlight w:val="none"/>
                <w:u w:val="none"/>
                <w:lang w:val="en-US" w:eastAsia="zh-CN" w:bidi="ar"/>
              </w:rPr>
            </w:pPr>
            <w:r>
              <w:rPr>
                <w:rFonts w:hint="eastAsia" w:ascii="微软雅黑" w:hAnsi="微软雅黑" w:eastAsia="微软雅黑" w:cs="微软雅黑"/>
                <w:b w:val="0"/>
                <w:bCs w:val="0"/>
                <w:i w:val="0"/>
                <w:iCs w:val="0"/>
                <w:color w:val="000000"/>
                <w:kern w:val="0"/>
                <w:sz w:val="21"/>
                <w:szCs w:val="21"/>
                <w:highlight w:val="none"/>
                <w:u w:val="none"/>
                <w:lang w:val="en-US" w:eastAsia="zh-CN" w:bidi="ar"/>
              </w:rPr>
              <w:t>MET融合和METex14在继发性母细胞中被鉴定，通常与胶质瘤差预后有关，在研究药物有PLB-1001。</w:t>
            </w:r>
          </w:p>
        </w:tc>
      </w:tr>
    </w:tbl>
    <w:p w14:paraId="197C14C2">
      <w:pPr>
        <w:spacing w:before="47"/>
        <w:rPr>
          <w:rFonts w:hint="eastAsia" w:ascii="Times New Roman" w:hAnsi="Times New Roman" w:eastAsia="微软雅黑" w:cs="Times New Roman"/>
          <w:b/>
          <w:bCs/>
          <w:sz w:val="18"/>
          <w:szCs w:val="18"/>
          <w:highlight w:val="none"/>
          <w:lang w:eastAsia="zh-CN"/>
        </w:rPr>
      </w:pPr>
      <w:r>
        <w:rPr>
          <w:rFonts w:hint="eastAsia" w:ascii="Times New Roman" w:hAnsi="Times New Roman" w:eastAsia="微软雅黑" w:cs="Times New Roman"/>
          <w:b/>
          <w:bCs/>
          <w:sz w:val="18"/>
          <w:szCs w:val="18"/>
          <w:highlight w:val="none"/>
          <w:lang w:eastAsia="zh-CN"/>
        </w:rPr>
        <w:t>注:</w:t>
      </w:r>
    </w:p>
    <w:p w14:paraId="19004F63">
      <w:pPr>
        <w:numPr>
          <w:ilvl w:val="0"/>
          <w:numId w:val="6"/>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分析注释时采用RefSeq转录本编号</w:t>
      </w:r>
      <w:r>
        <w:rPr>
          <w:rFonts w:hint="eastAsia" w:ascii="Times New Roman" w:hAnsi="Times New Roman" w:eastAsia="微软雅黑" w:cs="Times New Roman"/>
          <w:sz w:val="18"/>
          <w:szCs w:val="18"/>
          <w:lang w:eastAsia="zh-CN"/>
        </w:rPr>
        <w:t>。</w:t>
      </w:r>
    </w:p>
    <w:p w14:paraId="470EE2B9">
      <w:pPr>
        <w:numPr>
          <w:ilvl w:val="0"/>
          <w:numId w:val="6"/>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基因重排结果为送检肿瘤单样本的数据分析检测结果，不排除会存在胚系融合的检出。</w:t>
      </w:r>
    </w:p>
    <w:p w14:paraId="0C6A1A6D">
      <w:pPr>
        <w:numPr>
          <w:ilvl w:val="0"/>
          <w:numId w:val="6"/>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本报告仅从RNA层面检测融合变异形式，RNA层面检测融合更有可能翻译成蛋白，从而发挥功能，促进肿瘤的发生发展，其与临床的相关性更强。</w:t>
      </w:r>
    </w:p>
    <w:p w14:paraId="4C1BC308">
      <w:pPr>
        <w:numPr>
          <w:ilvl w:val="0"/>
          <w:numId w:val="6"/>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胶质瘤</w:t>
      </w:r>
      <w:r>
        <w:rPr>
          <w:rFonts w:ascii="Times New Roman" w:hAnsi="Times New Roman" w:eastAsia="微软雅黑" w:cs="Times New Roman"/>
          <w:sz w:val="18"/>
          <w:szCs w:val="18"/>
          <w:lang w:eastAsia="zh-CN"/>
        </w:rPr>
        <w:t>的分子特征较复杂，基因变异与</w:t>
      </w:r>
      <w:r>
        <w:rPr>
          <w:rFonts w:hint="eastAsia" w:ascii="Times New Roman" w:hAnsi="Times New Roman" w:eastAsia="微软雅黑" w:cs="Times New Roman"/>
          <w:sz w:val="18"/>
          <w:szCs w:val="18"/>
          <w:lang w:eastAsia="zh-CN"/>
        </w:rPr>
        <w:t>胶质瘤</w:t>
      </w:r>
      <w:r>
        <w:rPr>
          <w:rFonts w:ascii="Times New Roman" w:hAnsi="Times New Roman" w:eastAsia="微软雅黑" w:cs="Times New Roman"/>
          <w:sz w:val="18"/>
          <w:szCs w:val="18"/>
          <w:lang w:eastAsia="zh-CN"/>
        </w:rPr>
        <w:t>分型不具有绝对的一致性，建议临床分型检测综合根据临床和病理特征以及分子检测结果进行综合判定，具体</w:t>
      </w:r>
      <w:r>
        <w:rPr>
          <w:rFonts w:hint="eastAsia" w:ascii="Times New Roman" w:hAnsi="Times New Roman" w:eastAsia="微软雅黑" w:cs="Times New Roman"/>
          <w:sz w:val="18"/>
          <w:szCs w:val="18"/>
          <w:lang w:eastAsia="zh-CN"/>
        </w:rPr>
        <w:t>胶质瘤</w:t>
      </w:r>
      <w:r>
        <w:rPr>
          <w:rFonts w:ascii="Times New Roman" w:hAnsi="Times New Roman" w:eastAsia="微软雅黑" w:cs="Times New Roman"/>
          <w:sz w:val="18"/>
          <w:szCs w:val="18"/>
          <w:lang w:eastAsia="zh-CN"/>
        </w:rPr>
        <w:t>分型诊断请以临床医生诊断为准。</w:t>
      </w:r>
    </w:p>
    <w:p w14:paraId="62B306C7">
      <w:pPr>
        <w:numPr>
          <w:ilvl w:val="0"/>
          <w:numId w:val="6"/>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临床意义未明的基因突变是指在出具报告时文献尚未报道，或者是突变意义已经明确但是无相关的</w:t>
      </w:r>
      <w:r>
        <w:rPr>
          <w:rFonts w:hint="eastAsia" w:ascii="Times New Roman" w:hAnsi="Times New Roman" w:eastAsia="微软雅黑" w:cs="Times New Roman"/>
          <w:sz w:val="18"/>
          <w:szCs w:val="18"/>
          <w:lang w:val="en-US" w:eastAsia="zh-CN"/>
        </w:rPr>
        <w:t>胶质瘤</w:t>
      </w:r>
      <w:r>
        <w:rPr>
          <w:rFonts w:ascii="Times New Roman" w:hAnsi="Times New Roman" w:eastAsia="微软雅黑" w:cs="Times New Roman"/>
          <w:sz w:val="18"/>
          <w:szCs w:val="18"/>
          <w:lang w:eastAsia="zh-CN"/>
        </w:rPr>
        <w:t>分型诊断信息，或者是该突变意义不明确，可能存在潜在的临床意义。</w:t>
      </w:r>
    </w:p>
    <w:p w14:paraId="6E64356A">
      <w:pPr>
        <w:numPr>
          <w:ilvl w:val="0"/>
          <w:numId w:val="6"/>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分类/指南/专家共识中提及的辅助</w:t>
      </w:r>
      <w:r>
        <w:rPr>
          <w:rFonts w:hint="eastAsia" w:ascii="Times New Roman" w:hAnsi="Times New Roman" w:eastAsia="微软雅黑" w:cs="Times New Roman"/>
          <w:sz w:val="18"/>
          <w:szCs w:val="18"/>
          <w:lang w:eastAsia="zh-CN"/>
        </w:rPr>
        <w:t>胶质瘤</w:t>
      </w:r>
      <w:r>
        <w:rPr>
          <w:rFonts w:ascii="Times New Roman" w:hAnsi="Times New Roman" w:eastAsia="微软雅黑" w:cs="Times New Roman"/>
          <w:sz w:val="18"/>
          <w:szCs w:val="18"/>
          <w:lang w:eastAsia="zh-CN"/>
        </w:rPr>
        <w:t>诊断的基因变异见附录：常见</w:t>
      </w:r>
      <w:r>
        <w:rPr>
          <w:rFonts w:hint="eastAsia" w:ascii="Times New Roman" w:hAnsi="Times New Roman" w:eastAsia="微软雅黑" w:cs="Times New Roman"/>
          <w:sz w:val="18"/>
          <w:szCs w:val="18"/>
          <w:lang w:eastAsia="zh-CN"/>
        </w:rPr>
        <w:t>胶质瘤</w:t>
      </w:r>
      <w:r>
        <w:rPr>
          <w:rFonts w:ascii="Times New Roman" w:hAnsi="Times New Roman" w:eastAsia="微软雅黑" w:cs="Times New Roman"/>
          <w:sz w:val="18"/>
          <w:szCs w:val="18"/>
          <w:lang w:eastAsia="zh-CN"/>
        </w:rPr>
        <w:t>分型相关基因变异部分。</w:t>
      </w:r>
    </w:p>
    <w:p w14:paraId="14E341F4">
      <w:pPr>
        <w:numPr>
          <w:ilvl w:val="0"/>
          <w:numId w:val="6"/>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本报告仅对本次标本检测负责，结果仅供医生参考。</w:t>
      </w:r>
    </w:p>
    <w:p w14:paraId="66FAC8DA">
      <w:pPr>
        <w:bidi w:val="0"/>
        <w:rPr>
          <w:rFonts w:hint="default"/>
          <w:sz w:val="24"/>
          <w:szCs w:val="24"/>
          <w:lang w:val="en-US" w:eastAsia="zh-CN"/>
        </w:rPr>
      </w:pPr>
      <w:r>
        <w:rPr>
          <w:rFonts w:hint="eastAsia"/>
          <w:color w:val="auto"/>
          <w:lang w:eastAsia="zh-CN"/>
        </w:rPr>
        <w:br w:type="page"/>
      </w:r>
      <w:r>
        <w:rPr>
          <w:rFonts w:hint="default" w:ascii="Times New Roman" w:hAnsi="Times New Roman" w:cs="Times New Roman"/>
          <w:sz w:val="24"/>
          <w:szCs w:val="24"/>
          <w:lang w:val="en-US" w:eastAsia="zh-CN"/>
        </w:rPr>
        <w:t>{% endif %}</w:t>
      </w:r>
      <w:r>
        <w:rPr>
          <w:rFonts w:hint="eastAsia" w:ascii="Times New Roman" w:hAnsi="Times New Roman" w:cs="Times New Roman"/>
          <w:sz w:val="24"/>
          <w:szCs w:val="24"/>
          <w:lang w:val="en-US" w:eastAsia="zh-CN"/>
        </w:rPr>
        <w:t>{% if disease.Sarcoma or disease.Midline or disease.KidneyFlag %}</w:t>
      </w:r>
    </w:p>
    <w:p w14:paraId="74023ED7">
      <w:pPr>
        <w:pStyle w:val="3"/>
        <w:numPr>
          <w:ilvl w:val="255"/>
          <w:numId w:val="0"/>
        </w:numPr>
        <w:jc w:val="left"/>
        <w:rPr>
          <w:rStyle w:val="38"/>
          <w:b/>
          <w:bCs/>
          <w:color w:val="62B541"/>
          <w:sz w:val="32"/>
          <w:szCs w:val="40"/>
          <w14:shadow w14:blurRad="50800" w14:dist="38100" w14:dir="10800000" w14:sx="100000" w14:sy="100000" w14:kx="0" w14:ky="0" w14:algn="r">
            <w14:srgbClr w14:val="62B541">
              <w14:alpha w14:val="60000"/>
            </w14:srgbClr>
          </w14:shadow>
        </w:rPr>
      </w:pPr>
      <w:bookmarkStart w:id="36" w:name="_Toc18242"/>
      <w:bookmarkStart w:id="37" w:name="_Toc9435"/>
      <w:r>
        <w:rPr>
          <w:color w:val="auto"/>
          <w:sz w:val="30"/>
          <w:lang w:val="en-US" w:eastAsia="zh-CN"/>
        </w:rPr>
        <w:t>辅助诊断提示</w:t>
      </w:r>
      <w:bookmarkEnd w:id="36"/>
      <w:bookmarkEnd w:id="37"/>
    </w:p>
    <w:p w14:paraId="0966C4F7">
      <w:pPr>
        <w:spacing w:after="120"/>
        <w:ind w:firstLine="422" w:firstLineChars="200"/>
        <w:rPr>
          <w:rFonts w:ascii="Times New Roman" w:hAnsi="Times New Roman" w:eastAsia="微软雅黑" w:cs="Times New Roman"/>
          <w:b/>
          <w:color w:val="00B050"/>
          <w:sz w:val="24"/>
          <w:szCs w:val="24"/>
          <w:highlight w:val="yellow"/>
          <w:lang w:eastAsia="zh-CN"/>
        </w:rPr>
      </w:pPr>
      <w:r>
        <w:rPr>
          <w:rFonts w:hint="eastAsia" w:ascii="Times New Roman" w:hAnsi="Times New Roman" w:cs="Times New Roman"/>
          <w:b/>
          <w:bCs/>
          <w:sz w:val="21"/>
          <w:szCs w:val="21"/>
          <w:lang w:val="en-US" w:eastAsia="zh-CN"/>
        </w:rPr>
        <w:t>{% if disease.Sarcoma %}</w:t>
      </w:r>
      <w:r>
        <w:rPr>
          <w:rFonts w:ascii="Times New Roman" w:hAnsi="Times New Roman" w:eastAsia="微软雅黑" w:cs="Times New Roman"/>
          <w:b/>
          <w:bCs/>
          <w:color w:val="000000" w:themeColor="text1"/>
          <w:sz w:val="21"/>
          <w:szCs w:val="21"/>
          <w:lang w:eastAsia="zh-CN"/>
          <w14:textFill>
            <w14:solidFill>
              <w14:schemeClr w14:val="tx1"/>
            </w14:solidFill>
          </w14:textFill>
        </w:rPr>
        <w:t>共有</w:t>
      </w:r>
      <w:r>
        <w:rPr>
          <w:rFonts w:hint="eastAsia" w:ascii="Times New Roman" w:hAnsi="Times New Roman" w:eastAsia="微软雅黑" w:cs="Times New Roman"/>
          <w:b/>
          <w:bCs/>
          <w:color w:val="000000" w:themeColor="text1"/>
          <w:sz w:val="21"/>
          <w:szCs w:val="21"/>
          <w:lang w:eastAsia="zh-CN"/>
          <w14:textFill>
            <w14:solidFill>
              <w14:schemeClr w14:val="tx1"/>
            </w14:solidFill>
          </w14:textFill>
        </w:rPr>
        <w:t>{{ summaryOfRresults.geneRearrangementVariationSize2 }}</w:t>
      </w:r>
      <w:r>
        <w:rPr>
          <w:rFonts w:ascii="Times New Roman" w:hAnsi="Times New Roman" w:eastAsia="微软雅黑" w:cs="Times New Roman"/>
          <w:b/>
          <w:color w:val="000000" w:themeColor="text1"/>
          <w:sz w:val="21"/>
          <w:szCs w:val="21"/>
          <w:lang w:eastAsia="zh-CN"/>
          <w14:textFill>
            <w14:solidFill>
              <w14:schemeClr w14:val="tx1"/>
            </w14:solidFill>
          </w14:textFill>
        </w:rPr>
        <w:t>个基因重排</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与</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肉瘤</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辅助诊断相关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p>
    <w:tbl>
      <w:tblPr>
        <w:tblStyle w:val="22"/>
        <w:tblW w:w="10028" w:type="dxa"/>
        <w:tblInd w:w="0" w:type="dxa"/>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4434"/>
        <w:gridCol w:w="1300"/>
        <w:gridCol w:w="2469"/>
        <w:gridCol w:w="1825"/>
      </w:tblGrid>
      <w:tr w14:paraId="73A8D49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658" w:hRule="exact"/>
          <w:tblHeader/>
        </w:trPr>
        <w:tc>
          <w:tcPr>
            <w:tcW w:w="4436" w:type="dxa"/>
            <w:tcBorders>
              <w:top w:val="nil"/>
              <w:left w:val="nil"/>
              <w:bottom w:val="nil"/>
              <w:right w:val="single" w:color="FFFFFF" w:sz="18" w:space="0"/>
            </w:tcBorders>
            <w:shd w:val="clear" w:color="auto" w:fill="62B541"/>
            <w:vAlign w:val="center"/>
          </w:tcPr>
          <w:p w14:paraId="28527B6A">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1300" w:type="dxa"/>
            <w:tcBorders>
              <w:top w:val="nil"/>
              <w:left w:val="single" w:color="FFFFFF" w:sz="18" w:space="0"/>
              <w:bottom w:val="nil"/>
              <w:right w:val="single" w:color="FFFFFF" w:sz="18" w:space="0"/>
            </w:tcBorders>
            <w:shd w:val="clear" w:color="auto" w:fill="62B541"/>
            <w:vAlign w:val="center"/>
          </w:tcPr>
          <w:p w14:paraId="0E8670F7">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融合reads数</w:t>
            </w:r>
          </w:p>
        </w:tc>
        <w:tc>
          <w:tcPr>
            <w:tcW w:w="2469" w:type="dxa"/>
            <w:tcBorders>
              <w:top w:val="nil"/>
              <w:left w:val="single" w:color="FFFFFF" w:sz="18" w:space="0"/>
              <w:bottom w:val="nil"/>
              <w:right w:val="single" w:color="FFFFFF" w:sz="18" w:space="0"/>
            </w:tcBorders>
            <w:shd w:val="clear" w:color="auto" w:fill="62B541"/>
            <w:vAlign w:val="center"/>
          </w:tcPr>
          <w:p w14:paraId="0CC205A0">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基因变异相关亚型</w:t>
            </w:r>
          </w:p>
        </w:tc>
        <w:tc>
          <w:tcPr>
            <w:tcW w:w="1823" w:type="dxa"/>
            <w:tcBorders>
              <w:top w:val="nil"/>
              <w:left w:val="single" w:color="FFFFFF" w:sz="18" w:space="0"/>
              <w:bottom w:val="nil"/>
              <w:right w:val="nil"/>
            </w:tcBorders>
            <w:shd w:val="clear" w:color="auto" w:fill="62B541"/>
            <w:vAlign w:val="center"/>
          </w:tcPr>
          <w:p w14:paraId="05F15E58">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Hans"/>
                <w14:textFill>
                  <w14:solidFill>
                    <w14:schemeClr w14:val="bg1"/>
                  </w14:solidFill>
                </w14:textFill>
              </w:rPr>
              <w:t>证据等级</w:t>
            </w:r>
          </w:p>
        </w:tc>
      </w:tr>
      <w:tr w14:paraId="27185677">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03" w:hRule="atLeast"/>
        </w:trPr>
        <w:tc>
          <w:tcPr>
            <w:tcW w:w="10028" w:type="dxa"/>
            <w:gridSpan w:val="4"/>
            <w:tcBorders>
              <w:top w:val="dotted" w:color="45A3A7" w:sz="4" w:space="0"/>
              <w:left w:val="nil"/>
              <w:bottom w:val="single" w:color="A4A4A4" w:sz="4" w:space="0"/>
              <w:right w:val="nil"/>
            </w:tcBorders>
            <w:shd w:val="clear" w:color="auto" w:fill="auto"/>
            <w:vAlign w:val="center"/>
          </w:tcPr>
          <w:p w14:paraId="51B4BBE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shd w:val="clear" w:color="auto" w:fill="FFFFFF"/>
                <w:lang w:eastAsia="zh-CN"/>
              </w:rPr>
              <w:t>{%tr if sarcomaTyping != [] %}</w:t>
            </w:r>
          </w:p>
        </w:tc>
      </w:tr>
      <w:tr w14:paraId="0A351AD4">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88" w:hRule="atLeast"/>
        </w:trPr>
        <w:tc>
          <w:tcPr>
            <w:tcW w:w="10028" w:type="dxa"/>
            <w:gridSpan w:val="4"/>
            <w:tcBorders>
              <w:top w:val="single" w:color="A4A4A4" w:sz="4" w:space="0"/>
              <w:left w:val="nil"/>
              <w:bottom w:val="nil"/>
              <w:right w:val="nil"/>
            </w:tcBorders>
            <w:shd w:val="clear" w:color="auto" w:fill="auto"/>
            <w:vAlign w:val="center"/>
          </w:tcPr>
          <w:p w14:paraId="1F8324A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shd w:val="clear" w:color="auto" w:fill="FFFFFF"/>
                <w:lang w:eastAsia="zh-CN"/>
              </w:rPr>
              <w:t>{%tr for st in sarcomaTyping %}</w:t>
            </w:r>
          </w:p>
        </w:tc>
      </w:tr>
      <w:tr w14:paraId="20C6DB9E">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227" w:hRule="atLeast"/>
        </w:trPr>
        <w:tc>
          <w:tcPr>
            <w:tcW w:w="4436" w:type="dxa"/>
            <w:tcBorders>
              <w:top w:val="nil"/>
              <w:left w:val="nil"/>
              <w:bottom w:val="single" w:color="A4A4A4" w:sz="4" w:space="0"/>
              <w:right w:val="single" w:color="A4A4A4" w:sz="4" w:space="0"/>
            </w:tcBorders>
            <w:shd w:val="clear" w:color="auto" w:fill="auto"/>
            <w:vAlign w:val="center"/>
          </w:tcPr>
          <w:p w14:paraId="2F5534A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st.mutation }}</w:t>
            </w:r>
          </w:p>
          <w:p w14:paraId="77CC58F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st.transcript }})</w:t>
            </w:r>
          </w:p>
        </w:tc>
        <w:tc>
          <w:tcPr>
            <w:tcW w:w="1299" w:type="dxa"/>
            <w:tcBorders>
              <w:top w:val="nil"/>
              <w:left w:val="single" w:color="A4A4A4" w:sz="4" w:space="0"/>
              <w:bottom w:val="single" w:color="A4A4A4" w:sz="4" w:space="0"/>
              <w:right w:val="single" w:color="A4A4A4" w:sz="4" w:space="0"/>
            </w:tcBorders>
            <w:shd w:val="clear" w:color="auto" w:fill="auto"/>
            <w:vAlign w:val="center"/>
          </w:tcPr>
          <w:p w14:paraId="3FA87B4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st.mutFreq }}</w:t>
            </w:r>
          </w:p>
        </w:tc>
        <w:tc>
          <w:tcPr>
            <w:tcW w:w="2468" w:type="dxa"/>
            <w:tcBorders>
              <w:top w:val="nil"/>
              <w:left w:val="single" w:color="A4A4A4" w:sz="4" w:space="0"/>
              <w:bottom w:val="single" w:color="A4A4A4" w:sz="4" w:space="0"/>
              <w:right w:val="single" w:color="A4A4A4" w:sz="4" w:space="0"/>
            </w:tcBorders>
            <w:shd w:val="clear" w:color="auto" w:fill="auto"/>
            <w:vAlign w:val="center"/>
          </w:tcPr>
          <w:p w14:paraId="24279E9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st.sarcomaAndEvidence == []%}/{% else%}{% for s in st.sarcomaAndEvidence %}{%if loop.last%}{{ s.sarcoma_subtype }}{%else%}{{ s.sarcoma_subtype }}；</w:t>
            </w:r>
          </w:p>
          <w:p w14:paraId="0150723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 endif%}</w:t>
            </w:r>
          </w:p>
        </w:tc>
        <w:tc>
          <w:tcPr>
            <w:tcW w:w="1825" w:type="dxa"/>
            <w:tcBorders>
              <w:top w:val="nil"/>
              <w:left w:val="single" w:color="A4A4A4" w:sz="4" w:space="0"/>
              <w:bottom w:val="single" w:color="A4A4A4" w:sz="4" w:space="0"/>
              <w:right w:val="nil"/>
            </w:tcBorders>
            <w:shd w:val="clear" w:color="auto" w:fill="auto"/>
            <w:vAlign w:val="center"/>
          </w:tcPr>
          <w:p w14:paraId="7F38D104">
            <w:pPr>
              <w:spacing w:before="1" w:line="249" w:lineRule="auto"/>
              <w:ind w:left="262" w:right="131"/>
              <w:jc w:val="center"/>
              <w:rPr>
                <w:rFonts w:ascii="Times New Roman" w:hAnsi="Times New Roman" w:eastAsia="微软雅黑" w:cs="Times New Roman"/>
                <w:color w:val="000000"/>
                <w:sz w:val="21"/>
                <w:szCs w:val="21"/>
                <w:shd w:val="clear" w:color="auto" w:fill="FFFFFF"/>
                <w:lang w:eastAsia="zh-CN"/>
              </w:rPr>
            </w:pPr>
            <w:r>
              <w:rPr>
                <w:rFonts w:hint="eastAsia" w:ascii="Times New Roman" w:hAnsi="Times New Roman" w:eastAsia="微软雅黑" w:cs="Times New Roman"/>
                <w:sz w:val="21"/>
                <w:szCs w:val="21"/>
                <w:lang w:eastAsia="zh-CN"/>
              </w:rPr>
              <w:t>{% if st.sarcomaAndEvidence == []%}/{% else%}{% for s in st.sarcomaAndEvidence %}{%if loop.first%}{{ s.evidence }}{%endif%}{% endfor %}{% endif%}</w:t>
            </w:r>
          </w:p>
        </w:tc>
      </w:tr>
      <w:tr w14:paraId="26AE0E3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191" w:hRule="atLeast"/>
        </w:trPr>
        <w:tc>
          <w:tcPr>
            <w:tcW w:w="10028" w:type="dxa"/>
            <w:gridSpan w:val="4"/>
            <w:tcBorders>
              <w:top w:val="single" w:color="A4A4A4" w:sz="4" w:space="0"/>
              <w:left w:val="nil"/>
              <w:bottom w:val="single" w:color="A4A4A4" w:sz="4" w:space="0"/>
              <w:right w:val="nil"/>
            </w:tcBorders>
            <w:shd w:val="clear" w:color="auto" w:fill="auto"/>
            <w:vAlign w:val="center"/>
          </w:tcPr>
          <w:p w14:paraId="777F1474">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endfor %}</w:t>
            </w:r>
          </w:p>
        </w:tc>
      </w:tr>
      <w:tr w14:paraId="323719F4">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093" w:hRule="atLeast"/>
        </w:trPr>
        <w:tc>
          <w:tcPr>
            <w:tcW w:w="10028" w:type="dxa"/>
            <w:gridSpan w:val="4"/>
            <w:tcBorders>
              <w:top w:val="single" w:color="A4A4A4" w:sz="4" w:space="0"/>
              <w:left w:val="nil"/>
              <w:bottom w:val="nil"/>
              <w:right w:val="nil"/>
            </w:tcBorders>
            <w:shd w:val="clear" w:color="auto" w:fill="auto"/>
            <w:vAlign w:val="center"/>
          </w:tcPr>
          <w:p w14:paraId="110B36FF">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else %}</w:t>
            </w:r>
          </w:p>
        </w:tc>
      </w:tr>
      <w:tr w14:paraId="710F1D8C">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057" w:hRule="atLeast"/>
        </w:trPr>
        <w:tc>
          <w:tcPr>
            <w:tcW w:w="4436" w:type="dxa"/>
            <w:tcBorders>
              <w:top w:val="nil"/>
              <w:left w:val="nil"/>
              <w:bottom w:val="single" w:color="A4A4A4" w:sz="4" w:space="0"/>
              <w:right w:val="single" w:color="A4A4A4" w:sz="4" w:space="0"/>
            </w:tcBorders>
            <w:shd w:val="clear" w:color="auto" w:fill="auto"/>
            <w:vAlign w:val="center"/>
          </w:tcPr>
          <w:p w14:paraId="4763A100">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1300" w:type="dxa"/>
            <w:tcBorders>
              <w:top w:val="nil"/>
              <w:left w:val="single" w:color="A4A4A4" w:sz="4" w:space="0"/>
              <w:bottom w:val="single" w:color="A4A4A4" w:sz="4" w:space="0"/>
              <w:right w:val="single" w:color="A4A4A4" w:sz="4" w:space="0"/>
            </w:tcBorders>
            <w:shd w:val="clear" w:color="auto" w:fill="auto"/>
            <w:vAlign w:val="center"/>
          </w:tcPr>
          <w:p w14:paraId="0C83DB5A">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2469" w:type="dxa"/>
            <w:tcBorders>
              <w:top w:val="nil"/>
              <w:left w:val="single" w:color="A4A4A4" w:sz="4" w:space="0"/>
              <w:bottom w:val="single" w:color="A4A4A4" w:sz="4" w:space="0"/>
              <w:right w:val="single" w:color="A4A4A4" w:sz="4" w:space="0"/>
            </w:tcBorders>
            <w:shd w:val="clear" w:color="auto" w:fill="auto"/>
            <w:vAlign w:val="center"/>
          </w:tcPr>
          <w:p w14:paraId="767DC6A8">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1823" w:type="dxa"/>
            <w:tcBorders>
              <w:top w:val="nil"/>
              <w:left w:val="single" w:color="A4A4A4" w:sz="4" w:space="0"/>
              <w:bottom w:val="single" w:color="A4A4A4" w:sz="4" w:space="0"/>
              <w:right w:val="nil"/>
            </w:tcBorders>
            <w:shd w:val="clear" w:color="auto" w:fill="auto"/>
            <w:vAlign w:val="center"/>
          </w:tcPr>
          <w:p w14:paraId="5643DCD5">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color w:val="000000"/>
                <w:sz w:val="21"/>
                <w:szCs w:val="21"/>
                <w:shd w:val="clear" w:color="auto" w:fill="FFFFFF"/>
                <w:lang w:eastAsia="zh-CN"/>
              </w:rPr>
              <w:t>/</w:t>
            </w:r>
          </w:p>
        </w:tc>
      </w:tr>
      <w:tr w14:paraId="214660DC">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12" w:hRule="atLeast"/>
        </w:trPr>
        <w:tc>
          <w:tcPr>
            <w:tcW w:w="10028" w:type="dxa"/>
            <w:gridSpan w:val="4"/>
            <w:tcBorders>
              <w:top w:val="single" w:color="A4A4A4" w:sz="4" w:space="0"/>
              <w:left w:val="nil"/>
              <w:bottom w:val="single" w:color="A4A4A4" w:sz="4" w:space="0"/>
              <w:right w:val="nil"/>
            </w:tcBorders>
            <w:shd w:val="clear" w:color="auto" w:fill="auto"/>
            <w:vAlign w:val="center"/>
          </w:tcPr>
          <w:p w14:paraId="15308612">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endif %}</w:t>
            </w:r>
          </w:p>
        </w:tc>
      </w:tr>
    </w:tbl>
    <w:p w14:paraId="5FD0B2A7">
      <w:pPr>
        <w:rPr>
          <w:rFonts w:hint="eastAsia" w:ascii="Times New Roman" w:hAnsi="Times New Roman" w:cs="Times New Roman"/>
          <w:sz w:val="28"/>
          <w:szCs w:val="28"/>
          <w:lang w:val="en-US" w:eastAsia="zh-CN"/>
        </w:rPr>
      </w:pPr>
      <w:r>
        <w:rPr>
          <w:rFonts w:hint="eastAsia" w:ascii="Times New Roman" w:hAnsi="Times New Roman" w:eastAsia="微软雅黑" w:cs="Times New Roman"/>
          <w:b w:val="0"/>
          <w:bCs/>
          <w:sz w:val="21"/>
          <w:szCs w:val="21"/>
          <w:lang w:val="en-US" w:eastAsia="zh-CN"/>
        </w:rPr>
        <w:t xml:space="preserve">{% elif </w:t>
      </w:r>
      <w:r>
        <w:rPr>
          <w:rFonts w:hint="eastAsia" w:ascii="Times New Roman" w:hAnsi="Times New Roman" w:cs="Times New Roman"/>
          <w:sz w:val="21"/>
          <w:szCs w:val="21"/>
          <w:lang w:val="en-US" w:eastAsia="zh-CN"/>
        </w:rPr>
        <w:t>disease.Midline or disease.KidneyFlag %}</w:t>
      </w:r>
      <w:r>
        <w:rPr>
          <w:rFonts w:ascii="Times New Roman" w:hAnsi="Times New Roman" w:eastAsia="微软雅黑" w:cs="Times New Roman"/>
          <w:b/>
          <w:color w:val="000000" w:themeColor="text1"/>
          <w:sz w:val="21"/>
          <w:szCs w:val="21"/>
          <w:lang w:eastAsia="zh-CN"/>
          <w14:textFill>
            <w14:solidFill>
              <w14:schemeClr w14:val="tx1"/>
            </w14:solidFill>
          </w14:textFill>
        </w:rPr>
        <w:t>共有{{ summaryOfRresults.</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cancerCount</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1166</w:t>
      </w:r>
      <w:r>
        <w:rPr>
          <w:rFonts w:ascii="Times New Roman" w:hAnsi="Times New Roman" w:eastAsia="微软雅黑" w:cs="Times New Roman"/>
          <w:b/>
          <w:color w:val="000000" w:themeColor="text1"/>
          <w:sz w:val="21"/>
          <w:szCs w:val="21"/>
          <w:lang w:eastAsia="zh-CN"/>
          <w14:textFill>
            <w14:solidFill>
              <w14:schemeClr w14:val="tx1"/>
            </w14:solidFill>
          </w14:textFill>
        </w:rPr>
        <w:t>}}个基因重排</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与辅助诊断相关</w:t>
      </w:r>
      <w:r>
        <w:rPr>
          <w:rFonts w:ascii="Times New Roman" w:hAnsi="Times New Roman" w:eastAsia="微软雅黑" w:cs="Times New Roman"/>
          <w:b/>
          <w:color w:val="000000" w:themeColor="text1"/>
          <w:sz w:val="24"/>
          <w:szCs w:val="24"/>
          <w:lang w:eastAsia="zh-CN"/>
          <w14:textFill>
            <w14:solidFill>
              <w14:schemeClr w14:val="tx1"/>
            </w14:solidFill>
          </w14:textFill>
        </w:rPr>
        <w:t>。</w:t>
      </w:r>
    </w:p>
    <w:tbl>
      <w:tblPr>
        <w:tblStyle w:val="22"/>
        <w:tblW w:w="10028" w:type="dxa"/>
        <w:tblInd w:w="0" w:type="dxa"/>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4309"/>
        <w:gridCol w:w="1425"/>
        <w:gridCol w:w="2469"/>
        <w:gridCol w:w="1825"/>
      </w:tblGrid>
      <w:tr w14:paraId="0120FDE7">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658" w:hRule="exact"/>
          <w:tblHeader/>
        </w:trPr>
        <w:tc>
          <w:tcPr>
            <w:tcW w:w="4309" w:type="dxa"/>
            <w:tcBorders>
              <w:top w:val="nil"/>
              <w:left w:val="nil"/>
              <w:bottom w:val="nil"/>
              <w:right w:val="single" w:color="FFFFFF" w:sz="18" w:space="0"/>
            </w:tcBorders>
            <w:shd w:val="clear" w:color="auto" w:fill="62B541"/>
            <w:vAlign w:val="center"/>
          </w:tcPr>
          <w:p w14:paraId="6BD0D628">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1425" w:type="dxa"/>
            <w:tcBorders>
              <w:top w:val="nil"/>
              <w:left w:val="single" w:color="FFFFFF" w:sz="18" w:space="0"/>
              <w:bottom w:val="nil"/>
              <w:right w:val="single" w:color="FFFFFF" w:sz="18" w:space="0"/>
            </w:tcBorders>
            <w:shd w:val="clear" w:color="auto" w:fill="62B541"/>
            <w:vAlign w:val="center"/>
          </w:tcPr>
          <w:p w14:paraId="1C692793">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融合reads数</w:t>
            </w:r>
          </w:p>
        </w:tc>
        <w:tc>
          <w:tcPr>
            <w:tcW w:w="2469" w:type="dxa"/>
            <w:tcBorders>
              <w:top w:val="nil"/>
              <w:left w:val="single" w:color="FFFFFF" w:sz="18" w:space="0"/>
              <w:bottom w:val="nil"/>
              <w:right w:val="single" w:color="FFFFFF" w:sz="18" w:space="0"/>
            </w:tcBorders>
            <w:shd w:val="clear" w:color="auto" w:fill="62B541"/>
            <w:vAlign w:val="center"/>
          </w:tcPr>
          <w:p w14:paraId="2692A966">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基因变异相关亚型</w:t>
            </w:r>
          </w:p>
        </w:tc>
        <w:tc>
          <w:tcPr>
            <w:tcW w:w="1825" w:type="dxa"/>
            <w:tcBorders>
              <w:top w:val="nil"/>
              <w:left w:val="single" w:color="FFFFFF" w:sz="18" w:space="0"/>
              <w:bottom w:val="nil"/>
              <w:right w:val="nil"/>
            </w:tcBorders>
            <w:shd w:val="clear" w:color="auto" w:fill="62B541"/>
            <w:vAlign w:val="center"/>
          </w:tcPr>
          <w:p w14:paraId="10BC93ED">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Hans"/>
                <w14:textFill>
                  <w14:solidFill>
                    <w14:schemeClr w14:val="bg1"/>
                  </w14:solidFill>
                </w14:textFill>
              </w:rPr>
              <w:t>证据等级</w:t>
            </w:r>
          </w:p>
        </w:tc>
      </w:tr>
      <w:tr w14:paraId="12D7797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03" w:hRule="atLeast"/>
        </w:trPr>
        <w:tc>
          <w:tcPr>
            <w:tcW w:w="10028" w:type="dxa"/>
            <w:gridSpan w:val="4"/>
            <w:tcBorders>
              <w:top w:val="dotted" w:color="45A3A7" w:sz="4" w:space="0"/>
              <w:left w:val="nil"/>
              <w:bottom w:val="single" w:color="A4A4A4" w:sz="4" w:space="0"/>
              <w:right w:val="nil"/>
            </w:tcBorders>
            <w:shd w:val="clear" w:color="auto" w:fill="auto"/>
            <w:vAlign w:val="center"/>
          </w:tcPr>
          <w:p w14:paraId="01EDEE0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shd w:val="clear" w:color="auto" w:fill="FFFFFF"/>
                <w:lang w:eastAsia="zh-CN"/>
              </w:rPr>
              <w:t xml:space="preserve">{%tr if </w:t>
            </w:r>
            <w:r>
              <w:rPr>
                <w:rFonts w:hint="eastAsia" w:ascii="Times New Roman" w:hAnsi="Times New Roman" w:eastAsia="微软雅黑" w:cs="Times New Roman"/>
                <w:color w:val="000000"/>
                <w:sz w:val="21"/>
                <w:szCs w:val="21"/>
                <w:shd w:val="clear" w:color="auto" w:fill="FFFFFF"/>
                <w:lang w:val="en-US" w:eastAsia="zh-CN"/>
              </w:rPr>
              <w:t>cancer</w:t>
            </w:r>
            <w:r>
              <w:rPr>
                <w:rFonts w:hint="eastAsia" w:ascii="Times New Roman" w:hAnsi="Times New Roman" w:eastAsia="微软雅黑" w:cs="Times New Roman"/>
                <w:color w:val="000000"/>
                <w:sz w:val="21"/>
                <w:szCs w:val="21"/>
                <w:shd w:val="clear" w:color="auto" w:fill="FFFFFF"/>
                <w:lang w:eastAsia="zh-CN"/>
              </w:rPr>
              <w:t>Typing</w:t>
            </w:r>
            <w:r>
              <w:rPr>
                <w:rFonts w:hint="eastAsia" w:ascii="Times New Roman" w:hAnsi="Times New Roman" w:eastAsia="微软雅黑" w:cs="Times New Roman"/>
                <w:color w:val="000000"/>
                <w:sz w:val="21"/>
                <w:szCs w:val="21"/>
                <w:shd w:val="clear" w:color="auto" w:fill="FFFFFF"/>
                <w:lang w:val="en-US" w:eastAsia="zh-CN"/>
              </w:rPr>
              <w:t>1166</w:t>
            </w:r>
            <w:r>
              <w:rPr>
                <w:rFonts w:hint="eastAsia" w:ascii="Times New Roman" w:hAnsi="Times New Roman" w:eastAsia="微软雅黑" w:cs="Times New Roman"/>
                <w:color w:val="000000"/>
                <w:sz w:val="21"/>
                <w:szCs w:val="21"/>
                <w:shd w:val="clear" w:color="auto" w:fill="FFFFFF"/>
                <w:lang w:eastAsia="zh-CN"/>
              </w:rPr>
              <w:t xml:space="preserve"> %}</w:t>
            </w:r>
          </w:p>
        </w:tc>
      </w:tr>
      <w:tr w14:paraId="11B8F193">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88" w:hRule="atLeast"/>
        </w:trPr>
        <w:tc>
          <w:tcPr>
            <w:tcW w:w="10028" w:type="dxa"/>
            <w:gridSpan w:val="4"/>
            <w:tcBorders>
              <w:top w:val="single" w:color="A4A4A4" w:sz="4" w:space="0"/>
              <w:left w:val="nil"/>
              <w:bottom w:val="nil"/>
              <w:right w:val="nil"/>
            </w:tcBorders>
            <w:shd w:val="clear" w:color="auto" w:fill="auto"/>
            <w:vAlign w:val="center"/>
          </w:tcPr>
          <w:p w14:paraId="710CC6B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shd w:val="clear" w:color="auto" w:fill="FFFFFF"/>
                <w:lang w:eastAsia="zh-CN"/>
              </w:rPr>
              <w:t xml:space="preserve">{%tr for st in </w:t>
            </w:r>
            <w:r>
              <w:rPr>
                <w:rFonts w:hint="eastAsia" w:ascii="Times New Roman" w:hAnsi="Times New Roman" w:eastAsia="微软雅黑" w:cs="Times New Roman"/>
                <w:color w:val="000000"/>
                <w:sz w:val="21"/>
                <w:szCs w:val="21"/>
                <w:shd w:val="clear" w:color="auto" w:fill="FFFFFF"/>
                <w:lang w:val="en-US" w:eastAsia="zh-CN"/>
              </w:rPr>
              <w:t>cancer</w:t>
            </w:r>
            <w:r>
              <w:rPr>
                <w:rFonts w:hint="eastAsia" w:ascii="Times New Roman" w:hAnsi="Times New Roman" w:eastAsia="微软雅黑" w:cs="Times New Roman"/>
                <w:color w:val="000000"/>
                <w:sz w:val="21"/>
                <w:szCs w:val="21"/>
                <w:shd w:val="clear" w:color="auto" w:fill="FFFFFF"/>
                <w:lang w:eastAsia="zh-CN"/>
              </w:rPr>
              <w:t>Typing</w:t>
            </w:r>
            <w:r>
              <w:rPr>
                <w:rFonts w:hint="eastAsia" w:ascii="Times New Roman" w:hAnsi="Times New Roman" w:eastAsia="微软雅黑" w:cs="Times New Roman"/>
                <w:color w:val="000000"/>
                <w:sz w:val="21"/>
                <w:szCs w:val="21"/>
                <w:shd w:val="clear" w:color="auto" w:fill="FFFFFF"/>
                <w:lang w:val="en-US" w:eastAsia="zh-CN"/>
              </w:rPr>
              <w:t>1166</w:t>
            </w:r>
            <w:r>
              <w:rPr>
                <w:rFonts w:hint="eastAsia" w:ascii="Times New Roman" w:hAnsi="Times New Roman" w:eastAsia="微软雅黑" w:cs="Times New Roman"/>
                <w:color w:val="000000"/>
                <w:sz w:val="21"/>
                <w:szCs w:val="21"/>
                <w:shd w:val="clear" w:color="auto" w:fill="FFFFFF"/>
                <w:lang w:eastAsia="zh-CN"/>
              </w:rPr>
              <w:t xml:space="preserve"> %}</w:t>
            </w:r>
          </w:p>
        </w:tc>
      </w:tr>
      <w:tr w14:paraId="1070105A">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227" w:hRule="atLeast"/>
        </w:trPr>
        <w:tc>
          <w:tcPr>
            <w:tcW w:w="4309" w:type="dxa"/>
            <w:tcBorders>
              <w:top w:val="nil"/>
              <w:left w:val="nil"/>
              <w:bottom w:val="single" w:color="A4A4A4" w:sz="4" w:space="0"/>
              <w:right w:val="single" w:color="A4A4A4" w:sz="4" w:space="0"/>
            </w:tcBorders>
            <w:shd w:val="clear" w:color="auto" w:fill="auto"/>
            <w:vAlign w:val="center"/>
          </w:tcPr>
          <w:p w14:paraId="1CB68FB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 xml:space="preserve">{% if st.variant == </w:t>
            </w:r>
            <w:r>
              <w:rPr>
                <w:rFonts w:hint="default" w:ascii="Times New Roman" w:hAnsi="Times New Roman" w:eastAsia="微软雅黑" w:cs="Times New Roman"/>
                <w:sz w:val="21"/>
                <w:szCs w:val="21"/>
                <w:lang w:val="en-US" w:eastAsia="zh-CN"/>
              </w:rPr>
              <w:t>‘</w:t>
            </w:r>
            <w:r>
              <w:rPr>
                <w:rFonts w:hint="eastAsia" w:ascii="Times New Roman" w:hAnsi="Times New Roman" w:eastAsia="微软雅黑" w:cs="Times New Roman"/>
                <w:sz w:val="21"/>
                <w:szCs w:val="21"/>
                <w:lang w:val="en-US" w:eastAsia="zh-CN"/>
              </w:rPr>
              <w:t>-</w:t>
            </w:r>
            <w:r>
              <w:rPr>
                <w:rFonts w:hint="default" w:ascii="Times New Roman" w:hAnsi="Times New Roman" w:eastAsia="微软雅黑" w:cs="Times New Roman"/>
                <w:sz w:val="21"/>
                <w:szCs w:val="21"/>
                <w:lang w:val="en-US" w:eastAsia="zh-CN"/>
              </w:rPr>
              <w:t>’</w:t>
            </w:r>
            <w:r>
              <w:rPr>
                <w:rFonts w:hint="eastAsia" w:ascii="Times New Roman" w:hAnsi="Times New Roman" w:eastAsia="微软雅黑" w:cs="Times New Roman"/>
                <w:sz w:val="21"/>
                <w:szCs w:val="21"/>
                <w:lang w:val="en-US" w:eastAsia="zh-CN"/>
              </w:rPr>
              <w:t>%}-{% else%}</w:t>
            </w:r>
            <w:r>
              <w:rPr>
                <w:rFonts w:hint="eastAsia" w:ascii="Times New Roman" w:hAnsi="Times New Roman" w:eastAsia="微软雅黑" w:cs="Times New Roman"/>
                <w:sz w:val="21"/>
                <w:szCs w:val="21"/>
                <w:lang w:eastAsia="zh-CN"/>
              </w:rPr>
              <w:t>{{ st.</w:t>
            </w:r>
            <w:r>
              <w:rPr>
                <w:rFonts w:hint="eastAsia" w:ascii="Times New Roman" w:hAnsi="Times New Roman" w:eastAsia="微软雅黑" w:cs="Times New Roman"/>
                <w:sz w:val="21"/>
                <w:szCs w:val="21"/>
                <w:lang w:val="en-US" w:eastAsia="zh-CN"/>
              </w:rPr>
              <w:t>variant</w:t>
            </w:r>
            <w:r>
              <w:rPr>
                <w:rFonts w:hint="eastAsia" w:ascii="Times New Roman" w:hAnsi="Times New Roman" w:eastAsia="微软雅黑" w:cs="Times New Roman"/>
                <w:sz w:val="21"/>
                <w:szCs w:val="21"/>
                <w:lang w:eastAsia="zh-CN"/>
              </w:rPr>
              <w:t>}}</w:t>
            </w:r>
          </w:p>
          <w:p w14:paraId="35841DD4">
            <w:pPr>
              <w:spacing w:before="1" w:line="249" w:lineRule="auto"/>
              <w:ind w:left="262" w:right="131"/>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eastAsia="zh-CN"/>
              </w:rPr>
              <w:t>({{ st.transcript }})</w:t>
            </w:r>
            <w:r>
              <w:rPr>
                <w:rFonts w:hint="eastAsia" w:ascii="Times New Roman" w:hAnsi="Times New Roman" w:eastAsia="微软雅黑" w:cs="Times New Roman"/>
                <w:sz w:val="21"/>
                <w:szCs w:val="21"/>
                <w:lang w:val="en-US" w:eastAsia="zh-CN"/>
              </w:rPr>
              <w:t>{% endif %}</w:t>
            </w:r>
          </w:p>
        </w:tc>
        <w:tc>
          <w:tcPr>
            <w:tcW w:w="1425" w:type="dxa"/>
            <w:tcBorders>
              <w:top w:val="nil"/>
              <w:left w:val="single" w:color="A4A4A4" w:sz="4" w:space="0"/>
              <w:bottom w:val="single" w:color="A4A4A4" w:sz="4" w:space="0"/>
              <w:right w:val="single" w:color="A4A4A4" w:sz="4" w:space="0"/>
            </w:tcBorders>
            <w:shd w:val="clear" w:color="auto" w:fill="auto"/>
            <w:vAlign w:val="center"/>
          </w:tcPr>
          <w:p w14:paraId="482AC92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st.mut</w:t>
            </w:r>
            <w:r>
              <w:rPr>
                <w:rFonts w:hint="eastAsia" w:ascii="Times New Roman" w:hAnsi="Times New Roman" w:eastAsia="微软雅黑" w:cs="Times New Roman"/>
                <w:sz w:val="21"/>
                <w:szCs w:val="21"/>
                <w:lang w:val="en-US" w:eastAsia="zh-CN"/>
              </w:rPr>
              <w:t>_f</w:t>
            </w:r>
            <w:r>
              <w:rPr>
                <w:rFonts w:hint="eastAsia" w:ascii="Times New Roman" w:hAnsi="Times New Roman" w:eastAsia="微软雅黑" w:cs="Times New Roman"/>
                <w:sz w:val="21"/>
                <w:szCs w:val="21"/>
                <w:lang w:eastAsia="zh-CN"/>
              </w:rPr>
              <w:t>req }}</w:t>
            </w:r>
          </w:p>
        </w:tc>
        <w:tc>
          <w:tcPr>
            <w:tcW w:w="2469" w:type="dxa"/>
            <w:tcBorders>
              <w:top w:val="nil"/>
              <w:left w:val="single" w:color="A4A4A4" w:sz="4" w:space="0"/>
              <w:bottom w:val="single" w:color="A4A4A4" w:sz="4" w:space="0"/>
              <w:right w:val="single" w:color="A4A4A4" w:sz="4" w:space="0"/>
            </w:tcBorders>
            <w:shd w:val="clear" w:color="auto" w:fill="auto"/>
            <w:vAlign w:val="center"/>
          </w:tcPr>
          <w:p w14:paraId="5CF7E6D7">
            <w:pPr>
              <w:spacing w:before="1" w:line="249" w:lineRule="auto"/>
              <w:ind w:left="262" w:right="131"/>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{{st.subtype}}</w:t>
            </w:r>
          </w:p>
        </w:tc>
        <w:tc>
          <w:tcPr>
            <w:tcW w:w="1825" w:type="dxa"/>
            <w:tcBorders>
              <w:top w:val="nil"/>
              <w:left w:val="single" w:color="A4A4A4" w:sz="4" w:space="0"/>
              <w:bottom w:val="single" w:color="A4A4A4" w:sz="4" w:space="0"/>
              <w:right w:val="nil"/>
            </w:tcBorders>
            <w:shd w:val="clear" w:color="auto" w:fill="auto"/>
            <w:vAlign w:val="center"/>
          </w:tcPr>
          <w:p w14:paraId="280F5D75">
            <w:pPr>
              <w:spacing w:before="1" w:line="249" w:lineRule="auto"/>
              <w:ind w:left="262" w:right="131"/>
              <w:jc w:val="center"/>
              <w:rPr>
                <w:rFonts w:ascii="Times New Roman" w:hAnsi="Times New Roman" w:eastAsia="微软雅黑" w:cs="Times New Roman"/>
                <w:color w:val="000000"/>
                <w:sz w:val="21"/>
                <w:szCs w:val="21"/>
                <w:shd w:val="clear" w:color="auto" w:fill="FFFFFF"/>
                <w:lang w:eastAsia="zh-CN"/>
              </w:rPr>
            </w:pPr>
            <w:r>
              <w:rPr>
                <w:rFonts w:hint="eastAsia" w:ascii="Times New Roman" w:hAnsi="Times New Roman" w:eastAsia="微软雅黑" w:cs="Times New Roman"/>
                <w:sz w:val="21"/>
                <w:szCs w:val="21"/>
                <w:lang w:eastAsia="zh-CN"/>
              </w:rPr>
              <w:t>{{s</w:t>
            </w:r>
            <w:r>
              <w:rPr>
                <w:rFonts w:hint="eastAsia" w:ascii="Times New Roman" w:hAnsi="Times New Roman" w:eastAsia="微软雅黑" w:cs="Times New Roman"/>
                <w:sz w:val="21"/>
                <w:szCs w:val="21"/>
                <w:lang w:val="en-US" w:eastAsia="zh-CN"/>
              </w:rPr>
              <w:t>t</w:t>
            </w:r>
            <w:r>
              <w:rPr>
                <w:rFonts w:hint="eastAsia" w:ascii="Times New Roman" w:hAnsi="Times New Roman" w:eastAsia="微软雅黑" w:cs="Times New Roman"/>
                <w:sz w:val="21"/>
                <w:szCs w:val="21"/>
                <w:lang w:eastAsia="zh-CN"/>
              </w:rPr>
              <w:t>.evidence}}</w:t>
            </w:r>
          </w:p>
        </w:tc>
      </w:tr>
      <w:tr w14:paraId="608E6E4A">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191" w:hRule="atLeast"/>
        </w:trPr>
        <w:tc>
          <w:tcPr>
            <w:tcW w:w="10028" w:type="dxa"/>
            <w:gridSpan w:val="4"/>
            <w:tcBorders>
              <w:top w:val="single" w:color="A4A4A4" w:sz="4" w:space="0"/>
              <w:left w:val="nil"/>
              <w:bottom w:val="single" w:color="A4A4A4" w:sz="4" w:space="0"/>
              <w:right w:val="nil"/>
            </w:tcBorders>
            <w:shd w:val="clear" w:color="auto" w:fill="auto"/>
            <w:vAlign w:val="center"/>
          </w:tcPr>
          <w:p w14:paraId="37BA5055">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endfor %}</w:t>
            </w:r>
          </w:p>
        </w:tc>
      </w:tr>
      <w:tr w14:paraId="01B76F71">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093" w:hRule="atLeast"/>
        </w:trPr>
        <w:tc>
          <w:tcPr>
            <w:tcW w:w="10028" w:type="dxa"/>
            <w:gridSpan w:val="4"/>
            <w:tcBorders>
              <w:top w:val="single" w:color="A4A4A4" w:sz="4" w:space="0"/>
              <w:left w:val="nil"/>
              <w:bottom w:val="nil"/>
              <w:right w:val="nil"/>
            </w:tcBorders>
            <w:shd w:val="clear" w:color="auto" w:fill="auto"/>
            <w:vAlign w:val="center"/>
          </w:tcPr>
          <w:p w14:paraId="1C8CDEDD">
            <w:pPr>
              <w:spacing w:before="1" w:line="249" w:lineRule="auto"/>
              <w:ind w:left="262" w:right="131"/>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{%tr else %}</w:t>
            </w:r>
          </w:p>
        </w:tc>
      </w:tr>
      <w:tr w14:paraId="6365D83A">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057" w:hRule="atLeast"/>
        </w:trPr>
        <w:tc>
          <w:tcPr>
            <w:tcW w:w="4309" w:type="dxa"/>
            <w:tcBorders>
              <w:top w:val="nil"/>
              <w:left w:val="nil"/>
              <w:bottom w:val="single" w:color="A4A4A4" w:sz="4" w:space="0"/>
              <w:right w:val="single" w:color="A4A4A4" w:sz="4" w:space="0"/>
            </w:tcBorders>
            <w:shd w:val="clear" w:color="auto" w:fill="auto"/>
            <w:vAlign w:val="center"/>
          </w:tcPr>
          <w:p w14:paraId="1F43EEDF">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1425" w:type="dxa"/>
            <w:tcBorders>
              <w:top w:val="nil"/>
              <w:left w:val="single" w:color="A4A4A4" w:sz="4" w:space="0"/>
              <w:bottom w:val="single" w:color="A4A4A4" w:sz="4" w:space="0"/>
              <w:right w:val="single" w:color="A4A4A4" w:sz="4" w:space="0"/>
            </w:tcBorders>
            <w:shd w:val="clear" w:color="auto" w:fill="auto"/>
            <w:vAlign w:val="center"/>
          </w:tcPr>
          <w:p w14:paraId="333462E0">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2469" w:type="dxa"/>
            <w:tcBorders>
              <w:top w:val="nil"/>
              <w:left w:val="single" w:color="A4A4A4" w:sz="4" w:space="0"/>
              <w:bottom w:val="single" w:color="A4A4A4" w:sz="4" w:space="0"/>
              <w:right w:val="single" w:color="A4A4A4" w:sz="4" w:space="0"/>
            </w:tcBorders>
            <w:shd w:val="clear" w:color="auto" w:fill="auto"/>
            <w:vAlign w:val="center"/>
          </w:tcPr>
          <w:p w14:paraId="6037AEEF">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1825" w:type="dxa"/>
            <w:tcBorders>
              <w:top w:val="nil"/>
              <w:left w:val="single" w:color="A4A4A4" w:sz="4" w:space="0"/>
              <w:bottom w:val="single" w:color="A4A4A4" w:sz="4" w:space="0"/>
              <w:right w:val="nil"/>
            </w:tcBorders>
            <w:shd w:val="clear" w:color="auto" w:fill="auto"/>
            <w:vAlign w:val="center"/>
          </w:tcPr>
          <w:p w14:paraId="4ADAA0D4">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color w:val="000000"/>
                <w:sz w:val="21"/>
                <w:szCs w:val="21"/>
                <w:shd w:val="clear" w:color="auto" w:fill="FFFFFF"/>
                <w:lang w:eastAsia="zh-CN"/>
              </w:rPr>
              <w:t>/</w:t>
            </w:r>
          </w:p>
        </w:tc>
      </w:tr>
      <w:tr w14:paraId="24DD79BC">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12" w:hRule="atLeast"/>
        </w:trPr>
        <w:tc>
          <w:tcPr>
            <w:tcW w:w="10028" w:type="dxa"/>
            <w:gridSpan w:val="4"/>
            <w:tcBorders>
              <w:top w:val="single" w:color="A4A4A4" w:sz="4" w:space="0"/>
              <w:left w:val="nil"/>
              <w:bottom w:val="single" w:color="A4A4A4" w:sz="4" w:space="0"/>
              <w:right w:val="nil"/>
            </w:tcBorders>
            <w:shd w:val="clear" w:color="auto" w:fill="auto"/>
            <w:vAlign w:val="center"/>
          </w:tcPr>
          <w:p w14:paraId="0DBD3A61">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endif %}</w:t>
            </w:r>
          </w:p>
        </w:tc>
      </w:tr>
    </w:tbl>
    <w:p w14:paraId="39CF3CD9">
      <w:pPr>
        <w:rPr>
          <w:rFonts w:ascii="Times New Roman" w:hAnsi="Times New Roman" w:eastAsia="微软雅黑" w:cs="Times New Roman"/>
          <w:b/>
          <w:sz w:val="18"/>
          <w:szCs w:val="18"/>
          <w:lang w:eastAsia="zh-CN"/>
        </w:rPr>
      </w:pPr>
    </w:p>
    <w:p w14:paraId="3D40CECD">
      <w:pP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val="en-US" w:eastAsia="zh-CN"/>
        </w:rPr>
        <w:t>{% endif %}</w:t>
      </w:r>
      <w:r>
        <w:rPr>
          <w:rFonts w:ascii="Times New Roman" w:hAnsi="Times New Roman" w:eastAsia="微软雅黑" w:cs="Times New Roman"/>
          <w:b/>
          <w:sz w:val="18"/>
          <w:szCs w:val="18"/>
          <w:lang w:eastAsia="zh-CN"/>
        </w:rPr>
        <w:t>注：</w:t>
      </w:r>
    </w:p>
    <w:p w14:paraId="4B9CA870">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分析注释时采用RefSeq转录本编号</w:t>
      </w:r>
      <w:r>
        <w:rPr>
          <w:rFonts w:hint="eastAsia" w:ascii="Times New Roman" w:hAnsi="Times New Roman" w:eastAsia="微软雅黑" w:cs="Times New Roman"/>
          <w:sz w:val="18"/>
          <w:szCs w:val="18"/>
          <w:lang w:eastAsia="zh-CN"/>
        </w:rPr>
        <w:t>。</w:t>
      </w:r>
    </w:p>
    <w:p w14:paraId="79147826">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基因重排结果为送检肿瘤单样本的数据分析检测结果，不排除会存在胚系融合的检出。</w:t>
      </w:r>
    </w:p>
    <w:p w14:paraId="273F47DE">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本报告仅从RNA层面检测融合变异形式，RNA层面检测融合更有可能翻译成蛋白，从而发挥功能，促进肿瘤的发生发展，其与临床的相关性更强。</w:t>
      </w:r>
    </w:p>
    <w:p w14:paraId="3E7A9CEC">
      <w:pPr>
        <w:numPr>
          <w:ilvl w:val="0"/>
          <w:numId w:val="7"/>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肿瘤</w:t>
      </w:r>
      <w:r>
        <w:rPr>
          <w:rFonts w:ascii="Times New Roman" w:hAnsi="Times New Roman" w:eastAsia="微软雅黑" w:cs="Times New Roman"/>
          <w:sz w:val="18"/>
          <w:szCs w:val="18"/>
          <w:lang w:eastAsia="zh-CN"/>
        </w:rPr>
        <w:t>的分子特征较复杂，基因变异与</w:t>
      </w:r>
      <w:r>
        <w:rPr>
          <w:rFonts w:hint="eastAsia" w:ascii="Times New Roman" w:hAnsi="Times New Roman" w:eastAsia="微软雅黑" w:cs="Times New Roman"/>
          <w:sz w:val="18"/>
          <w:szCs w:val="18"/>
          <w:lang w:eastAsia="zh-CN"/>
        </w:rPr>
        <w:t>肿瘤</w:t>
      </w:r>
      <w:r>
        <w:rPr>
          <w:rFonts w:ascii="Times New Roman" w:hAnsi="Times New Roman" w:eastAsia="微软雅黑" w:cs="Times New Roman"/>
          <w:sz w:val="18"/>
          <w:szCs w:val="18"/>
          <w:lang w:eastAsia="zh-CN"/>
        </w:rPr>
        <w:t>分型不具有绝对的一致性，建议临床分型检测综合根据临床和病理特征以及分子检测结果进行综合判定，具体</w:t>
      </w:r>
      <w:r>
        <w:rPr>
          <w:rFonts w:hint="eastAsia" w:ascii="Times New Roman" w:hAnsi="Times New Roman" w:eastAsia="微软雅黑" w:cs="Times New Roman"/>
          <w:sz w:val="18"/>
          <w:szCs w:val="18"/>
          <w:lang w:eastAsia="zh-CN"/>
        </w:rPr>
        <w:t>肿瘤</w:t>
      </w:r>
      <w:r>
        <w:rPr>
          <w:rFonts w:ascii="Times New Roman" w:hAnsi="Times New Roman" w:eastAsia="微软雅黑" w:cs="Times New Roman"/>
          <w:sz w:val="18"/>
          <w:szCs w:val="18"/>
          <w:lang w:eastAsia="zh-CN"/>
        </w:rPr>
        <w:t>分型诊断请以临床医生诊断为准。</w:t>
      </w:r>
    </w:p>
    <w:p w14:paraId="2C5F63FA">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临床意义未明的基因突变是指在出具报告时文献尚未报道，或者是突变意义已经明确但是无相关的</w:t>
      </w:r>
      <w:r>
        <w:rPr>
          <w:rFonts w:hint="eastAsia" w:ascii="Times New Roman" w:hAnsi="Times New Roman" w:eastAsia="微软雅黑" w:cs="Times New Roman"/>
          <w:sz w:val="18"/>
          <w:szCs w:val="18"/>
          <w:lang w:eastAsia="zh-CN"/>
        </w:rPr>
        <w:t>肿瘤</w:t>
      </w:r>
      <w:r>
        <w:rPr>
          <w:rFonts w:ascii="Times New Roman" w:hAnsi="Times New Roman" w:eastAsia="微软雅黑" w:cs="Times New Roman"/>
          <w:sz w:val="18"/>
          <w:szCs w:val="18"/>
          <w:lang w:eastAsia="zh-CN"/>
        </w:rPr>
        <w:t>分型诊断信息，或者是该突变意义不明确，可能存在潜在的临床意义。</w:t>
      </w:r>
    </w:p>
    <w:p w14:paraId="7DE00D96">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本报告仅对本次标本检测负责，结果仅供医生参考。</w:t>
      </w:r>
    </w:p>
    <w:p w14:paraId="5190AF63">
      <w:pPr>
        <w:bidi w:val="0"/>
        <w:rPr>
          <w:rFonts w:hint="default" w:ascii="Times New Roman" w:hAnsi="Times New Roman" w:cs="Times New Roman"/>
          <w:sz w:val="24"/>
          <w:szCs w:val="24"/>
          <w:lang w:val="en-US" w:eastAsia="zh-CN"/>
        </w:rPr>
      </w:pPr>
      <w:r>
        <w:rPr>
          <w:rFonts w:ascii="Times New Roman" w:hAnsi="Times New Roman" w:eastAsia="微软雅黑" w:cs="Times New Roman"/>
          <w:lang w:eastAsia="zh-CN"/>
        </w:rPr>
        <w:br w:type="page"/>
      </w:r>
      <w:bookmarkStart w:id="38" w:name="_Toc149837258"/>
      <w:bookmarkStart w:id="39" w:name="_Toc32489"/>
      <w:r>
        <w:rPr>
          <w:rFonts w:hint="default" w:ascii="Times New Roman" w:hAnsi="Times New Roman" w:cs="Times New Roman"/>
          <w:sz w:val="24"/>
          <w:szCs w:val="24"/>
          <w:lang w:val="en-US" w:eastAsia="zh-CN"/>
        </w:rPr>
        <w:t>{% endif %}</w:t>
      </w:r>
    </w:p>
    <w:p w14:paraId="4C29BFAA">
      <w:pPr>
        <w:pStyle w:val="3"/>
        <w:numPr>
          <w:ilvl w:val="255"/>
          <w:numId w:val="0"/>
        </w:numPr>
        <w:jc w:val="left"/>
        <w:rPr>
          <w:color w:val="auto"/>
          <w:sz w:val="30"/>
          <w:lang w:eastAsia="zh-CN"/>
        </w:rPr>
      </w:pPr>
      <w:bookmarkStart w:id="40" w:name="_Toc11808"/>
      <w:r>
        <w:rPr>
          <w:rFonts w:hint="eastAsia"/>
          <w:color w:val="auto"/>
          <w:sz w:val="30"/>
          <w:lang w:val="en-US" w:eastAsia="zh-CN"/>
        </w:rPr>
        <w:t>靶向药物用药</w:t>
      </w:r>
      <w:r>
        <w:rPr>
          <w:rFonts w:hint="eastAsia"/>
          <w:color w:val="auto"/>
          <w:sz w:val="30"/>
          <w:lang w:eastAsia="zh-CN"/>
        </w:rPr>
        <w:t>提示</w:t>
      </w:r>
      <w:bookmarkEnd w:id="38"/>
      <w:bookmarkEnd w:id="39"/>
      <w:bookmarkEnd w:id="40"/>
    </w:p>
    <w:p w14:paraId="06144E6A">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Times New Roman" w:hAnsi="Times New Roman" w:eastAsia="微软雅黑" w:cs="Times New Roman"/>
          <w:b/>
          <w:sz w:val="24"/>
          <w:szCs w:val="24"/>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变异位点</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，其中{{summaryOfRresults.somaticDrugCount}}个与靶向药物相关。</w:t>
      </w:r>
      <w:r>
        <w:rPr>
          <w:rFonts w:hint="eastAsia" w:ascii="Times New Roman" w:hAnsi="Times New Roman" w:eastAsia="微软雅黑" w:cs="Times New Roman"/>
          <w:b/>
          <w:sz w:val="24"/>
          <w:szCs w:val="24"/>
          <w:lang w:eastAsia="zh-CN"/>
        </w:rPr>
        <w:t>{%if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sz w:val="21"/>
          <w:szCs w:val="21"/>
          <w:lang w:eastAsia="zh-CN"/>
        </w:rPr>
        <w:t>{% endif %}</w:t>
      </w:r>
    </w:p>
    <w:tbl>
      <w:tblPr>
        <w:tblStyle w:val="22"/>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7"/>
        <w:gridCol w:w="964"/>
        <w:gridCol w:w="1076"/>
        <w:gridCol w:w="2251"/>
        <w:gridCol w:w="2261"/>
      </w:tblGrid>
      <w:tr w14:paraId="3903BF4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23C3F79D">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2CE10D9D">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14:paraId="3CCED36F">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18775A1A">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56EA6A36">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w:t>
            </w:r>
          </w:p>
        </w:tc>
        <w:tc>
          <w:tcPr>
            <w:tcW w:w="1119" w:type="pct"/>
            <w:tcBorders>
              <w:top w:val="nil"/>
              <w:left w:val="single" w:color="FFFFFF" w:sz="18" w:space="0"/>
              <w:bottom w:val="nil"/>
              <w:right w:val="single" w:color="FFFFFF" w:sz="18" w:space="0"/>
            </w:tcBorders>
            <w:shd w:val="clear" w:color="auto" w:fill="62B541"/>
            <w:vAlign w:val="center"/>
          </w:tcPr>
          <w:p w14:paraId="2A93BA3F">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2092CC8D">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7456D31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786CDC2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118C9C0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1F1CEA0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14:paraId="4C83C24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5F4377F">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6C9D180">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52C9F8">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D464B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A210F4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D84A14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8B12CB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0FA7F6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D158E8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43EBA8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9CFF9F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FEA119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18EF4E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A20474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A3BB94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1FBCDA7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FCCE38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E25D38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6D1B4B2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3D58D86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893925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9604E3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36E3B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881B0CE">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841581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B39216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A5EBFC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48DCC7F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ECC192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018984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06E864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629BC11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6E61C8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AEE8A6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865D1E7">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26C8E04">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1B8D2B2">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8E08F3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6E5064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6EBA92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D7EBED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CF4C18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EA9065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DFBE9F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060D4E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6460A3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12F254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7BCFD50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45EDA3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3CE32A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76AC5D2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55DF3ED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46"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E52AF8E">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8BC5F5">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36F3A1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239C4A5">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666B56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53DC2E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AE1B76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13A9819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69433F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690390A2">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07F4CFFE">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43D9441E">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基因变异所对应的可能获益/耐药药物信息来源于本机构内部数据库，同时参考NCCN指南、OncoKB [PMID: 28890946]等公共数据库内容，该数据仅供临床医生参考。随着数据库不断完善以及临床数据的更新，变异分级可能发生变化。</w:t>
      </w:r>
    </w:p>
    <w:p w14:paraId="02D23A15">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14:paraId="0A2126BD">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359BFCD2">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75F7242D">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340B0C38">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4DA9AA1F">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6C2C82AD">
      <w:pPr>
        <w:pStyle w:val="6"/>
        <w:numPr>
          <w:ilvl w:val="0"/>
          <w:numId w:val="8"/>
        </w:numPr>
        <w:rPr>
          <w:rFonts w:hint="eastAsia"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p>
    <w:p w14:paraId="2A9A45B8">
      <w:pPr>
        <w:numPr>
          <w:ilvl w:val="0"/>
          <w:numId w:val="0"/>
        </w:numPr>
        <w:ind w:leftChars="0"/>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b/>
          <w:color w:val="00B050"/>
          <w:sz w:val="24"/>
          <w:szCs w:val="24"/>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542B86AA">
      <w:pPr>
        <w:pStyle w:val="3"/>
        <w:numPr>
          <w:ilvl w:val="255"/>
          <w:numId w:val="0"/>
        </w:numPr>
        <w:jc w:val="left"/>
        <w:rPr>
          <w:color w:val="auto"/>
          <w:sz w:val="30"/>
          <w:lang w:eastAsia="zh-CN"/>
        </w:rPr>
      </w:pPr>
      <w:bookmarkStart w:id="41" w:name="_Toc106719764"/>
      <w:bookmarkStart w:id="42" w:name="_Toc10223"/>
      <w:bookmarkStart w:id="43" w:name="_Toc20034"/>
      <w:bookmarkStart w:id="44" w:name="_Toc31051"/>
      <w:r>
        <w:rPr>
          <w:rFonts w:hint="eastAsia"/>
          <w:color w:val="auto"/>
          <w:sz w:val="30"/>
          <w:lang w:eastAsia="zh-CN"/>
        </w:rPr>
        <w:t>PD-L1检测结果</w:t>
      </w:r>
      <w:bookmarkEnd w:id="41"/>
      <w:bookmarkEnd w:id="42"/>
      <w:bookmarkEnd w:id="43"/>
      <w:bookmarkEnd w:id="44"/>
    </w:p>
    <w:p w14:paraId="50BB2956">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6"/>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3C21BB75">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73D9B323">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579A8597">
            <w:pPr>
              <w:pStyle w:val="39"/>
            </w:pPr>
            <w:r>
              <w:rPr>
                <w:rFonts w:hint="eastAsia"/>
              </w:rPr>
              <w:t>{{</w:t>
            </w:r>
            <w:r>
              <w:t xml:space="preserve"> PDInfo</w:t>
            </w:r>
            <w:r>
              <w:rPr>
                <w:rFonts w:hint="eastAsia"/>
              </w:rPr>
              <w:t>.</w:t>
            </w:r>
            <w:r>
              <w:t>Tumor_cell_count</w:t>
            </w:r>
            <w:r>
              <w:rPr>
                <w:rFonts w:hint="eastAsia"/>
              </w:rPr>
              <w:t xml:space="preserve"> }}</w:t>
            </w:r>
          </w:p>
        </w:tc>
      </w:tr>
      <w:tr w14:paraId="0463C2A3">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75C8B868">
            <w:pPr>
              <w:pStyle w:val="40"/>
            </w:pPr>
            <w:r>
              <w:t>镜下描述：</w:t>
            </w:r>
            <w:r>
              <w:rPr>
                <w:rFonts w:hint="eastAsia"/>
              </w:rPr>
              <w:t>{{</w:t>
            </w:r>
            <w:r>
              <w:t xml:space="preserve"> PDInfo</w:t>
            </w:r>
            <w:r>
              <w:rPr>
                <w:rFonts w:hint="eastAsia"/>
              </w:rPr>
              <w:t>.</w:t>
            </w:r>
            <w:r>
              <w:t>Seen_microscopically</w:t>
            </w:r>
            <w:r>
              <w:rPr>
                <w:rFonts w:hint="eastAsia"/>
              </w:rPr>
              <w:t xml:space="preserve"> }}</w:t>
            </w:r>
          </w:p>
        </w:tc>
      </w:tr>
    </w:tbl>
    <w:p w14:paraId="136AA9BE">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406136BB">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5E5B17CA">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2BE94057">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5"/>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19016FC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6E495671">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3850B52E">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1A4E46C2">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6F0D54B5">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3BB09F51">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0C582DAE">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4DDC7A78">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21BC0B5C">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091D7A79">
            <w:pPr>
              <w:pStyle w:val="41"/>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72E2E170">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240B6CFB">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78BF7D90">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51B56BCE">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3F78C26E">
            <w:pPr>
              <w:pStyle w:val="41"/>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4C837E31">
      <w:pPr>
        <w:spacing w:line="276" w:lineRule="auto"/>
        <w:ind w:right="449" w:rightChars="204"/>
        <w:rPr>
          <w:rFonts w:ascii="微软雅黑" w:hAnsi="微软雅黑" w:eastAsia="微软雅黑" w:cs="微软雅黑"/>
          <w:b/>
          <w:color w:val="000000"/>
          <w:sz w:val="18"/>
          <w:szCs w:val="18"/>
        </w:rPr>
      </w:pPr>
    </w:p>
    <w:p w14:paraId="4D9B85DF">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4F669559">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652858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55E2EFB8">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3CA78EDE">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42F9D166">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1085CF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619D5B37">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1DBAA500">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316876B2">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791EF415">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6"/>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728C66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DBEF453">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497E5A66">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7FF46368">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42252C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679EE413">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59D695A9">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55A8D60B">
            <w:pPr>
              <w:spacing w:line="276" w:lineRule="auto"/>
              <w:jc w:val="left"/>
              <w:rPr>
                <w:rFonts w:ascii="Times New Roman" w:hAnsi="Times New Roman" w:eastAsia="微软雅黑" w:cs="Times New Roman"/>
                <w:sz w:val="18"/>
                <w:szCs w:val="18"/>
                <w:shd w:val="clear" w:color="auto" w:fill="FFFFFF"/>
                <w:lang w:eastAsia="zh-CN"/>
              </w:rPr>
            </w:pPr>
          </w:p>
        </w:tc>
      </w:tr>
      <w:tr w14:paraId="468BD7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2EB00057">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6FFC302C">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7519F157">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1F6FFB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04882B6A">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24F0B57C">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4221233D">
            <w:pPr>
              <w:spacing w:line="276" w:lineRule="auto"/>
              <w:jc w:val="left"/>
              <w:rPr>
                <w:rFonts w:ascii="Times New Roman" w:hAnsi="Times New Roman" w:eastAsia="微软雅黑" w:cs="Times New Roman"/>
                <w:sz w:val="18"/>
                <w:szCs w:val="18"/>
                <w:shd w:val="clear" w:color="auto" w:fill="FFFFFF"/>
                <w:lang w:eastAsia="zh-CN"/>
              </w:rPr>
            </w:pPr>
          </w:p>
        </w:tc>
      </w:tr>
    </w:tbl>
    <w:p w14:paraId="31CC69A0">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779E2EFF">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784A03E8">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p>
    <w:p w14:paraId="7F45B336">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0D49A24C">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1E9C9A1A">
      <w:pPr>
        <w:pStyle w:val="6"/>
        <w:spacing w:before="18"/>
        <w:rPr>
          <w:b/>
          <w:sz w:val="6"/>
        </w:rPr>
      </w:pPr>
    </w:p>
    <w:tbl>
      <w:tblPr>
        <w:tblStyle w:val="15"/>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40D9934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740BC15B">
            <w:pPr>
              <w:pStyle w:val="21"/>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2C7D6BC0">
            <w:pPr>
              <w:pStyle w:val="21"/>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1BFEB6E0">
            <w:pPr>
              <w:pStyle w:val="21"/>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4BB99810">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68808626">
            <w:pPr>
              <w:pStyle w:val="21"/>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47608049">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1C657833">
            <w:pPr>
              <w:pStyle w:val="21"/>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0505D3A5">
            <w:pPr>
              <w:pStyle w:val="21"/>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0213BCF5">
            <w:pPr>
              <w:pStyle w:val="21"/>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3CF5F50D">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1279AD09">
            <w:pPr>
              <w:pStyle w:val="21"/>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2639F19D">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[1]实体肿瘤PD-L1免疫组织化学检测专家共识（2021版）</w:t>
      </w:r>
      <w:r>
        <w:rPr>
          <w:rFonts w:hint="eastAsia" w:ascii="Times New Roman" w:hAnsi="Times New Roman" w:eastAsia="微软雅黑" w:cs="Times New Roman"/>
          <w:bCs/>
          <w:sz w:val="18"/>
          <w:szCs w:val="18"/>
          <w:lang w:eastAsia="zh-CN"/>
        </w:rPr>
        <w:t>{% endif %}</w:t>
      </w:r>
    </w:p>
    <w:p w14:paraId="0A696CFB">
      <w:pPr>
        <w:widowControl/>
        <w:ind w:firstLine="180" w:firstLineChars="100"/>
        <w:rPr>
          <w:rFonts w:hint="eastAsia" w:ascii="Times New Roman" w:hAnsi="Times New Roman" w:eastAsia="微软雅黑" w:cs="Times New Roman"/>
          <w:bCs/>
          <w:sz w:val="18"/>
          <w:szCs w:val="18"/>
          <w:lang w:eastAsia="zh-CN"/>
        </w:rPr>
      </w:pPr>
      <w:r>
        <w:rPr>
          <w:rFonts w:hint="default" w:ascii="Times New Roman" w:hAnsi="Times New Roman" w:eastAsia="微软雅黑" w:cs="Times New Roman"/>
          <w:b/>
          <w:bCs/>
          <w:kern w:val="0"/>
          <w:sz w:val="18"/>
          <w:szCs w:val="18"/>
          <w:lang w:val="en-US" w:bidi="zh-CN"/>
        </w:rPr>
        <w:t>注：</w:t>
      </w:r>
      <w:r>
        <w:rPr>
          <w:rFonts w:hint="default" w:ascii="Times New Roman" w:hAnsi="Times New Roman" w:eastAsia="微软雅黑" w:cs="Times New Roman"/>
          <w:b w:val="0"/>
          <w:bCs w:val="0"/>
          <w:kern w:val="0"/>
          <w:sz w:val="18"/>
          <w:szCs w:val="18"/>
          <w:lang w:val="en-US" w:bidi="zh-CN"/>
        </w:rPr>
        <w:t>NMPA</w:t>
      </w:r>
      <w:r>
        <w:rPr>
          <w:rFonts w:hint="default"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bidi="zh-CN"/>
        </w:rPr>
        <w:t>国家药品监督管理局；FDA</w:t>
      </w:r>
      <w:r>
        <w:rPr>
          <w:rFonts w:hint="default" w:ascii="Times New Roman" w:hAnsi="Times New Roman" w:eastAsia="微软雅黑" w:cs="Times New Roman"/>
          <w:b w:val="0"/>
          <w:bCs w:val="0"/>
          <w:kern w:val="0"/>
          <w:sz w:val="18"/>
          <w:szCs w:val="18"/>
          <w:lang w:val="en-US" w:eastAsia="zh-CN" w:bidi="zh-CN"/>
        </w:rPr>
        <w:t>：美国食品药品管理局</w:t>
      </w:r>
      <w:r>
        <w:rPr>
          <w:rFonts w:hint="eastAsia"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eastAsia="zh-CN" w:bidi="zh-CN"/>
        </w:rPr>
        <w:t>信息来源：FDA/NMPA官网、药企官网发布信息。</w:t>
      </w:r>
    </w:p>
    <w:p w14:paraId="4E6DC3E2">
      <w:pPr>
        <w:rPr>
          <w:rFonts w:hint="eastAsia" w:ascii="Times New Roman" w:hAnsi="Times New Roman" w:eastAsia="微软雅黑" w:cs="Times New Roman"/>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%}{%if BodyDrugDrugDetectionStr or unknownVarAnalysisStr %}</w:t>
      </w:r>
    </w:p>
    <w:p w14:paraId="67D21425">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45" w:name="_Toc32443_WPSOffice_Level1"/>
      <w:bookmarkStart w:id="46" w:name="_Toc359"/>
      <w:bookmarkStart w:id="47" w:name="_Toc29372"/>
      <w:bookmarkStart w:id="48" w:name="_Toc4331_WPSOffice_Level1"/>
      <w:bookmarkStart w:id="49" w:name="_Toc107825555"/>
      <w:bookmarkStart w:id="50" w:name="_Toc23846_WPSOffice_Level1"/>
      <w:bookmarkStart w:id="51" w:name="_Toc180"/>
      <w:bookmarkStart w:id="52" w:name="_Toc23903"/>
      <w:bookmarkStart w:id="53" w:name="_Toc25727"/>
      <w:bookmarkStart w:id="54" w:name="_Toc24960"/>
      <w:r>
        <w:rPr>
          <w:color w:val="62B541"/>
          <w:sz w:val="32"/>
          <w14:shadow w14:blurRad="50800" w14:dist="38100" w14:dir="10800000" w14:sx="100000" w14:sy="100000" w14:kx="0" w14:ky="0" w14:algn="r">
            <w14:srgbClr w14:val="62B541">
              <w14:alpha w14:val="60000"/>
            </w14:srgbClr>
          </w14:shadow>
        </w:rPr>
        <w:t>检测结果解析</w:t>
      </w:r>
      <w:bookmarkEnd w:id="45"/>
      <w:bookmarkEnd w:id="46"/>
      <w:bookmarkEnd w:id="47"/>
      <w:bookmarkEnd w:id="48"/>
      <w:bookmarkEnd w:id="49"/>
      <w:bookmarkEnd w:id="50"/>
      <w:bookmarkEnd w:id="51"/>
      <w:bookmarkEnd w:id="52"/>
      <w:bookmarkEnd w:id="53"/>
      <w:bookmarkEnd w:id="54"/>
    </w:p>
    <w:p w14:paraId="0B390F8C">
      <w:pPr>
        <w:pStyle w:val="3"/>
        <w:numPr>
          <w:ilvl w:val="255"/>
          <w:numId w:val="0"/>
        </w:numPr>
        <w:jc w:val="left"/>
        <w:rPr>
          <w:color w:val="auto"/>
          <w:sz w:val="30"/>
          <w:lang w:eastAsia="zh-CN"/>
        </w:rPr>
      </w:pPr>
      <w:bookmarkStart w:id="55" w:name="_Toc1575"/>
      <w:bookmarkStart w:id="56" w:name="_Toc12645"/>
      <w:bookmarkStart w:id="57" w:name="_Toc149837264"/>
      <w:r>
        <w:rPr>
          <w:rFonts w:hint="eastAsia"/>
          <w:color w:val="auto"/>
          <w:sz w:val="30"/>
          <w:lang w:eastAsia="zh-CN"/>
        </w:rPr>
        <w:t>变异位点结果解析</w:t>
      </w:r>
      <w:bookmarkEnd w:id="55"/>
      <w:bookmarkEnd w:id="56"/>
    </w:p>
    <w:p w14:paraId="68B42A85">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BodyDrugNoComplexStr %}</w:t>
      </w:r>
      <w:bookmarkEnd w:id="57"/>
    </w:p>
    <w:p w14:paraId="5FE7C87F">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1915C62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50EBD4F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552BB8C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480186D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4BD773B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1AB4B39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91F834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BC54382">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6E3391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1AC9DC6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E25651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E74B69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2E6F50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00F7F9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7B3CCB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796B4A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4E1755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0CEE43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EF0CB2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848F5C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269C5F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DA6587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DC0703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3C350F7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F603F7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5D4FAF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61C382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6F33A5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6EA98D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634219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327106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E3CBC0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245A63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877717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14ABE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5B572BD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A5C2A6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62ABA2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80155F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3953394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135387F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3C009A3F">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65AEF4F0">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034A5AA6">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20F8D68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5DE392C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492D39B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35BFFD0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5E7A361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316AAB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089A3A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69546BE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30544B6">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0814CD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2D5D9C3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2B5D235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50220D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0A8A5F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11A3F2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5617A28F">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2FE23D7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AACD92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1D972D6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413C87B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163FD00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48F88D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E22853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450CD66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0F319D8">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14A01C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460765A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2090A32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FE7B2D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41C022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4B8AAF1">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3696F6D2">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3EEAAB3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3D3EB6E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6956981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138BF82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715CD94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0DA5471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78543F1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63766DA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486C9F4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7404150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325DF63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2D6B27FF">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0226F27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44AF2EB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31F90505">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4F2CAD0C">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7C279B0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4F5F726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jc w:val="center"/>
        </w:trPr>
        <w:tc>
          <w:tcPr>
            <w:tcW w:w="9870" w:type="dxa"/>
            <w:gridSpan w:val="6"/>
            <w:tcBorders>
              <w:top w:val="single" w:color="A4A4A4" w:sz="4" w:space="0"/>
              <w:bottom w:val="single" w:color="A4A4A4" w:sz="4" w:space="0"/>
            </w:tcBorders>
            <w:vAlign w:val="center"/>
          </w:tcPr>
          <w:p w14:paraId="124190F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75D1C6BE">
      <w:pPr>
        <w:pStyle w:val="26"/>
        <w:rPr>
          <w:color w:val="auto"/>
        </w:rPr>
      </w:pPr>
      <w:r>
        <w:rPr>
          <w:rFonts w:hint="eastAsia"/>
          <w:color w:val="auto"/>
        </w:rPr>
        <w:t>{% endif %}{% endfor %}{% for vus in unknownVarAnalysisStr %}</w:t>
      </w:r>
    </w:p>
    <w:p w14:paraId="2D2C76E0">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5"/>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0B9E16D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3973C848">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7809C71F">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62968BE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3FCE0AE3">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55216C31">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188DFE3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49BA625B">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63E1D394">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41D7748C">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14:paraId="4A382826">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3ECC0B6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3C0EE57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63E03B7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5113680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5BEADB6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4C34829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934C43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8D4E5B1">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73B21C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1A3B9E0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2E0F3F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1C616D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9AF990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9C9C01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429287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7B79AC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0EF2A7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288F4E0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2AABDA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11E517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AB9413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A0D0C5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65069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358C774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06C837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E1C000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4C0E4A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D1BD2C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772D31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E8DCB4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F6AE7C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0D6CE5D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9BFDD0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5D15634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678F6D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64310B3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5780BC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7BF233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389EEA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589AA6D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757AB6AE">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5739E1AF">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5F7D6DD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39B803AB">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34A0E82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3E58F0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C15634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1EC24EC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67AD44C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A96C9F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BC00C4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2F8C552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99DD0DB">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3A9BEE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1BD8B48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5E0335C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4235D6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FCD07B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0AF738E">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5019C4F0">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5651F77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D6A9DA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05CE80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5E1EB77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5438122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635263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AF31CE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6EE929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9C229F5">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46865C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3B1AAD0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2E35AE0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AD19A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09764A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ACB6D2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21604A4F">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1254D1E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56B08AE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5C9D0B6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4DF7029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2B17665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5918BF4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18929A5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233C81B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06F289E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6BE8885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2F246F6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5CD5A173">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196BF41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2A4CAD5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6F484123">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47AE7736">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95B0FA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516768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5D1A0A8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5D55C03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w:t>
      </w:r>
    </w:p>
    <w:p w14:paraId="57A115E4">
      <w:pPr>
        <w:rPr>
          <w:rStyle w:val="38"/>
          <w:rFonts w:ascii="微软雅黑" w:hAnsi="微软雅黑" w:cs="微软雅黑"/>
          <w:color w:val="62B541"/>
          <w:sz w:val="32"/>
          <w:szCs w:val="32"/>
          <w14:shadow w14:blurRad="50800" w14:dist="38100" w14:dir="10800000" w14:sx="100000" w14:sy="100000" w14:kx="0" w14:ky="0" w14:algn="r">
            <w14:srgbClr w14:val="62B541">
              <w14:alpha w14:val="60000"/>
            </w14:srgbClr>
          </w14:shadow>
        </w:rPr>
      </w:pPr>
      <w:bookmarkStart w:id="58" w:name="_Toc11294"/>
      <w:bookmarkStart w:id="59" w:name="_Toc13698"/>
      <w:bookmarkStart w:id="60" w:name="_Toc13196_WPSOffice_Level1"/>
      <w:bookmarkStart w:id="61" w:name="_Toc1707_WPSOffice_Level1"/>
      <w:bookmarkStart w:id="62" w:name="_Toc27302"/>
      <w:bookmarkStart w:id="63" w:name="_Toc21764_WPSOffice_Level1"/>
      <w:bookmarkStart w:id="64" w:name="_Toc28240"/>
      <w:bookmarkStart w:id="65" w:name="_Toc107825561"/>
      <w:bookmarkStart w:id="66" w:name="_Toc30951"/>
      <w:bookmarkStart w:id="67" w:name="_Toc16835"/>
      <w:r>
        <w:rPr>
          <w:rStyle w:val="38"/>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t>附录</w:t>
      </w:r>
      <w:bookmarkEnd w:id="58"/>
      <w:bookmarkEnd w:id="59"/>
      <w:bookmarkEnd w:id="60"/>
      <w:bookmarkEnd w:id="61"/>
      <w:bookmarkEnd w:id="62"/>
      <w:bookmarkEnd w:id="63"/>
      <w:bookmarkEnd w:id="64"/>
      <w:bookmarkEnd w:id="65"/>
    </w:p>
    <w:bookmarkEnd w:id="66"/>
    <w:bookmarkEnd w:id="67"/>
    <w:p w14:paraId="3487FCD1">
      <w:pPr>
        <w:pStyle w:val="3"/>
        <w:numPr>
          <w:ilvl w:val="255"/>
          <w:numId w:val="0"/>
        </w:numPr>
        <w:jc w:val="left"/>
        <w:rPr>
          <w:color w:val="auto"/>
          <w:sz w:val="30"/>
          <w:lang w:eastAsia="zh-CN"/>
        </w:rPr>
      </w:pPr>
      <w:bookmarkStart w:id="68" w:name="_Toc9066"/>
      <w:bookmarkStart w:id="69" w:name="_Toc24085_WPSOffice_Level1"/>
      <w:bookmarkStart w:id="70" w:name="_Toc27230"/>
      <w:bookmarkStart w:id="71" w:name="_Toc15840_WPSOffice_Level1"/>
      <w:bookmarkStart w:id="72" w:name="_Toc28605"/>
      <w:bookmarkStart w:id="73" w:name="_Toc14255_WPSOffice_Level1"/>
      <w:bookmarkStart w:id="74" w:name="_Toc32150"/>
      <w:bookmarkStart w:id="75" w:name="_Toc19101"/>
      <w:bookmarkStart w:id="76" w:name="_Toc3674"/>
      <w:bookmarkStart w:id="77" w:name="_Toc11896_WPSOffice_Level1"/>
      <w:bookmarkStart w:id="78" w:name="_Toc23688"/>
      <w:bookmarkStart w:id="79" w:name="_Toc28810_WPSOffice_Level1"/>
      <w:bookmarkStart w:id="80" w:name="_Toc11193_WPSOffice_Level1"/>
      <w:r>
        <w:rPr>
          <w:rFonts w:hint="eastAsia"/>
          <w:color w:val="auto"/>
          <w:sz w:val="30"/>
          <w:lang w:eastAsia="zh-CN"/>
        </w:rPr>
        <w:t>样本质控情况</w:t>
      </w:r>
      <w:bookmarkEnd w:id="68"/>
      <w:bookmarkEnd w:id="69"/>
      <w:bookmarkEnd w:id="70"/>
      <w:bookmarkEnd w:id="71"/>
      <w:bookmarkEnd w:id="72"/>
      <w:bookmarkEnd w:id="73"/>
      <w:bookmarkEnd w:id="74"/>
      <w:bookmarkEnd w:id="75"/>
      <w:bookmarkEnd w:id="76"/>
    </w:p>
    <w:tbl>
      <w:tblPr>
        <w:tblStyle w:val="15"/>
        <w:tblW w:w="9810" w:type="dxa"/>
        <w:tblInd w:w="141" w:type="dxa"/>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14:paraId="67B4D308">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trPr>
        <w:tc>
          <w:tcPr>
            <w:tcW w:w="1987" w:type="dxa"/>
            <w:tcBorders>
              <w:top w:val="nil"/>
              <w:left w:val="nil"/>
              <w:bottom w:val="nil"/>
              <w:right w:val="single" w:color="FFFFFF" w:sz="18" w:space="0"/>
            </w:tcBorders>
            <w:shd w:val="clear" w:color="auto" w:fill="62BC41"/>
            <w:vAlign w:val="center"/>
          </w:tcPr>
          <w:p w14:paraId="67F43E19">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14:paraId="5970C6B0">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14:paraId="57B59FDB">
            <w:pPr>
              <w:ind w:left="119"/>
              <w:jc w:val="center"/>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62BC41"/>
            <w:vAlign w:val="center"/>
          </w:tcPr>
          <w:p w14:paraId="53B1C5D4">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14:paraId="2C31A535">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1987" w:type="dxa"/>
            <w:tcBorders>
              <w:top w:val="nil"/>
              <w:left w:val="nil"/>
            </w:tcBorders>
            <w:vAlign w:val="center"/>
          </w:tcPr>
          <w:p w14:paraId="31627EBE">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病理</w:t>
            </w:r>
            <w:r>
              <w:rPr>
                <w:rFonts w:hint="eastAsia" w:ascii="Times New Roman" w:hAnsi="Times New Roman" w:eastAsia="微软雅黑" w:cs="Times New Roman"/>
                <w:b/>
                <w:sz w:val="21"/>
                <w:lang w:eastAsia="zh-CN"/>
              </w:rPr>
              <w:t>评估</w:t>
            </w:r>
          </w:p>
        </w:tc>
        <w:tc>
          <w:tcPr>
            <w:tcW w:w="2721" w:type="dxa"/>
            <w:tcBorders>
              <w:top w:val="nil"/>
            </w:tcBorders>
            <w:vAlign w:val="center"/>
          </w:tcPr>
          <w:p w14:paraId="5B1284F1">
            <w:pPr>
              <w:ind w:left="119"/>
              <w:jc w:val="center"/>
              <w:rPr>
                <w:rFonts w:ascii="Times New Roman" w:hAnsi="Times New Roman" w:eastAsia="微软雅黑" w:cs="Times New Roman"/>
                <w:bCs/>
                <w:sz w:val="21"/>
              </w:rPr>
            </w:pPr>
            <w:r>
              <w:rPr>
                <w:rFonts w:hint="eastAsia" w:ascii="Times New Roman" w:hAnsi="Times New Roman" w:eastAsia="微软雅黑" w:cs="Times New Roman"/>
                <w:bCs/>
                <w:sz w:val="21"/>
                <w:lang w:eastAsia="zh-CN"/>
              </w:rPr>
              <w:t>肿瘤细胞含量</w:t>
            </w:r>
          </w:p>
        </w:tc>
        <w:tc>
          <w:tcPr>
            <w:tcW w:w="2381" w:type="dxa"/>
            <w:tcBorders>
              <w:top w:val="nil"/>
            </w:tcBorders>
            <w:vAlign w:val="center"/>
          </w:tcPr>
          <w:p w14:paraId="3E020E69">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rna.tumorcellcontent }}{%endif%}</w:t>
            </w:r>
          </w:p>
        </w:tc>
        <w:tc>
          <w:tcPr>
            <w:tcW w:w="2721" w:type="dxa"/>
            <w:tcBorders>
              <w:top w:val="nil"/>
              <w:right w:val="nil"/>
            </w:tcBorders>
            <w:vAlign w:val="center"/>
          </w:tcPr>
          <w:p w14:paraId="52079A90">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≥10%</w:t>
            </w:r>
          </w:p>
        </w:tc>
      </w:tr>
      <w:tr w14:paraId="5E46F889">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1987" w:type="dxa"/>
            <w:vMerge w:val="restart"/>
            <w:tcBorders>
              <w:left w:val="nil"/>
            </w:tcBorders>
            <w:vAlign w:val="center"/>
          </w:tcPr>
          <w:p w14:paraId="5CF7FA6C">
            <w:pPr>
              <w:ind w:left="119"/>
              <w:jc w:val="center"/>
              <w:rPr>
                <w:rFonts w:ascii="Times New Roman" w:hAnsi="Times New Roman" w:eastAsia="微软雅黑" w:cs="Times New Roman"/>
                <w:b/>
                <w:sz w:val="21"/>
                <w:lang w:eastAsia="zh-CN"/>
              </w:rPr>
            </w:pPr>
            <w:r>
              <w:rPr>
                <w:rFonts w:hint="eastAsia" w:ascii="Times New Roman" w:hAnsi="Times New Roman" w:eastAsia="微软雅黑" w:cs="Times New Roman"/>
                <w:b/>
                <w:sz w:val="21"/>
                <w:lang w:eastAsia="zh-CN"/>
              </w:rPr>
              <w:t>核酸质量评估</w:t>
            </w:r>
          </w:p>
        </w:tc>
        <w:tc>
          <w:tcPr>
            <w:tcW w:w="2721" w:type="dxa"/>
            <w:vAlign w:val="center"/>
          </w:tcPr>
          <w:p w14:paraId="3D3CFE50">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RNA总量（</w:t>
            </w:r>
            <w:r>
              <w:rPr>
                <w:rFonts w:ascii="Times New Roman" w:hAnsi="Times New Roman" w:eastAsia="微软雅黑" w:cs="Times New Roman"/>
                <w:bCs/>
                <w:sz w:val="21"/>
                <w:lang w:eastAsia="zh-CN"/>
              </w:rPr>
              <w:t>ng</w:t>
            </w:r>
            <w:r>
              <w:rPr>
                <w:rFonts w:hint="eastAsia" w:ascii="Times New Roman" w:hAnsi="Times New Roman" w:eastAsia="微软雅黑" w:cs="Times New Roman"/>
                <w:bCs/>
                <w:sz w:val="21"/>
                <w:lang w:eastAsia="zh-CN"/>
              </w:rPr>
              <w:t>）</w:t>
            </w:r>
          </w:p>
        </w:tc>
        <w:tc>
          <w:tcPr>
            <w:tcW w:w="2381" w:type="dxa"/>
            <w:vAlign w:val="center"/>
          </w:tcPr>
          <w:p w14:paraId="69E50C30">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rna.RNA_total }}{%endif%}</w:t>
            </w:r>
          </w:p>
        </w:tc>
        <w:tc>
          <w:tcPr>
            <w:tcW w:w="2721" w:type="dxa"/>
            <w:tcBorders>
              <w:right w:val="nil"/>
            </w:tcBorders>
            <w:vAlign w:val="center"/>
          </w:tcPr>
          <w:p w14:paraId="5EA776EF">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≥100</w:t>
            </w:r>
          </w:p>
        </w:tc>
      </w:tr>
      <w:tr w14:paraId="36E54686">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1987" w:type="dxa"/>
            <w:vMerge w:val="continue"/>
            <w:tcBorders>
              <w:left w:val="nil"/>
            </w:tcBorders>
            <w:vAlign w:val="center"/>
          </w:tcPr>
          <w:p w14:paraId="488A50B6">
            <w:pPr>
              <w:ind w:left="119"/>
              <w:jc w:val="center"/>
              <w:rPr>
                <w:rFonts w:ascii="Times New Roman" w:hAnsi="Times New Roman" w:eastAsia="微软雅黑" w:cs="Times New Roman"/>
                <w:b/>
                <w:sz w:val="21"/>
              </w:rPr>
            </w:pPr>
          </w:p>
        </w:tc>
        <w:tc>
          <w:tcPr>
            <w:tcW w:w="2721" w:type="dxa"/>
            <w:vAlign w:val="center"/>
          </w:tcPr>
          <w:p w14:paraId="3329ABDC">
            <w:pPr>
              <w:ind w:left="119"/>
              <w:jc w:val="center"/>
              <w:rPr>
                <w:rFonts w:ascii="Times New Roman" w:hAnsi="Times New Roman" w:eastAsia="微软雅黑" w:cs="Times New Roman"/>
                <w:bCs/>
                <w:sz w:val="21"/>
              </w:rPr>
            </w:pPr>
            <w:r>
              <w:rPr>
                <w:rFonts w:hint="eastAsia" w:ascii="Times New Roman" w:hAnsi="Times New Roman" w:eastAsia="微软雅黑" w:cs="Times New Roman"/>
                <w:bCs/>
                <w:sz w:val="21"/>
                <w:lang w:eastAsia="zh-CN"/>
              </w:rPr>
              <w:t>RNA降解程度（DV200）</w:t>
            </w:r>
          </w:p>
        </w:tc>
        <w:tc>
          <w:tcPr>
            <w:tcW w:w="2381" w:type="dxa"/>
            <w:vAlign w:val="center"/>
          </w:tcPr>
          <w:p w14:paraId="2A09E151">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rna.RNA_degradation }}{%endif%}</w:t>
            </w:r>
          </w:p>
        </w:tc>
        <w:tc>
          <w:tcPr>
            <w:tcW w:w="2721" w:type="dxa"/>
            <w:tcBorders>
              <w:right w:val="nil"/>
            </w:tcBorders>
            <w:vAlign w:val="center"/>
          </w:tcPr>
          <w:p w14:paraId="1698BDF7">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≥30 (2100)</w:t>
            </w:r>
          </w:p>
          <w:p w14:paraId="06C291BE">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≥70 (QSEP)</w:t>
            </w:r>
          </w:p>
        </w:tc>
      </w:tr>
      <w:tr w14:paraId="27701737">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1987" w:type="dxa"/>
            <w:vMerge w:val="continue"/>
            <w:tcBorders>
              <w:left w:val="nil"/>
            </w:tcBorders>
            <w:vAlign w:val="center"/>
          </w:tcPr>
          <w:p w14:paraId="4718D705">
            <w:pPr>
              <w:ind w:left="119"/>
              <w:jc w:val="center"/>
              <w:rPr>
                <w:rFonts w:ascii="Times New Roman" w:hAnsi="Times New Roman" w:eastAsia="微软雅黑" w:cs="Times New Roman"/>
                <w:b/>
                <w:sz w:val="21"/>
              </w:rPr>
            </w:pPr>
          </w:p>
        </w:tc>
        <w:tc>
          <w:tcPr>
            <w:tcW w:w="2721" w:type="dxa"/>
            <w:vAlign w:val="center"/>
          </w:tcPr>
          <w:p w14:paraId="4820E9A0">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预文库总量（</w:t>
            </w:r>
            <w:r>
              <w:rPr>
                <w:rFonts w:ascii="Times New Roman" w:hAnsi="Times New Roman" w:eastAsia="微软雅黑" w:cs="Times New Roman"/>
                <w:bCs/>
                <w:sz w:val="21"/>
                <w:lang w:eastAsia="zh-CN"/>
              </w:rPr>
              <w:t>ng</w:t>
            </w:r>
            <w:r>
              <w:rPr>
                <w:rFonts w:hint="eastAsia" w:ascii="Times New Roman" w:hAnsi="Times New Roman" w:eastAsia="微软雅黑" w:cs="Times New Roman"/>
                <w:bCs/>
                <w:sz w:val="21"/>
                <w:lang w:eastAsia="zh-CN"/>
              </w:rPr>
              <w:t>）</w:t>
            </w:r>
          </w:p>
        </w:tc>
        <w:tc>
          <w:tcPr>
            <w:tcW w:w="2381" w:type="dxa"/>
            <w:vAlign w:val="center"/>
          </w:tcPr>
          <w:p w14:paraId="24AE0A93">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rna.outbound_quantity }}{%endif%}</w:t>
            </w:r>
          </w:p>
        </w:tc>
        <w:tc>
          <w:tcPr>
            <w:tcW w:w="2721" w:type="dxa"/>
            <w:tcBorders>
              <w:right w:val="nil"/>
            </w:tcBorders>
            <w:vAlign w:val="center"/>
          </w:tcPr>
          <w:p w14:paraId="41A9783A">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≥500</w:t>
            </w:r>
          </w:p>
        </w:tc>
      </w:tr>
      <w:tr w14:paraId="3A86109E">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1987" w:type="dxa"/>
            <w:vMerge w:val="restart"/>
            <w:tcBorders>
              <w:left w:val="nil"/>
            </w:tcBorders>
            <w:vAlign w:val="center"/>
          </w:tcPr>
          <w:p w14:paraId="6EEA8C83">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测序</w:t>
            </w:r>
            <w:r>
              <w:rPr>
                <w:rFonts w:hint="eastAsia" w:ascii="Times New Roman" w:hAnsi="Times New Roman" w:eastAsia="微软雅黑" w:cs="Times New Roman"/>
                <w:b/>
                <w:sz w:val="21"/>
                <w:lang w:eastAsia="zh-CN"/>
              </w:rPr>
              <w:t>质量评估</w:t>
            </w:r>
          </w:p>
        </w:tc>
        <w:tc>
          <w:tcPr>
            <w:tcW w:w="2721" w:type="dxa"/>
            <w:vAlign w:val="center"/>
          </w:tcPr>
          <w:p w14:paraId="4D34C7E1">
            <w:pPr>
              <w:ind w:left="119"/>
              <w:jc w:val="center"/>
              <w:rPr>
                <w:rFonts w:ascii="Times New Roman" w:hAnsi="Times New Roman" w:eastAsia="微软雅黑" w:cs="Times New Roman"/>
                <w:bCs/>
                <w:sz w:val="21"/>
              </w:rPr>
            </w:pPr>
            <w:r>
              <w:rPr>
                <w:rFonts w:hint="eastAsia" w:ascii="Times New Roman" w:hAnsi="Times New Roman" w:eastAsia="微软雅黑" w:cs="Times New Roman"/>
                <w:bCs/>
                <w:sz w:val="21"/>
                <w:lang w:eastAsia="zh-CN"/>
              </w:rPr>
              <w:t>测序总reads数（条）</w:t>
            </w:r>
          </w:p>
        </w:tc>
        <w:tc>
          <w:tcPr>
            <w:tcW w:w="2381" w:type="dxa"/>
            <w:vAlign w:val="center"/>
          </w:tcPr>
          <w:p w14:paraId="62D04172">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rna.total_reads }}{%endif%}</w:t>
            </w:r>
          </w:p>
        </w:tc>
        <w:tc>
          <w:tcPr>
            <w:tcW w:w="2721" w:type="dxa"/>
            <w:tcBorders>
              <w:right w:val="nil"/>
            </w:tcBorders>
            <w:vAlign w:val="center"/>
          </w:tcPr>
          <w:p w14:paraId="48C0B3C5">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≥12,000,000</w:t>
            </w:r>
          </w:p>
        </w:tc>
      </w:tr>
      <w:tr w14:paraId="1EB3BB42">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1987" w:type="dxa"/>
            <w:vMerge w:val="continue"/>
            <w:tcBorders>
              <w:left w:val="nil"/>
            </w:tcBorders>
            <w:vAlign w:val="center"/>
          </w:tcPr>
          <w:p w14:paraId="09C75563">
            <w:pPr>
              <w:ind w:left="119"/>
              <w:jc w:val="center"/>
              <w:rPr>
                <w:rFonts w:ascii="Times New Roman" w:hAnsi="Times New Roman" w:eastAsia="微软雅黑" w:cs="Times New Roman"/>
                <w:b/>
                <w:sz w:val="21"/>
              </w:rPr>
            </w:pPr>
          </w:p>
        </w:tc>
        <w:tc>
          <w:tcPr>
            <w:tcW w:w="2721" w:type="dxa"/>
            <w:vAlign w:val="center"/>
          </w:tcPr>
          <w:p w14:paraId="60A31A53">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碱基质量</w:t>
            </w:r>
            <w:r>
              <w:rPr>
                <w:rFonts w:ascii="Times New Roman" w:hAnsi="Times New Roman" w:eastAsia="微软雅黑" w:cs="Times New Roman"/>
                <w:bCs/>
                <w:sz w:val="21"/>
                <w:lang w:eastAsia="zh-CN"/>
              </w:rPr>
              <w:t>Q30</w:t>
            </w:r>
            <w:r>
              <w:rPr>
                <w:rFonts w:hint="eastAsia" w:ascii="Times New Roman" w:hAnsi="Times New Roman" w:eastAsia="微软雅黑" w:cs="Times New Roman"/>
                <w:bCs/>
                <w:sz w:val="21"/>
                <w:lang w:eastAsia="zh-CN"/>
              </w:rPr>
              <w:t>占比</w:t>
            </w:r>
          </w:p>
        </w:tc>
        <w:tc>
          <w:tcPr>
            <w:tcW w:w="2381" w:type="dxa"/>
            <w:vAlign w:val="center"/>
          </w:tcPr>
          <w:p w14:paraId="48684F50">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rna.base_quality }}{%endif%}</w:t>
            </w:r>
          </w:p>
        </w:tc>
        <w:tc>
          <w:tcPr>
            <w:tcW w:w="2721" w:type="dxa"/>
            <w:tcBorders>
              <w:right w:val="nil"/>
            </w:tcBorders>
            <w:vAlign w:val="center"/>
          </w:tcPr>
          <w:p w14:paraId="042AE134">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≥80%</w:t>
            </w:r>
          </w:p>
        </w:tc>
      </w:tr>
      <w:tr w14:paraId="264E1779">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trPr>
        <w:tc>
          <w:tcPr>
            <w:tcW w:w="1987" w:type="dxa"/>
            <w:tcBorders>
              <w:left w:val="nil"/>
            </w:tcBorders>
            <w:shd w:val="clear" w:color="auto" w:fill="F1F1F1"/>
            <w:vAlign w:val="center"/>
          </w:tcPr>
          <w:p w14:paraId="6F9D08A6">
            <w:pPr>
              <w:ind w:left="119"/>
              <w:jc w:val="center"/>
              <w:rPr>
                <w:rFonts w:ascii="Times New Roman" w:hAnsi="Times New Roman" w:eastAsia="微软雅黑" w:cs="Times New Roman"/>
                <w:b/>
                <w:sz w:val="21"/>
              </w:rPr>
            </w:pPr>
            <w:r>
              <w:rPr>
                <w:rFonts w:ascii="Times New Roman" w:hAnsi="Times New Roman" w:eastAsia="微软雅黑" w:cs="Times New Roman"/>
                <w:b/>
                <w:sz w:val="21"/>
              </w:rPr>
              <w:t>总体质量评估</w:t>
            </w:r>
          </w:p>
        </w:tc>
        <w:tc>
          <w:tcPr>
            <w:tcW w:w="7823" w:type="dxa"/>
            <w:gridSpan w:val="3"/>
            <w:tcBorders>
              <w:right w:val="nil"/>
            </w:tcBorders>
            <w:shd w:val="clear" w:color="auto" w:fill="F1F1F1"/>
            <w:vAlign w:val="center"/>
          </w:tcPr>
          <w:p w14:paraId="0D4EACFC">
            <w:pPr>
              <w:ind w:left="119"/>
              <w:jc w:val="center"/>
              <w:rPr>
                <w:rFonts w:ascii="Times New Roman" w:hAnsi="Times New Roman" w:eastAsia="微软雅黑" w:cs="Times New Roman"/>
                <w:bCs/>
                <w:sz w:val="21"/>
                <w:lang w:eastAsia="zh-CN"/>
              </w:rPr>
            </w:pPr>
            <w:r>
              <w:rPr>
                <w:rFonts w:hint="eastAsia" w:ascii="微软雅黑" w:hAnsi="微软雅黑" w:eastAsia="微软雅黑" w:cs="微软雅黑"/>
                <w:bCs/>
                <w:sz w:val="21"/>
                <w:lang w:eastAsia="zh-CN"/>
              </w:rPr>
              <w:t>{%if rna != undefined%}{{ rna.total_reads | oqa(12000000,10000000) }}{%endif%}</w:t>
            </w:r>
          </w:p>
        </w:tc>
      </w:tr>
    </w:tbl>
    <w:p w14:paraId="6CA2B564">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7894CC70">
      <w:pPr>
        <w:numPr>
          <w:ilvl w:val="0"/>
          <w:numId w:val="9"/>
        </w:numPr>
        <w:spacing w:before="53" w:line="301" w:lineRule="exact"/>
        <w:ind w:left="133"/>
        <w:rPr>
          <w:rFonts w:ascii="Times New Roman" w:hAnsi="Times New Roman" w:eastAsia="微软雅黑" w:cs="Times New Roman"/>
          <w:bCs/>
          <w:sz w:val="18"/>
          <w:szCs w:val="18"/>
          <w:lang w:eastAsia="zh-CN"/>
        </w:rPr>
      </w:pPr>
      <w:bookmarkStart w:id="81" w:name="_Toc4303"/>
      <w:bookmarkStart w:id="82" w:name="_Toc24780"/>
      <w:bookmarkStart w:id="83" w:name="_Toc31843"/>
      <w:bookmarkStart w:id="84" w:name="_Toc107330130"/>
      <w:bookmarkStart w:id="85" w:name="_Hlk33190413"/>
      <w:r>
        <w:rPr>
          <w:rFonts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w:t>
      </w:r>
    </w:p>
    <w:p w14:paraId="5C2E7553">
      <w:pPr>
        <w:numPr>
          <w:ilvl w:val="0"/>
          <w:numId w:val="9"/>
        </w:numPr>
        <w:spacing w:before="53" w:line="301" w:lineRule="exact"/>
        <w:ind w:left="13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RNA总量：送检样本的RNA提取总量。</w:t>
      </w:r>
    </w:p>
    <w:p w14:paraId="41E0ED75">
      <w:pPr>
        <w:numPr>
          <w:ilvl w:val="0"/>
          <w:numId w:val="9"/>
        </w:numPr>
        <w:spacing w:before="53" w:line="301" w:lineRule="exact"/>
        <w:ind w:left="13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RNA降解程度：大于 200 个核苷酸的 RNA 片段占 RNA 总片段的百分比。</w:t>
      </w:r>
    </w:p>
    <w:p w14:paraId="05B11438">
      <w:pPr>
        <w:numPr>
          <w:ilvl w:val="0"/>
          <w:numId w:val="9"/>
        </w:numPr>
        <w:spacing w:before="53" w:line="301" w:lineRule="exact"/>
        <w:ind w:left="133"/>
        <w:rPr>
          <w:rFonts w:ascii="Times New Roman" w:hAnsi="Times New Roman" w:eastAsia="微软雅黑" w:cs="Times New Roman"/>
          <w:bCs/>
          <w:sz w:val="18"/>
          <w:szCs w:val="18"/>
          <w:lang w:eastAsia="zh-CN"/>
        </w:rPr>
      </w:pPr>
      <w:r>
        <w:rPr>
          <w:rFonts w:ascii="Times New Roman" w:hAnsi="Times New Roman" w:eastAsia="微软雅黑" w:cs="Times New Roman"/>
          <w:color w:val="000000"/>
          <w:sz w:val="18"/>
          <w:szCs w:val="18"/>
          <w:lang w:eastAsia="zh-CN"/>
        </w:rPr>
        <w:t>预文库总量：核酸片段经过接头连接和扩增纯化后中间产物的总量。</w:t>
      </w:r>
    </w:p>
    <w:p w14:paraId="4BC89F20">
      <w:pPr>
        <w:numPr>
          <w:ilvl w:val="0"/>
          <w:numId w:val="9"/>
        </w:numPr>
        <w:spacing w:before="53" w:line="301" w:lineRule="exact"/>
        <w:ind w:left="133"/>
        <w:rPr>
          <w:rFonts w:ascii="Times New Roman" w:hAnsi="Times New Roman" w:eastAsia="微软雅黑" w:cs="Times New Roman"/>
          <w:bCs/>
          <w:sz w:val="18"/>
          <w:szCs w:val="18"/>
          <w:lang w:eastAsia="zh-CN"/>
        </w:rPr>
      </w:pPr>
      <w:r>
        <w:rPr>
          <w:rFonts w:ascii="Times New Roman" w:hAnsi="Times New Roman" w:eastAsia="微软雅黑" w:cs="Times New Roman"/>
          <w:color w:val="000000"/>
          <w:sz w:val="18"/>
          <w:szCs w:val="18"/>
          <w:lang w:eastAsia="zh-CN"/>
        </w:rPr>
        <w:t>测序总 reads 数：文库测序获得的数据总量（reads）。</w:t>
      </w:r>
    </w:p>
    <w:p w14:paraId="2E61ABAE">
      <w:pPr>
        <w:numPr>
          <w:ilvl w:val="0"/>
          <w:numId w:val="9"/>
        </w:numPr>
        <w:spacing w:before="53" w:line="301" w:lineRule="exact"/>
        <w:ind w:left="133"/>
        <w:rPr>
          <w:rFonts w:ascii="Times New Roman" w:hAnsi="Times New Roman" w:eastAsia="微软雅黑" w:cs="Times New Roman"/>
          <w:bCs/>
          <w:sz w:val="18"/>
          <w:szCs w:val="18"/>
          <w:lang w:eastAsia="zh-CN"/>
        </w:rPr>
      </w:pPr>
      <w:r>
        <w:rPr>
          <w:rFonts w:ascii="Times New Roman" w:hAnsi="Times New Roman" w:eastAsia="微软雅黑" w:cs="Times New Roman"/>
          <w:color w:val="000000"/>
          <w:sz w:val="18"/>
          <w:szCs w:val="18"/>
          <w:lang w:eastAsia="zh-CN"/>
        </w:rPr>
        <w:t>碱基质量 Q30 占比：测序数据中碱基质量在 Q30 以上（即碱基识别错误率在千分之一以下）的占比。</w:t>
      </w:r>
    </w:p>
    <w:p w14:paraId="14A7AAFD">
      <w:pPr>
        <w:numPr>
          <w:ilvl w:val="0"/>
          <w:numId w:val="9"/>
        </w:numPr>
        <w:spacing w:before="53" w:line="301" w:lineRule="exact"/>
        <w:ind w:left="133"/>
        <w:rPr>
          <w:rFonts w:ascii="Times New Roman" w:hAnsi="Times New Roman" w:eastAsia="微软雅黑" w:cs="Times New Roman"/>
          <w:bCs/>
          <w:sz w:val="18"/>
          <w:szCs w:val="18"/>
          <w:lang w:eastAsia="zh-CN"/>
        </w:rPr>
      </w:pPr>
      <w:r>
        <w:rPr>
          <w:rFonts w:ascii="Times New Roman" w:hAnsi="Times New Roman" w:eastAsia="微软雅黑" w:cs="Times New Roman"/>
          <w:color w:val="000000"/>
          <w:sz w:val="18"/>
          <w:szCs w:val="18"/>
          <w:lang w:eastAsia="zh-CN"/>
        </w:rPr>
        <w:t>总体质量评估：根据 RNA 测序总 reads 数进行评估，分为“合格”、“警戒“、”不合格”三个等级。总体质量评估为“警戒“或者“不合格”时，均会影响检测的准确性和敏感性。</w:t>
      </w:r>
    </w:p>
    <w:p w14:paraId="05BD6C93">
      <w:pPr>
        <w:bidi w:val="0"/>
        <w:rPr>
          <w:sz w:val="28"/>
          <w:szCs w:val="28"/>
        </w:rPr>
      </w:pPr>
      <w:r>
        <w:br w:type="page"/>
      </w:r>
      <w:bookmarkStart w:id="86" w:name="_Toc23373"/>
      <w:r>
        <w:rPr>
          <w:rFonts w:hint="default" w:ascii="Times New Roman" w:hAnsi="Times New Roman" w:eastAsia="微软雅黑" w:cs="Times New Roman"/>
          <w:kern w:val="0"/>
          <w:sz w:val="28"/>
          <w:szCs w:val="28"/>
          <w:lang w:val="en-US" w:eastAsia="zh-CN" w:bidi="ar"/>
        </w:rPr>
        <w:t xml:space="preserve">{% if </w:t>
      </w:r>
      <w:r>
        <w:rPr>
          <w:rFonts w:hint="eastAsia" w:ascii="Times New Roman" w:hAnsi="Times New Roman" w:eastAsia="微软雅黑" w:cs="Times New Roman"/>
          <w:kern w:val="0"/>
          <w:sz w:val="28"/>
          <w:szCs w:val="28"/>
          <w:lang w:val="en-US" w:eastAsia="zh-CN" w:bidi="ar"/>
        </w:rPr>
        <w:t>b</w:t>
      </w:r>
      <w:r>
        <w:rPr>
          <w:rFonts w:hint="default" w:ascii="Times New Roman" w:hAnsi="Times New Roman" w:eastAsia="微软雅黑" w:cs="黑体"/>
          <w:kern w:val="0"/>
          <w:sz w:val="28"/>
          <w:szCs w:val="28"/>
          <w:lang w:val="en-US" w:eastAsia="zh-CN" w:bidi="ar"/>
        </w:rPr>
        <w:t>rainGlioma</w:t>
      </w:r>
      <w:r>
        <w:rPr>
          <w:rFonts w:hint="eastAsia" w:ascii="Times New Roman" w:hAnsi="Times New Roman" w:eastAsia="微软雅黑" w:cs="黑体"/>
          <w:kern w:val="0"/>
          <w:sz w:val="28"/>
          <w:szCs w:val="28"/>
          <w:lang w:val="en-US" w:eastAsia="zh-CN" w:bidi="ar"/>
        </w:rPr>
        <w:t xml:space="preserve">Flag </w:t>
      </w:r>
      <w:r>
        <w:rPr>
          <w:rFonts w:hint="default" w:ascii="Times New Roman" w:hAnsi="Times New Roman" w:eastAsia="微软雅黑" w:cs="Times New Roman"/>
          <w:kern w:val="0"/>
          <w:sz w:val="28"/>
          <w:szCs w:val="28"/>
          <w:lang w:val="en-US" w:eastAsia="zh-CN" w:bidi="ar"/>
        </w:rPr>
        <w:t>%}</w:t>
      </w:r>
    </w:p>
    <w:p w14:paraId="6C433726">
      <w:pPr>
        <w:pStyle w:val="3"/>
        <w:numPr>
          <w:ilvl w:val="255"/>
          <w:numId w:val="0"/>
        </w:numPr>
        <w:jc w:val="left"/>
        <w:rPr>
          <w:rFonts w:hint="eastAsia"/>
          <w:color w:val="auto"/>
          <w:sz w:val="30"/>
          <w:lang w:eastAsia="zh-CN"/>
        </w:rPr>
      </w:pPr>
      <w:bookmarkStart w:id="87" w:name="_Toc4278"/>
      <w:r>
        <w:rPr>
          <w:rFonts w:hint="eastAsia"/>
          <w:color w:val="auto"/>
          <w:sz w:val="30"/>
          <w:lang w:eastAsia="zh-CN"/>
        </w:rPr>
        <w:t>常见胶质瘤分型相关基因变异</w:t>
      </w:r>
      <w:bookmarkEnd w:id="86"/>
      <w:bookmarkEnd w:id="87"/>
    </w:p>
    <w:bookmarkEnd w:id="19"/>
    <w:bookmarkEnd w:id="77"/>
    <w:bookmarkEnd w:id="78"/>
    <w:bookmarkEnd w:id="79"/>
    <w:bookmarkEnd w:id="80"/>
    <w:bookmarkEnd w:id="81"/>
    <w:bookmarkEnd w:id="82"/>
    <w:bookmarkEnd w:id="83"/>
    <w:bookmarkEnd w:id="84"/>
    <w:bookmarkEnd w:id="85"/>
    <w:p w14:paraId="056BD978">
      <w:pPr>
        <w:numPr>
          <w:ilvl w:val="0"/>
          <w:numId w:val="10"/>
        </w:numPr>
        <w:rPr>
          <w:rFonts w:ascii="Times New Roman" w:hAnsi="Times New Roman" w:eastAsia="微软雅黑" w:cs="Times New Roman"/>
          <w:color w:val="000000"/>
          <w:sz w:val="21"/>
          <w:szCs w:val="21"/>
          <w:lang w:eastAsia="zh-Hans" w:bidi="ar"/>
        </w:rPr>
      </w:pPr>
      <w:bookmarkStart w:id="88" w:name="_Toc27034"/>
      <w:bookmarkStart w:id="89" w:name="_Toc28454_WPSOffice_Level1"/>
      <w:bookmarkStart w:id="90" w:name="_Toc5476"/>
      <w:bookmarkStart w:id="91" w:name="_Toc8911"/>
      <w:bookmarkStart w:id="92" w:name="_Toc107825570"/>
      <w:bookmarkStart w:id="93" w:name="_Toc20170_WPSOffice_Level1"/>
      <w:bookmarkStart w:id="94" w:name="_Toc26985_WPSOffice_Level1"/>
      <w:r>
        <w:rPr>
          <w:rFonts w:ascii="Times New Roman" w:hAnsi="Times New Roman" w:eastAsia="微软雅黑" w:cs="Times New Roman"/>
          <w:sz w:val="21"/>
          <w:szCs w:val="21"/>
          <w:lang w:eastAsia="zh-Hans"/>
        </w:rPr>
        <w:t>本部分内容参考：WHO-软组织与骨肿瘤指南</w:t>
      </w:r>
    </w:p>
    <w:tbl>
      <w:tblPr>
        <w:tblStyle w:val="15"/>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659"/>
        <w:gridCol w:w="7426"/>
      </w:tblGrid>
      <w:tr w14:paraId="6A4AF9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atLeast"/>
        </w:trPr>
        <w:tc>
          <w:tcPr>
            <w:tcW w:w="1318" w:type="pct"/>
            <w:tcBorders>
              <w:top w:val="nil"/>
              <w:left w:val="nil"/>
              <w:bottom w:val="nil"/>
              <w:right w:val="single" w:color="FFFFFF" w:sz="12" w:space="0"/>
            </w:tcBorders>
            <w:shd w:val="clear" w:color="auto" w:fill="62BC41"/>
            <w:vAlign w:val="center"/>
          </w:tcPr>
          <w:p w14:paraId="2BFF24CC">
            <w:pPr>
              <w:keepNext w:val="0"/>
              <w:keepLines w:val="0"/>
              <w:widowControl/>
              <w:suppressLineNumbers w:val="0"/>
              <w:jc w:val="center"/>
              <w:textAlignment w:val="center"/>
              <w:rPr>
                <w:rFonts w:hint="eastAsia" w:ascii="微软雅黑" w:hAnsi="微软雅黑" w:eastAsia="微软雅黑" w:cs="微软雅黑"/>
                <w:b/>
                <w:bCs/>
                <w:i w:val="0"/>
                <w:iCs w:val="0"/>
                <w:color w:val="FFFFFF"/>
                <w:sz w:val="21"/>
                <w:szCs w:val="21"/>
                <w:u w:val="none"/>
              </w:rPr>
            </w:pPr>
            <w:r>
              <w:rPr>
                <w:rStyle w:val="42"/>
                <w:rFonts w:hint="eastAsia" w:ascii="微软雅黑" w:hAnsi="微软雅黑" w:eastAsia="微软雅黑" w:cs="微软雅黑"/>
                <w:lang w:val="en-US" w:eastAsia="zh-CN" w:bidi="ar"/>
              </w:rPr>
              <w:t>CNS分子标记物</w:t>
            </w:r>
          </w:p>
        </w:tc>
        <w:tc>
          <w:tcPr>
            <w:tcW w:w="3681" w:type="pct"/>
            <w:tcBorders>
              <w:top w:val="nil"/>
              <w:left w:val="single" w:color="FFFFFF" w:sz="12" w:space="0"/>
              <w:bottom w:val="nil"/>
              <w:right w:val="nil"/>
            </w:tcBorders>
            <w:shd w:val="clear" w:color="auto" w:fill="62BC41"/>
            <w:vAlign w:val="center"/>
          </w:tcPr>
          <w:p w14:paraId="4FAC6165">
            <w:pPr>
              <w:keepNext w:val="0"/>
              <w:keepLines w:val="0"/>
              <w:widowControl/>
              <w:suppressLineNumbers w:val="0"/>
              <w:jc w:val="center"/>
              <w:textAlignment w:val="center"/>
              <w:rPr>
                <w:rFonts w:hint="eastAsia" w:ascii="微软雅黑" w:hAnsi="微软雅黑" w:eastAsia="微软雅黑" w:cs="微软雅黑"/>
                <w:b/>
                <w:bCs/>
                <w:i w:val="0"/>
                <w:iCs w:val="0"/>
                <w:color w:val="FFFFFF"/>
                <w:sz w:val="21"/>
                <w:szCs w:val="21"/>
                <w:u w:val="none"/>
              </w:rPr>
            </w:pPr>
            <w:r>
              <w:rPr>
                <w:rStyle w:val="42"/>
                <w:rFonts w:hint="eastAsia" w:ascii="微软雅黑" w:hAnsi="微软雅黑" w:eastAsia="微软雅黑" w:cs="微软雅黑"/>
                <w:lang w:val="en-US" w:eastAsia="zh-CN" w:bidi="ar"/>
              </w:rPr>
              <w:t>临床检测意义</w:t>
            </w:r>
          </w:p>
        </w:tc>
      </w:tr>
      <w:tr w14:paraId="0A0C55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trPr>
        <w:tc>
          <w:tcPr>
            <w:tcW w:w="1318" w:type="pct"/>
            <w:tcBorders>
              <w:top w:val="nil"/>
              <w:left w:val="nil"/>
              <w:bottom w:val="single" w:color="A4A4A4" w:sz="4" w:space="0"/>
              <w:right w:val="single" w:color="A4A4A4" w:sz="4" w:space="0"/>
            </w:tcBorders>
            <w:shd w:val="clear" w:color="auto" w:fill="auto"/>
            <w:vAlign w:val="center"/>
          </w:tcPr>
          <w:p w14:paraId="79269543">
            <w:pPr>
              <w:widowControl/>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BRAF 融合</w:t>
            </w:r>
          </w:p>
        </w:tc>
        <w:tc>
          <w:tcPr>
            <w:tcW w:w="3681" w:type="pct"/>
            <w:tcBorders>
              <w:top w:val="nil"/>
              <w:left w:val="single" w:color="A4A4A4" w:sz="4" w:space="0"/>
              <w:bottom w:val="single" w:color="A4A4A4" w:sz="4" w:space="0"/>
              <w:right w:val="nil"/>
            </w:tcBorders>
            <w:shd w:val="clear" w:color="auto" w:fill="auto"/>
            <w:vAlign w:val="center"/>
          </w:tcPr>
          <w:p w14:paraId="0838DC35">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KIAA1549-BRAF 融合是毛细胞型星形细胞瘤的关键诊断指标。</w:t>
            </w:r>
          </w:p>
        </w:tc>
      </w:tr>
      <w:tr w14:paraId="4C6626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trPr>
        <w:tc>
          <w:tcPr>
            <w:tcW w:w="1318" w:type="pct"/>
            <w:tcBorders>
              <w:top w:val="single" w:color="A4A4A4" w:sz="4" w:space="0"/>
              <w:left w:val="nil"/>
              <w:bottom w:val="single" w:color="A4A4A4" w:sz="4" w:space="0"/>
              <w:right w:val="single" w:color="A4A4A4" w:sz="4" w:space="0"/>
            </w:tcBorders>
            <w:shd w:val="clear" w:color="auto" w:fill="auto"/>
            <w:vAlign w:val="center"/>
          </w:tcPr>
          <w:p w14:paraId="5137D73F">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FGFR1 融合</w:t>
            </w:r>
          </w:p>
        </w:tc>
        <w:tc>
          <w:tcPr>
            <w:tcW w:w="3681" w:type="pct"/>
            <w:vMerge w:val="restart"/>
            <w:tcBorders>
              <w:top w:val="single" w:color="A4A4A4" w:sz="4" w:space="0"/>
              <w:left w:val="single" w:color="A4A4A4" w:sz="4" w:space="0"/>
              <w:bottom w:val="single" w:color="A4A4A4" w:sz="4" w:space="0"/>
              <w:right w:val="nil"/>
            </w:tcBorders>
            <w:shd w:val="clear" w:color="auto" w:fill="auto"/>
            <w:vAlign w:val="center"/>
          </w:tcPr>
          <w:p w14:paraId="33364997">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FGFR1/2/3 融合常见于青少年多形性低阶别神经上皮肿瘤；其中FGFR1 融合也见于 IDH 野生型的脑室外神经细胞瘤中。FGFR1 激酶结构域重复（KDD）常见于弥漫性低级别胶质瘤，MAPK 信号通路突变型，在低级别星形细胞瘤中也有报道，包括毛细胞星形细胞瘤（通常是小脑外）和胚胎发育不良性神经上皮肿瘤。FGFR1 热点突变发生在 FGFR1的激酶结构域内，常见于在胚胎发育不良神经上皮肿瘤中，并已成为菊形团形成性胶质神经元肿瘤 (RGNT) 的分子标志，主要影响年轻人。靶向治疗靶点。</w:t>
            </w:r>
          </w:p>
        </w:tc>
      </w:tr>
      <w:tr w14:paraId="6A366F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trPr>
        <w:tc>
          <w:tcPr>
            <w:tcW w:w="1318" w:type="pct"/>
            <w:tcBorders>
              <w:top w:val="single" w:color="A4A4A4" w:sz="4" w:space="0"/>
              <w:left w:val="nil"/>
              <w:bottom w:val="single" w:color="A4A4A4" w:sz="4" w:space="0"/>
              <w:right w:val="single" w:color="A4A4A4" w:sz="4" w:space="0"/>
            </w:tcBorders>
            <w:shd w:val="clear" w:color="auto" w:fill="auto"/>
            <w:vAlign w:val="center"/>
          </w:tcPr>
          <w:p w14:paraId="552FA065">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FGFR2 融合</w:t>
            </w:r>
          </w:p>
        </w:tc>
        <w:tc>
          <w:tcPr>
            <w:tcW w:w="3681" w:type="pct"/>
            <w:vMerge w:val="continue"/>
            <w:tcBorders>
              <w:top w:val="single" w:color="A4A4A4" w:sz="4" w:space="0"/>
              <w:left w:val="single" w:color="A4A4A4" w:sz="4" w:space="0"/>
              <w:bottom w:val="single" w:color="A4A4A4" w:sz="4" w:space="0"/>
              <w:right w:val="nil"/>
            </w:tcBorders>
            <w:shd w:val="clear" w:color="auto" w:fill="auto"/>
            <w:vAlign w:val="center"/>
          </w:tcPr>
          <w:p w14:paraId="1AD62B51">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p>
        </w:tc>
      </w:tr>
      <w:tr w14:paraId="240A6B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trPr>
        <w:tc>
          <w:tcPr>
            <w:tcW w:w="1318" w:type="pct"/>
            <w:tcBorders>
              <w:top w:val="single" w:color="A4A4A4" w:sz="4" w:space="0"/>
              <w:left w:val="nil"/>
              <w:bottom w:val="single" w:color="A4A4A4" w:sz="4" w:space="0"/>
              <w:right w:val="single" w:color="A4A4A4" w:sz="4" w:space="0"/>
            </w:tcBorders>
            <w:shd w:val="clear" w:color="auto" w:fill="auto"/>
            <w:vAlign w:val="center"/>
          </w:tcPr>
          <w:p w14:paraId="511430F0">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FGFR3 融合</w:t>
            </w:r>
          </w:p>
        </w:tc>
        <w:tc>
          <w:tcPr>
            <w:tcW w:w="3681" w:type="pct"/>
            <w:vMerge w:val="continue"/>
            <w:tcBorders>
              <w:top w:val="single" w:color="A4A4A4" w:sz="4" w:space="0"/>
              <w:left w:val="single" w:color="A4A4A4" w:sz="4" w:space="0"/>
              <w:bottom w:val="single" w:color="A4A4A4" w:sz="4" w:space="0"/>
              <w:right w:val="nil"/>
            </w:tcBorders>
            <w:shd w:val="clear" w:color="auto" w:fill="auto"/>
            <w:vAlign w:val="center"/>
          </w:tcPr>
          <w:p w14:paraId="63B03E4A">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p>
        </w:tc>
      </w:tr>
      <w:tr w14:paraId="734CD9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trPr>
        <w:tc>
          <w:tcPr>
            <w:tcW w:w="1318" w:type="pct"/>
            <w:tcBorders>
              <w:top w:val="single" w:color="A4A4A4" w:sz="4" w:space="0"/>
              <w:left w:val="nil"/>
              <w:bottom w:val="single" w:color="A4A4A4" w:sz="4" w:space="0"/>
              <w:right w:val="single" w:color="A4A4A4" w:sz="4" w:space="0"/>
            </w:tcBorders>
            <w:shd w:val="clear" w:color="auto" w:fill="auto"/>
            <w:vAlign w:val="center"/>
          </w:tcPr>
          <w:p w14:paraId="759C2C20">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NTRK1 融合</w:t>
            </w:r>
          </w:p>
        </w:tc>
        <w:tc>
          <w:tcPr>
            <w:tcW w:w="3681" w:type="pct"/>
            <w:vMerge w:val="restart"/>
            <w:tcBorders>
              <w:top w:val="single" w:color="A4A4A4" w:sz="4" w:space="0"/>
              <w:left w:val="single" w:color="A4A4A4" w:sz="4" w:space="0"/>
              <w:bottom w:val="single" w:color="A4A4A4" w:sz="4" w:space="0"/>
              <w:right w:val="nil"/>
            </w:tcBorders>
            <w:shd w:val="clear" w:color="auto" w:fill="auto"/>
            <w:vAlign w:val="center"/>
          </w:tcPr>
          <w:p w14:paraId="4B044C19">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常见于婴儿型半球胶质瘤。治疗意义：靶向治疗靶点。</w:t>
            </w:r>
          </w:p>
        </w:tc>
      </w:tr>
      <w:tr w14:paraId="0B1CD3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trPr>
        <w:tc>
          <w:tcPr>
            <w:tcW w:w="1318" w:type="pct"/>
            <w:tcBorders>
              <w:top w:val="single" w:color="A4A4A4" w:sz="4" w:space="0"/>
              <w:left w:val="nil"/>
              <w:bottom w:val="single" w:color="A4A4A4" w:sz="4" w:space="0"/>
              <w:right w:val="single" w:color="A4A4A4" w:sz="4" w:space="0"/>
            </w:tcBorders>
            <w:shd w:val="clear" w:color="auto" w:fill="auto"/>
            <w:vAlign w:val="center"/>
          </w:tcPr>
          <w:p w14:paraId="07ABD2FC">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NTRK2 融合</w:t>
            </w:r>
          </w:p>
        </w:tc>
        <w:tc>
          <w:tcPr>
            <w:tcW w:w="3681" w:type="pct"/>
            <w:vMerge w:val="continue"/>
            <w:tcBorders>
              <w:top w:val="single" w:color="A4A4A4" w:sz="4" w:space="0"/>
              <w:left w:val="single" w:color="A4A4A4" w:sz="4" w:space="0"/>
              <w:bottom w:val="single" w:color="A4A4A4" w:sz="4" w:space="0"/>
              <w:right w:val="nil"/>
            </w:tcBorders>
            <w:shd w:val="clear" w:color="auto" w:fill="auto"/>
            <w:vAlign w:val="center"/>
          </w:tcPr>
          <w:p w14:paraId="239E97C3">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p>
        </w:tc>
      </w:tr>
      <w:tr w14:paraId="5D4917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trPr>
        <w:tc>
          <w:tcPr>
            <w:tcW w:w="1318" w:type="pct"/>
            <w:tcBorders>
              <w:top w:val="single" w:color="A4A4A4" w:sz="4" w:space="0"/>
              <w:left w:val="nil"/>
              <w:bottom w:val="single" w:color="A4A4A4" w:sz="4" w:space="0"/>
              <w:right w:val="single" w:color="A4A4A4" w:sz="4" w:space="0"/>
            </w:tcBorders>
            <w:shd w:val="clear" w:color="auto" w:fill="auto"/>
            <w:vAlign w:val="center"/>
          </w:tcPr>
          <w:p w14:paraId="00BDC537">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NTRK3 融合</w:t>
            </w:r>
          </w:p>
        </w:tc>
        <w:tc>
          <w:tcPr>
            <w:tcW w:w="3681" w:type="pct"/>
            <w:vMerge w:val="continue"/>
            <w:tcBorders>
              <w:top w:val="single" w:color="A4A4A4" w:sz="4" w:space="0"/>
              <w:left w:val="single" w:color="A4A4A4" w:sz="4" w:space="0"/>
              <w:bottom w:val="single" w:color="A4A4A4" w:sz="4" w:space="0"/>
              <w:right w:val="nil"/>
            </w:tcBorders>
            <w:shd w:val="clear" w:color="auto" w:fill="auto"/>
            <w:vAlign w:val="center"/>
          </w:tcPr>
          <w:p w14:paraId="4422F532">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p>
        </w:tc>
      </w:tr>
      <w:tr w14:paraId="145399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trPr>
        <w:tc>
          <w:tcPr>
            <w:tcW w:w="1318" w:type="pct"/>
            <w:tcBorders>
              <w:top w:val="single" w:color="A4A4A4" w:sz="4" w:space="0"/>
              <w:left w:val="nil"/>
              <w:bottom w:val="single" w:color="A4A4A4" w:sz="4" w:space="0"/>
              <w:right w:val="single" w:color="A4A4A4" w:sz="4" w:space="0"/>
            </w:tcBorders>
            <w:shd w:val="clear" w:color="auto" w:fill="auto"/>
            <w:vAlign w:val="center"/>
          </w:tcPr>
          <w:p w14:paraId="0C8756E9">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ALK 融合</w:t>
            </w:r>
          </w:p>
        </w:tc>
        <w:tc>
          <w:tcPr>
            <w:tcW w:w="3681" w:type="pct"/>
            <w:tcBorders>
              <w:top w:val="single" w:color="A4A4A4" w:sz="4" w:space="0"/>
              <w:left w:val="single" w:color="A4A4A4" w:sz="4" w:space="0"/>
              <w:bottom w:val="single" w:color="A4A4A4" w:sz="4" w:space="0"/>
              <w:right w:val="nil"/>
            </w:tcBorders>
            <w:shd w:val="clear" w:color="auto" w:fill="auto"/>
            <w:vAlign w:val="center"/>
          </w:tcPr>
          <w:p w14:paraId="5BBE2FFD">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常见于婴儿型半球胶质瘤。治疗意义：靶向治疗靶点。</w:t>
            </w:r>
          </w:p>
        </w:tc>
      </w:tr>
      <w:tr w14:paraId="3C03D3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trPr>
        <w:tc>
          <w:tcPr>
            <w:tcW w:w="1318" w:type="pct"/>
            <w:tcBorders>
              <w:top w:val="single" w:color="A4A4A4" w:sz="4" w:space="0"/>
              <w:left w:val="nil"/>
              <w:bottom w:val="single" w:color="A4A4A4" w:sz="4" w:space="0"/>
              <w:right w:val="single" w:color="A4A4A4" w:sz="4" w:space="0"/>
            </w:tcBorders>
            <w:shd w:val="clear" w:color="auto" w:fill="auto"/>
            <w:vAlign w:val="center"/>
          </w:tcPr>
          <w:p w14:paraId="2F071635">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ROS1 融合</w:t>
            </w:r>
          </w:p>
        </w:tc>
        <w:tc>
          <w:tcPr>
            <w:tcW w:w="3681" w:type="pct"/>
            <w:tcBorders>
              <w:top w:val="single" w:color="A4A4A4" w:sz="4" w:space="0"/>
              <w:left w:val="single" w:color="A4A4A4" w:sz="4" w:space="0"/>
              <w:bottom w:val="single" w:color="A4A4A4" w:sz="4" w:space="0"/>
              <w:right w:val="nil"/>
            </w:tcBorders>
            <w:shd w:val="clear" w:color="auto" w:fill="auto"/>
            <w:vAlign w:val="center"/>
          </w:tcPr>
          <w:p w14:paraId="1FF32067">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常见于婴儿型半球胶质瘤。治疗意义：靶向治疗靶点。</w:t>
            </w:r>
          </w:p>
        </w:tc>
      </w:tr>
      <w:tr w14:paraId="65AC61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trPr>
        <w:tc>
          <w:tcPr>
            <w:tcW w:w="1318" w:type="pct"/>
            <w:tcBorders>
              <w:top w:val="single" w:color="A4A4A4" w:sz="4" w:space="0"/>
              <w:left w:val="nil"/>
              <w:bottom w:val="single" w:color="A4A4A4" w:sz="4" w:space="0"/>
              <w:right w:val="single" w:color="A4A4A4" w:sz="4" w:space="0"/>
            </w:tcBorders>
            <w:shd w:val="clear" w:color="auto" w:fill="auto"/>
            <w:vAlign w:val="center"/>
          </w:tcPr>
          <w:p w14:paraId="269E05CD">
            <w:pPr>
              <w:widowControl/>
              <w:textAlignment w:val="cente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YAP1 融合</w:t>
            </w:r>
          </w:p>
        </w:tc>
        <w:tc>
          <w:tcPr>
            <w:tcW w:w="3681" w:type="pct"/>
            <w:tcBorders>
              <w:top w:val="single" w:color="A4A4A4" w:sz="4" w:space="0"/>
              <w:left w:val="single" w:color="A4A4A4" w:sz="4" w:space="0"/>
              <w:bottom w:val="single" w:color="A4A4A4" w:sz="4" w:space="0"/>
              <w:right w:val="nil"/>
            </w:tcBorders>
            <w:shd w:val="clear" w:color="auto" w:fill="auto"/>
            <w:vAlign w:val="center"/>
          </w:tcPr>
          <w:p w14:paraId="74911D96">
            <w:pPr>
              <w:widowControl/>
              <w:textAlignment w:val="cente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YAP1融合是幕上室管膜瘤的诊断指标。发生YAP1 融合变异的幕上室管膜瘤更具侵袭性，预后相对较差。</w:t>
            </w:r>
          </w:p>
        </w:tc>
      </w:tr>
      <w:tr w14:paraId="061623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trPr>
        <w:tc>
          <w:tcPr>
            <w:tcW w:w="1318" w:type="pct"/>
            <w:tcBorders>
              <w:top w:val="single" w:color="A4A4A4" w:sz="4" w:space="0"/>
              <w:left w:val="nil"/>
              <w:bottom w:val="single" w:color="A4A4A4" w:sz="4" w:space="0"/>
              <w:right w:val="single" w:color="A4A4A4" w:sz="4" w:space="0"/>
            </w:tcBorders>
            <w:shd w:val="clear" w:color="auto" w:fill="auto"/>
            <w:vAlign w:val="center"/>
          </w:tcPr>
          <w:p w14:paraId="53538FBE">
            <w:pPr>
              <w:widowControl/>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ZFTA（C11orf95）-RELA融合</w:t>
            </w:r>
          </w:p>
        </w:tc>
        <w:tc>
          <w:tcPr>
            <w:tcW w:w="3681" w:type="pct"/>
            <w:tcBorders>
              <w:top w:val="single" w:color="A4A4A4" w:sz="4" w:space="0"/>
              <w:left w:val="single" w:color="A4A4A4" w:sz="4" w:space="0"/>
              <w:bottom w:val="single" w:color="A4A4A4" w:sz="4" w:space="0"/>
              <w:right w:val="nil"/>
            </w:tcBorders>
            <w:shd w:val="clear" w:color="auto" w:fill="auto"/>
            <w:vAlign w:val="center"/>
          </w:tcPr>
          <w:p w14:paraId="1AAF6E23">
            <w:pPr>
              <w:widowControl/>
              <w:textAlignment w:val="cente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ZFTA-RELA 基因融合是室管膜瘤亚型的关键诊断指标。发生ZFTA-RELA 融合变异的幕上室管膜瘤更具侵袭性，预后相对较差。</w:t>
            </w:r>
          </w:p>
        </w:tc>
      </w:tr>
      <w:tr w14:paraId="414BFE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trPr>
        <w:tc>
          <w:tcPr>
            <w:tcW w:w="1318" w:type="pct"/>
            <w:tcBorders>
              <w:top w:val="single" w:color="A4A4A4" w:sz="4" w:space="0"/>
              <w:left w:val="nil"/>
              <w:bottom w:val="single" w:color="A4A4A4" w:sz="4" w:space="0"/>
              <w:right w:val="single" w:color="A4A4A4" w:sz="4" w:space="0"/>
            </w:tcBorders>
            <w:shd w:val="clear" w:color="auto" w:fill="auto"/>
            <w:vAlign w:val="center"/>
          </w:tcPr>
          <w:p w14:paraId="7CDF3C44">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EGFR VIII</w:t>
            </w:r>
          </w:p>
        </w:tc>
        <w:tc>
          <w:tcPr>
            <w:tcW w:w="3681" w:type="pct"/>
            <w:tcBorders>
              <w:top w:val="single" w:color="A4A4A4" w:sz="4" w:space="0"/>
              <w:left w:val="single" w:color="A4A4A4" w:sz="4" w:space="0"/>
              <w:bottom w:val="single" w:color="A4A4A4" w:sz="4" w:space="0"/>
              <w:right w:val="nil"/>
            </w:tcBorders>
            <w:shd w:val="clear" w:color="auto" w:fill="auto"/>
            <w:vAlign w:val="center"/>
          </w:tcPr>
          <w:p w14:paraId="0733A168">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在高级别胶质瘤中高频发生EGFR扩增和EGFRvIII突变，携带EGFRvIII突变的患者预后较差; EGFR扩增和vIII突变与胶质瘤预后和靶向治疗相关。</w:t>
            </w:r>
          </w:p>
        </w:tc>
      </w:tr>
      <w:tr w14:paraId="6CF840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trPr>
        <w:tc>
          <w:tcPr>
            <w:tcW w:w="1318" w:type="pct"/>
            <w:tcBorders>
              <w:top w:val="single" w:color="A4A4A4" w:sz="4" w:space="0"/>
              <w:left w:val="nil"/>
              <w:bottom w:val="single" w:color="A4A4A4" w:sz="4" w:space="0"/>
              <w:right w:val="single" w:color="A4A4A4" w:sz="4" w:space="0"/>
            </w:tcBorders>
            <w:shd w:val="clear" w:color="auto" w:fill="auto"/>
            <w:vAlign w:val="center"/>
          </w:tcPr>
          <w:p w14:paraId="3D4B077C">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RELA融合</w:t>
            </w:r>
          </w:p>
        </w:tc>
        <w:tc>
          <w:tcPr>
            <w:tcW w:w="3681" w:type="pct"/>
            <w:tcBorders>
              <w:top w:val="single" w:color="A4A4A4" w:sz="4" w:space="0"/>
              <w:left w:val="single" w:color="A4A4A4" w:sz="4" w:space="0"/>
              <w:bottom w:val="single" w:color="A4A4A4" w:sz="4" w:space="0"/>
              <w:right w:val="nil"/>
            </w:tcBorders>
            <w:shd w:val="clear" w:color="auto" w:fill="auto"/>
            <w:vAlign w:val="center"/>
          </w:tcPr>
          <w:p w14:paraId="2E0A64F0">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根据脑胶质瘤诊疗规范（2018版）和2016年中枢神经系统肿瘤分类，幕上室管膜瘤RELA融合阳性肿瘤需要进行RELA融合的分子检测。RELA融合阳性幕上室管膜瘤具有较差的临床预后特征。</w:t>
            </w:r>
          </w:p>
        </w:tc>
      </w:tr>
      <w:tr w14:paraId="30D23B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trPr>
        <w:tc>
          <w:tcPr>
            <w:tcW w:w="0" w:type="auto"/>
            <w:tcBorders>
              <w:top w:val="single" w:color="A4A4A4" w:sz="4" w:space="0"/>
              <w:bottom w:val="single" w:color="A4A4A4" w:sz="4" w:space="0"/>
              <w:right w:val="single" w:color="A4A4A4" w:sz="4" w:space="0"/>
            </w:tcBorders>
            <w:shd w:val="clear" w:color="auto" w:fill="auto"/>
            <w:vAlign w:val="center"/>
          </w:tcPr>
          <w:p w14:paraId="0DB357F5">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JAK1融合</w:t>
            </w:r>
          </w:p>
        </w:tc>
        <w:tc>
          <w:tcPr>
            <w:tcW w:w="3681" w:type="pct"/>
            <w:tcBorders>
              <w:top w:val="single" w:color="A4A4A4" w:sz="4" w:space="0"/>
              <w:left w:val="single" w:color="A4A4A4" w:sz="4" w:space="0"/>
              <w:bottom w:val="single" w:color="A4A4A4" w:sz="4" w:space="0"/>
            </w:tcBorders>
            <w:shd w:val="clear" w:color="auto" w:fill="auto"/>
          </w:tcPr>
          <w:p w14:paraId="38812CE3">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有研究表明JAK1参与的信号通路与促进缺氧期间胶质瘤干细胞样细胞的自我更新有关。</w:t>
            </w:r>
          </w:p>
        </w:tc>
      </w:tr>
      <w:tr w14:paraId="481FE4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trPr>
        <w:tc>
          <w:tcPr>
            <w:tcW w:w="0" w:type="auto"/>
            <w:tcBorders>
              <w:top w:val="single" w:color="A4A4A4" w:sz="4" w:space="0"/>
              <w:bottom w:val="single" w:color="A4A4A4" w:sz="4" w:space="0"/>
              <w:right w:val="single" w:color="A4A4A4" w:sz="4" w:space="0"/>
            </w:tcBorders>
            <w:shd w:val="clear" w:color="auto" w:fill="auto"/>
            <w:vAlign w:val="center"/>
          </w:tcPr>
          <w:p w14:paraId="06CAE0E5">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JAK2融合</w:t>
            </w:r>
          </w:p>
        </w:tc>
        <w:tc>
          <w:tcPr>
            <w:tcW w:w="3681" w:type="pct"/>
            <w:tcBorders>
              <w:top w:val="single" w:color="A4A4A4" w:sz="4" w:space="0"/>
              <w:left w:val="single" w:color="A4A4A4" w:sz="4" w:space="0"/>
              <w:bottom w:val="single" w:color="A4A4A4" w:sz="4" w:space="0"/>
            </w:tcBorders>
            <w:shd w:val="clear" w:color="auto" w:fill="auto"/>
          </w:tcPr>
          <w:p w14:paraId="3300CAE7">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该基因融合和错义突变与慢性粒细胞白血病有关，有临床研究显示携带该基因融合突变的慢性粒细胞白血病患者对伊马替尼有效。</w:t>
            </w:r>
          </w:p>
        </w:tc>
      </w:tr>
      <w:tr w14:paraId="5DCF6D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trPr>
        <w:tc>
          <w:tcPr>
            <w:tcW w:w="0" w:type="auto"/>
            <w:tcBorders>
              <w:top w:val="single" w:color="A4A4A4" w:sz="4" w:space="0"/>
              <w:bottom w:val="single" w:color="A4A4A4" w:sz="4" w:space="0"/>
              <w:right w:val="single" w:color="A4A4A4" w:sz="4" w:space="0"/>
            </w:tcBorders>
            <w:shd w:val="clear" w:color="auto" w:fill="auto"/>
            <w:vAlign w:val="center"/>
          </w:tcPr>
          <w:p w14:paraId="58109E18">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MYB融合</w:t>
            </w:r>
          </w:p>
        </w:tc>
        <w:tc>
          <w:tcPr>
            <w:tcW w:w="3681" w:type="pct"/>
            <w:vMerge w:val="restart"/>
            <w:tcBorders>
              <w:top w:val="single" w:color="A4A4A4" w:sz="4" w:space="0"/>
              <w:left w:val="single" w:color="A4A4A4" w:sz="4" w:space="0"/>
              <w:bottom w:val="single" w:color="A4A4A4" w:sz="4" w:space="0"/>
            </w:tcBorders>
            <w:shd w:val="clear" w:color="auto" w:fill="auto"/>
          </w:tcPr>
          <w:p w14:paraId="35F5C765">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病理类型为WHO II级的IDH野生/H3野生型弥漫胶质瘤，如果其有如下分子特征：BRAF V600E，FGFR1变异，MYB/BYBL1重排则此类患者预后较好，肿瘤较为惰性，很少向高级别进行。</w:t>
            </w:r>
          </w:p>
        </w:tc>
      </w:tr>
      <w:tr w14:paraId="1C9BA0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trPr>
        <w:tc>
          <w:tcPr>
            <w:tcW w:w="0" w:type="auto"/>
            <w:tcBorders>
              <w:top w:val="single" w:color="A4A4A4" w:sz="4" w:space="0"/>
              <w:bottom w:val="single" w:color="A4A4A4" w:sz="4" w:space="0"/>
              <w:right w:val="single" w:color="A4A4A4" w:sz="4" w:space="0"/>
            </w:tcBorders>
            <w:shd w:val="clear" w:color="auto" w:fill="auto"/>
            <w:vAlign w:val="center"/>
          </w:tcPr>
          <w:p w14:paraId="714C5113">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MYBL1融合</w:t>
            </w:r>
          </w:p>
        </w:tc>
        <w:tc>
          <w:tcPr>
            <w:tcW w:w="3681" w:type="pct"/>
            <w:vMerge w:val="continue"/>
            <w:tcBorders>
              <w:top w:val="single" w:color="A4A4A4" w:sz="4" w:space="0"/>
              <w:left w:val="single" w:color="A4A4A4" w:sz="4" w:space="0"/>
              <w:bottom w:val="single" w:color="A4A4A4" w:sz="4" w:space="0"/>
            </w:tcBorders>
            <w:shd w:val="clear" w:color="auto" w:fill="auto"/>
          </w:tcPr>
          <w:p w14:paraId="13F13B73">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p>
        </w:tc>
      </w:tr>
      <w:tr w14:paraId="11C9CA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trPr>
        <w:tc>
          <w:tcPr>
            <w:tcW w:w="0" w:type="auto"/>
            <w:tcBorders>
              <w:top w:val="single" w:color="A4A4A4" w:sz="4" w:space="0"/>
              <w:bottom w:val="single" w:color="A4A4A4" w:sz="4" w:space="0"/>
              <w:right w:val="single" w:color="A4A4A4" w:sz="4" w:space="0"/>
            </w:tcBorders>
            <w:shd w:val="clear" w:color="auto" w:fill="auto"/>
            <w:vAlign w:val="center"/>
          </w:tcPr>
          <w:p w14:paraId="6D38B8CC">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MET融合</w:t>
            </w:r>
          </w:p>
        </w:tc>
        <w:tc>
          <w:tcPr>
            <w:tcW w:w="3681" w:type="pct"/>
            <w:tcBorders>
              <w:top w:val="single" w:color="A4A4A4" w:sz="4" w:space="0"/>
              <w:left w:val="single" w:color="A4A4A4" w:sz="4" w:space="0"/>
              <w:bottom w:val="single" w:color="A4A4A4" w:sz="4" w:space="0"/>
            </w:tcBorders>
            <w:shd w:val="clear" w:color="auto" w:fill="auto"/>
          </w:tcPr>
          <w:p w14:paraId="57319419">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MET融合和METex14在继发性母细胞中被鉴定，通常与胶质瘤差预后有关，在研究药物有PLB-1001。</w:t>
            </w:r>
          </w:p>
        </w:tc>
      </w:tr>
    </w:tbl>
    <w:p w14:paraId="0AA0123B">
      <w:pPr>
        <w:keepNext w:val="0"/>
        <w:keepLines w:val="0"/>
        <w:widowControl w:val="0"/>
        <w:suppressLineNumbers w:val="0"/>
        <w:spacing w:before="0" w:beforeAutospacing="0" w:after="0" w:afterAutospacing="0"/>
        <w:ind w:left="0" w:right="0"/>
        <w:jc w:val="left"/>
      </w:pPr>
      <w:r>
        <w:rPr>
          <w:rFonts w:ascii="Times New Roman" w:hAnsi="Times New Roman" w:eastAsia="微软雅黑" w:cs="Times New Roman"/>
          <w:sz w:val="30"/>
          <w:lang w:eastAsia="zh-CN"/>
        </w:rPr>
        <w:br w:type="page"/>
      </w:r>
      <w:r>
        <w:rPr>
          <w:rFonts w:hint="default" w:ascii="Times New Roman" w:hAnsi="Times New Roman" w:eastAsia="微软雅黑" w:cs="Times New Roman"/>
          <w:kern w:val="0"/>
          <w:sz w:val="28"/>
          <w:szCs w:val="28"/>
          <w:lang w:val="en-US" w:eastAsia="zh-CN" w:bidi="ar"/>
        </w:rPr>
        <w:t xml:space="preserve">{% </w:t>
      </w:r>
      <w:r>
        <w:rPr>
          <w:rFonts w:hint="eastAsia" w:ascii="Times New Roman" w:hAnsi="Times New Roman" w:eastAsia="微软雅黑" w:cs="Times New Roman"/>
          <w:kern w:val="0"/>
          <w:sz w:val="28"/>
          <w:szCs w:val="28"/>
          <w:lang w:val="en-US" w:eastAsia="zh-CN" w:bidi="ar"/>
        </w:rPr>
        <w:t xml:space="preserve">endif </w:t>
      </w:r>
      <w:r>
        <w:rPr>
          <w:rFonts w:hint="default" w:ascii="Times New Roman" w:hAnsi="Times New Roman" w:eastAsia="微软雅黑" w:cs="Times New Roman"/>
          <w:kern w:val="0"/>
          <w:sz w:val="28"/>
          <w:szCs w:val="28"/>
          <w:lang w:val="en-US" w:eastAsia="zh-CN" w:bidi="ar"/>
        </w:rPr>
        <w:t>%}{% if disease.</w:t>
      </w:r>
      <w:r>
        <w:rPr>
          <w:rFonts w:hint="eastAsia" w:ascii="Times New Roman" w:hAnsi="Times New Roman" w:eastAsia="微软雅黑" w:cs="黑体"/>
          <w:kern w:val="0"/>
          <w:sz w:val="28"/>
          <w:szCs w:val="28"/>
          <w:lang w:val="en-US" w:eastAsia="zh-CN" w:bidi="ar"/>
        </w:rPr>
        <w:t xml:space="preserve">Midline </w:t>
      </w:r>
      <w:r>
        <w:rPr>
          <w:rFonts w:hint="default" w:ascii="Times New Roman" w:hAnsi="Times New Roman" w:eastAsia="微软雅黑" w:cs="Times New Roman"/>
          <w:kern w:val="0"/>
          <w:sz w:val="28"/>
          <w:szCs w:val="28"/>
          <w:lang w:val="en-US" w:eastAsia="zh-CN" w:bidi="ar"/>
        </w:rPr>
        <w:t>%}</w:t>
      </w:r>
    </w:p>
    <w:p w14:paraId="309B0806">
      <w:pPr>
        <w:pStyle w:val="3"/>
        <w:numPr>
          <w:ilvl w:val="255"/>
          <w:numId w:val="0"/>
        </w:numPr>
        <w:jc w:val="left"/>
        <w:rPr>
          <w:rFonts w:hint="eastAsia"/>
          <w:color w:val="auto"/>
          <w:sz w:val="30"/>
          <w:lang w:val="en-US" w:eastAsia="zh-CN"/>
        </w:rPr>
      </w:pPr>
      <w:bookmarkStart w:id="95" w:name="_Toc12522"/>
      <w:r>
        <w:rPr>
          <w:rFonts w:hint="eastAsia"/>
          <w:color w:val="auto"/>
          <w:sz w:val="30"/>
          <w:lang w:val="en-US" w:eastAsia="zh-CN"/>
        </w:rPr>
        <w:t>中线癌相关分子标记物检测意义</w:t>
      </w:r>
      <w:bookmarkEnd w:id="95"/>
    </w:p>
    <w:p w14:paraId="5D056232">
      <w:pPr>
        <w:spacing w:line="276" w:lineRule="auto"/>
        <w:ind w:firstLine="420" w:firstLineChars="200"/>
        <w:jc w:val="both"/>
        <w:rPr>
          <w:rFonts w:hint="eastAsia" w:ascii="Times New Roman" w:hAnsi="Times New Roman" w:eastAsia="微软雅黑" w:cs="Times New Roman"/>
          <w:bCs/>
          <w:sz w:val="21"/>
          <w:szCs w:val="21"/>
          <w:lang w:val="en-US" w:eastAsia="zh-CN"/>
        </w:rPr>
      </w:pPr>
      <w:r>
        <w:rPr>
          <w:rFonts w:hint="eastAsia" w:ascii="Times New Roman" w:hAnsi="Times New Roman" w:eastAsia="微软雅黑" w:cs="Times New Roman"/>
          <w:bCs/>
          <w:sz w:val="21"/>
          <w:szCs w:val="21"/>
          <w:lang w:val="en-US" w:eastAsia="zh-CN"/>
        </w:rPr>
        <w:t>伴睾丸核蛋白（nuclear protein in testis，NUT）基因重排的中线癌又称 NUT 癌，是一种与NUT中线癌家族成员1（NUT midline carcinoma family member 1，NUTM1）基因重排相关，罕见且具有高度侵袭性的恶性肿瘤。该病于 1991年首次被报道，随后报道的病例多见于头颈部及纵隔等人体中线结构，因此命名为中线癌。NUT癌也可发生在人体其他器官（如肺、膀胱、肾、胰腺、骨骼、鼻腔、腮腺、中枢神经系统、生殖系统、软组织等），因此世界卫生组织将中线癌更名为“NUT癌”，其可在任何年龄段发病，不同研究中位发病年龄不一致，80%以上的NUT癌患者为青少年和中青年群体，中位发病年龄多集中在18~23岁，发病年龄范围从新生儿到81岁。</w:t>
      </w:r>
    </w:p>
    <w:p w14:paraId="11B29234">
      <w:pPr>
        <w:spacing w:line="276" w:lineRule="auto"/>
        <w:ind w:firstLine="420" w:firstLineChars="200"/>
        <w:jc w:val="both"/>
        <w:rPr>
          <w:rFonts w:hint="eastAsia" w:ascii="Times New Roman" w:hAnsi="Times New Roman" w:eastAsia="微软雅黑" w:cs="Times New Roman"/>
          <w:bCs/>
          <w:sz w:val="21"/>
          <w:szCs w:val="21"/>
          <w:lang w:val="en-US" w:eastAsia="zh-CN"/>
        </w:rPr>
      </w:pPr>
      <w:r>
        <w:rPr>
          <w:rFonts w:hint="eastAsia" w:ascii="Times New Roman" w:hAnsi="Times New Roman" w:eastAsia="微软雅黑" w:cs="Times New Roman"/>
          <w:bCs/>
          <w:sz w:val="21"/>
          <w:szCs w:val="21"/>
          <w:lang w:val="en-US" w:eastAsia="zh-CN"/>
        </w:rPr>
        <w:t>NUTMI基因位于15号染色体上，负责编码睾丸和卵巢生殖细胞中表达的NUT蛋白，染色体易位/重排导致染色体15g14上的 NUTMI 基因与各种融合伴侣基因融合，其中约70%以上的NUT癌患者中携带含溴结构域蛋白4（BRD4）融合伴侣基因，天然的NUT蛋白在细胞核表达，可在睾丸生殖细胞、卵巢、生殖细胞肿瘤和NUTM1重排肿瘤中表达。</w:t>
      </w:r>
    </w:p>
    <w:p w14:paraId="2F32D849">
      <w:pPr>
        <w:spacing w:line="276" w:lineRule="auto"/>
        <w:ind w:firstLine="420" w:firstLineChars="200"/>
        <w:jc w:val="both"/>
        <w:rPr>
          <w:rFonts w:hint="eastAsia" w:ascii="Times New Roman" w:hAnsi="Times New Roman" w:eastAsia="微软雅黑" w:cs="Times New Roman"/>
          <w:bCs/>
          <w:sz w:val="21"/>
          <w:szCs w:val="21"/>
          <w:lang w:val="en-US" w:eastAsia="zh-CN"/>
        </w:rPr>
      </w:pPr>
      <w:r>
        <w:rPr>
          <w:rFonts w:hint="eastAsia" w:ascii="Times New Roman" w:hAnsi="Times New Roman" w:eastAsia="微软雅黑" w:cs="Times New Roman"/>
          <w:bCs/>
          <w:sz w:val="21"/>
          <w:szCs w:val="21"/>
          <w:lang w:val="en-US" w:eastAsia="zh-CN"/>
        </w:rPr>
        <w:t>NUT癌生存率与肿瘤部位及NUTM1不同融合伴侣密切相关，其中BRD4融合伴侣预后最差。CHAU等纳入124例患者的研究中指出胸部原发 NUT 癌预后相比其他部位NUT癌更差，易发生远处转移，瘤体&gt;6 cm且难以完整切除，OS仅为4.4个月，2年生存率为5%。其中，携带 BRD4：：NUTM1 融合基因的胸部NUT癌患者预后最差，未携带BRD4：：NUTM1融合基因（如BRD3：：NUTM1和NSD3：：NUTM1）的非胸部NUT癌患者预后最好，2年生存率为 64%，中位OS为36.5个月 。BRD4：：NUTM1融合的非胸部NUT癌肿瘤中位OS为10个月。头颈部NUT癌患者预后优于肺部和其他部位 NUT 癌患者（OS：16 个月 vs 6个月）。</w:t>
      </w:r>
    </w:p>
    <w:p w14:paraId="4AA0A7B0">
      <w:pPr>
        <w:spacing w:line="276" w:lineRule="auto"/>
        <w:ind w:firstLine="420" w:firstLineChars="200"/>
        <w:jc w:val="both"/>
        <w:rPr>
          <w:rFonts w:hint="eastAsia" w:ascii="Times New Roman" w:hAnsi="Times New Roman" w:eastAsia="微软雅黑" w:cs="Times New Roman"/>
          <w:bCs/>
          <w:sz w:val="21"/>
          <w:szCs w:val="21"/>
          <w:lang w:val="en-US" w:eastAsia="zh-CN"/>
        </w:rPr>
      </w:pPr>
      <w:r>
        <w:rPr>
          <w:rFonts w:hint="eastAsia" w:ascii="Times New Roman" w:hAnsi="Times New Roman" w:eastAsia="微软雅黑" w:cs="Times New Roman"/>
          <w:bCs/>
          <w:sz w:val="21"/>
          <w:szCs w:val="21"/>
          <w:lang w:val="en-US" w:eastAsia="zh-CN"/>
        </w:rPr>
        <w:t>中线（NUT）癌诊断与治疗专家共识（2023版）表明NUT癌的临床表现、组织病理学及常规IHC特征均不具有特异性，因此特异性NUT抗体进行IHC对NUT癌的诊断显得十分重要。对初诊伴有快速进展或远处转移的低分化癌尤其是小圆细胞肿瘤的患者建议积极考虑进行NUT免疫组织化学检查（证据级别：4级；推荐等级：强推荐），考虑加做高通量测序明确 NUTM1 融合伴侣类型（如 BRD4、BRD3、NSD3等）（证据级别：5级；推荐等级：强推荐）。</w:t>
      </w:r>
    </w:p>
    <w:p w14:paraId="6A9976EB">
      <w:pPr>
        <w:rPr>
          <w:rFonts w:hint="default" w:ascii="Times New Roman" w:hAnsi="Times New Roman" w:cs="Times New Roman"/>
          <w:sz w:val="24"/>
          <w:szCs w:val="24"/>
          <w:lang w:val="en-US" w:eastAsia="zh-CN"/>
        </w:rPr>
      </w:pPr>
      <w:r>
        <w:rPr>
          <w:rFonts w:hint="eastAsia" w:ascii="Times New Roman" w:hAnsi="Times New Roman" w:eastAsia="微软雅黑" w:cs="Times New Roman"/>
          <w:bCs/>
          <w:sz w:val="21"/>
          <w:szCs w:val="21"/>
          <w:lang w:val="en-US" w:eastAsia="zh-CN"/>
        </w:rPr>
        <w:br w:type="page"/>
      </w:r>
      <w:r>
        <w:rPr>
          <w:rFonts w:hint="default" w:ascii="Times New Roman" w:hAnsi="Times New Roman" w:cs="Times New Roman"/>
          <w:sz w:val="24"/>
          <w:szCs w:val="24"/>
          <w:lang w:val="en-US" w:eastAsia="zh-CN"/>
        </w:rPr>
        <w:t>{% endif %}{%</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if disease.</w:t>
      </w:r>
      <w:r>
        <w:rPr>
          <w:rFonts w:hint="eastAsia" w:ascii="Times New Roman" w:hAnsi="Times New Roman" w:cs="Times New Roman"/>
          <w:sz w:val="24"/>
          <w:szCs w:val="24"/>
          <w:lang w:val="en-US" w:eastAsia="zh-CN"/>
        </w:rPr>
        <w:t>KidneyFlag</w:t>
      </w:r>
      <w:r>
        <w:rPr>
          <w:rFonts w:hint="default" w:ascii="Times New Roman" w:hAnsi="Times New Roman" w:cs="Times New Roman"/>
          <w:sz w:val="24"/>
          <w:szCs w:val="24"/>
          <w:lang w:val="en-US" w:eastAsia="zh-CN"/>
        </w:rPr>
        <w:t xml:space="preserve"> %}</w:t>
      </w:r>
    </w:p>
    <w:p w14:paraId="7B9F1C02">
      <w:pPr>
        <w:pStyle w:val="3"/>
        <w:numPr>
          <w:ilvl w:val="255"/>
          <w:numId w:val="0"/>
        </w:numPr>
        <w:jc w:val="left"/>
        <w:rPr>
          <w:rFonts w:hint="default"/>
          <w:color w:val="auto"/>
          <w:sz w:val="30"/>
          <w:lang w:val="en-US" w:eastAsia="zh-CN"/>
        </w:rPr>
      </w:pPr>
      <w:bookmarkStart w:id="96" w:name="_Toc19525"/>
      <w:r>
        <w:rPr>
          <w:rFonts w:hint="eastAsia"/>
          <w:color w:val="auto"/>
          <w:sz w:val="30"/>
          <w:lang w:val="en-US" w:eastAsia="zh-CN"/>
        </w:rPr>
        <w:t>分子定义的肾细胞癌的形态学和分子特征</w:t>
      </w:r>
      <w:bookmarkEnd w:id="96"/>
    </w:p>
    <w:p w14:paraId="4DB8042F">
      <w:pPr>
        <w:numPr>
          <w:ilvl w:val="0"/>
          <w:numId w:val="10"/>
        </w:numPr>
        <w:rPr>
          <w:rFonts w:hint="eastAsia"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eastAsia="zh-Hans"/>
        </w:rPr>
        <w:t>本部分内容参考：WHO</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Hans"/>
        </w:rPr>
        <w:t>泌尿和男性生殖系统肿瘤分类</w:t>
      </w:r>
      <w:r>
        <w:rPr>
          <w:rFonts w:hint="eastAsia"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Hans"/>
        </w:rPr>
        <w:t>中分子定义的肾细胞癌</w:t>
      </w:r>
    </w:p>
    <w:tbl>
      <w:tblPr>
        <w:tblStyle w:val="15"/>
        <w:tblpPr w:leftFromText="180" w:rightFromText="180" w:vertAnchor="text" w:horzAnchor="page" w:tblpX="1154" w:tblpY="97"/>
        <w:tblOverlap w:val="never"/>
        <w:tblW w:w="9658" w:type="dxa"/>
        <w:jc w:val="center"/>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45"/>
        <w:gridCol w:w="2750"/>
        <w:gridCol w:w="2510"/>
        <w:gridCol w:w="2953"/>
      </w:tblGrid>
      <w:tr w14:paraId="6073C115">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45" w:type="dxa"/>
            <w:tcBorders>
              <w:top w:val="nil"/>
              <w:right w:val="single" w:color="FFFFFF" w:themeColor="background1" w:sz="12" w:space="0"/>
            </w:tcBorders>
            <w:shd w:val="clear" w:color="auto" w:fill="62B541"/>
            <w:noWrap/>
            <w:vAlign w:val="center"/>
          </w:tcPr>
          <w:p w14:paraId="4826F9C7">
            <w:pPr>
              <w:keepNext w:val="0"/>
              <w:keepLines w:val="0"/>
              <w:widowControl/>
              <w:suppressLineNumbers w:val="0"/>
              <w:jc w:val="center"/>
              <w:textAlignment w:val="center"/>
              <w:rPr>
                <w:rFonts w:ascii="Times New Roman" w:hAnsi="Times New Roman" w:cs="Times New Roman"/>
                <w:b/>
                <w:bCs/>
                <w:i/>
                <w:iCs/>
                <w:color w:val="FFFFFF" w:themeColor="background1"/>
                <w:sz w:val="18"/>
                <w:szCs w:val="18"/>
                <w:lang w:eastAsia="zh-CN" w:bidi="ar"/>
                <w14:textFill>
                  <w14:solidFill>
                    <w14:schemeClr w14:val="bg1"/>
                  </w14:solidFill>
                </w14:textFill>
              </w:rPr>
            </w:pPr>
            <w:r>
              <w:rPr>
                <w:rFonts w:hint="default" w:ascii="Arial" w:hAnsi="Arial" w:eastAsia="宋体" w:cs="Arial"/>
                <w:b/>
                <w:bCs/>
                <w:i w:val="0"/>
                <w:iCs w:val="0"/>
                <w:color w:val="FFFFFF" w:themeColor="background1"/>
                <w:kern w:val="0"/>
                <w:sz w:val="20"/>
                <w:szCs w:val="20"/>
                <w:u w:val="none"/>
                <w:lang w:val="en-US" w:eastAsia="zh-CN" w:bidi="ar"/>
                <w14:textFill>
                  <w14:solidFill>
                    <w14:schemeClr w14:val="bg1"/>
                  </w14:solidFill>
                </w14:textFill>
              </w:rPr>
              <w:t>分类</w:t>
            </w:r>
          </w:p>
        </w:tc>
        <w:tc>
          <w:tcPr>
            <w:tcW w:w="2750" w:type="dxa"/>
            <w:tcBorders>
              <w:top w:val="nil"/>
              <w:left w:val="single" w:color="FFFFFF" w:themeColor="background1" w:sz="12" w:space="0"/>
              <w:right w:val="single" w:color="FFFFFF" w:themeColor="background1" w:sz="12" w:space="0"/>
            </w:tcBorders>
            <w:shd w:val="clear" w:color="auto" w:fill="62B541"/>
            <w:noWrap/>
            <w:vAlign w:val="center"/>
          </w:tcPr>
          <w:p w14:paraId="3C146111">
            <w:pPr>
              <w:keepNext w:val="0"/>
              <w:keepLines w:val="0"/>
              <w:widowControl/>
              <w:suppressLineNumbers w:val="0"/>
              <w:jc w:val="center"/>
              <w:textAlignment w:val="center"/>
              <w:rPr>
                <w:rFonts w:ascii="Times New Roman" w:hAnsi="Times New Roman" w:cs="Times New Roman"/>
                <w:b/>
                <w:bCs/>
                <w:i/>
                <w:iCs/>
                <w:color w:val="FFFFFF" w:themeColor="background1"/>
                <w:sz w:val="18"/>
                <w:szCs w:val="18"/>
                <w:lang w:eastAsia="zh-CN" w:bidi="ar"/>
                <w14:textFill>
                  <w14:solidFill>
                    <w14:schemeClr w14:val="bg1"/>
                  </w14:solidFill>
                </w14:textFill>
              </w:rPr>
            </w:pPr>
            <w:r>
              <w:rPr>
                <w:rFonts w:hint="default" w:ascii="Arial" w:hAnsi="Arial" w:eastAsia="宋体" w:cs="Arial"/>
                <w:b/>
                <w:bCs/>
                <w:i w:val="0"/>
                <w:iCs w:val="0"/>
                <w:color w:val="FFFFFF" w:themeColor="background1"/>
                <w:kern w:val="0"/>
                <w:sz w:val="20"/>
                <w:szCs w:val="20"/>
                <w:u w:val="none"/>
                <w:lang w:val="en-US" w:eastAsia="zh-CN" w:bidi="ar"/>
                <w14:textFill>
                  <w14:solidFill>
                    <w14:schemeClr w14:val="bg1"/>
                  </w14:solidFill>
                </w14:textFill>
              </w:rPr>
              <w:t>形态学特征</w:t>
            </w:r>
          </w:p>
        </w:tc>
        <w:tc>
          <w:tcPr>
            <w:tcW w:w="2510" w:type="dxa"/>
            <w:tcBorders>
              <w:top w:val="nil"/>
              <w:left w:val="single" w:color="FFFFFF" w:themeColor="background1" w:sz="12" w:space="0"/>
              <w:right w:val="single" w:color="FFFFFF" w:themeColor="background1" w:sz="12" w:space="0"/>
            </w:tcBorders>
            <w:shd w:val="clear" w:color="auto" w:fill="62B541"/>
            <w:noWrap/>
            <w:vAlign w:val="center"/>
          </w:tcPr>
          <w:p w14:paraId="6313967B">
            <w:pPr>
              <w:keepNext w:val="0"/>
              <w:keepLines w:val="0"/>
              <w:widowControl/>
              <w:suppressLineNumbers w:val="0"/>
              <w:jc w:val="center"/>
              <w:textAlignment w:val="center"/>
              <w:rPr>
                <w:rFonts w:ascii="Times New Roman" w:hAnsi="Times New Roman" w:cs="Times New Roman"/>
                <w:b/>
                <w:bCs/>
                <w:i/>
                <w:iCs/>
                <w:color w:val="FFFFFF" w:themeColor="background1"/>
                <w:sz w:val="18"/>
                <w:szCs w:val="18"/>
                <w:lang w:eastAsia="zh-CN" w:bidi="ar"/>
                <w14:textFill>
                  <w14:solidFill>
                    <w14:schemeClr w14:val="bg1"/>
                  </w14:solidFill>
                </w14:textFill>
              </w:rPr>
            </w:pPr>
            <w:r>
              <w:rPr>
                <w:rFonts w:hint="default" w:ascii="Arial" w:hAnsi="Arial" w:eastAsia="宋体" w:cs="Arial"/>
                <w:b/>
                <w:bCs/>
                <w:i w:val="0"/>
                <w:iCs w:val="0"/>
                <w:color w:val="FFFFFF" w:themeColor="background1"/>
                <w:kern w:val="0"/>
                <w:sz w:val="20"/>
                <w:szCs w:val="20"/>
                <w:u w:val="none"/>
                <w:lang w:val="en-US" w:eastAsia="zh-CN" w:bidi="ar"/>
                <w14:textFill>
                  <w14:solidFill>
                    <w14:schemeClr w14:val="bg1"/>
                  </w14:solidFill>
                </w14:textFill>
              </w:rPr>
              <w:t>分子特征</w:t>
            </w:r>
          </w:p>
        </w:tc>
        <w:tc>
          <w:tcPr>
            <w:tcW w:w="2953" w:type="dxa"/>
            <w:tcBorders>
              <w:top w:val="nil"/>
              <w:left w:val="single" w:color="FFFFFF" w:themeColor="background1" w:sz="12" w:space="0"/>
            </w:tcBorders>
            <w:shd w:val="clear" w:color="auto" w:fill="62B541"/>
            <w:noWrap/>
            <w:vAlign w:val="center"/>
          </w:tcPr>
          <w:p w14:paraId="7B38AD66">
            <w:pPr>
              <w:keepNext w:val="0"/>
              <w:keepLines w:val="0"/>
              <w:widowControl/>
              <w:suppressLineNumbers w:val="0"/>
              <w:jc w:val="center"/>
              <w:textAlignment w:val="center"/>
              <w:rPr>
                <w:rFonts w:hint="default" w:ascii="Arial" w:hAnsi="Arial" w:eastAsia="宋体" w:cs="Arial"/>
                <w:b/>
                <w:bCs/>
                <w:i w:val="0"/>
                <w:iCs w:val="0"/>
                <w:color w:val="FFFFFF" w:themeColor="background1"/>
                <w:kern w:val="0"/>
                <w:sz w:val="20"/>
                <w:szCs w:val="20"/>
                <w:u w:val="none"/>
                <w:lang w:val="en-US" w:eastAsia="zh-CN" w:bidi="ar"/>
                <w14:textFill>
                  <w14:solidFill>
                    <w14:schemeClr w14:val="bg1"/>
                  </w14:solidFill>
                </w14:textFill>
              </w:rPr>
            </w:pPr>
            <w:r>
              <w:rPr>
                <w:rFonts w:hint="eastAsia" w:ascii="Arial" w:hAnsi="Arial" w:cs="Arial"/>
                <w:b/>
                <w:bCs/>
                <w:i w:val="0"/>
                <w:iCs w:val="0"/>
                <w:color w:val="FFFFFF" w:themeColor="background1"/>
                <w:kern w:val="0"/>
                <w:sz w:val="20"/>
                <w:szCs w:val="20"/>
                <w:u w:val="none"/>
                <w:lang w:val="en-US" w:eastAsia="zh-CN" w:bidi="ar"/>
                <w14:textFill>
                  <w14:solidFill>
                    <w14:schemeClr w14:val="bg1"/>
                  </w14:solidFill>
                </w14:textFill>
              </w:rPr>
              <w:t>临床意义</w:t>
            </w:r>
          </w:p>
        </w:tc>
      </w:tr>
      <w:tr w14:paraId="200BE454">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21" w:hRule="atLeast"/>
          <w:jc w:val="center"/>
        </w:trPr>
        <w:tc>
          <w:tcPr>
            <w:tcW w:w="1445" w:type="dxa"/>
            <w:tcBorders>
              <w:tl2br w:val="nil"/>
              <w:tr2bl w:val="nil"/>
            </w:tcBorders>
            <w:shd w:val="clear" w:color="auto" w:fill="auto"/>
            <w:noWrap/>
            <w:vAlign w:val="center"/>
          </w:tcPr>
          <w:p w14:paraId="41DFF823">
            <w:pPr>
              <w:widowControl/>
              <w:jc w:val="both"/>
              <w:textAlignment w:val="cente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TFE3重排肾细胞癌</w:t>
            </w:r>
          </w:p>
        </w:tc>
        <w:tc>
          <w:tcPr>
            <w:tcW w:w="2750" w:type="dxa"/>
            <w:tcBorders>
              <w:tl2br w:val="nil"/>
              <w:tr2bl w:val="nil"/>
            </w:tcBorders>
            <w:shd w:val="clear" w:color="auto" w:fill="auto"/>
            <w:noWrap/>
            <w:vAlign w:val="center"/>
          </w:tcPr>
          <w:p w14:paraId="4A741ECA">
            <w:pPr>
              <w:widowControl/>
              <w:jc w:val="both"/>
              <w:textAlignment w:val="cente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胞质丰富的透明或嗜酸细胞、乳头状结构、砂砾体</w:t>
            </w:r>
          </w:p>
        </w:tc>
        <w:tc>
          <w:tcPr>
            <w:tcW w:w="2510" w:type="dxa"/>
            <w:tcBorders>
              <w:tl2br w:val="nil"/>
              <w:tr2bl w:val="nil"/>
            </w:tcBorders>
            <w:shd w:val="clear" w:color="auto" w:fill="auto"/>
            <w:noWrap/>
            <w:vAlign w:val="center"/>
          </w:tcPr>
          <w:p w14:paraId="76161569">
            <w:pPr>
              <w:widowControl/>
              <w:jc w:val="both"/>
              <w:textAlignment w:val="cente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最常见</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ASPSCR1</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 xml:space="preserve">TFE3、PRCC </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 xml:space="preserve"> TFE3、SFPQ</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TFE3融合</w:t>
            </w:r>
          </w:p>
        </w:tc>
        <w:tc>
          <w:tcPr>
            <w:tcW w:w="2953" w:type="dxa"/>
            <w:tcBorders>
              <w:tl2br w:val="nil"/>
              <w:tr2bl w:val="nil"/>
            </w:tcBorders>
            <w:shd w:val="clear" w:color="auto" w:fill="auto"/>
            <w:noWrap/>
            <w:vAlign w:val="center"/>
          </w:tcPr>
          <w:p w14:paraId="67175F1C">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TFE3重排肾细胞癌预后与透明细胞肾细胞癌相似</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年龄大和分期晚是最重要的预后不良因素</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不同融合亚型的预后存在一定的差别</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ASPSCR1</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TFE3 融合通常比PRCC</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TFE3融合分期晚、更易发生淋巴结转移和远处转移</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 xml:space="preserve">MED15 </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TFE3 融合主要表现为多房囊性</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预后较好。</w:t>
            </w:r>
          </w:p>
        </w:tc>
      </w:tr>
      <w:tr w14:paraId="1F065A98">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21" w:hRule="atLeast"/>
          <w:jc w:val="center"/>
        </w:trPr>
        <w:tc>
          <w:tcPr>
            <w:tcW w:w="1445" w:type="dxa"/>
            <w:tcBorders>
              <w:tl2br w:val="nil"/>
              <w:tr2bl w:val="nil"/>
            </w:tcBorders>
            <w:shd w:val="clear" w:color="auto" w:fill="auto"/>
            <w:noWrap/>
            <w:vAlign w:val="center"/>
          </w:tcPr>
          <w:p w14:paraId="7A5E4E2B">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TFEB改变肾细胞癌</w:t>
            </w:r>
          </w:p>
        </w:tc>
        <w:tc>
          <w:tcPr>
            <w:tcW w:w="2750" w:type="dxa"/>
            <w:tcBorders>
              <w:tl2br w:val="nil"/>
              <w:tr2bl w:val="nil"/>
            </w:tcBorders>
            <w:shd w:val="clear" w:color="auto" w:fill="auto"/>
            <w:noWrap/>
            <w:vAlign w:val="center"/>
          </w:tcPr>
          <w:p w14:paraId="43340D9D">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双相结构，周围为大的上皮样细胞（胞质透 亮或嗜酸）、中央为围绕基膜样物的小细胞簇</w:t>
            </w:r>
          </w:p>
        </w:tc>
        <w:tc>
          <w:tcPr>
            <w:tcW w:w="2510" w:type="dxa"/>
            <w:tcBorders>
              <w:tl2br w:val="nil"/>
              <w:tr2bl w:val="nil"/>
            </w:tcBorders>
            <w:shd w:val="clear" w:color="auto" w:fill="auto"/>
            <w:noWrap/>
            <w:vAlign w:val="center"/>
          </w:tcPr>
          <w:p w14:paraId="6091C2E4">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大部分为 MALATI</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TFEB 融合</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，（TFEB的伴侣基因除了最常见的MALAT1，还有 ACTBEWSR1、CLTC、CADM2、KHDRBS2、COL21A1、PPP1R10、NEAT-1）</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部分为TFEB扩增</w:t>
            </w:r>
          </w:p>
        </w:tc>
        <w:tc>
          <w:tcPr>
            <w:tcW w:w="2953" w:type="dxa"/>
            <w:tcBorders>
              <w:tl2br w:val="nil"/>
              <w:tr2bl w:val="nil"/>
            </w:tcBorders>
            <w:shd w:val="clear" w:color="auto" w:fill="auto"/>
            <w:noWrap/>
            <w:vAlign w:val="center"/>
          </w:tcPr>
          <w:p w14:paraId="0CBE61DC">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绝大多数TFEB重排肾细胞癌预后较好</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存在肿瘤性坏死提示预后较差</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而TFEB扩增肾细胞癌更具有侵袭性</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分期晚、易发生转移。TFEB扩增同时常伴有 VEGFA扩增</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TFEB改变肾细胞癌常高表达PD-L1</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这类肿瘤可能从抗血管生成治疗和免疫抑制治疗中获益</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p>
        </w:tc>
      </w:tr>
      <w:tr w14:paraId="068C638B">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21" w:hRule="atLeast"/>
          <w:jc w:val="center"/>
        </w:trPr>
        <w:tc>
          <w:tcPr>
            <w:tcW w:w="1445" w:type="dxa"/>
            <w:tcBorders>
              <w:tl2br w:val="nil"/>
              <w:tr2bl w:val="nil"/>
            </w:tcBorders>
            <w:shd w:val="clear" w:color="auto" w:fill="auto"/>
            <w:noWrap/>
            <w:vAlign w:val="center"/>
          </w:tcPr>
          <w:p w14:paraId="15400697">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ELOC突变肾细胞癌</w:t>
            </w:r>
          </w:p>
        </w:tc>
        <w:tc>
          <w:tcPr>
            <w:tcW w:w="2750" w:type="dxa"/>
            <w:tcBorders>
              <w:tl2br w:val="nil"/>
              <w:tr2bl w:val="nil"/>
            </w:tcBorders>
            <w:shd w:val="clear" w:color="auto" w:fill="auto"/>
            <w:noWrap/>
            <w:vAlign w:val="center"/>
          </w:tcPr>
          <w:p w14:paraId="4CFB56AB">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分支管状、乳头状结构，肿瘤细胞胞质透亮或弱嗜酸性、胞界清楚</w:t>
            </w:r>
          </w:p>
        </w:tc>
        <w:tc>
          <w:tcPr>
            <w:tcW w:w="2510" w:type="dxa"/>
            <w:tcBorders>
              <w:tl2br w:val="nil"/>
              <w:tr2bl w:val="nil"/>
            </w:tcBorders>
            <w:shd w:val="clear" w:color="auto" w:fill="auto"/>
            <w:noWrap/>
            <w:vAlign w:val="center"/>
          </w:tcPr>
          <w:p w14:paraId="5459E752">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ELOC(TCEB1）Y79C/S/F/N 或 A100P 点突变</w:t>
            </w:r>
          </w:p>
        </w:tc>
        <w:tc>
          <w:tcPr>
            <w:tcW w:w="2953" w:type="dxa"/>
            <w:tcBorders>
              <w:tl2br w:val="nil"/>
              <w:tr2bl w:val="nil"/>
            </w:tcBorders>
            <w:shd w:val="clear" w:color="auto" w:fill="auto"/>
            <w:noWrap/>
            <w:vAlign w:val="center"/>
          </w:tcPr>
          <w:p w14:paraId="0921F44D">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大多数ELOC突变的肾细胞癌表现为惰性生物学行为，预后好，少数病例出现转移及高级别转化成分</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p>
        </w:tc>
      </w:tr>
      <w:tr w14:paraId="1C410F65">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21" w:hRule="atLeast"/>
          <w:jc w:val="center"/>
        </w:trPr>
        <w:tc>
          <w:tcPr>
            <w:tcW w:w="1445" w:type="dxa"/>
            <w:tcBorders>
              <w:tl2br w:val="nil"/>
              <w:tr2bl w:val="nil"/>
            </w:tcBorders>
            <w:shd w:val="clear" w:color="auto" w:fill="auto"/>
            <w:noWrap/>
            <w:vAlign w:val="center"/>
          </w:tcPr>
          <w:p w14:paraId="50A33AB3">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F</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H</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缺陷型肾细胞癌</w:t>
            </w:r>
          </w:p>
        </w:tc>
        <w:tc>
          <w:tcPr>
            <w:tcW w:w="2750" w:type="dxa"/>
            <w:tcBorders>
              <w:tl2br w:val="nil"/>
              <w:tr2bl w:val="nil"/>
            </w:tcBorders>
            <w:shd w:val="clear" w:color="auto" w:fill="auto"/>
            <w:noWrap/>
            <w:vAlign w:val="center"/>
          </w:tcPr>
          <w:p w14:paraId="16DA0666">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乳头状、实性、管囊状、筛状和囊性结构</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核异型明显，可见核周晕包绕的病毒包涵体样嗜酸性大核仁</w:t>
            </w:r>
          </w:p>
        </w:tc>
        <w:tc>
          <w:tcPr>
            <w:tcW w:w="2510" w:type="dxa"/>
            <w:tcBorders>
              <w:tl2br w:val="nil"/>
              <w:tr2bl w:val="nil"/>
            </w:tcBorders>
            <w:shd w:val="clear" w:color="auto" w:fill="auto"/>
            <w:noWrap/>
            <w:vAlign w:val="center"/>
          </w:tcPr>
          <w:p w14:paraId="2CB8070C">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FH胚系或体细胞突变</w:t>
            </w:r>
          </w:p>
        </w:tc>
        <w:tc>
          <w:tcPr>
            <w:tcW w:w="2953" w:type="dxa"/>
            <w:tcBorders>
              <w:tl2br w:val="nil"/>
              <w:tr2bl w:val="nil"/>
            </w:tcBorders>
            <w:shd w:val="clear" w:color="auto" w:fill="auto"/>
            <w:noWrap/>
            <w:vAlign w:val="center"/>
          </w:tcPr>
          <w:p w14:paraId="0E599DC2">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FH缺陷型肾细胞癌患者发病时较年轻</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分期晚预后差</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精准诊断很重要</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肿瘤内浸润T细胞增加和PD-L1高表达</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免疫治疗可能获益</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p>
        </w:tc>
      </w:tr>
      <w:tr w14:paraId="13978848">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77" w:hRule="atLeast"/>
          <w:jc w:val="center"/>
        </w:trPr>
        <w:tc>
          <w:tcPr>
            <w:tcW w:w="1445" w:type="dxa"/>
            <w:tcBorders>
              <w:tl2br w:val="nil"/>
              <w:tr2bl w:val="nil"/>
            </w:tcBorders>
            <w:shd w:val="clear" w:color="auto" w:fill="auto"/>
            <w:noWrap/>
            <w:vAlign w:val="center"/>
          </w:tcPr>
          <w:p w14:paraId="21317856">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SDH缺陷型肾细胞癌</w:t>
            </w:r>
          </w:p>
        </w:tc>
        <w:tc>
          <w:tcPr>
            <w:tcW w:w="2750" w:type="dxa"/>
            <w:tcBorders>
              <w:tl2br w:val="nil"/>
              <w:tr2bl w:val="nil"/>
            </w:tcBorders>
            <w:shd w:val="clear" w:color="auto" w:fill="auto"/>
            <w:noWrap/>
            <w:vAlign w:val="center"/>
          </w:tcPr>
          <w:p w14:paraId="335A6AB6">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实性片状或致密巢状排列,肿瘤细胞形态温 和、胞界清楚、胞质丰富、絮状浅嗜酸性，具有特征性的胞质内包涵体、呈空泡状</w:t>
            </w:r>
          </w:p>
        </w:tc>
        <w:tc>
          <w:tcPr>
            <w:tcW w:w="2510" w:type="dxa"/>
            <w:tcBorders>
              <w:tl2br w:val="nil"/>
              <w:tr2bl w:val="nil"/>
            </w:tcBorders>
            <w:shd w:val="clear" w:color="auto" w:fill="auto"/>
            <w:noWrap/>
            <w:vAlign w:val="center"/>
          </w:tcPr>
          <w:p w14:paraId="2293BA49">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SDHB胚系突变最常见，其次是 SDHA和SDHC突变，SDHD最少 见</w:t>
            </w:r>
          </w:p>
        </w:tc>
        <w:tc>
          <w:tcPr>
            <w:tcW w:w="2953" w:type="dxa"/>
            <w:tcBorders>
              <w:tl2br w:val="nil"/>
              <w:tr2bl w:val="nil"/>
            </w:tcBorders>
            <w:shd w:val="clear" w:color="auto" w:fill="auto"/>
            <w:noWrap/>
            <w:vAlign w:val="center"/>
          </w:tcPr>
          <w:p w14:paraId="3B73E965">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大部分SDH缺陷型肾细胞癌呈惰性，少数可出现高级别转化，肉瘤样或横纹肌样分化，伴或不伴有坏死，提示预后不良</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p>
        </w:tc>
      </w:tr>
      <w:tr w14:paraId="21301DEC">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77" w:hRule="atLeast"/>
          <w:jc w:val="center"/>
        </w:trPr>
        <w:tc>
          <w:tcPr>
            <w:tcW w:w="1445" w:type="dxa"/>
            <w:tcBorders>
              <w:tl2br w:val="nil"/>
              <w:tr2bl w:val="nil"/>
            </w:tcBorders>
            <w:shd w:val="clear" w:color="auto" w:fill="auto"/>
            <w:noWrap/>
            <w:vAlign w:val="center"/>
          </w:tcPr>
          <w:p w14:paraId="62719606">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ALK重排肾细胞癌</w:t>
            </w:r>
          </w:p>
        </w:tc>
        <w:tc>
          <w:tcPr>
            <w:tcW w:w="2750" w:type="dxa"/>
            <w:tcBorders>
              <w:tl2br w:val="nil"/>
              <w:tr2bl w:val="nil"/>
            </w:tcBorders>
            <w:shd w:val="clear" w:color="auto" w:fill="auto"/>
            <w:noWrap/>
            <w:vAlign w:val="center"/>
          </w:tcPr>
          <w:p w14:paraId="327C4338">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乳头状、筛状、实性、管状、管囊状、梁状、条 索状排列；可见细胞内黏液或细胞外黏液样 基质，砂砾体钙化，横纹肌样细胞，淋巴浆细胞浸润</w:t>
            </w:r>
          </w:p>
        </w:tc>
        <w:tc>
          <w:tcPr>
            <w:tcW w:w="2510" w:type="dxa"/>
            <w:tcBorders>
              <w:tl2br w:val="nil"/>
              <w:tr2bl w:val="nil"/>
            </w:tcBorders>
            <w:shd w:val="clear" w:color="auto" w:fill="auto"/>
            <w:noWrap/>
            <w:vAlign w:val="center"/>
          </w:tcPr>
          <w:p w14:paraId="09D4A3EE">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PAX8、ALK（弥漫胞质或胞膜+）、VCL和非 VCL融合（最常见 EML4、TMP3、STRN等)</w:t>
            </w:r>
          </w:p>
        </w:tc>
        <w:tc>
          <w:tcPr>
            <w:tcW w:w="2953" w:type="dxa"/>
            <w:tcBorders>
              <w:tl2br w:val="nil"/>
              <w:tr2bl w:val="nil"/>
            </w:tcBorders>
            <w:shd w:val="clear" w:color="auto" w:fill="auto"/>
            <w:noWrap/>
            <w:vAlign w:val="center"/>
          </w:tcPr>
          <w:p w14:paraId="6A9AE282">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约</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25</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％的</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ALK</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重排肾细胞癌患者可出现肿瘤复发转移和与之相关的死亡，</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ALK</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抑制剂已经在部分患者的治疗中显示出明显的有效性。</w:t>
            </w:r>
          </w:p>
        </w:tc>
      </w:tr>
      <w:tr w14:paraId="5CDF7078">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814" w:hRule="atLeast"/>
          <w:jc w:val="center"/>
        </w:trPr>
        <w:tc>
          <w:tcPr>
            <w:tcW w:w="1445" w:type="dxa"/>
            <w:tcBorders>
              <w:bottom w:val="single" w:color="A4A4A4" w:sz="4" w:space="0"/>
              <w:tl2br w:val="nil"/>
              <w:tr2bl w:val="nil"/>
            </w:tcBorders>
            <w:shd w:val="clear" w:color="auto" w:fill="auto"/>
            <w:noWrap/>
            <w:vAlign w:val="center"/>
          </w:tcPr>
          <w:p w14:paraId="4CCB496F">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SMARCB1缺陷型肾髓质癌</w:t>
            </w:r>
          </w:p>
        </w:tc>
        <w:tc>
          <w:tcPr>
            <w:tcW w:w="2750" w:type="dxa"/>
            <w:tcBorders>
              <w:bottom w:val="single" w:color="A4A4A4" w:sz="4" w:space="0"/>
              <w:tl2br w:val="nil"/>
              <w:tr2bl w:val="nil"/>
            </w:tcBorders>
            <w:shd w:val="clear" w:color="auto" w:fill="auto"/>
            <w:noWrap/>
            <w:vAlign w:val="center"/>
          </w:tcPr>
          <w:p w14:paraId="06231F89">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索状、巢状、片状、微囊、管状、筛状结构；肿 瘤细胞异型明显、空泡状、核仁明显，部分呈横纹肌样，中性粒细胞浸润</w:t>
            </w:r>
          </w:p>
        </w:tc>
        <w:tc>
          <w:tcPr>
            <w:tcW w:w="2510" w:type="dxa"/>
            <w:tcBorders>
              <w:bottom w:val="single" w:color="A4A4A4" w:sz="4" w:space="0"/>
              <w:tl2br w:val="nil"/>
              <w:tr2bl w:val="nil"/>
            </w:tcBorders>
            <w:shd w:val="clear" w:color="auto" w:fill="auto"/>
            <w:noWrap/>
            <w:vAlign w:val="center"/>
          </w:tcPr>
          <w:p w14:paraId="0C30FEA3">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SMARCB1基因双等位失活</w:t>
            </w:r>
          </w:p>
        </w:tc>
        <w:tc>
          <w:tcPr>
            <w:tcW w:w="2953" w:type="dxa"/>
            <w:tcBorders>
              <w:bottom w:val="single" w:color="A4A4A4" w:sz="4" w:space="0"/>
              <w:tl2br w:val="nil"/>
              <w:tr2bl w:val="nil"/>
            </w:tcBorders>
            <w:shd w:val="clear" w:color="auto" w:fill="auto"/>
            <w:noWrap/>
            <w:vAlign w:val="center"/>
          </w:tcPr>
          <w:p w14:paraId="49CC254F">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SMARCB1缺陷型肾髓质癌侵袭性强、预后差</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约90%病例诊断时已发生转移</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缺乏有效的治疗手段</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新近的分子研究表明SMARCB1缺陷型肾髓质癌可能对蛋白酶体、DNA复制应激靶向治疗有效</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p>
        </w:tc>
      </w:tr>
    </w:tbl>
    <w:p w14:paraId="1D324E8B">
      <w:pPr>
        <w:rPr>
          <w:rFonts w:hint="eastAsia" w:ascii="Times New Roman" w:hAnsi="Times New Roman" w:eastAsia="微软雅黑" w:cs="Times New Roman"/>
          <w:bCs/>
          <w:sz w:val="21"/>
          <w:szCs w:val="21"/>
          <w:lang w:val="en-US" w:eastAsia="zh-CN"/>
        </w:rPr>
      </w:pPr>
      <w:r>
        <w:rPr>
          <w:rFonts w:hint="eastAsia" w:ascii="Times New Roman" w:hAnsi="Times New Roman" w:eastAsia="微软雅黑" w:cs="Times New Roman"/>
          <w:bCs/>
          <w:sz w:val="21"/>
          <w:szCs w:val="21"/>
          <w:lang w:val="en-US" w:eastAsia="zh-CN"/>
        </w:rPr>
        <w:br w:type="page"/>
      </w:r>
    </w:p>
    <w:p w14:paraId="00FA72CE">
      <w:pPr>
        <w:outlineLvl w:val="9"/>
        <w:rPr>
          <w:rFonts w:hint="eastAsia" w:ascii="Times New Roman" w:hAnsi="Times New Roman"/>
          <w:sz w:val="21"/>
          <w:szCs w:val="21"/>
          <w:lang w:val="en-US" w:eastAsia="zh-CN"/>
        </w:rPr>
      </w:pPr>
      <w:r>
        <w:rPr>
          <w:rFonts w:hint="eastAsia" w:ascii="Times New Roman" w:hAnsi="Times New Roman"/>
          <w:sz w:val="21"/>
          <w:szCs w:val="21"/>
          <w:lang w:val="en-US" w:eastAsia="zh-CN"/>
        </w:rPr>
        <w:t>{% endif %}</w:t>
      </w:r>
      <w:r>
        <w:rPr>
          <w:rFonts w:hint="eastAsia" w:ascii="Times New Roman" w:hAnsi="Times New Roman" w:cs="Times New Roman"/>
          <w:b/>
          <w:bCs/>
          <w:sz w:val="21"/>
          <w:szCs w:val="21"/>
          <w:lang w:val="en-US" w:eastAsia="zh-CN"/>
        </w:rPr>
        <w:t>{% if disease.Sarcoma %}</w:t>
      </w:r>
    </w:p>
    <w:p w14:paraId="695BFCA8">
      <w:pPr>
        <w:pStyle w:val="3"/>
        <w:numPr>
          <w:ilvl w:val="255"/>
          <w:numId w:val="0"/>
        </w:numPr>
        <w:jc w:val="left"/>
        <w:rPr>
          <w:rFonts w:hint="eastAsia"/>
          <w:color w:val="auto"/>
          <w:sz w:val="30"/>
          <w:lang w:val="en-US" w:eastAsia="zh-CN"/>
        </w:rPr>
      </w:pPr>
      <w:bookmarkStart w:id="97" w:name="_Toc26621"/>
      <w:bookmarkStart w:id="98" w:name="_Toc19457"/>
      <w:r>
        <w:rPr>
          <w:rFonts w:hint="eastAsia"/>
          <w:color w:val="auto"/>
          <w:sz w:val="30"/>
          <w:lang w:val="en-US" w:eastAsia="zh-CN"/>
        </w:rPr>
        <w:t>常见肉瘤分型相关基因变异</w:t>
      </w:r>
      <w:bookmarkEnd w:id="97"/>
      <w:bookmarkEnd w:id="98"/>
    </w:p>
    <w:p w14:paraId="1988D020">
      <w:pPr>
        <w:numPr>
          <w:ilvl w:val="0"/>
          <w:numId w:val="10"/>
        </w:numPr>
        <w:rPr>
          <w:rFonts w:ascii="Times New Roman" w:hAnsi="Times New Roman" w:eastAsia="微软雅黑" w:cs="Times New Roman"/>
          <w:color w:val="000000"/>
          <w:sz w:val="21"/>
          <w:szCs w:val="21"/>
          <w:lang w:eastAsia="zh-Hans" w:bidi="ar"/>
        </w:rPr>
      </w:pPr>
      <w:r>
        <w:rPr>
          <w:rFonts w:ascii="Times New Roman" w:hAnsi="Times New Roman" w:eastAsia="微软雅黑" w:cs="Times New Roman"/>
          <w:sz w:val="21"/>
          <w:szCs w:val="21"/>
          <w:lang w:eastAsia="zh-Hans"/>
        </w:rPr>
        <w:t>本部分内容参考：WHO-软组织与骨肿瘤指南</w:t>
      </w:r>
    </w:p>
    <w:tbl>
      <w:tblPr>
        <w:tblStyle w:val="15"/>
        <w:tblW w:w="9976" w:type="dxa"/>
        <w:jc w:val="center"/>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088"/>
        <w:gridCol w:w="4888"/>
      </w:tblGrid>
      <w:tr w14:paraId="041CF97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tblHeader/>
          <w:jc w:val="center"/>
        </w:trPr>
        <w:tc>
          <w:tcPr>
            <w:tcW w:w="5088" w:type="dxa"/>
            <w:tcBorders>
              <w:top w:val="nil"/>
              <w:bottom w:val="nil"/>
              <w:right w:val="single" w:color="FFFFFF" w:sz="18" w:space="0"/>
            </w:tcBorders>
            <w:shd w:val="clear" w:color="auto" w:fill="62B541"/>
            <w:vAlign w:val="center"/>
          </w:tcPr>
          <w:p w14:paraId="1C6C0B72">
            <w:pPr>
              <w:widowControl/>
              <w:jc w:val="center"/>
              <w:textAlignment w:val="bottom"/>
              <w:rPr>
                <w:rFonts w:ascii="Times New Roman" w:hAnsi="Times New Roman" w:eastAsia="微软雅黑" w:cs="Times New Roman"/>
                <w:b/>
                <w:color w:val="FFFFFF" w:themeColor="background1"/>
                <w:sz w:val="21"/>
                <w:szCs w:val="21"/>
                <w:lang w:eastAsia="zh-CN" w:bidi="ar"/>
                <w14:textFill>
                  <w14:solidFill>
                    <w14:schemeClr w14:val="bg1"/>
                  </w14:solidFill>
                </w14:textFill>
              </w:rPr>
            </w:pPr>
            <w:r>
              <w:rPr>
                <w:rFonts w:ascii="Times New Roman" w:hAnsi="Times New Roman" w:eastAsia="微软雅黑" w:cs="Times New Roman"/>
                <w:b/>
                <w:color w:val="FFFFFF" w:themeColor="background1"/>
                <w:sz w:val="21"/>
                <w:szCs w:val="21"/>
                <w:lang w:eastAsia="zh-CN" w:bidi="ar"/>
                <w14:textFill>
                  <w14:solidFill>
                    <w14:schemeClr w14:val="bg1"/>
                  </w14:solidFill>
                </w14:textFill>
              </w:rPr>
              <w:t>肉瘤亚型</w:t>
            </w:r>
          </w:p>
        </w:tc>
        <w:tc>
          <w:tcPr>
            <w:tcW w:w="4888" w:type="dxa"/>
            <w:tcBorders>
              <w:top w:val="nil"/>
              <w:left w:val="single" w:color="FFFFFF" w:sz="18" w:space="0"/>
              <w:bottom w:val="nil"/>
            </w:tcBorders>
            <w:shd w:val="clear" w:color="auto" w:fill="62B541"/>
            <w:vAlign w:val="center"/>
          </w:tcPr>
          <w:p w14:paraId="7610F298">
            <w:pPr>
              <w:widowControl/>
              <w:jc w:val="center"/>
              <w:textAlignment w:val="bottom"/>
              <w:rPr>
                <w:rFonts w:ascii="Times New Roman" w:hAnsi="Times New Roman" w:eastAsia="微软雅黑" w:cs="Times New Roman"/>
                <w:b/>
                <w:color w:val="FFFFFF" w:themeColor="background1"/>
                <w:sz w:val="21"/>
                <w:szCs w:val="21"/>
                <w:lang w:eastAsia="zh-CN" w:bidi="ar"/>
                <w14:textFill>
                  <w14:solidFill>
                    <w14:schemeClr w14:val="bg1"/>
                  </w14:solidFill>
                </w14:textFill>
              </w:rPr>
            </w:pPr>
            <w:r>
              <w:rPr>
                <w:rFonts w:ascii="Times New Roman" w:hAnsi="Times New Roman" w:eastAsia="微软雅黑" w:cs="Times New Roman"/>
                <w:b/>
                <w:color w:val="FFFFFF" w:themeColor="background1"/>
                <w:sz w:val="21"/>
                <w:szCs w:val="21"/>
                <w:lang w:eastAsia="zh-CN" w:bidi="ar"/>
                <w14:textFill>
                  <w14:solidFill>
                    <w14:schemeClr w14:val="bg1"/>
                  </w14:solidFill>
                </w14:textFill>
              </w:rPr>
              <w:t>分子分型</w:t>
            </w:r>
          </w:p>
        </w:tc>
      </w:tr>
      <w:tr w14:paraId="28C5D76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op w:val="nil"/>
              <w:tl2br w:val="nil"/>
              <w:tr2bl w:val="nil"/>
            </w:tcBorders>
            <w:shd w:val="clear" w:color="auto" w:fill="auto"/>
            <w:vAlign w:val="center"/>
          </w:tcPr>
          <w:p w14:paraId="62FDB6B0">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脂肪母细胞瘤和脂肪母细胞瘤病</w:t>
            </w:r>
          </w:p>
        </w:tc>
        <w:tc>
          <w:tcPr>
            <w:tcW w:w="4888" w:type="dxa"/>
            <w:tcBorders>
              <w:top w:val="nil"/>
              <w:tl2br w:val="nil"/>
              <w:tr2bl w:val="nil"/>
            </w:tcBorders>
            <w:shd w:val="clear" w:color="auto" w:fill="auto"/>
            <w:noWrap/>
            <w:vAlign w:val="center"/>
          </w:tcPr>
          <w:p w14:paraId="2186775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HAS2-PLAG1</w:t>
            </w:r>
          </w:p>
        </w:tc>
      </w:tr>
      <w:tr w14:paraId="44D51E4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AF42C5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9EDC6D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COL1A2-PLAG1</w:t>
            </w:r>
          </w:p>
        </w:tc>
      </w:tr>
      <w:tr w14:paraId="12DA667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FDB0B4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2B6229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RAD51B-PLAG1</w:t>
            </w:r>
          </w:p>
        </w:tc>
      </w:tr>
      <w:tr w14:paraId="019A43E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C77125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8E884F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COL3A1-PLAG1</w:t>
            </w:r>
          </w:p>
        </w:tc>
      </w:tr>
      <w:tr w14:paraId="76094B3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B9BC4E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9A5D6B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RAB2A-PLAG1</w:t>
            </w:r>
          </w:p>
        </w:tc>
      </w:tr>
      <w:tr w14:paraId="28B77D2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CD0059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1A4674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BOC-PLAG1</w:t>
            </w:r>
          </w:p>
        </w:tc>
      </w:tr>
      <w:tr w14:paraId="51E0D10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4B2468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黏液样脂肪肉瘤</w:t>
            </w:r>
          </w:p>
        </w:tc>
        <w:tc>
          <w:tcPr>
            <w:tcW w:w="4888" w:type="dxa"/>
            <w:tcBorders>
              <w:tl2br w:val="nil"/>
              <w:tr2bl w:val="nil"/>
            </w:tcBorders>
            <w:shd w:val="clear" w:color="auto" w:fill="auto"/>
            <w:noWrap/>
            <w:vAlign w:val="center"/>
          </w:tcPr>
          <w:p w14:paraId="7ADC23E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FUS-DDIT3</w:t>
            </w:r>
          </w:p>
        </w:tc>
      </w:tr>
      <w:tr w14:paraId="28404E2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65C5B55">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3526ED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EWSR1-DDIT3</w:t>
            </w:r>
          </w:p>
        </w:tc>
      </w:tr>
      <w:tr w14:paraId="52D01E0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AC1CB7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结节性筋膜炎</w:t>
            </w:r>
          </w:p>
        </w:tc>
        <w:tc>
          <w:tcPr>
            <w:tcW w:w="4888" w:type="dxa"/>
            <w:tcBorders>
              <w:tl2br w:val="nil"/>
              <w:tr2bl w:val="nil"/>
            </w:tcBorders>
            <w:shd w:val="clear" w:color="auto" w:fill="auto"/>
            <w:noWrap/>
            <w:vAlign w:val="center"/>
          </w:tcPr>
          <w:p w14:paraId="1F0AE1B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MYH9-USP6</w:t>
            </w:r>
          </w:p>
        </w:tc>
      </w:tr>
      <w:tr w14:paraId="256AA8E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D32F75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EC679F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PPP6R3-USP6</w:t>
            </w:r>
          </w:p>
        </w:tc>
      </w:tr>
      <w:tr w14:paraId="365957B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6576F616">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骨化性肌炎和指趾纤维骨性假瘤</w:t>
            </w:r>
          </w:p>
        </w:tc>
        <w:tc>
          <w:tcPr>
            <w:tcW w:w="4888" w:type="dxa"/>
            <w:tcBorders>
              <w:tl2br w:val="nil"/>
              <w:tr2bl w:val="nil"/>
            </w:tcBorders>
            <w:shd w:val="clear" w:color="auto" w:fill="auto"/>
            <w:noWrap/>
            <w:vAlign w:val="center"/>
          </w:tcPr>
          <w:p w14:paraId="20EC3B9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USP6 重排</w:t>
            </w:r>
          </w:p>
        </w:tc>
      </w:tr>
      <w:tr w14:paraId="4FE91A7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0F79FD6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钙化性腱膜纤维瘤</w:t>
            </w:r>
          </w:p>
        </w:tc>
        <w:tc>
          <w:tcPr>
            <w:tcW w:w="4888" w:type="dxa"/>
            <w:tcBorders>
              <w:tl2br w:val="nil"/>
              <w:tr2bl w:val="nil"/>
            </w:tcBorders>
            <w:shd w:val="clear" w:color="auto" w:fill="auto"/>
            <w:noWrap/>
            <w:vAlign w:val="center"/>
          </w:tcPr>
          <w:p w14:paraId="58BF122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FN1-EGF</w:t>
            </w:r>
          </w:p>
        </w:tc>
      </w:tr>
      <w:tr w14:paraId="2C08EA8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2300B22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EWSR1-SMAD3阳性纤维母细胞瘤</w:t>
            </w:r>
          </w:p>
        </w:tc>
        <w:tc>
          <w:tcPr>
            <w:tcW w:w="4888" w:type="dxa"/>
            <w:tcBorders>
              <w:tl2br w:val="nil"/>
              <w:tr2bl w:val="nil"/>
            </w:tcBorders>
            <w:shd w:val="clear" w:color="auto" w:fill="auto"/>
            <w:noWrap/>
            <w:vAlign w:val="center"/>
          </w:tcPr>
          <w:p w14:paraId="17EA26C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EWSR1-SMAD3</w:t>
            </w:r>
          </w:p>
        </w:tc>
      </w:tr>
      <w:tr w14:paraId="6589BFC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687C05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软组织血管纤维瘤</w:t>
            </w:r>
          </w:p>
        </w:tc>
        <w:tc>
          <w:tcPr>
            <w:tcW w:w="4888" w:type="dxa"/>
            <w:tcBorders>
              <w:tl2br w:val="nil"/>
              <w:tr2bl w:val="nil"/>
            </w:tcBorders>
            <w:shd w:val="clear" w:color="auto" w:fill="auto"/>
            <w:noWrap/>
            <w:vAlign w:val="center"/>
          </w:tcPr>
          <w:p w14:paraId="5AEE403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AHRR-NCOA2</w:t>
            </w:r>
          </w:p>
        </w:tc>
      </w:tr>
      <w:tr w14:paraId="7F2A1C9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910029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56C454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GTF2I-NCOA2</w:t>
            </w:r>
          </w:p>
        </w:tc>
      </w:tr>
      <w:tr w14:paraId="6E1616C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63259B5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巨细胞成纤维细胞瘤</w:t>
            </w:r>
          </w:p>
        </w:tc>
        <w:tc>
          <w:tcPr>
            <w:tcW w:w="4888" w:type="dxa"/>
            <w:tcBorders>
              <w:tl2br w:val="nil"/>
              <w:tr2bl w:val="nil"/>
            </w:tcBorders>
            <w:shd w:val="clear" w:color="auto" w:fill="auto"/>
            <w:noWrap/>
            <w:vAlign w:val="center"/>
          </w:tcPr>
          <w:p w14:paraId="4571FF3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COL1A1-PDGFB</w:t>
            </w:r>
          </w:p>
        </w:tc>
      </w:tr>
      <w:tr w14:paraId="43B8B32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534B78D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隆突性皮肤纤维肉瘤</w:t>
            </w:r>
          </w:p>
        </w:tc>
        <w:tc>
          <w:tcPr>
            <w:tcW w:w="4888" w:type="dxa"/>
            <w:tcBorders>
              <w:tl2br w:val="nil"/>
              <w:tr2bl w:val="nil"/>
            </w:tcBorders>
            <w:shd w:val="clear" w:color="auto" w:fill="auto"/>
            <w:noWrap/>
            <w:vAlign w:val="center"/>
          </w:tcPr>
          <w:p w14:paraId="4A6835C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COL1A1-PDGFB</w:t>
            </w:r>
          </w:p>
        </w:tc>
      </w:tr>
      <w:tr w14:paraId="283B998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E9E18B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41FDFD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COL6A3-PDGFD</w:t>
            </w:r>
          </w:p>
        </w:tc>
      </w:tr>
      <w:tr w14:paraId="0210704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AAFBDD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B1A03C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EMILIN2-PDGFD</w:t>
            </w:r>
          </w:p>
        </w:tc>
      </w:tr>
      <w:tr w14:paraId="39F9A14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47C8A9C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孤立性纤维性肿瘤</w:t>
            </w:r>
          </w:p>
        </w:tc>
        <w:tc>
          <w:tcPr>
            <w:tcW w:w="4888" w:type="dxa"/>
            <w:tcBorders>
              <w:tl2br w:val="nil"/>
              <w:tr2bl w:val="nil"/>
            </w:tcBorders>
            <w:shd w:val="clear" w:color="auto" w:fill="auto"/>
            <w:noWrap/>
            <w:vAlign w:val="center"/>
          </w:tcPr>
          <w:p w14:paraId="22337FF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NAB2-STAT6</w:t>
            </w:r>
          </w:p>
        </w:tc>
      </w:tr>
      <w:tr w14:paraId="6B6FCA2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5660C973">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炎性肌成纤维细胞性肿瘤</w:t>
            </w:r>
          </w:p>
        </w:tc>
        <w:tc>
          <w:tcPr>
            <w:tcW w:w="4888" w:type="dxa"/>
            <w:tcBorders>
              <w:tl2br w:val="nil"/>
              <w:tr2bl w:val="nil"/>
            </w:tcBorders>
            <w:shd w:val="clear" w:color="auto" w:fill="auto"/>
            <w:noWrap/>
            <w:vAlign w:val="center"/>
          </w:tcPr>
          <w:p w14:paraId="68ACF3E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TPM3-ALK</w:t>
            </w:r>
          </w:p>
        </w:tc>
      </w:tr>
      <w:tr w14:paraId="678579E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F303AE5">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C261F8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TPM4-ALK</w:t>
            </w:r>
          </w:p>
        </w:tc>
      </w:tr>
      <w:tr w14:paraId="6E6B214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746826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A99EA5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CLTC-ALK</w:t>
            </w:r>
          </w:p>
        </w:tc>
      </w:tr>
      <w:tr w14:paraId="7F2308D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DA27AD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885B79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CARS1(CARS)-ALK</w:t>
            </w:r>
          </w:p>
        </w:tc>
      </w:tr>
      <w:tr w14:paraId="50E30D0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7681EC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7825EC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ATIC-ALK</w:t>
            </w:r>
          </w:p>
        </w:tc>
      </w:tr>
      <w:tr w14:paraId="11BB555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B6E015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96B3E1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SEC31L1-ALK</w:t>
            </w:r>
          </w:p>
        </w:tc>
      </w:tr>
      <w:tr w14:paraId="021C463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E6139A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084923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PPFIBP1-ALK</w:t>
            </w:r>
          </w:p>
        </w:tc>
      </w:tr>
      <w:tr w14:paraId="5B87EFC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6AD49D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A559B7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DCTN1-ALK</w:t>
            </w:r>
          </w:p>
        </w:tc>
      </w:tr>
      <w:tr w14:paraId="12FE54E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77783A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644098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EML4-ALK</w:t>
            </w:r>
          </w:p>
        </w:tc>
      </w:tr>
      <w:tr w14:paraId="48F8699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06BC58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3D80CA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PRKAR1A-ALK</w:t>
            </w:r>
          </w:p>
        </w:tc>
      </w:tr>
      <w:tr w14:paraId="6D3F807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4B5640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33C8F4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LMNA-ALK</w:t>
            </w:r>
          </w:p>
        </w:tc>
      </w:tr>
      <w:tr w14:paraId="1E0649A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3DEA31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03CD8E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TFG-ALK</w:t>
            </w:r>
          </w:p>
        </w:tc>
      </w:tr>
      <w:tr w14:paraId="03B1277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F6A666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2DEE08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FN1-ALK</w:t>
            </w:r>
          </w:p>
        </w:tc>
      </w:tr>
      <w:tr w14:paraId="025B264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188965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AA8BA9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HNRNPA1-ALK</w:t>
            </w:r>
          </w:p>
        </w:tc>
      </w:tr>
      <w:tr w14:paraId="66E17A6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C90AF5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243B99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TFG-ROS1</w:t>
            </w:r>
          </w:p>
        </w:tc>
      </w:tr>
      <w:tr w14:paraId="20214D6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8E3B92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0FCEE4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YWHAE-ROS1</w:t>
            </w:r>
          </w:p>
        </w:tc>
      </w:tr>
      <w:tr w14:paraId="4C62A85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8ACF77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3AB3A6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ETV6-NTRK3</w:t>
            </w:r>
          </w:p>
        </w:tc>
      </w:tr>
      <w:tr w14:paraId="0E03ABB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5D708E25">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上皮样炎性肌纤维母细胞肉瘤</w:t>
            </w:r>
          </w:p>
        </w:tc>
        <w:tc>
          <w:tcPr>
            <w:tcW w:w="4888" w:type="dxa"/>
            <w:tcBorders>
              <w:tl2br w:val="nil"/>
              <w:tr2bl w:val="nil"/>
            </w:tcBorders>
            <w:shd w:val="clear" w:color="auto" w:fill="auto"/>
            <w:noWrap/>
            <w:vAlign w:val="center"/>
          </w:tcPr>
          <w:p w14:paraId="5BC3745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RANBP2-ALK</w:t>
            </w:r>
          </w:p>
        </w:tc>
      </w:tr>
      <w:tr w14:paraId="0C62EA4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087B8F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2AE8A6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RRBP1-ALK</w:t>
            </w:r>
          </w:p>
        </w:tc>
      </w:tr>
      <w:tr w14:paraId="0FCB6C6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262B86C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婴儿纤维肉瘤</w:t>
            </w:r>
          </w:p>
        </w:tc>
        <w:tc>
          <w:tcPr>
            <w:tcW w:w="4888" w:type="dxa"/>
            <w:tcBorders>
              <w:tl2br w:val="nil"/>
              <w:tr2bl w:val="nil"/>
            </w:tcBorders>
            <w:shd w:val="clear" w:color="auto" w:fill="auto"/>
            <w:noWrap/>
            <w:vAlign w:val="center"/>
          </w:tcPr>
          <w:p w14:paraId="4BC0B27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ETV6-NTRK3</w:t>
            </w:r>
          </w:p>
        </w:tc>
      </w:tr>
      <w:tr w14:paraId="2D90C1A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9BD7D3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CB494B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EML4-NTRK3</w:t>
            </w:r>
          </w:p>
        </w:tc>
      </w:tr>
      <w:tr w14:paraId="01FE524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C18869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B576E0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TPM3-NTRK1</w:t>
            </w:r>
          </w:p>
        </w:tc>
      </w:tr>
      <w:tr w14:paraId="75DA34B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3DAE98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A4491D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LMNA-NTRK1</w:t>
            </w:r>
          </w:p>
        </w:tc>
      </w:tr>
      <w:tr w14:paraId="3AA2317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163581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90A779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TPR-NTRK1</w:t>
            </w:r>
          </w:p>
        </w:tc>
      </w:tr>
      <w:tr w14:paraId="5753409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bottom w:val="single" w:color="A4A4A4" w:sz="4" w:space="0"/>
              <w:tl2br w:val="nil"/>
              <w:tr2bl w:val="nil"/>
            </w:tcBorders>
            <w:shd w:val="clear" w:color="auto" w:fill="auto"/>
            <w:vAlign w:val="center"/>
          </w:tcPr>
          <w:p w14:paraId="011EF3C2">
            <w:pPr>
              <w:rPr>
                <w:rFonts w:ascii="Times New Roman" w:hAnsi="Times New Roman" w:eastAsia="微软雅黑" w:cs="Times New Roman"/>
                <w:sz w:val="18"/>
                <w:szCs w:val="18"/>
              </w:rPr>
            </w:pPr>
          </w:p>
        </w:tc>
        <w:tc>
          <w:tcPr>
            <w:tcW w:w="4888" w:type="dxa"/>
            <w:tcBorders>
              <w:bottom w:val="single" w:color="A4A4A4" w:sz="4" w:space="0"/>
              <w:tl2br w:val="nil"/>
              <w:tr2bl w:val="nil"/>
            </w:tcBorders>
            <w:shd w:val="clear" w:color="auto" w:fill="auto"/>
            <w:noWrap/>
            <w:vAlign w:val="center"/>
          </w:tcPr>
          <w:p w14:paraId="536AE3B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SQSTM1-NTRK1</w:t>
            </w:r>
          </w:p>
        </w:tc>
      </w:tr>
      <w:tr w14:paraId="582BFB6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4A4A4" w:sz="4" w:space="0"/>
              <w:tl2br w:val="nil"/>
              <w:tr2bl w:val="nil"/>
            </w:tcBorders>
            <w:shd w:val="clear" w:color="auto" w:fill="auto"/>
            <w:vAlign w:val="center"/>
          </w:tcPr>
          <w:p w14:paraId="7457A318">
            <w:pPr>
              <w:rPr>
                <w:rFonts w:ascii="Times New Roman" w:hAnsi="Times New Roman" w:eastAsia="微软雅黑" w:cs="Times New Roman"/>
                <w:sz w:val="18"/>
                <w:szCs w:val="18"/>
              </w:rPr>
            </w:pPr>
          </w:p>
        </w:tc>
        <w:tc>
          <w:tcPr>
            <w:tcW w:w="4888" w:type="dxa"/>
            <w:tcBorders>
              <w:top w:val="single" w:color="A4A4A4" w:sz="4" w:space="0"/>
              <w:tl2br w:val="nil"/>
              <w:tr2bl w:val="nil"/>
            </w:tcBorders>
            <w:shd w:val="clear" w:color="auto" w:fill="auto"/>
            <w:noWrap/>
            <w:vAlign w:val="center"/>
          </w:tcPr>
          <w:p w14:paraId="273E695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MIR584F1-NTRK1</w:t>
            </w:r>
          </w:p>
        </w:tc>
      </w:tr>
      <w:tr w14:paraId="4644DB2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285F8F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F7DBF7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TFG-MET</w:t>
            </w:r>
          </w:p>
        </w:tc>
      </w:tr>
      <w:tr w14:paraId="0702D48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28B06F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3F4C37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BRAF 融合</w:t>
            </w:r>
          </w:p>
        </w:tc>
      </w:tr>
      <w:tr w14:paraId="04E48C8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0C621CB3">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低度恶性纤维黏液样肉瘤</w:t>
            </w:r>
          </w:p>
        </w:tc>
        <w:tc>
          <w:tcPr>
            <w:tcW w:w="4888" w:type="dxa"/>
            <w:tcBorders>
              <w:tl2br w:val="nil"/>
              <w:tr2bl w:val="nil"/>
            </w:tcBorders>
            <w:shd w:val="clear" w:color="auto" w:fill="auto"/>
            <w:noWrap/>
            <w:vAlign w:val="center"/>
          </w:tcPr>
          <w:p w14:paraId="20A9A3D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FUS-CREB3L2</w:t>
            </w:r>
          </w:p>
        </w:tc>
      </w:tr>
      <w:tr w14:paraId="2CD1345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3D7571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8A4485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FUS-CREB3L1</w:t>
            </w:r>
          </w:p>
        </w:tc>
      </w:tr>
      <w:tr w14:paraId="66A6D1D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E409AA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7454D7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EWSR1-CREB3L1</w:t>
            </w:r>
          </w:p>
        </w:tc>
      </w:tr>
      <w:tr w14:paraId="6A9BAF3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5DDC848F">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硬化性上皮样纤维肉瘤</w:t>
            </w:r>
          </w:p>
        </w:tc>
        <w:tc>
          <w:tcPr>
            <w:tcW w:w="4888" w:type="dxa"/>
            <w:tcBorders>
              <w:tl2br w:val="nil"/>
              <w:tr2bl w:val="nil"/>
            </w:tcBorders>
            <w:shd w:val="clear" w:color="auto" w:fill="auto"/>
            <w:noWrap/>
            <w:vAlign w:val="center"/>
          </w:tcPr>
          <w:p w14:paraId="066904C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EWSR1-CREB3L1</w:t>
            </w:r>
          </w:p>
        </w:tc>
      </w:tr>
      <w:tr w14:paraId="79EE966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EF5A4B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908AFE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EWSR1-CREB3L2</w:t>
            </w:r>
          </w:p>
        </w:tc>
      </w:tr>
      <w:tr w14:paraId="4D8A75B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4880F5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7DC43F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EWSR1-CREB3L3</w:t>
            </w:r>
          </w:p>
        </w:tc>
      </w:tr>
      <w:tr w14:paraId="0FCDBBC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FFC6C55">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0BEDFE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FUS-CREB3L1</w:t>
            </w:r>
          </w:p>
        </w:tc>
      </w:tr>
      <w:tr w14:paraId="16754A3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6BFD08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1D029D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FUS-CREB3L2</w:t>
            </w:r>
          </w:p>
        </w:tc>
      </w:tr>
      <w:tr w14:paraId="5749769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968AE8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27E556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FUS-CREM</w:t>
            </w:r>
          </w:p>
        </w:tc>
      </w:tr>
      <w:tr w14:paraId="32C25BD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FE2F1F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9B79B1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PAX5-CREB3L1</w:t>
            </w:r>
          </w:p>
        </w:tc>
      </w:tr>
      <w:tr w14:paraId="7C87B99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62E390D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腱鞘巨细胞肿瘤</w:t>
            </w:r>
          </w:p>
        </w:tc>
        <w:tc>
          <w:tcPr>
            <w:tcW w:w="4888" w:type="dxa"/>
            <w:tcBorders>
              <w:tl2br w:val="nil"/>
              <w:tr2bl w:val="nil"/>
            </w:tcBorders>
            <w:shd w:val="clear" w:color="auto" w:fill="auto"/>
            <w:noWrap/>
            <w:vAlign w:val="center"/>
          </w:tcPr>
          <w:p w14:paraId="6524F0C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CSF1 重排</w:t>
            </w:r>
          </w:p>
        </w:tc>
      </w:tr>
      <w:tr w14:paraId="5CEFF46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3719506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上皮样血管瘤</w:t>
            </w:r>
          </w:p>
        </w:tc>
        <w:tc>
          <w:tcPr>
            <w:tcW w:w="4888" w:type="dxa"/>
            <w:tcBorders>
              <w:tl2br w:val="nil"/>
              <w:tr2bl w:val="nil"/>
            </w:tcBorders>
            <w:shd w:val="clear" w:color="auto" w:fill="auto"/>
            <w:noWrap/>
            <w:vAlign w:val="center"/>
          </w:tcPr>
          <w:p w14:paraId="6CB01EC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FOS-LMNA</w:t>
            </w:r>
          </w:p>
        </w:tc>
      </w:tr>
      <w:tr w14:paraId="2763231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CF7ECC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F046FA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FOS-MBNL1</w:t>
            </w:r>
          </w:p>
        </w:tc>
      </w:tr>
      <w:tr w14:paraId="2F6A0C1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5BEFEF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054637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FOS-VIM</w:t>
            </w:r>
          </w:p>
        </w:tc>
      </w:tr>
      <w:tr w14:paraId="50717C3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8110CC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1B794A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FOS-RP11-326N17.1(lincRNA)</w:t>
            </w:r>
          </w:p>
        </w:tc>
      </w:tr>
      <w:tr w14:paraId="6E3E0D4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EC6FAA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69C098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ZFP36-FOSB</w:t>
            </w:r>
          </w:p>
        </w:tc>
      </w:tr>
      <w:tr w14:paraId="3737BFA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AE8D34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24FEF1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WWTR1-FOSB</w:t>
            </w:r>
          </w:p>
        </w:tc>
      </w:tr>
      <w:tr w14:paraId="175F6F5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F9C154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E3829E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ACTB-FOSB</w:t>
            </w:r>
          </w:p>
        </w:tc>
      </w:tr>
      <w:tr w14:paraId="45E6BA7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329D5E8">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假性肌源性血管内皮瘤</w:t>
            </w:r>
          </w:p>
        </w:tc>
        <w:tc>
          <w:tcPr>
            <w:tcW w:w="4888" w:type="dxa"/>
            <w:tcBorders>
              <w:tl2br w:val="nil"/>
              <w:tr2bl w:val="nil"/>
            </w:tcBorders>
            <w:shd w:val="clear" w:color="auto" w:fill="auto"/>
            <w:noWrap/>
            <w:vAlign w:val="center"/>
          </w:tcPr>
          <w:p w14:paraId="112D649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SERPINE1-FOSB</w:t>
            </w:r>
          </w:p>
        </w:tc>
      </w:tr>
      <w:tr w14:paraId="755DA41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5E9742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6DDB05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ACTB-FOSB</w:t>
            </w:r>
          </w:p>
        </w:tc>
      </w:tr>
      <w:tr w14:paraId="7117AC3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noWrap/>
            <w:vAlign w:val="center"/>
          </w:tcPr>
          <w:p w14:paraId="573D1C2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上皮样血管内皮瘤伴WWTR1-CAMTA1融合</w:t>
            </w:r>
          </w:p>
        </w:tc>
        <w:tc>
          <w:tcPr>
            <w:tcW w:w="4888" w:type="dxa"/>
            <w:tcBorders>
              <w:tl2br w:val="nil"/>
              <w:tr2bl w:val="nil"/>
            </w:tcBorders>
            <w:shd w:val="clear" w:color="auto" w:fill="auto"/>
            <w:noWrap/>
            <w:vAlign w:val="center"/>
          </w:tcPr>
          <w:p w14:paraId="3629E7C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WWTR1-CAMTA1</w:t>
            </w:r>
          </w:p>
        </w:tc>
      </w:tr>
      <w:tr w14:paraId="0491773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7A00F43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上皮样血管内皮瘤伴YAP1-TFE3融合</w:t>
            </w:r>
          </w:p>
        </w:tc>
        <w:tc>
          <w:tcPr>
            <w:tcW w:w="4888" w:type="dxa"/>
            <w:tcBorders>
              <w:tl2br w:val="nil"/>
              <w:tr2bl w:val="nil"/>
            </w:tcBorders>
            <w:shd w:val="clear" w:color="auto" w:fill="auto"/>
            <w:noWrap/>
            <w:vAlign w:val="center"/>
          </w:tcPr>
          <w:p w14:paraId="60A2448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YAP1-TFE3</w:t>
            </w:r>
          </w:p>
        </w:tc>
      </w:tr>
      <w:tr w14:paraId="2C08E5A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38A5858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血管球肿瘤</w:t>
            </w:r>
          </w:p>
        </w:tc>
        <w:tc>
          <w:tcPr>
            <w:tcW w:w="4888" w:type="dxa"/>
            <w:tcBorders>
              <w:tl2br w:val="nil"/>
              <w:tr2bl w:val="nil"/>
            </w:tcBorders>
            <w:shd w:val="clear" w:color="auto" w:fill="auto"/>
            <w:noWrap/>
            <w:vAlign w:val="center"/>
          </w:tcPr>
          <w:p w14:paraId="2B3411A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MIR143-NOTCH1</w:t>
            </w:r>
          </w:p>
        </w:tc>
      </w:tr>
      <w:tr w14:paraId="6FA71FF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A8CB6E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9B9B09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MIR143-NOTCH2</w:t>
            </w:r>
          </w:p>
        </w:tc>
      </w:tr>
      <w:tr w14:paraId="4F8E052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F92948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CD9249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MIR143-NOTCH3</w:t>
            </w:r>
          </w:p>
        </w:tc>
      </w:tr>
      <w:tr w14:paraId="116D818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2650B5ED">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肌周细胞瘤，包括肌纤维瘤</w:t>
            </w:r>
          </w:p>
        </w:tc>
        <w:tc>
          <w:tcPr>
            <w:tcW w:w="4888" w:type="dxa"/>
            <w:tcBorders>
              <w:tl2br w:val="nil"/>
              <w:tr2bl w:val="nil"/>
            </w:tcBorders>
            <w:shd w:val="clear" w:color="auto" w:fill="auto"/>
            <w:noWrap/>
            <w:vAlign w:val="center"/>
          </w:tcPr>
          <w:p w14:paraId="28C2605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SRF-RELA</w:t>
            </w:r>
          </w:p>
        </w:tc>
      </w:tr>
      <w:tr w14:paraId="7EF1109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E91DFB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腺泡状横纹肌肉瘤</w:t>
            </w:r>
          </w:p>
        </w:tc>
        <w:tc>
          <w:tcPr>
            <w:tcW w:w="4888" w:type="dxa"/>
            <w:tcBorders>
              <w:tl2br w:val="nil"/>
              <w:tr2bl w:val="nil"/>
            </w:tcBorders>
            <w:shd w:val="clear" w:color="auto" w:fill="auto"/>
            <w:noWrap/>
            <w:vAlign w:val="center"/>
          </w:tcPr>
          <w:p w14:paraId="34B84C2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PAX3-FOXO1</w:t>
            </w:r>
          </w:p>
        </w:tc>
      </w:tr>
      <w:tr w14:paraId="224E094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2CCABD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2EF55F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PAX3 -FOXO4</w:t>
            </w:r>
          </w:p>
        </w:tc>
      </w:tr>
      <w:tr w14:paraId="71F13DC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257E5B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21FAD0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PAX3-NCOA1</w:t>
            </w:r>
          </w:p>
        </w:tc>
      </w:tr>
      <w:tr w14:paraId="63FA27F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01D00D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573AF5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PAX3-INO80D</w:t>
            </w:r>
          </w:p>
        </w:tc>
      </w:tr>
      <w:tr w14:paraId="78BC16E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80A9A0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27E061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PAX7-FOXO1</w:t>
            </w:r>
          </w:p>
        </w:tc>
      </w:tr>
      <w:tr w14:paraId="7A55419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47004F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A15E95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FOXO1-FGFR1</w:t>
            </w:r>
          </w:p>
        </w:tc>
      </w:tr>
      <w:tr w14:paraId="491A99B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D7343F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先天性梭形细胞横纹肌肉瘤伴VGLL2/NCOA2/CITED2重排</w:t>
            </w:r>
          </w:p>
        </w:tc>
        <w:tc>
          <w:tcPr>
            <w:tcW w:w="4888" w:type="dxa"/>
            <w:tcBorders>
              <w:tl2br w:val="nil"/>
              <w:tr2bl w:val="nil"/>
            </w:tcBorders>
            <w:shd w:val="clear" w:color="auto" w:fill="auto"/>
            <w:noWrap/>
            <w:vAlign w:val="center"/>
          </w:tcPr>
          <w:p w14:paraId="295F690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SRF-NCOA2</w:t>
            </w:r>
          </w:p>
        </w:tc>
      </w:tr>
      <w:tr w14:paraId="1B201E7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8F4C50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05943E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TEAD1-NCOA2</w:t>
            </w:r>
          </w:p>
        </w:tc>
      </w:tr>
      <w:tr w14:paraId="21046F3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359190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A01940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VGLL2-NCOA2</w:t>
            </w:r>
          </w:p>
        </w:tc>
      </w:tr>
      <w:tr w14:paraId="69FDEC2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BEE4A9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3A2EEA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VGLL2-CITED2</w:t>
            </w:r>
          </w:p>
        </w:tc>
      </w:tr>
      <w:tr w14:paraId="38DD3C9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FDC2F0B">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骨内梭形细胞横纹肌肉瘤(伴TFCP2/NCOA2重排)</w:t>
            </w:r>
          </w:p>
        </w:tc>
        <w:tc>
          <w:tcPr>
            <w:tcW w:w="4888" w:type="dxa"/>
            <w:tcBorders>
              <w:tl2br w:val="nil"/>
              <w:tr2bl w:val="nil"/>
            </w:tcBorders>
            <w:shd w:val="clear" w:color="auto" w:fill="auto"/>
            <w:noWrap/>
            <w:vAlign w:val="center"/>
          </w:tcPr>
          <w:p w14:paraId="50270BA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EWSR1-TFCP2</w:t>
            </w:r>
          </w:p>
        </w:tc>
      </w:tr>
      <w:tr w14:paraId="6DB73EE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D242AC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3981D5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FUS-TFCP2</w:t>
            </w:r>
          </w:p>
        </w:tc>
      </w:tr>
      <w:tr w14:paraId="24BA04F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1038CB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066177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MEIS1-NCOA2</w:t>
            </w:r>
          </w:p>
        </w:tc>
      </w:tr>
      <w:tr w14:paraId="6B47A01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C60688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胃肠道间质瘤</w:t>
            </w:r>
          </w:p>
        </w:tc>
        <w:tc>
          <w:tcPr>
            <w:tcW w:w="4888" w:type="dxa"/>
            <w:tcBorders>
              <w:tl2br w:val="nil"/>
              <w:tr2bl w:val="nil"/>
            </w:tcBorders>
            <w:shd w:val="clear" w:color="auto" w:fill="auto"/>
            <w:noWrap/>
            <w:vAlign w:val="center"/>
          </w:tcPr>
          <w:p w14:paraId="45708DB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ETV6-NTRK3</w:t>
            </w:r>
          </w:p>
        </w:tc>
      </w:tr>
      <w:tr w14:paraId="04239F3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E6C837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1CFDB8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FGFR1-HOOK3</w:t>
            </w:r>
          </w:p>
        </w:tc>
      </w:tr>
      <w:tr w14:paraId="699F05E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2FAF36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FC9E71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FGFR1-TACC1</w:t>
            </w:r>
          </w:p>
        </w:tc>
      </w:tr>
      <w:tr w14:paraId="2322040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75A702C1">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深部（侵袭性）血管黏液瘤</w:t>
            </w:r>
          </w:p>
        </w:tc>
        <w:tc>
          <w:tcPr>
            <w:tcW w:w="4888" w:type="dxa"/>
            <w:tcBorders>
              <w:tl2br w:val="nil"/>
              <w:tr2bl w:val="nil"/>
            </w:tcBorders>
            <w:shd w:val="clear" w:color="auto" w:fill="auto"/>
            <w:noWrap/>
            <w:vAlign w:val="center"/>
          </w:tcPr>
          <w:p w14:paraId="1241621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HMGA2 重排</w:t>
            </w:r>
          </w:p>
        </w:tc>
      </w:tr>
      <w:tr w14:paraId="79B6956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57FD538A">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血管瘤样纤维组织细胞瘤</w:t>
            </w:r>
          </w:p>
        </w:tc>
        <w:tc>
          <w:tcPr>
            <w:tcW w:w="4888" w:type="dxa"/>
            <w:tcBorders>
              <w:tl2br w:val="nil"/>
              <w:tr2bl w:val="nil"/>
            </w:tcBorders>
            <w:shd w:val="clear" w:color="auto" w:fill="auto"/>
            <w:noWrap/>
            <w:vAlign w:val="center"/>
          </w:tcPr>
          <w:p w14:paraId="7C1C520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EWSR1-CREB1</w:t>
            </w:r>
          </w:p>
        </w:tc>
      </w:tr>
      <w:tr w14:paraId="64A0CC0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83ABCC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7CB358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EWSR1-ATF1</w:t>
            </w:r>
          </w:p>
        </w:tc>
      </w:tr>
      <w:tr w14:paraId="21791B1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7D9974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EFE457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FUS-ATF1</w:t>
            </w:r>
          </w:p>
        </w:tc>
      </w:tr>
      <w:tr w14:paraId="1CF696C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2AFD450B">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骨化性纤维黏液样肿瘤</w:t>
            </w:r>
          </w:p>
        </w:tc>
        <w:tc>
          <w:tcPr>
            <w:tcW w:w="4888" w:type="dxa"/>
            <w:tcBorders>
              <w:tl2br w:val="nil"/>
              <w:tr2bl w:val="nil"/>
            </w:tcBorders>
            <w:shd w:val="clear" w:color="auto" w:fill="auto"/>
            <w:noWrap/>
            <w:vAlign w:val="center"/>
          </w:tcPr>
          <w:p w14:paraId="1B7E492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EP400-PHF1</w:t>
            </w:r>
          </w:p>
        </w:tc>
      </w:tr>
      <w:tr w14:paraId="0F3397B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8ACBE7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BC1B8B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MEAF6-PHF1</w:t>
            </w:r>
          </w:p>
        </w:tc>
      </w:tr>
      <w:tr w14:paraId="2C25C8B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EA3248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48B2FD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EPC1-PHF1</w:t>
            </w:r>
          </w:p>
        </w:tc>
      </w:tr>
      <w:tr w14:paraId="489E30D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157675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AC441D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PHF1-TFE3</w:t>
            </w:r>
          </w:p>
        </w:tc>
      </w:tr>
      <w:tr w14:paraId="3F43C86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6B6A86E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肌上皮瘤、肌上皮癌</w:t>
            </w:r>
          </w:p>
        </w:tc>
        <w:tc>
          <w:tcPr>
            <w:tcW w:w="4888" w:type="dxa"/>
            <w:tcBorders>
              <w:tl2br w:val="nil"/>
              <w:tr2bl w:val="nil"/>
            </w:tcBorders>
            <w:shd w:val="clear" w:color="auto" w:fill="auto"/>
            <w:noWrap/>
            <w:vAlign w:val="center"/>
          </w:tcPr>
          <w:p w14:paraId="7B1C4A0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EWSR1-POU5F1</w:t>
            </w:r>
          </w:p>
        </w:tc>
      </w:tr>
      <w:tr w14:paraId="17D6550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D9D22F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50511E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EWSR1-PBX1</w:t>
            </w:r>
          </w:p>
        </w:tc>
      </w:tr>
      <w:tr w14:paraId="339261B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260960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DD865F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EWSR1-ZNF444</w:t>
            </w:r>
          </w:p>
        </w:tc>
      </w:tr>
      <w:tr w14:paraId="7DE32E8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6B6E5D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1C02CF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EWSR1-KLF17</w:t>
            </w:r>
          </w:p>
        </w:tc>
      </w:tr>
      <w:tr w14:paraId="2A72466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D75B0A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C2F632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EWSR1-ATF1</w:t>
            </w:r>
          </w:p>
        </w:tc>
      </w:tr>
      <w:tr w14:paraId="6E9AF72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6B7944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933ADE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EWSR1-PBX3</w:t>
            </w:r>
          </w:p>
        </w:tc>
      </w:tr>
      <w:tr w14:paraId="10138D1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500E0F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B44176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FUS-ZNF444</w:t>
            </w:r>
          </w:p>
        </w:tc>
      </w:tr>
      <w:tr w14:paraId="390E09A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EE52A35">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E9D29C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FUS-KLF17</w:t>
            </w:r>
          </w:p>
        </w:tc>
      </w:tr>
      <w:tr w14:paraId="7D3B1AE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1046D5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6BE99F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FUS-ATF1</w:t>
            </w:r>
          </w:p>
        </w:tc>
      </w:tr>
      <w:tr w14:paraId="0FF2C58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80B3CC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278291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FUS-PBX3</w:t>
            </w:r>
          </w:p>
        </w:tc>
      </w:tr>
      <w:tr w14:paraId="0A85CDE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3C9789F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混合瘤</w:t>
            </w:r>
          </w:p>
        </w:tc>
        <w:tc>
          <w:tcPr>
            <w:tcW w:w="4888" w:type="dxa"/>
            <w:tcBorders>
              <w:tl2br w:val="nil"/>
              <w:tr2bl w:val="nil"/>
            </w:tcBorders>
            <w:shd w:val="clear" w:color="auto" w:fill="auto"/>
            <w:noWrap/>
            <w:vAlign w:val="center"/>
          </w:tcPr>
          <w:p w14:paraId="3E82BDB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LIFR-PLAG1</w:t>
            </w:r>
          </w:p>
        </w:tc>
      </w:tr>
      <w:tr w14:paraId="183716A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DD8FDF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EB44B1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CTNNB1-PLAG1</w:t>
            </w:r>
          </w:p>
        </w:tc>
      </w:tr>
      <w:tr w14:paraId="31B8056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2C1039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1BCEF5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TCEA1-PLAG1</w:t>
            </w:r>
          </w:p>
        </w:tc>
      </w:tr>
      <w:tr w14:paraId="70F9E3D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A94A4A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CF236B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CHCHD7-PLAG1</w:t>
            </w:r>
          </w:p>
        </w:tc>
      </w:tr>
      <w:tr w14:paraId="1B133C0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45860F5">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软组织多形性透明血管扩张瘤</w:t>
            </w:r>
          </w:p>
        </w:tc>
        <w:tc>
          <w:tcPr>
            <w:tcW w:w="4888" w:type="dxa"/>
            <w:tcBorders>
              <w:tl2br w:val="nil"/>
              <w:tr2bl w:val="nil"/>
            </w:tcBorders>
            <w:shd w:val="clear" w:color="auto" w:fill="auto"/>
            <w:noWrap/>
            <w:vAlign w:val="center"/>
          </w:tcPr>
          <w:p w14:paraId="30B52F4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TGFBR3 重排</w:t>
            </w:r>
          </w:p>
        </w:tc>
      </w:tr>
      <w:tr w14:paraId="543B283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E067B7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BD075A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OGA 重排</w:t>
            </w:r>
          </w:p>
        </w:tc>
      </w:tr>
      <w:tr w14:paraId="5444AFB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6F85D558">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含铁血黄素沉着性纤维脂肪瘤性肿瘤</w:t>
            </w:r>
          </w:p>
        </w:tc>
        <w:tc>
          <w:tcPr>
            <w:tcW w:w="4888" w:type="dxa"/>
            <w:tcBorders>
              <w:tl2br w:val="nil"/>
              <w:tr2bl w:val="nil"/>
            </w:tcBorders>
            <w:shd w:val="clear" w:color="auto" w:fill="auto"/>
            <w:noWrap/>
            <w:vAlign w:val="center"/>
          </w:tcPr>
          <w:p w14:paraId="357D1BC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TGFBR3 重排</w:t>
            </w:r>
          </w:p>
        </w:tc>
      </w:tr>
      <w:tr w14:paraId="2D6798F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9B23EC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FFE493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OGA 重排</w:t>
            </w:r>
          </w:p>
        </w:tc>
      </w:tr>
      <w:tr w14:paraId="504AF46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EE8E8A3">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磷酸盐尿性间叶性肿瘤</w:t>
            </w:r>
          </w:p>
        </w:tc>
        <w:tc>
          <w:tcPr>
            <w:tcW w:w="4888" w:type="dxa"/>
            <w:tcBorders>
              <w:tl2br w:val="nil"/>
              <w:tr2bl w:val="nil"/>
            </w:tcBorders>
            <w:shd w:val="clear" w:color="auto" w:fill="auto"/>
            <w:noWrap/>
            <w:vAlign w:val="center"/>
          </w:tcPr>
          <w:p w14:paraId="4C04EF9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FN1-FGFR1</w:t>
            </w:r>
          </w:p>
        </w:tc>
      </w:tr>
      <w:tr w14:paraId="1F4D698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B29322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73D2E3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FN1-FGF1</w:t>
            </w:r>
          </w:p>
        </w:tc>
      </w:tr>
      <w:tr w14:paraId="3F1D020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52C920AE">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NTRK重排的梭形细胞肿瘤</w:t>
            </w:r>
          </w:p>
        </w:tc>
        <w:tc>
          <w:tcPr>
            <w:tcW w:w="4888" w:type="dxa"/>
            <w:tcBorders>
              <w:tl2br w:val="nil"/>
              <w:tr2bl w:val="nil"/>
            </w:tcBorders>
            <w:shd w:val="clear" w:color="auto" w:fill="auto"/>
            <w:vAlign w:val="center"/>
          </w:tcPr>
          <w:p w14:paraId="2A1A58A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LMNA-NTRK1</w:t>
            </w:r>
          </w:p>
        </w:tc>
      </w:tr>
      <w:tr w14:paraId="2D8F603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B87B566">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12F4A9D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TPR-NTRK1</w:t>
            </w:r>
          </w:p>
        </w:tc>
      </w:tr>
      <w:tr w14:paraId="5A2011E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113CEB8">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6CA2C9B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TPM3-NTRK1</w:t>
            </w:r>
          </w:p>
        </w:tc>
      </w:tr>
      <w:tr w14:paraId="40704EF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1A9390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BE36B5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NTRK2 融合</w:t>
            </w:r>
          </w:p>
        </w:tc>
      </w:tr>
      <w:tr w14:paraId="1793AC9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D68A61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27CA54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NTRK3 融合</w:t>
            </w:r>
          </w:p>
        </w:tc>
      </w:tr>
      <w:tr w14:paraId="5E9D011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084C4F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滑膜肉瘤</w:t>
            </w:r>
          </w:p>
        </w:tc>
        <w:tc>
          <w:tcPr>
            <w:tcW w:w="4888" w:type="dxa"/>
            <w:tcBorders>
              <w:tl2br w:val="nil"/>
              <w:tr2bl w:val="nil"/>
            </w:tcBorders>
            <w:shd w:val="clear" w:color="auto" w:fill="auto"/>
            <w:noWrap/>
            <w:vAlign w:val="center"/>
          </w:tcPr>
          <w:p w14:paraId="03A0F68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SS18-SSX1</w:t>
            </w:r>
          </w:p>
        </w:tc>
      </w:tr>
      <w:tr w14:paraId="19F6519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1E8AD7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FCBF00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SS18-SSX2</w:t>
            </w:r>
          </w:p>
        </w:tc>
      </w:tr>
      <w:tr w14:paraId="00ED11D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037CE4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CB5179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SS18-SSX4</w:t>
            </w:r>
          </w:p>
        </w:tc>
      </w:tr>
      <w:tr w14:paraId="0E86B13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5219F0F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腺泡状软组织肉瘤</w:t>
            </w:r>
          </w:p>
        </w:tc>
        <w:tc>
          <w:tcPr>
            <w:tcW w:w="4888" w:type="dxa"/>
            <w:tcBorders>
              <w:tl2br w:val="nil"/>
              <w:tr2bl w:val="nil"/>
            </w:tcBorders>
            <w:shd w:val="clear" w:color="auto" w:fill="auto"/>
            <w:noWrap/>
            <w:vAlign w:val="center"/>
          </w:tcPr>
          <w:p w14:paraId="061974A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ASPSCR1-TFE3</w:t>
            </w:r>
          </w:p>
        </w:tc>
      </w:tr>
      <w:tr w14:paraId="06D77EB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79DA9C2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软组织透明细胞肉瘤</w:t>
            </w:r>
          </w:p>
        </w:tc>
        <w:tc>
          <w:tcPr>
            <w:tcW w:w="4888" w:type="dxa"/>
            <w:tcBorders>
              <w:tl2br w:val="nil"/>
              <w:tr2bl w:val="nil"/>
            </w:tcBorders>
            <w:shd w:val="clear" w:color="auto" w:fill="auto"/>
            <w:noWrap/>
            <w:vAlign w:val="center"/>
          </w:tcPr>
          <w:p w14:paraId="05C73A3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EWSR1-ATF1</w:t>
            </w:r>
          </w:p>
        </w:tc>
      </w:tr>
      <w:tr w14:paraId="0F08EA4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A463C7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D3CD54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EWSR1-CREB1</w:t>
            </w:r>
          </w:p>
        </w:tc>
      </w:tr>
      <w:tr w14:paraId="67684B4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3823F91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骨外黏液样软骨肉瘤</w:t>
            </w:r>
          </w:p>
        </w:tc>
        <w:tc>
          <w:tcPr>
            <w:tcW w:w="4888" w:type="dxa"/>
            <w:tcBorders>
              <w:tl2br w:val="nil"/>
              <w:tr2bl w:val="nil"/>
            </w:tcBorders>
            <w:shd w:val="clear" w:color="auto" w:fill="auto"/>
            <w:noWrap/>
            <w:vAlign w:val="center"/>
          </w:tcPr>
          <w:p w14:paraId="43F843C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EWSR1-NR4A3</w:t>
            </w:r>
          </w:p>
        </w:tc>
      </w:tr>
      <w:tr w14:paraId="115D3A9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B5B8F31">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3013C9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TAF15-NR4A3</w:t>
            </w:r>
          </w:p>
        </w:tc>
      </w:tr>
      <w:tr w14:paraId="04D74D6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5C5975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AA0C99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TCF12-NR4A3</w:t>
            </w:r>
          </w:p>
        </w:tc>
      </w:tr>
      <w:tr w14:paraId="54A074B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69507C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18EB4B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TFG-NR4A3</w:t>
            </w:r>
          </w:p>
        </w:tc>
      </w:tr>
      <w:tr w14:paraId="5E8B46A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73453E0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增生性小圆细胞肿瘤</w:t>
            </w:r>
          </w:p>
        </w:tc>
        <w:tc>
          <w:tcPr>
            <w:tcW w:w="4888" w:type="dxa"/>
            <w:tcBorders>
              <w:tl2br w:val="nil"/>
              <w:tr2bl w:val="nil"/>
            </w:tcBorders>
            <w:shd w:val="clear" w:color="auto" w:fill="auto"/>
            <w:noWrap/>
            <w:vAlign w:val="center"/>
          </w:tcPr>
          <w:p w14:paraId="7EF0EC0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EWSR1-WT1</w:t>
            </w:r>
          </w:p>
        </w:tc>
      </w:tr>
      <w:tr w14:paraId="20AFA0D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61073ED6">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血管周围上皮样细胞瘤</w:t>
            </w:r>
          </w:p>
        </w:tc>
        <w:tc>
          <w:tcPr>
            <w:tcW w:w="4888" w:type="dxa"/>
            <w:tcBorders>
              <w:tl2br w:val="nil"/>
              <w:tr2bl w:val="nil"/>
            </w:tcBorders>
            <w:shd w:val="clear" w:color="auto" w:fill="auto"/>
            <w:noWrap/>
            <w:vAlign w:val="center"/>
          </w:tcPr>
          <w:p w14:paraId="16E9BCA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SFPQ-TFE3</w:t>
            </w:r>
          </w:p>
        </w:tc>
      </w:tr>
      <w:tr w14:paraId="1342536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A19554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F4DD15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DVL2-TFE3</w:t>
            </w:r>
          </w:p>
        </w:tc>
      </w:tr>
      <w:tr w14:paraId="3737FFD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0B9CBD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52ECC2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NONO-TFE3</w:t>
            </w:r>
          </w:p>
        </w:tc>
      </w:tr>
      <w:tr w14:paraId="4CE24BD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EE0CC6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尤文肉瘤</w:t>
            </w:r>
          </w:p>
        </w:tc>
        <w:tc>
          <w:tcPr>
            <w:tcW w:w="4888" w:type="dxa"/>
            <w:tcBorders>
              <w:tl2br w:val="nil"/>
              <w:tr2bl w:val="nil"/>
            </w:tcBorders>
            <w:shd w:val="clear" w:color="auto" w:fill="auto"/>
            <w:vAlign w:val="center"/>
          </w:tcPr>
          <w:p w14:paraId="19F350E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EWSR1-FLI1</w:t>
            </w:r>
          </w:p>
        </w:tc>
      </w:tr>
      <w:tr w14:paraId="2A23F19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5471C67">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2C7E02F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EWSR1-ERG</w:t>
            </w:r>
          </w:p>
        </w:tc>
      </w:tr>
      <w:tr w14:paraId="3BE37D4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4A92CC9">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4BA0E62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EWSR1-FEV</w:t>
            </w:r>
          </w:p>
        </w:tc>
      </w:tr>
      <w:tr w14:paraId="68B5F3A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B27EE8C">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454E625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EWSR1-ETV1</w:t>
            </w:r>
          </w:p>
        </w:tc>
      </w:tr>
      <w:tr w14:paraId="5E778E3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4A193B0">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7396DDC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EWSR1-ETV4(E1AF)</w:t>
            </w:r>
          </w:p>
        </w:tc>
      </w:tr>
      <w:tr w14:paraId="25326EE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468BA5A">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2E9B6FF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EWSR1-PATZ1(ZSG)</w:t>
            </w:r>
          </w:p>
        </w:tc>
      </w:tr>
      <w:tr w14:paraId="6084815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607652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AA4B26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EWSR1-SP3</w:t>
            </w:r>
          </w:p>
        </w:tc>
      </w:tr>
      <w:tr w14:paraId="10B3B79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080E05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9DAB0A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EWSR1-NFATC2</w:t>
            </w:r>
          </w:p>
        </w:tc>
      </w:tr>
      <w:tr w14:paraId="2BAC7CA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15C86B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2B95F5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EWSR1-SMARCA5</w:t>
            </w:r>
          </w:p>
        </w:tc>
      </w:tr>
      <w:tr w14:paraId="4D6DE2A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E8F8A77">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120BB81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FUS-ERG</w:t>
            </w:r>
          </w:p>
        </w:tc>
      </w:tr>
      <w:tr w14:paraId="3C44154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9579118">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119FC16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FUS-FEV</w:t>
            </w:r>
          </w:p>
        </w:tc>
      </w:tr>
      <w:tr w14:paraId="02C1F32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60F59F8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EWSR1-非ETS融合圆细胞肉瘤</w:t>
            </w:r>
          </w:p>
        </w:tc>
        <w:tc>
          <w:tcPr>
            <w:tcW w:w="4888" w:type="dxa"/>
            <w:tcBorders>
              <w:tl2br w:val="nil"/>
              <w:tr2bl w:val="nil"/>
            </w:tcBorders>
            <w:shd w:val="clear" w:color="auto" w:fill="auto"/>
            <w:noWrap/>
            <w:vAlign w:val="center"/>
          </w:tcPr>
          <w:p w14:paraId="4929471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EWSR1-NFATC2</w:t>
            </w:r>
          </w:p>
        </w:tc>
      </w:tr>
      <w:tr w14:paraId="06C089C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DD67D4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355A23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FUS-NFATC2</w:t>
            </w:r>
          </w:p>
        </w:tc>
      </w:tr>
      <w:tr w14:paraId="22BFE99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052ABC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D1B2F6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EWSR1-PATZ1</w:t>
            </w:r>
          </w:p>
        </w:tc>
      </w:tr>
      <w:tr w14:paraId="0E8E3DB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6D508A2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CIC重排肉瘤</w:t>
            </w:r>
          </w:p>
        </w:tc>
        <w:tc>
          <w:tcPr>
            <w:tcW w:w="4888" w:type="dxa"/>
            <w:tcBorders>
              <w:tl2br w:val="nil"/>
              <w:tr2bl w:val="nil"/>
            </w:tcBorders>
            <w:shd w:val="clear" w:color="auto" w:fill="auto"/>
            <w:noWrap/>
            <w:vAlign w:val="center"/>
          </w:tcPr>
          <w:p w14:paraId="0144B441">
            <w:pPr>
              <w:widowControl/>
              <w:textAlignment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bidi="ar"/>
              </w:rPr>
              <w:t>CIC-DUX4L1</w:t>
            </w:r>
          </w:p>
        </w:tc>
      </w:tr>
      <w:tr w14:paraId="65A2A18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157107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547009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CIC-FOXO4</w:t>
            </w:r>
          </w:p>
        </w:tc>
      </w:tr>
      <w:tr w14:paraId="2D3C4A9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199E4B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1D9021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CIC-LEUTX</w:t>
            </w:r>
          </w:p>
        </w:tc>
      </w:tr>
      <w:tr w14:paraId="639F498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6AAA1E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C99001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CIC-NUTM1</w:t>
            </w:r>
          </w:p>
        </w:tc>
      </w:tr>
      <w:tr w14:paraId="0EA4B68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A17312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5A7ACD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CIC-NUTM2A</w:t>
            </w:r>
          </w:p>
        </w:tc>
      </w:tr>
      <w:tr w14:paraId="186A163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039E258B">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伴有BCOR基因改变的肉瘤</w:t>
            </w:r>
          </w:p>
        </w:tc>
        <w:tc>
          <w:tcPr>
            <w:tcW w:w="4888" w:type="dxa"/>
            <w:tcBorders>
              <w:tl2br w:val="nil"/>
              <w:tr2bl w:val="nil"/>
            </w:tcBorders>
            <w:shd w:val="clear" w:color="auto" w:fill="auto"/>
            <w:noWrap/>
            <w:vAlign w:val="center"/>
          </w:tcPr>
          <w:p w14:paraId="12E1DA1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BCOR-CCNB3</w:t>
            </w:r>
          </w:p>
        </w:tc>
      </w:tr>
      <w:tr w14:paraId="26B58BB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CD74E4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9C367C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BCOR-MAML2</w:t>
            </w:r>
          </w:p>
        </w:tc>
      </w:tr>
      <w:tr w14:paraId="448F38B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5BCEB7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软骨粘液样纤维瘤</w:t>
            </w:r>
          </w:p>
        </w:tc>
        <w:tc>
          <w:tcPr>
            <w:tcW w:w="4888" w:type="dxa"/>
            <w:tcBorders>
              <w:tl2br w:val="nil"/>
              <w:tr2bl w:val="nil"/>
            </w:tcBorders>
            <w:shd w:val="clear" w:color="auto" w:fill="auto"/>
            <w:noWrap/>
            <w:vAlign w:val="center"/>
          </w:tcPr>
          <w:p w14:paraId="0642CC5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TBL1XR1-GRM1</w:t>
            </w:r>
          </w:p>
        </w:tc>
      </w:tr>
      <w:tr w14:paraId="2C0FC37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F3A44D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067624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MEF2A-GRM1</w:t>
            </w:r>
          </w:p>
        </w:tc>
      </w:tr>
      <w:tr w14:paraId="3B73EB5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23384BD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间叶性软骨肉瘤</w:t>
            </w:r>
          </w:p>
        </w:tc>
        <w:tc>
          <w:tcPr>
            <w:tcW w:w="4888" w:type="dxa"/>
            <w:tcBorders>
              <w:tl2br w:val="nil"/>
              <w:tr2bl w:val="nil"/>
            </w:tcBorders>
            <w:shd w:val="clear" w:color="auto" w:fill="auto"/>
            <w:noWrap/>
            <w:vAlign w:val="center"/>
          </w:tcPr>
          <w:p w14:paraId="4C6430C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HEY1-NCOA2</w:t>
            </w:r>
          </w:p>
        </w:tc>
      </w:tr>
      <w:tr w14:paraId="7B28920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394E31A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骨样骨瘤</w:t>
            </w:r>
          </w:p>
        </w:tc>
        <w:tc>
          <w:tcPr>
            <w:tcW w:w="4888" w:type="dxa"/>
            <w:tcBorders>
              <w:tl2br w:val="nil"/>
              <w:tr2bl w:val="nil"/>
            </w:tcBorders>
            <w:shd w:val="clear" w:color="auto" w:fill="auto"/>
            <w:noWrap/>
            <w:vAlign w:val="center"/>
          </w:tcPr>
          <w:p w14:paraId="5759320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 重排</w:t>
            </w:r>
          </w:p>
        </w:tc>
      </w:tr>
      <w:tr w14:paraId="2C24C74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823FEF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成骨细胞瘤</w:t>
            </w:r>
          </w:p>
        </w:tc>
        <w:tc>
          <w:tcPr>
            <w:tcW w:w="4888" w:type="dxa"/>
            <w:tcBorders>
              <w:tl2br w:val="nil"/>
              <w:tr2bl w:val="nil"/>
            </w:tcBorders>
            <w:shd w:val="clear" w:color="auto" w:fill="auto"/>
            <w:noWrap/>
            <w:vAlign w:val="center"/>
          </w:tcPr>
          <w:p w14:paraId="581F282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 重排</w:t>
            </w:r>
          </w:p>
        </w:tc>
      </w:tr>
      <w:tr w14:paraId="3E4449A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9EA08F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DBEFC7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FOSB 重排</w:t>
            </w:r>
          </w:p>
        </w:tc>
      </w:tr>
      <w:tr w14:paraId="61D44B2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3EDEA9E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骨上皮样血管瘤</w:t>
            </w:r>
          </w:p>
        </w:tc>
        <w:tc>
          <w:tcPr>
            <w:tcW w:w="4888" w:type="dxa"/>
            <w:tcBorders>
              <w:tl2br w:val="nil"/>
              <w:tr2bl w:val="nil"/>
            </w:tcBorders>
            <w:shd w:val="clear" w:color="auto" w:fill="auto"/>
            <w:noWrap/>
            <w:vAlign w:val="center"/>
          </w:tcPr>
          <w:p w14:paraId="0531831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FOS-MBNL1</w:t>
            </w:r>
          </w:p>
        </w:tc>
      </w:tr>
      <w:tr w14:paraId="088A3E3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0AE253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36852B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FOS-VIM</w:t>
            </w:r>
          </w:p>
        </w:tc>
      </w:tr>
      <w:tr w14:paraId="6F144D9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486A5D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B18F3D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FOS-RP11-326N17.1(lincRNA)</w:t>
            </w:r>
          </w:p>
        </w:tc>
      </w:tr>
      <w:tr w14:paraId="45216E2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39E567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F9202B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FOS-LMNA</w:t>
            </w:r>
          </w:p>
        </w:tc>
      </w:tr>
      <w:tr w14:paraId="3AD69A8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CC1BC7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0C1CA8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ZFP36-FOSB</w:t>
            </w:r>
          </w:p>
        </w:tc>
      </w:tr>
      <w:tr w14:paraId="2EAD340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EDFDB2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9A6CBA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WWTR1-FOSB</w:t>
            </w:r>
          </w:p>
        </w:tc>
      </w:tr>
      <w:tr w14:paraId="1385C17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7B45F11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骨上皮样血管内皮瘤</w:t>
            </w:r>
          </w:p>
        </w:tc>
        <w:tc>
          <w:tcPr>
            <w:tcW w:w="4888" w:type="dxa"/>
            <w:tcBorders>
              <w:tl2br w:val="nil"/>
              <w:tr2bl w:val="nil"/>
            </w:tcBorders>
            <w:shd w:val="clear" w:color="auto" w:fill="auto"/>
            <w:noWrap/>
            <w:vAlign w:val="center"/>
          </w:tcPr>
          <w:p w14:paraId="5175242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WWTR1-CAMTA1</w:t>
            </w:r>
          </w:p>
        </w:tc>
      </w:tr>
      <w:tr w14:paraId="6FC1DC0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D01ECC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FB0E08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YAP1-TFE3</w:t>
            </w:r>
          </w:p>
        </w:tc>
      </w:tr>
      <w:tr w14:paraId="0C9EACC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0787D76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动脉瘤样骨囊肿</w:t>
            </w:r>
          </w:p>
        </w:tc>
        <w:tc>
          <w:tcPr>
            <w:tcW w:w="4888" w:type="dxa"/>
            <w:tcBorders>
              <w:tl2br w:val="nil"/>
              <w:tr2bl w:val="nil"/>
            </w:tcBorders>
            <w:shd w:val="clear" w:color="auto" w:fill="auto"/>
            <w:noWrap/>
            <w:vAlign w:val="center"/>
          </w:tcPr>
          <w:p w14:paraId="4F39DA7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CDH11-USP6</w:t>
            </w:r>
          </w:p>
        </w:tc>
      </w:tr>
      <w:tr w14:paraId="5D8317D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56557D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0FD68B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THRAP3-USP6</w:t>
            </w:r>
          </w:p>
        </w:tc>
      </w:tr>
      <w:tr w14:paraId="06BABC5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7AD8E4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4A1B74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CNBP-USP6</w:t>
            </w:r>
          </w:p>
        </w:tc>
      </w:tr>
      <w:tr w14:paraId="2E0AEA0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73E991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017085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OMD-USP6</w:t>
            </w:r>
          </w:p>
        </w:tc>
      </w:tr>
      <w:tr w14:paraId="4B6C7E1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84F2B4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EC2C2E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COL1A1-USP6</w:t>
            </w:r>
          </w:p>
        </w:tc>
      </w:tr>
      <w:tr w14:paraId="23D4C7D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C338F7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90D77E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CTNNB1-USP6</w:t>
            </w:r>
          </w:p>
        </w:tc>
      </w:tr>
      <w:tr w14:paraId="28B2383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113BC4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CDCFE4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STAT3-USP6</w:t>
            </w:r>
          </w:p>
        </w:tc>
      </w:tr>
      <w:tr w14:paraId="36DFE9B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D78761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5365AB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FOSL2-USP6</w:t>
            </w:r>
          </w:p>
        </w:tc>
      </w:tr>
      <w:tr w14:paraId="616B861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CD0ED4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1ED6EC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EIF1-USP6</w:t>
            </w:r>
          </w:p>
        </w:tc>
      </w:tr>
      <w:tr w14:paraId="0E8227F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47C2E4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7DC7CE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SPARC-USP6</w:t>
            </w:r>
          </w:p>
        </w:tc>
      </w:tr>
      <w:tr w14:paraId="654AB07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FBB1F9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D399DA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PAFAH1B1-USP6</w:t>
            </w:r>
          </w:p>
        </w:tc>
      </w:tr>
      <w:tr w14:paraId="7253A0D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799F0D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7EA116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USP9X-USP6</w:t>
            </w:r>
          </w:p>
        </w:tc>
      </w:tr>
      <w:tr w14:paraId="1CA6E2B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F1B8B3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CB9E21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RUNX2-USP6</w:t>
            </w:r>
          </w:p>
        </w:tc>
      </w:tr>
    </w:tbl>
    <w:p w14:paraId="56637077">
      <w:pPr>
        <w:rPr>
          <w:rFonts w:ascii="Times New Roman" w:hAnsi="Times New Roman" w:eastAsia="微软雅黑" w:cs="Times New Roman"/>
        </w:rPr>
      </w:pPr>
      <w:r>
        <w:rPr>
          <w:rFonts w:ascii="Times New Roman" w:hAnsi="Times New Roman" w:eastAsia="微软雅黑" w:cs="Times New Roman"/>
          <w:color w:val="000000"/>
          <w:sz w:val="18"/>
          <w:szCs w:val="18"/>
          <w:lang w:eastAsia="zh-Hans" w:bidi="ar"/>
        </w:rPr>
        <w:t>参考指南：</w:t>
      </w:r>
      <w:r>
        <w:rPr>
          <w:rFonts w:ascii="Times New Roman" w:hAnsi="Times New Roman" w:eastAsia="微软雅黑" w:cs="Times New Roman"/>
          <w:color w:val="000000"/>
          <w:sz w:val="18"/>
          <w:szCs w:val="18"/>
          <w:lang w:eastAsia="zh-CN" w:bidi="ar"/>
        </w:rPr>
        <w:t>Soft tissue and bone tumours / edited by WHO Classification of Tumours Editorial Board.（2020）</w:t>
      </w:r>
    </w:p>
    <w:p w14:paraId="628FDED3">
      <w:pPr>
        <w:rPr>
          <w:rFonts w:ascii="Times New Roman" w:hAnsi="Times New Roman" w:cs="Times New Roman"/>
          <w:lang w:eastAsia="zh-CN"/>
        </w:rPr>
      </w:pPr>
      <w:r>
        <w:rPr>
          <w:rFonts w:hint="eastAsia" w:ascii="Times New Roman" w:hAnsi="Times New Roman" w:cs="Times New Roman"/>
          <w:spacing w:val="-1"/>
          <w:sz w:val="18"/>
          <w:szCs w:val="18"/>
          <w:lang w:eastAsia="zh-Hans"/>
        </w:rPr>
        <w:br w:type="page"/>
      </w:r>
    </w:p>
    <w:p w14:paraId="3A5CDDD4">
      <w:pPr>
        <w:numPr>
          <w:ilvl w:val="0"/>
          <w:numId w:val="10"/>
        </w:numP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本部分内容参考：NCCN-软组织肉瘤等指南</w:t>
      </w:r>
    </w:p>
    <w:tbl>
      <w:tblPr>
        <w:tblStyle w:val="15"/>
        <w:tblW w:w="10026" w:type="dxa"/>
        <w:tblInd w:w="-62" w:type="dxa"/>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96"/>
        <w:gridCol w:w="4930"/>
      </w:tblGrid>
      <w:tr w14:paraId="53D1BC8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tblHeader/>
        </w:trPr>
        <w:tc>
          <w:tcPr>
            <w:tcW w:w="5096" w:type="dxa"/>
            <w:tcBorders>
              <w:top w:val="nil"/>
              <w:bottom w:val="nil"/>
              <w:right w:val="single" w:color="FFFFFF" w:sz="18" w:space="0"/>
            </w:tcBorders>
            <w:shd w:val="clear" w:color="auto" w:fill="62B541"/>
            <w:vAlign w:val="center"/>
          </w:tcPr>
          <w:p w14:paraId="62C12211">
            <w:pPr>
              <w:spacing w:line="206" w:lineRule="exact"/>
              <w:ind w:left="2"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t>肉瘤亚型</w:t>
            </w:r>
          </w:p>
        </w:tc>
        <w:tc>
          <w:tcPr>
            <w:tcW w:w="4930" w:type="dxa"/>
            <w:tcBorders>
              <w:top w:val="nil"/>
              <w:left w:val="single" w:color="FFFFFF" w:sz="18" w:space="0"/>
              <w:bottom w:val="nil"/>
            </w:tcBorders>
            <w:shd w:val="clear" w:color="auto" w:fill="62B541"/>
            <w:vAlign w:val="center"/>
          </w:tcPr>
          <w:p w14:paraId="4731CC0D">
            <w:pPr>
              <w:spacing w:line="206" w:lineRule="exact"/>
              <w:ind w:left="2"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t>分子分型</w:t>
            </w:r>
          </w:p>
        </w:tc>
      </w:tr>
      <w:tr w14:paraId="295ACDF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op w:val="nil"/>
              <w:tl2br w:val="nil"/>
              <w:tr2bl w:val="nil"/>
            </w:tcBorders>
            <w:shd w:val="clear" w:color="auto" w:fill="auto"/>
            <w:vAlign w:val="center"/>
          </w:tcPr>
          <w:p w14:paraId="5B0C0BD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腺泡状横纹肌肉瘤</w:t>
            </w:r>
          </w:p>
        </w:tc>
        <w:tc>
          <w:tcPr>
            <w:tcW w:w="4930" w:type="dxa"/>
            <w:tcBorders>
              <w:top w:val="nil"/>
              <w:tl2br w:val="nil"/>
              <w:tr2bl w:val="nil"/>
            </w:tcBorders>
            <w:shd w:val="clear" w:color="auto" w:fill="auto"/>
            <w:vAlign w:val="center"/>
          </w:tcPr>
          <w:p w14:paraId="1E7425A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PAX3-FOXO1</w:t>
            </w:r>
          </w:p>
        </w:tc>
      </w:tr>
      <w:tr w14:paraId="02EDA07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37AF5E25">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5E1286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PAX7-FOXO1</w:t>
            </w:r>
          </w:p>
        </w:tc>
      </w:tr>
      <w:tr w14:paraId="2F465B7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2BA32D96">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04C75E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PAX3-FOXO4(AFX)</w:t>
            </w:r>
          </w:p>
        </w:tc>
      </w:tr>
      <w:tr w14:paraId="534238C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77D32F3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8103E0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PAX3-NCOA1</w:t>
            </w:r>
          </w:p>
        </w:tc>
      </w:tr>
      <w:tr w14:paraId="78E8DE6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65642412">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52F826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PAX3-NCOA2</w:t>
            </w:r>
          </w:p>
        </w:tc>
      </w:tr>
      <w:tr w14:paraId="1B41584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384A01A6">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02F3806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PAX3-INO80D</w:t>
            </w:r>
          </w:p>
        </w:tc>
      </w:tr>
      <w:tr w14:paraId="679B1F4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5CB99779">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促结缔组织增生性小圆细胞肿瘤</w:t>
            </w:r>
          </w:p>
        </w:tc>
        <w:tc>
          <w:tcPr>
            <w:tcW w:w="4930" w:type="dxa"/>
            <w:tcBorders>
              <w:tl2br w:val="nil"/>
              <w:tr2bl w:val="nil"/>
            </w:tcBorders>
            <w:shd w:val="clear" w:color="auto" w:fill="auto"/>
            <w:vAlign w:val="center"/>
          </w:tcPr>
          <w:p w14:paraId="7893D53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EWSR1-WT1</w:t>
            </w:r>
          </w:p>
        </w:tc>
      </w:tr>
      <w:tr w14:paraId="0DB7BC6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5B99D081">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尤文肉瘤/外周神经外胚层肿瘤</w:t>
            </w:r>
          </w:p>
        </w:tc>
        <w:tc>
          <w:tcPr>
            <w:tcW w:w="4930" w:type="dxa"/>
            <w:tcBorders>
              <w:tl2br w:val="nil"/>
              <w:tr2bl w:val="nil"/>
            </w:tcBorders>
            <w:shd w:val="clear" w:color="auto" w:fill="auto"/>
            <w:vAlign w:val="center"/>
          </w:tcPr>
          <w:p w14:paraId="72AD08F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EWSR1-FLI1</w:t>
            </w:r>
          </w:p>
        </w:tc>
      </w:tr>
      <w:tr w14:paraId="70F65C4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462261F9">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4AB595B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EWSR1-ERG</w:t>
            </w:r>
          </w:p>
        </w:tc>
      </w:tr>
      <w:tr w14:paraId="1B4CB57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F4FB7F3">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407771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EWSR1-FEV</w:t>
            </w:r>
          </w:p>
        </w:tc>
      </w:tr>
      <w:tr w14:paraId="696DB64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D79C385">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382E8B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EWSR1-ETV1</w:t>
            </w:r>
          </w:p>
        </w:tc>
      </w:tr>
      <w:tr w14:paraId="3407120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67C85204">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F21B54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EWSR1-ETV4(E1AF)</w:t>
            </w:r>
          </w:p>
        </w:tc>
      </w:tr>
      <w:tr w14:paraId="436CBC8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7C2803DC">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1CE9CC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EWSR1-PATZ1(ZSG)</w:t>
            </w:r>
          </w:p>
        </w:tc>
      </w:tr>
      <w:tr w14:paraId="4FAE329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7A3EC944">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64A540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FUS-ERG</w:t>
            </w:r>
          </w:p>
        </w:tc>
      </w:tr>
      <w:tr w14:paraId="58A4911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B9A1449">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19F01F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FUS-FEV</w:t>
            </w:r>
          </w:p>
        </w:tc>
      </w:tr>
      <w:tr w14:paraId="5A9CEA9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6FF990D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未分化圆形细胞肉瘤</w:t>
            </w:r>
          </w:p>
        </w:tc>
        <w:tc>
          <w:tcPr>
            <w:tcW w:w="4930" w:type="dxa"/>
            <w:tcBorders>
              <w:tl2br w:val="nil"/>
              <w:tr2bl w:val="nil"/>
            </w:tcBorders>
            <w:shd w:val="clear" w:color="auto" w:fill="auto"/>
            <w:vAlign w:val="center"/>
          </w:tcPr>
          <w:p w14:paraId="7DB7166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t>CIC-DUX4L1</w:t>
            </w:r>
          </w:p>
        </w:tc>
      </w:tr>
      <w:tr w14:paraId="7CEDC49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904C82F">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676065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BCOR-CCNB3</w:t>
            </w:r>
          </w:p>
        </w:tc>
      </w:tr>
      <w:tr w14:paraId="122472C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7E17A51D">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黏液样/圆形细胞脂肪肉瘤</w:t>
            </w:r>
          </w:p>
        </w:tc>
        <w:tc>
          <w:tcPr>
            <w:tcW w:w="4930" w:type="dxa"/>
            <w:tcBorders>
              <w:tl2br w:val="nil"/>
              <w:tr2bl w:val="nil"/>
            </w:tcBorders>
            <w:shd w:val="clear" w:color="auto" w:fill="auto"/>
            <w:vAlign w:val="center"/>
          </w:tcPr>
          <w:p w14:paraId="7A41D00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FUS-DDIT3</w:t>
            </w:r>
          </w:p>
        </w:tc>
      </w:tr>
      <w:tr w14:paraId="7F6E00B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299150DB">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264FE3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EWSR1-DDIT3</w:t>
            </w:r>
          </w:p>
        </w:tc>
      </w:tr>
      <w:tr w14:paraId="14D8945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32B5FA5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腺泡状软组织肉瘤</w:t>
            </w:r>
          </w:p>
        </w:tc>
        <w:tc>
          <w:tcPr>
            <w:tcW w:w="4930" w:type="dxa"/>
            <w:tcBorders>
              <w:tl2br w:val="nil"/>
              <w:tr2bl w:val="nil"/>
            </w:tcBorders>
            <w:shd w:val="clear" w:color="auto" w:fill="auto"/>
            <w:vAlign w:val="center"/>
          </w:tcPr>
          <w:p w14:paraId="519B0AA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ASPSCR1(ASPL)-TFE3</w:t>
            </w:r>
          </w:p>
        </w:tc>
      </w:tr>
      <w:tr w14:paraId="0D540D8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5AE87E5A">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血管瘤样纤维组织细胞瘤</w:t>
            </w:r>
          </w:p>
        </w:tc>
        <w:tc>
          <w:tcPr>
            <w:tcW w:w="4930" w:type="dxa"/>
            <w:tcBorders>
              <w:tl2br w:val="nil"/>
              <w:tr2bl w:val="nil"/>
            </w:tcBorders>
            <w:shd w:val="clear" w:color="auto" w:fill="auto"/>
            <w:vAlign w:val="center"/>
          </w:tcPr>
          <w:p w14:paraId="5F61ECD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EWSR1-ATF1</w:t>
            </w:r>
          </w:p>
        </w:tc>
      </w:tr>
      <w:tr w14:paraId="0E1F748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5A02A715">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93DFE0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EWSR1-CREB1</w:t>
            </w:r>
          </w:p>
        </w:tc>
      </w:tr>
      <w:tr w14:paraId="016EC61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B3A3265">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136586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FUS-ATF1</w:t>
            </w:r>
          </w:p>
        </w:tc>
      </w:tr>
      <w:tr w14:paraId="1A3D0D42">
        <w:tblPrEx>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12FC158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透明细胞肉瘤</w:t>
            </w:r>
          </w:p>
        </w:tc>
        <w:tc>
          <w:tcPr>
            <w:tcW w:w="4930" w:type="dxa"/>
            <w:tcBorders>
              <w:tl2br w:val="nil"/>
              <w:tr2bl w:val="nil"/>
            </w:tcBorders>
            <w:shd w:val="clear" w:color="auto" w:fill="auto"/>
            <w:vAlign w:val="center"/>
          </w:tcPr>
          <w:p w14:paraId="18BDB4D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EWSR1-ATF1</w:t>
            </w:r>
          </w:p>
        </w:tc>
      </w:tr>
      <w:tr w14:paraId="677FCB7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7833B36C">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9390D8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EWSR1-CREB1</w:t>
            </w:r>
          </w:p>
        </w:tc>
      </w:tr>
      <w:tr w14:paraId="2AAA509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4131BC3D">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先天性/婴幼儿纤维肉瘤</w:t>
            </w:r>
          </w:p>
        </w:tc>
        <w:tc>
          <w:tcPr>
            <w:tcW w:w="4930" w:type="dxa"/>
            <w:tcBorders>
              <w:tl2br w:val="nil"/>
              <w:tr2bl w:val="nil"/>
            </w:tcBorders>
            <w:shd w:val="clear" w:color="auto" w:fill="auto"/>
            <w:vAlign w:val="center"/>
          </w:tcPr>
          <w:p w14:paraId="0488CFA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05D58DD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6A1D0C5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隆突性皮肤纤维肉瘤</w:t>
            </w:r>
          </w:p>
        </w:tc>
        <w:tc>
          <w:tcPr>
            <w:tcW w:w="4930" w:type="dxa"/>
            <w:tcBorders>
              <w:tl2br w:val="nil"/>
              <w:tr2bl w:val="nil"/>
            </w:tcBorders>
            <w:shd w:val="clear" w:color="auto" w:fill="auto"/>
            <w:vAlign w:val="center"/>
          </w:tcPr>
          <w:p w14:paraId="2BF3BBC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COL1A1-PDGFB</w:t>
            </w:r>
          </w:p>
        </w:tc>
      </w:tr>
      <w:tr w14:paraId="65E275D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1FB99647">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高级别子宫内膜间质肉瘤</w:t>
            </w:r>
          </w:p>
        </w:tc>
        <w:tc>
          <w:tcPr>
            <w:tcW w:w="4930" w:type="dxa"/>
            <w:tcBorders>
              <w:tl2br w:val="nil"/>
              <w:tr2bl w:val="nil"/>
            </w:tcBorders>
            <w:shd w:val="clear" w:color="auto" w:fill="auto"/>
            <w:vAlign w:val="center"/>
          </w:tcPr>
          <w:p w14:paraId="1339D3E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YWHAE-NUTM2A</w:t>
            </w:r>
          </w:p>
        </w:tc>
      </w:tr>
      <w:tr w14:paraId="10FBDF7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21493B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6D3728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YWHAE-NUTM2B</w:t>
            </w:r>
          </w:p>
        </w:tc>
      </w:tr>
      <w:tr w14:paraId="5F656E8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2C28DAE7">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4C7BDC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ZC3H7B-BCOR</w:t>
            </w:r>
          </w:p>
        </w:tc>
      </w:tr>
      <w:tr w14:paraId="5BBFF32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70DF42F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上皮样血管内皮瘤</w:t>
            </w:r>
          </w:p>
        </w:tc>
        <w:tc>
          <w:tcPr>
            <w:tcW w:w="4930" w:type="dxa"/>
            <w:tcBorders>
              <w:tl2br w:val="nil"/>
              <w:tr2bl w:val="nil"/>
            </w:tcBorders>
            <w:shd w:val="clear" w:color="auto" w:fill="auto"/>
            <w:vAlign w:val="center"/>
          </w:tcPr>
          <w:p w14:paraId="1A9CC08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WWTR1-CAMTA1</w:t>
            </w:r>
          </w:p>
        </w:tc>
      </w:tr>
      <w:tr w14:paraId="595BC91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A500B20">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BF8541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YAP1-TFE3</w:t>
            </w:r>
          </w:p>
        </w:tc>
      </w:tr>
      <w:tr w14:paraId="2D1F82A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6EFAA20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骨外黏液样软骨肉瘤</w:t>
            </w:r>
          </w:p>
        </w:tc>
        <w:tc>
          <w:tcPr>
            <w:tcW w:w="4930" w:type="dxa"/>
            <w:tcBorders>
              <w:tl2br w:val="nil"/>
              <w:tr2bl w:val="nil"/>
            </w:tcBorders>
            <w:shd w:val="clear" w:color="auto" w:fill="auto"/>
            <w:vAlign w:val="center"/>
          </w:tcPr>
          <w:p w14:paraId="2AF02A4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EWSR1-NR4A3</w:t>
            </w:r>
          </w:p>
        </w:tc>
      </w:tr>
      <w:tr w14:paraId="426D933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7CFDD2F3">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C19A4F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TAF15(TAF2N)-NR4A3</w:t>
            </w:r>
          </w:p>
        </w:tc>
      </w:tr>
      <w:tr w14:paraId="5DE3CCF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5CBC8AC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4CA934D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TCF12-NR4A3</w:t>
            </w:r>
          </w:p>
        </w:tc>
      </w:tr>
      <w:tr w14:paraId="66F93DD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51BA4F6E">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D39A90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TFG-NR4A3</w:t>
            </w:r>
          </w:p>
        </w:tc>
      </w:tr>
      <w:tr w14:paraId="2477648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6E30FC3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胃肠道间质瘤</w:t>
            </w:r>
          </w:p>
        </w:tc>
        <w:tc>
          <w:tcPr>
            <w:tcW w:w="4930" w:type="dxa"/>
            <w:tcBorders>
              <w:tl2br w:val="nil"/>
              <w:tr2bl w:val="nil"/>
            </w:tcBorders>
            <w:shd w:val="clear" w:color="auto" w:fill="auto"/>
            <w:vAlign w:val="center"/>
          </w:tcPr>
          <w:p w14:paraId="324C846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NTRK1 融合</w:t>
            </w:r>
          </w:p>
        </w:tc>
      </w:tr>
      <w:tr w14:paraId="6521771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4228F07A">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D97A40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NTRK2 融合</w:t>
            </w:r>
          </w:p>
        </w:tc>
      </w:tr>
      <w:tr w14:paraId="0FFCD09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23A8B183">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2B49A1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NTRK3 融合</w:t>
            </w:r>
          </w:p>
        </w:tc>
      </w:tr>
      <w:tr w14:paraId="0B38CEE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4B7DB004">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11AD20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FGFR1 融合</w:t>
            </w:r>
          </w:p>
        </w:tc>
      </w:tr>
      <w:tr w14:paraId="0BE9362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6044D4A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炎性肌纤维母细胞瘤</w:t>
            </w:r>
          </w:p>
        </w:tc>
        <w:tc>
          <w:tcPr>
            <w:tcW w:w="4930" w:type="dxa"/>
            <w:tcBorders>
              <w:tl2br w:val="nil"/>
              <w:tr2bl w:val="nil"/>
            </w:tcBorders>
            <w:shd w:val="clear" w:color="auto" w:fill="auto"/>
            <w:vAlign w:val="center"/>
          </w:tcPr>
          <w:p w14:paraId="6053106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TPM3-ALK</w:t>
            </w:r>
          </w:p>
        </w:tc>
      </w:tr>
      <w:tr w14:paraId="66AA9C8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125587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DCD3A2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TPM4-ALK</w:t>
            </w:r>
          </w:p>
        </w:tc>
      </w:tr>
      <w:tr w14:paraId="304565A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6AC68694">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1FCA40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CLTC-ALK</w:t>
            </w:r>
          </w:p>
        </w:tc>
      </w:tr>
      <w:tr w14:paraId="0CACFB3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23FD2BDD">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25B542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RANBP2-ALK</w:t>
            </w:r>
          </w:p>
        </w:tc>
      </w:tr>
      <w:tr w14:paraId="6C110E0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217EBC74">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362F68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CARS1(CARS)-ALK</w:t>
            </w:r>
          </w:p>
        </w:tc>
      </w:tr>
      <w:tr w14:paraId="202FA47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CB04A2F">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C39F54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ATIC-ALK</w:t>
            </w:r>
          </w:p>
        </w:tc>
      </w:tr>
      <w:tr w14:paraId="535BAB2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2C88201B">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6787A4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16B82E1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C4A87C5">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0F66225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TFG-ROS1</w:t>
            </w:r>
          </w:p>
        </w:tc>
      </w:tr>
      <w:tr w14:paraId="1F7B9EA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6EE169C9">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低级别纤维黏液样肉瘤</w:t>
            </w:r>
          </w:p>
        </w:tc>
        <w:tc>
          <w:tcPr>
            <w:tcW w:w="4930" w:type="dxa"/>
            <w:tcBorders>
              <w:tl2br w:val="nil"/>
              <w:tr2bl w:val="nil"/>
            </w:tcBorders>
            <w:shd w:val="clear" w:color="auto" w:fill="auto"/>
            <w:vAlign w:val="center"/>
          </w:tcPr>
          <w:p w14:paraId="11358B1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FUS-CREB3L2</w:t>
            </w:r>
          </w:p>
        </w:tc>
      </w:tr>
      <w:tr w14:paraId="36770E9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6F1C057">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6811B8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FUS-CREB3L1</w:t>
            </w:r>
          </w:p>
        </w:tc>
      </w:tr>
      <w:tr w14:paraId="2A976F9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76747D2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间叶性软骨肉瘤</w:t>
            </w:r>
          </w:p>
        </w:tc>
        <w:tc>
          <w:tcPr>
            <w:tcW w:w="4930" w:type="dxa"/>
            <w:tcBorders>
              <w:tl2br w:val="nil"/>
              <w:tr2bl w:val="nil"/>
            </w:tcBorders>
            <w:shd w:val="clear" w:color="auto" w:fill="auto"/>
            <w:vAlign w:val="center"/>
          </w:tcPr>
          <w:p w14:paraId="0C0F889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HEY1-NCOA2</w:t>
            </w:r>
          </w:p>
        </w:tc>
      </w:tr>
      <w:tr w14:paraId="2B02809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6029735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孤立性纤维性肿瘤</w:t>
            </w:r>
          </w:p>
        </w:tc>
        <w:tc>
          <w:tcPr>
            <w:tcW w:w="4930" w:type="dxa"/>
            <w:tcBorders>
              <w:tl2br w:val="nil"/>
              <w:tr2bl w:val="nil"/>
            </w:tcBorders>
            <w:shd w:val="clear" w:color="auto" w:fill="auto"/>
            <w:vAlign w:val="center"/>
          </w:tcPr>
          <w:p w14:paraId="6E67F5E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NAB2-STAT6</w:t>
            </w:r>
          </w:p>
        </w:tc>
      </w:tr>
      <w:tr w14:paraId="2325F34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71CFA27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滑膜肉瘤</w:t>
            </w:r>
          </w:p>
        </w:tc>
        <w:tc>
          <w:tcPr>
            <w:tcW w:w="4930" w:type="dxa"/>
            <w:tcBorders>
              <w:tl2br w:val="nil"/>
              <w:tr2bl w:val="nil"/>
            </w:tcBorders>
            <w:shd w:val="clear" w:color="auto" w:fill="auto"/>
            <w:vAlign w:val="center"/>
          </w:tcPr>
          <w:p w14:paraId="52B98DC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SS18-SSX1</w:t>
            </w:r>
          </w:p>
        </w:tc>
      </w:tr>
      <w:tr w14:paraId="7B025F2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7BEAE35F">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B7878B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SS18-SSX2</w:t>
            </w:r>
          </w:p>
        </w:tc>
      </w:tr>
      <w:tr w14:paraId="6E15AE7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E2BACEF">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A4EF7A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SS18-SSX4</w:t>
            </w:r>
          </w:p>
        </w:tc>
      </w:tr>
      <w:tr w14:paraId="69647F1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3D130BE1">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腱鞘巨细胞瘤/色素沉着绒毛结节性滑膜炎</w:t>
            </w:r>
          </w:p>
        </w:tc>
        <w:tc>
          <w:tcPr>
            <w:tcW w:w="4930" w:type="dxa"/>
            <w:tcBorders>
              <w:tl2br w:val="nil"/>
              <w:tr2bl w:val="nil"/>
            </w:tcBorders>
            <w:shd w:val="clear" w:color="auto" w:fill="auto"/>
            <w:vAlign w:val="center"/>
          </w:tcPr>
          <w:p w14:paraId="4C444E9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CSF1 重排</w:t>
            </w:r>
          </w:p>
        </w:tc>
      </w:tr>
      <w:tr w14:paraId="3CACF01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058588E3">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子宫上皮样平滑肌肉瘤</w:t>
            </w:r>
          </w:p>
        </w:tc>
        <w:tc>
          <w:tcPr>
            <w:tcW w:w="4930" w:type="dxa"/>
            <w:tcBorders>
              <w:tl2br w:val="nil"/>
              <w:tr2bl w:val="nil"/>
            </w:tcBorders>
            <w:shd w:val="clear" w:color="auto" w:fill="auto"/>
            <w:vAlign w:val="center"/>
          </w:tcPr>
          <w:p w14:paraId="18B902E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PGR 融合</w:t>
            </w:r>
          </w:p>
        </w:tc>
      </w:tr>
      <w:tr w14:paraId="1C363A1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4E036743">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子宫粘液样平滑肌肉瘤</w:t>
            </w:r>
          </w:p>
        </w:tc>
        <w:tc>
          <w:tcPr>
            <w:tcW w:w="4930" w:type="dxa"/>
            <w:tcBorders>
              <w:tl2br w:val="nil"/>
              <w:tr2bl w:val="nil"/>
            </w:tcBorders>
            <w:shd w:val="clear" w:color="auto" w:fill="auto"/>
            <w:vAlign w:val="center"/>
          </w:tcPr>
          <w:p w14:paraId="1C1E3FA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PLAG1 融合</w:t>
            </w:r>
          </w:p>
        </w:tc>
      </w:tr>
      <w:tr w14:paraId="5C259E7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30E68BA5">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低级别子宫内膜间质肉瘤</w:t>
            </w:r>
          </w:p>
        </w:tc>
        <w:tc>
          <w:tcPr>
            <w:tcW w:w="4930" w:type="dxa"/>
            <w:tcBorders>
              <w:tl2br w:val="nil"/>
              <w:tr2bl w:val="nil"/>
            </w:tcBorders>
            <w:shd w:val="clear" w:color="auto" w:fill="auto"/>
            <w:vAlign w:val="center"/>
          </w:tcPr>
          <w:p w14:paraId="5D68D0C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JAZF1-SUZ12</w:t>
            </w:r>
          </w:p>
        </w:tc>
      </w:tr>
      <w:tr w14:paraId="28B583B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D1CF2E9">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5762AC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JAZF1-PHF1</w:t>
            </w:r>
          </w:p>
        </w:tc>
      </w:tr>
      <w:tr w14:paraId="63FD937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EE94D01">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5645BA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EPC1-PHF1</w:t>
            </w:r>
          </w:p>
        </w:tc>
      </w:tr>
      <w:tr w14:paraId="0679220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01D161C">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73E835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MEAF6-PHF1</w:t>
            </w:r>
          </w:p>
        </w:tc>
      </w:tr>
      <w:tr w14:paraId="5969127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619E6F2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3C456A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MBTD1-EZHIP(CXorf67)</w:t>
            </w:r>
          </w:p>
        </w:tc>
      </w:tr>
      <w:tr w14:paraId="2604340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42AFCD7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F1F3AC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BRD8-PHF1</w:t>
            </w:r>
          </w:p>
        </w:tc>
      </w:tr>
      <w:tr w14:paraId="0B4BDE3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CEDE70B">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5EEFB2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EPC2-PHF1</w:t>
            </w:r>
          </w:p>
        </w:tc>
      </w:tr>
      <w:tr w14:paraId="4144C9A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282D62C3">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3EED14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EPC1-SUZ12</w:t>
            </w:r>
          </w:p>
        </w:tc>
      </w:tr>
      <w:tr w14:paraId="1CDB5DD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6FAB9B8A">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子宫血管周上皮样细胞瘤</w:t>
            </w:r>
          </w:p>
        </w:tc>
        <w:tc>
          <w:tcPr>
            <w:tcW w:w="4930" w:type="dxa"/>
            <w:tcBorders>
              <w:tl2br w:val="nil"/>
              <w:tr2bl w:val="nil"/>
            </w:tcBorders>
            <w:shd w:val="clear" w:color="auto" w:fill="auto"/>
            <w:vAlign w:val="center"/>
          </w:tcPr>
          <w:p w14:paraId="356BA60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TFE3 融合</w:t>
            </w:r>
          </w:p>
        </w:tc>
      </w:tr>
      <w:tr w14:paraId="0BB3818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228E1F7D">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5AA6B7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RAD51B 融合</w:t>
            </w:r>
          </w:p>
        </w:tc>
      </w:tr>
      <w:tr w14:paraId="4365985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56893ACB">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BEB2BA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HTR4-ST3GAL1</w:t>
            </w:r>
          </w:p>
        </w:tc>
      </w:tr>
      <w:tr w14:paraId="4710282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7D302423">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子宫炎性肌纤维母细胞瘤</w:t>
            </w:r>
          </w:p>
        </w:tc>
        <w:tc>
          <w:tcPr>
            <w:tcW w:w="4930" w:type="dxa"/>
            <w:tcBorders>
              <w:tl2br w:val="nil"/>
              <w:tr2bl w:val="nil"/>
            </w:tcBorders>
            <w:shd w:val="clear" w:color="auto" w:fill="auto"/>
            <w:vAlign w:val="center"/>
          </w:tcPr>
          <w:p w14:paraId="5CDD1EC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IGFBP5-ALK</w:t>
            </w:r>
          </w:p>
        </w:tc>
      </w:tr>
      <w:tr w14:paraId="5560701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3BCBDE9">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AD76AF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THBS1-ALK</w:t>
            </w:r>
          </w:p>
        </w:tc>
      </w:tr>
      <w:tr w14:paraId="6BC7160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6B78BD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09436E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TIMP3-ALK</w:t>
            </w:r>
          </w:p>
        </w:tc>
      </w:tr>
      <w:tr w14:paraId="4521F23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137E0F2">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B0A833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RANBP2-ALK</w:t>
            </w:r>
          </w:p>
        </w:tc>
      </w:tr>
      <w:tr w14:paraId="368BAC0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69A43FEE">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1AA382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RRBP1-ALK</w:t>
            </w:r>
          </w:p>
        </w:tc>
      </w:tr>
      <w:tr w14:paraId="082B2DC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6C9B0E1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NTRK重排子宫肉瘤</w:t>
            </w:r>
          </w:p>
        </w:tc>
        <w:tc>
          <w:tcPr>
            <w:tcW w:w="4930" w:type="dxa"/>
            <w:tcBorders>
              <w:tl2br w:val="nil"/>
              <w:tr2bl w:val="nil"/>
            </w:tcBorders>
            <w:shd w:val="clear" w:color="auto" w:fill="auto"/>
            <w:vAlign w:val="center"/>
          </w:tcPr>
          <w:p w14:paraId="1075402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NTRK1 融合</w:t>
            </w:r>
          </w:p>
        </w:tc>
      </w:tr>
      <w:tr w14:paraId="60D04EE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6B34C599">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01A6C8B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NTRK2 融合</w:t>
            </w:r>
          </w:p>
        </w:tc>
      </w:tr>
      <w:tr w14:paraId="4CFFDE6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71CA9BE1">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CAAFE3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NTRK3 融合</w:t>
            </w:r>
          </w:p>
        </w:tc>
      </w:tr>
      <w:tr w14:paraId="7617384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23A7940E">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类似于卵巢性索肿瘤的子宫肿瘤</w:t>
            </w:r>
          </w:p>
        </w:tc>
        <w:tc>
          <w:tcPr>
            <w:tcW w:w="4930" w:type="dxa"/>
            <w:tcBorders>
              <w:tl2br w:val="nil"/>
              <w:tr2bl w:val="nil"/>
            </w:tcBorders>
            <w:shd w:val="clear" w:color="auto" w:fill="auto"/>
            <w:vAlign w:val="center"/>
          </w:tcPr>
          <w:p w14:paraId="2B6E732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ESR1 融合</w:t>
            </w:r>
          </w:p>
        </w:tc>
      </w:tr>
      <w:tr w14:paraId="1293B81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3FE637B">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9A010C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GREB1 融合</w:t>
            </w:r>
          </w:p>
        </w:tc>
      </w:tr>
      <w:tr w14:paraId="5FA7FA4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269F5E66">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子宫腺泡状横纹肌肉瘤</w:t>
            </w:r>
          </w:p>
        </w:tc>
        <w:tc>
          <w:tcPr>
            <w:tcW w:w="4930" w:type="dxa"/>
            <w:tcBorders>
              <w:tl2br w:val="nil"/>
              <w:tr2bl w:val="nil"/>
            </w:tcBorders>
            <w:shd w:val="clear" w:color="auto" w:fill="auto"/>
            <w:vAlign w:val="center"/>
          </w:tcPr>
          <w:p w14:paraId="63DF0E4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FOXO1 融合</w:t>
            </w:r>
          </w:p>
        </w:tc>
      </w:tr>
      <w:tr w14:paraId="2B5B6ED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223D0E4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子宫Müllerian腺肉瘤</w:t>
            </w:r>
          </w:p>
        </w:tc>
        <w:tc>
          <w:tcPr>
            <w:tcW w:w="4930" w:type="dxa"/>
            <w:tcBorders>
              <w:tl2br w:val="nil"/>
              <w:tr2bl w:val="nil"/>
            </w:tcBorders>
            <w:shd w:val="clear" w:color="auto" w:fill="auto"/>
            <w:vAlign w:val="center"/>
          </w:tcPr>
          <w:p w14:paraId="7055D6F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NCOA2 融合</w:t>
            </w:r>
          </w:p>
        </w:tc>
      </w:tr>
      <w:tr w14:paraId="03FCD5D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7F98BCA">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313A16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NCOA3 融合</w:t>
            </w:r>
          </w:p>
        </w:tc>
      </w:tr>
    </w:tbl>
    <w:p w14:paraId="60411581">
      <w:pPr>
        <w:rPr>
          <w:rFonts w:ascii="微软雅黑" w:hAnsi="微软雅黑" w:eastAsia="微软雅黑" w:cs="微软雅黑"/>
          <w:sz w:val="18"/>
          <w:szCs w:val="18"/>
          <w:lang w:eastAsia="zh-Hans"/>
        </w:rPr>
      </w:pPr>
      <w:r>
        <w:rPr>
          <w:rFonts w:hint="eastAsia" w:ascii="微软雅黑" w:hAnsi="微软雅黑" w:eastAsia="微软雅黑" w:cs="微软雅黑"/>
          <w:sz w:val="18"/>
          <w:szCs w:val="18"/>
          <w:lang w:eastAsia="zh-Hans"/>
        </w:rPr>
        <w:t>参考指南：</w:t>
      </w:r>
    </w:p>
    <w:p w14:paraId="7810CD5B">
      <w:pPr>
        <w:numPr>
          <w:ilvl w:val="0"/>
          <w:numId w:val="11"/>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2</w:t>
      </w:r>
      <w:r>
        <w:rPr>
          <w:rFonts w:hint="eastAsia" w:ascii="Times New Roman" w:hAnsi="Times New Roman" w:eastAsia="微软雅黑" w:cs="Times New Roman"/>
          <w:sz w:val="18"/>
          <w:szCs w:val="18"/>
          <w:lang w:eastAsia="zh-Hans"/>
        </w:rPr>
        <w:t>.</w:t>
      </w:r>
      <w:r>
        <w:rPr>
          <w:rFonts w:ascii="Times New Roman" w:hAnsi="Times New Roman" w:eastAsia="微软雅黑" w:cs="Times New Roman"/>
          <w:sz w:val="18"/>
          <w:szCs w:val="18"/>
          <w:lang w:eastAsia="zh-Hans"/>
        </w:rPr>
        <w:t>202</w:t>
      </w:r>
      <w:r>
        <w:rPr>
          <w:rFonts w:hint="eastAsia" w:ascii="Times New Roman" w:hAnsi="Times New Roman" w:eastAsia="微软雅黑" w:cs="Times New Roman"/>
          <w:sz w:val="18"/>
          <w:szCs w:val="18"/>
          <w:lang w:eastAsia="zh-CN"/>
        </w:rPr>
        <w:t>2</w:t>
      </w:r>
      <w:r>
        <w:rPr>
          <w:rFonts w:ascii="Times New Roman" w:hAnsi="Times New Roman" w:eastAsia="微软雅黑" w:cs="Times New Roman"/>
          <w:sz w:val="18"/>
          <w:szCs w:val="18"/>
          <w:lang w:eastAsia="zh-Hans"/>
        </w:rPr>
        <w:t xml:space="preserve"> S</w:t>
      </w:r>
      <w:r>
        <w:rPr>
          <w:rFonts w:hint="eastAsia" w:ascii="Times New Roman" w:hAnsi="Times New Roman" w:eastAsia="微软雅黑" w:cs="Times New Roman"/>
          <w:sz w:val="18"/>
          <w:szCs w:val="18"/>
          <w:lang w:eastAsia="zh-Hans"/>
        </w:rPr>
        <w:t>oft</w:t>
      </w:r>
      <w:r>
        <w:rPr>
          <w:rFonts w:ascii="Times New Roman" w:hAnsi="Times New Roman" w:eastAsia="微软雅黑" w:cs="Times New Roman"/>
          <w:sz w:val="18"/>
          <w:szCs w:val="18"/>
          <w:lang w:eastAsia="zh-Hans"/>
        </w:rPr>
        <w:t xml:space="preserve"> T</w:t>
      </w:r>
      <w:r>
        <w:rPr>
          <w:rFonts w:hint="eastAsia" w:ascii="Times New Roman" w:hAnsi="Times New Roman" w:eastAsia="微软雅黑" w:cs="Times New Roman"/>
          <w:sz w:val="18"/>
          <w:szCs w:val="18"/>
          <w:lang w:eastAsia="zh-Hans"/>
        </w:rPr>
        <w:t>issue</w:t>
      </w:r>
      <w:r>
        <w:rPr>
          <w:rFonts w:ascii="Times New Roman" w:hAnsi="Times New Roman" w:eastAsia="微软雅黑" w:cs="Times New Roman"/>
          <w:sz w:val="18"/>
          <w:szCs w:val="18"/>
          <w:lang w:eastAsia="zh-Hans"/>
        </w:rPr>
        <w:t xml:space="preserve"> S</w:t>
      </w:r>
      <w:r>
        <w:rPr>
          <w:rFonts w:hint="eastAsia" w:ascii="Times New Roman" w:hAnsi="Times New Roman" w:eastAsia="微软雅黑" w:cs="Times New Roman"/>
          <w:sz w:val="18"/>
          <w:szCs w:val="18"/>
          <w:lang w:eastAsia="zh-Hans"/>
        </w:rPr>
        <w:t>arcoma</w:t>
      </w:r>
    </w:p>
    <w:p w14:paraId="34876229">
      <w:pPr>
        <w:numPr>
          <w:ilvl w:val="0"/>
          <w:numId w:val="11"/>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eastAsia="zh-CN"/>
        </w:rPr>
        <w:t>2.2022 Bone Cancer</w:t>
      </w:r>
    </w:p>
    <w:p w14:paraId="0FD36ADF">
      <w:pPr>
        <w:numPr>
          <w:ilvl w:val="0"/>
          <w:numId w:val="11"/>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eastAsia="zh-CN"/>
        </w:rPr>
        <w:t>1.2022 Gastrointestinal Stromal Tumors (GISTs)</w:t>
      </w:r>
    </w:p>
    <w:p w14:paraId="5C533EAD">
      <w:pPr>
        <w:numPr>
          <w:ilvl w:val="0"/>
          <w:numId w:val="11"/>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eastAsia="zh-CN"/>
        </w:rPr>
        <w:t>1.2022 Uterine Neoplasms</w:t>
      </w:r>
    </w:p>
    <w:p w14:paraId="7798BDFB">
      <w:pPr>
        <w:numPr>
          <w:ilvl w:val="0"/>
          <w:numId w:val="11"/>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eastAsia="zh-CN"/>
        </w:rPr>
        <w:t>2.2022 Dermatofibrosarcoma Protuberans</w:t>
      </w:r>
    </w:p>
    <w:p w14:paraId="3E3D2598">
      <w:pPr>
        <w:rPr>
          <w:rFonts w:ascii="Times New Roman" w:hAnsi="Times New Roman" w:cs="Times New Roman"/>
          <w:sz w:val="24"/>
          <w:szCs w:val="24"/>
          <w:lang w:eastAsia="zh-CN"/>
        </w:rPr>
      </w:pPr>
    </w:p>
    <w:p w14:paraId="635E1887">
      <w:pPr>
        <w:rPr>
          <w:rFonts w:ascii="Times New Roman" w:hAnsi="Times New Roman" w:cs="Times New Roman"/>
          <w:sz w:val="24"/>
          <w:szCs w:val="24"/>
          <w:lang w:eastAsia="zh-CN"/>
        </w:rPr>
      </w:pPr>
      <w:r>
        <w:rPr>
          <w:rFonts w:ascii="Times New Roman" w:hAnsi="Times New Roman" w:cs="Times New Roman"/>
          <w:sz w:val="24"/>
          <w:szCs w:val="24"/>
          <w:lang w:eastAsia="zh-CN"/>
        </w:rPr>
        <w:br w:type="page"/>
      </w:r>
    </w:p>
    <w:p w14:paraId="762C6E7C">
      <w:pPr>
        <w:numPr>
          <w:ilvl w:val="0"/>
          <w:numId w:val="10"/>
        </w:numP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Hans"/>
        </w:rPr>
        <w:t>本部分内容参考：CSCO-软组织</w:t>
      </w:r>
      <w:r>
        <w:rPr>
          <w:rFonts w:ascii="Times New Roman" w:hAnsi="Times New Roman" w:eastAsia="微软雅黑" w:cs="Times New Roman"/>
          <w:sz w:val="21"/>
          <w:szCs w:val="21"/>
          <w:lang w:eastAsia="zh-CN"/>
        </w:rPr>
        <w:t>肉</w:t>
      </w:r>
      <w:r>
        <w:rPr>
          <w:rFonts w:ascii="Times New Roman" w:hAnsi="Times New Roman" w:eastAsia="微软雅黑" w:cs="Times New Roman"/>
          <w:sz w:val="21"/>
          <w:szCs w:val="21"/>
          <w:lang w:eastAsia="zh-Hans"/>
        </w:rPr>
        <w:t>瘤等指南</w:t>
      </w:r>
    </w:p>
    <w:tbl>
      <w:tblPr>
        <w:tblStyle w:val="15"/>
        <w:tblW w:w="9960" w:type="dxa"/>
        <w:tblInd w:w="-51" w:type="dxa"/>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82"/>
        <w:gridCol w:w="4878"/>
      </w:tblGrid>
      <w:tr w14:paraId="6C059E3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tblHeader/>
        </w:trPr>
        <w:tc>
          <w:tcPr>
            <w:tcW w:w="5082" w:type="dxa"/>
            <w:tcBorders>
              <w:top w:val="nil"/>
              <w:bottom w:val="nil"/>
              <w:right w:val="single" w:color="FFFFFF" w:sz="18" w:space="0"/>
            </w:tcBorders>
            <w:shd w:val="clear" w:color="auto" w:fill="62B541"/>
            <w:vAlign w:val="center"/>
          </w:tcPr>
          <w:p w14:paraId="36094A0E">
            <w:pPr>
              <w:spacing w:line="206" w:lineRule="exact"/>
              <w:ind w:left="2"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t>肉瘤亚型</w:t>
            </w:r>
          </w:p>
        </w:tc>
        <w:tc>
          <w:tcPr>
            <w:tcW w:w="4878" w:type="dxa"/>
            <w:tcBorders>
              <w:top w:val="nil"/>
              <w:left w:val="single" w:color="FFFFFF" w:sz="18" w:space="0"/>
              <w:bottom w:val="nil"/>
            </w:tcBorders>
            <w:shd w:val="clear" w:color="auto" w:fill="62B541"/>
            <w:vAlign w:val="center"/>
          </w:tcPr>
          <w:p w14:paraId="4B504A0F">
            <w:pPr>
              <w:spacing w:line="206" w:lineRule="exact"/>
              <w:ind w:left="2"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t>分子分型</w:t>
            </w:r>
          </w:p>
        </w:tc>
      </w:tr>
      <w:tr w14:paraId="67AC792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op w:val="nil"/>
              <w:tl2br w:val="nil"/>
              <w:tr2bl w:val="nil"/>
            </w:tcBorders>
            <w:shd w:val="clear" w:color="auto" w:fill="auto"/>
            <w:vAlign w:val="center"/>
          </w:tcPr>
          <w:p w14:paraId="2217517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黏液样脂肪肉瘤</w:t>
            </w:r>
          </w:p>
        </w:tc>
        <w:tc>
          <w:tcPr>
            <w:tcW w:w="4878" w:type="dxa"/>
            <w:tcBorders>
              <w:top w:val="nil"/>
              <w:tl2br w:val="nil"/>
              <w:tr2bl w:val="nil"/>
            </w:tcBorders>
            <w:shd w:val="clear" w:color="auto" w:fill="auto"/>
            <w:vAlign w:val="center"/>
          </w:tcPr>
          <w:p w14:paraId="62F4515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FUS-DDIT3</w:t>
            </w:r>
          </w:p>
        </w:tc>
      </w:tr>
      <w:tr w14:paraId="370F9EB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1274311B">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0DF9583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EWSR1-DDIT3</w:t>
            </w:r>
          </w:p>
        </w:tc>
      </w:tr>
      <w:tr w14:paraId="0BB441C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07268CA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孤立性纤维性肿瘤</w:t>
            </w:r>
          </w:p>
        </w:tc>
        <w:tc>
          <w:tcPr>
            <w:tcW w:w="4878" w:type="dxa"/>
            <w:tcBorders>
              <w:tl2br w:val="nil"/>
              <w:tr2bl w:val="nil"/>
            </w:tcBorders>
            <w:shd w:val="clear" w:color="auto" w:fill="auto"/>
            <w:vAlign w:val="center"/>
          </w:tcPr>
          <w:p w14:paraId="60A7072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NAB2-STAT6</w:t>
            </w:r>
          </w:p>
        </w:tc>
      </w:tr>
      <w:tr w14:paraId="018C40E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PrEx>
        <w:trPr>
          <w:trHeight w:val="283" w:hRule="atLeast"/>
        </w:trPr>
        <w:tc>
          <w:tcPr>
            <w:tcW w:w="5082" w:type="dxa"/>
            <w:vMerge w:val="restart"/>
            <w:tcBorders>
              <w:tl2br w:val="nil"/>
              <w:tr2bl w:val="nil"/>
            </w:tcBorders>
            <w:shd w:val="clear" w:color="auto" w:fill="auto"/>
            <w:vAlign w:val="center"/>
          </w:tcPr>
          <w:p w14:paraId="3DAF193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炎性成肌纤维细胞瘤</w:t>
            </w:r>
          </w:p>
        </w:tc>
        <w:tc>
          <w:tcPr>
            <w:tcW w:w="4878" w:type="dxa"/>
            <w:tcBorders>
              <w:tl2br w:val="nil"/>
              <w:tr2bl w:val="nil"/>
            </w:tcBorders>
            <w:shd w:val="clear" w:color="auto" w:fill="auto"/>
            <w:vAlign w:val="center"/>
          </w:tcPr>
          <w:p w14:paraId="6BBEFE2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TPM3-ALK</w:t>
            </w:r>
          </w:p>
        </w:tc>
      </w:tr>
      <w:tr w14:paraId="771EF99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5E4CB1C">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6A9596B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TPM4-ALK</w:t>
            </w:r>
          </w:p>
        </w:tc>
      </w:tr>
      <w:tr w14:paraId="7732435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E7C8F67">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9F8293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CLTC-ALK</w:t>
            </w:r>
          </w:p>
        </w:tc>
      </w:tr>
      <w:tr w14:paraId="428F4CA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29E3FAF4">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0278C1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RANBP2-ALK</w:t>
            </w:r>
          </w:p>
        </w:tc>
      </w:tr>
      <w:tr w14:paraId="03B51DF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341F3B01">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8D88B2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ATIC-ALK</w:t>
            </w:r>
          </w:p>
        </w:tc>
      </w:tr>
      <w:tr w14:paraId="54E1A80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PrEx>
        <w:trPr>
          <w:trHeight w:val="283" w:hRule="atLeast"/>
        </w:trPr>
        <w:tc>
          <w:tcPr>
            <w:tcW w:w="5082" w:type="dxa"/>
            <w:vMerge w:val="continue"/>
            <w:tcBorders>
              <w:tl2br w:val="nil"/>
              <w:tr2bl w:val="nil"/>
            </w:tcBorders>
            <w:shd w:val="clear" w:color="auto" w:fill="auto"/>
            <w:vAlign w:val="center"/>
          </w:tcPr>
          <w:p w14:paraId="269A4CE7">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6619A8A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CARS1(CARS)-ALK</w:t>
            </w:r>
          </w:p>
        </w:tc>
      </w:tr>
      <w:tr w14:paraId="0EDEEC0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2A370A3C">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4437EE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SEC31A(SEC31L1)-ALK</w:t>
            </w:r>
          </w:p>
        </w:tc>
      </w:tr>
      <w:tr w14:paraId="170C25F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B108FAC">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CC694E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PPFIBP1-ALK</w:t>
            </w:r>
          </w:p>
        </w:tc>
      </w:tr>
      <w:tr w14:paraId="534C53B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33B81CAD">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20187F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TFG-ROS1</w:t>
            </w:r>
          </w:p>
        </w:tc>
      </w:tr>
      <w:tr w14:paraId="30C0B10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CB224AB">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6B8847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YWHAE-ROS1</w:t>
            </w:r>
          </w:p>
        </w:tc>
      </w:tr>
      <w:tr w14:paraId="69D356D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496F6E52">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隆突性皮肤纤维肉瘤/巨细胞成纤维细胞瘤</w:t>
            </w:r>
          </w:p>
        </w:tc>
        <w:tc>
          <w:tcPr>
            <w:tcW w:w="4878" w:type="dxa"/>
            <w:tcBorders>
              <w:tl2br w:val="nil"/>
              <w:tr2bl w:val="nil"/>
            </w:tcBorders>
            <w:shd w:val="clear" w:color="auto" w:fill="auto"/>
            <w:vAlign w:val="center"/>
          </w:tcPr>
          <w:p w14:paraId="56F015F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COL1A1-PDGFB</w:t>
            </w:r>
          </w:p>
        </w:tc>
      </w:tr>
      <w:tr w14:paraId="0593A9A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75981FB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婴儿型纤维肉瘤</w:t>
            </w:r>
          </w:p>
        </w:tc>
        <w:tc>
          <w:tcPr>
            <w:tcW w:w="4878" w:type="dxa"/>
            <w:tcBorders>
              <w:tl2br w:val="nil"/>
              <w:tr2bl w:val="nil"/>
            </w:tcBorders>
            <w:shd w:val="clear" w:color="auto" w:fill="auto"/>
            <w:vAlign w:val="center"/>
          </w:tcPr>
          <w:p w14:paraId="0DA1A72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7F3518A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1C595415">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低级别纤维黏液样肉瘤</w:t>
            </w:r>
          </w:p>
        </w:tc>
        <w:tc>
          <w:tcPr>
            <w:tcW w:w="4878" w:type="dxa"/>
            <w:tcBorders>
              <w:tl2br w:val="nil"/>
              <w:tr2bl w:val="nil"/>
            </w:tcBorders>
            <w:shd w:val="clear" w:color="auto" w:fill="auto"/>
            <w:vAlign w:val="center"/>
          </w:tcPr>
          <w:p w14:paraId="47CDF7F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FUS-CREB3L2</w:t>
            </w:r>
          </w:p>
        </w:tc>
      </w:tr>
      <w:tr w14:paraId="63F9856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760A529A">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89E251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FUS-CREB3L1</w:t>
            </w:r>
          </w:p>
        </w:tc>
      </w:tr>
      <w:tr w14:paraId="3A97FE1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0394785D">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硬化性上皮样纤维肉瘤</w:t>
            </w:r>
          </w:p>
        </w:tc>
        <w:tc>
          <w:tcPr>
            <w:tcW w:w="4878" w:type="dxa"/>
            <w:tcBorders>
              <w:tl2br w:val="nil"/>
              <w:tr2bl w:val="nil"/>
            </w:tcBorders>
            <w:shd w:val="clear" w:color="auto" w:fill="auto"/>
            <w:vAlign w:val="center"/>
          </w:tcPr>
          <w:p w14:paraId="2FC4002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EWSR1-CREB3L1</w:t>
            </w:r>
          </w:p>
        </w:tc>
      </w:tr>
      <w:tr w14:paraId="2E55B14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AD1C373">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DF9D10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FUS-CREB3L1</w:t>
            </w:r>
          </w:p>
        </w:tc>
      </w:tr>
      <w:tr w14:paraId="192E086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28BA5DF">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2D916C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FUS-CREB3L2</w:t>
            </w:r>
          </w:p>
        </w:tc>
      </w:tr>
      <w:tr w14:paraId="70F244C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155EAF4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腱鞘巨细胞瘤</w:t>
            </w:r>
          </w:p>
        </w:tc>
        <w:tc>
          <w:tcPr>
            <w:tcW w:w="4878" w:type="dxa"/>
            <w:tcBorders>
              <w:tl2br w:val="nil"/>
              <w:tr2bl w:val="nil"/>
            </w:tcBorders>
            <w:shd w:val="clear" w:color="auto" w:fill="auto"/>
            <w:vAlign w:val="center"/>
          </w:tcPr>
          <w:p w14:paraId="2C2E4F9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CSF1-COL6A3</w:t>
            </w:r>
          </w:p>
        </w:tc>
      </w:tr>
      <w:tr w14:paraId="0A3F811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3A5446C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上皮样血管内皮瘤</w:t>
            </w:r>
          </w:p>
        </w:tc>
        <w:tc>
          <w:tcPr>
            <w:tcW w:w="4878" w:type="dxa"/>
            <w:tcBorders>
              <w:tl2br w:val="nil"/>
              <w:tr2bl w:val="nil"/>
            </w:tcBorders>
            <w:shd w:val="clear" w:color="auto" w:fill="auto"/>
            <w:vAlign w:val="center"/>
          </w:tcPr>
          <w:p w14:paraId="67121C6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WWTR1-CAMTA1</w:t>
            </w:r>
          </w:p>
        </w:tc>
      </w:tr>
      <w:tr w14:paraId="6632DC9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25032E82">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232A3D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YAP1-TFE3</w:t>
            </w:r>
          </w:p>
        </w:tc>
      </w:tr>
      <w:tr w14:paraId="3B7C938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658AAF7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腺泡状横纹肌肉瘤</w:t>
            </w:r>
          </w:p>
        </w:tc>
        <w:tc>
          <w:tcPr>
            <w:tcW w:w="4878" w:type="dxa"/>
            <w:tcBorders>
              <w:tl2br w:val="nil"/>
              <w:tr2bl w:val="nil"/>
            </w:tcBorders>
            <w:shd w:val="clear" w:color="auto" w:fill="auto"/>
            <w:vAlign w:val="center"/>
          </w:tcPr>
          <w:p w14:paraId="25C6C06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PAX3-FOXO1</w:t>
            </w:r>
          </w:p>
        </w:tc>
      </w:tr>
      <w:tr w14:paraId="3E2E95C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7487951">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5EF167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PAX7-FOXO1</w:t>
            </w:r>
          </w:p>
        </w:tc>
      </w:tr>
      <w:tr w14:paraId="66F6981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3A45CF1C">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22B2F7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PAX3-FOXO4</w:t>
            </w:r>
          </w:p>
        </w:tc>
      </w:tr>
      <w:tr w14:paraId="5BDDC16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28CE5CD1">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6CF01B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PAX3-NCOA1</w:t>
            </w:r>
          </w:p>
        </w:tc>
      </w:tr>
      <w:tr w14:paraId="7267EC5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7D18ED0">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6616970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PAX3-NCOA2</w:t>
            </w:r>
          </w:p>
        </w:tc>
      </w:tr>
      <w:tr w14:paraId="1B28049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3A998E2">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A796A3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FOXO1-FGFR1</w:t>
            </w:r>
          </w:p>
        </w:tc>
      </w:tr>
      <w:tr w14:paraId="7B098A2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3A565F85">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先天性/婴儿梭形细胞横纹肌肉瘤</w:t>
            </w:r>
          </w:p>
        </w:tc>
        <w:tc>
          <w:tcPr>
            <w:tcW w:w="4878" w:type="dxa"/>
            <w:tcBorders>
              <w:tl2br w:val="nil"/>
              <w:tr2bl w:val="nil"/>
            </w:tcBorders>
            <w:shd w:val="clear" w:color="auto" w:fill="auto"/>
            <w:vAlign w:val="center"/>
          </w:tcPr>
          <w:p w14:paraId="18C63A0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SRF-NCOA2</w:t>
            </w:r>
          </w:p>
        </w:tc>
      </w:tr>
      <w:tr w14:paraId="237DFDA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1C070FA4">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F43E81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TEAD1-NCOA2</w:t>
            </w:r>
          </w:p>
        </w:tc>
      </w:tr>
      <w:tr w14:paraId="1298E5D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2D06AEE1">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A6B470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VGLL2-NCOA2</w:t>
            </w:r>
          </w:p>
        </w:tc>
      </w:tr>
      <w:tr w14:paraId="2AD5304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29541A33">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C16D71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VGLL2-CITED2</w:t>
            </w:r>
          </w:p>
        </w:tc>
      </w:tr>
      <w:tr w14:paraId="16DDA41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005630D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间叶性软骨肉瘤</w:t>
            </w:r>
          </w:p>
        </w:tc>
        <w:tc>
          <w:tcPr>
            <w:tcW w:w="4878" w:type="dxa"/>
            <w:tcBorders>
              <w:tl2br w:val="nil"/>
              <w:tr2bl w:val="nil"/>
            </w:tcBorders>
            <w:shd w:val="clear" w:color="auto" w:fill="auto"/>
            <w:vAlign w:val="center"/>
          </w:tcPr>
          <w:p w14:paraId="329E36A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HEY1-NCOA2</w:t>
            </w:r>
          </w:p>
        </w:tc>
      </w:tr>
      <w:tr w14:paraId="707739F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211EC43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软组织肌上皮肿瘤</w:t>
            </w:r>
          </w:p>
        </w:tc>
        <w:tc>
          <w:tcPr>
            <w:tcW w:w="4878" w:type="dxa"/>
            <w:tcBorders>
              <w:tl2br w:val="nil"/>
              <w:tr2bl w:val="nil"/>
            </w:tcBorders>
            <w:shd w:val="clear" w:color="auto" w:fill="auto"/>
            <w:vAlign w:val="center"/>
          </w:tcPr>
          <w:p w14:paraId="061A03A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EWSR1-POU5F1</w:t>
            </w:r>
          </w:p>
        </w:tc>
      </w:tr>
      <w:tr w14:paraId="6DE015A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752680E">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5B4950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EWSR1-PBX1</w:t>
            </w:r>
          </w:p>
        </w:tc>
      </w:tr>
      <w:tr w14:paraId="11DFAB6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0042598D">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8B3B96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FUS-KLF17</w:t>
            </w:r>
          </w:p>
        </w:tc>
      </w:tr>
      <w:tr w14:paraId="5B009F3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6E7A4A1E">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CBFDAA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EWSR1-PBX3</w:t>
            </w:r>
          </w:p>
        </w:tc>
      </w:tr>
      <w:tr w14:paraId="236C860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64013230">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434DF6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EWSR1-ZNF444</w:t>
            </w:r>
          </w:p>
        </w:tc>
      </w:tr>
      <w:tr w14:paraId="59CF756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2C464A8E">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NTRK重排梭形细胞肿瘤</w:t>
            </w:r>
          </w:p>
        </w:tc>
        <w:tc>
          <w:tcPr>
            <w:tcW w:w="4878" w:type="dxa"/>
            <w:tcBorders>
              <w:tl2br w:val="nil"/>
              <w:tr2bl w:val="nil"/>
            </w:tcBorders>
            <w:shd w:val="clear" w:color="auto" w:fill="auto"/>
            <w:vAlign w:val="center"/>
          </w:tcPr>
          <w:p w14:paraId="14B03FA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LMNA-NTRK1</w:t>
            </w:r>
          </w:p>
        </w:tc>
      </w:tr>
      <w:tr w14:paraId="7B8B0C1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2E6E8C5F">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78A761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TPR-NTRK1</w:t>
            </w:r>
          </w:p>
        </w:tc>
      </w:tr>
      <w:tr w14:paraId="006FEFB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074CEE94">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6DA58B3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TPM3-NTRK1</w:t>
            </w:r>
          </w:p>
        </w:tc>
      </w:tr>
      <w:tr w14:paraId="002893C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6C1817AD">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E94864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NTRK2 重排</w:t>
            </w:r>
          </w:p>
        </w:tc>
      </w:tr>
      <w:tr w14:paraId="63FBD59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098A8B2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B05F86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NTRK3 重排</w:t>
            </w:r>
          </w:p>
        </w:tc>
      </w:tr>
      <w:tr w14:paraId="23E5DCB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6334161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滑膜肉瘤</w:t>
            </w:r>
          </w:p>
        </w:tc>
        <w:tc>
          <w:tcPr>
            <w:tcW w:w="4878" w:type="dxa"/>
            <w:tcBorders>
              <w:tl2br w:val="nil"/>
              <w:tr2bl w:val="nil"/>
            </w:tcBorders>
            <w:shd w:val="clear" w:color="auto" w:fill="auto"/>
            <w:vAlign w:val="center"/>
          </w:tcPr>
          <w:p w14:paraId="46FB597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SS18-SSX1</w:t>
            </w:r>
          </w:p>
        </w:tc>
      </w:tr>
      <w:tr w14:paraId="700F321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33D773A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6D60DC8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SS18-SSX2</w:t>
            </w:r>
          </w:p>
        </w:tc>
      </w:tr>
      <w:tr w14:paraId="27F9A14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5BCC02B">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DBB446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SS18-SSX4</w:t>
            </w:r>
          </w:p>
        </w:tc>
      </w:tr>
      <w:tr w14:paraId="383529D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7BF1E70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腺泡状软组织肉瘤</w:t>
            </w:r>
          </w:p>
        </w:tc>
        <w:tc>
          <w:tcPr>
            <w:tcW w:w="4878" w:type="dxa"/>
            <w:tcBorders>
              <w:tl2br w:val="nil"/>
              <w:tr2bl w:val="nil"/>
            </w:tcBorders>
            <w:shd w:val="clear" w:color="auto" w:fill="auto"/>
            <w:vAlign w:val="center"/>
          </w:tcPr>
          <w:p w14:paraId="78C0361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ASPSCR1-TFE3</w:t>
            </w:r>
          </w:p>
        </w:tc>
      </w:tr>
      <w:tr w14:paraId="38021A3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00A5FC6E">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软组织透明细胞肉瘤/胃肠道透明细胞肉瘤样肿瘤</w:t>
            </w:r>
          </w:p>
        </w:tc>
        <w:tc>
          <w:tcPr>
            <w:tcW w:w="4878" w:type="dxa"/>
            <w:tcBorders>
              <w:tl2br w:val="nil"/>
              <w:tr2bl w:val="nil"/>
            </w:tcBorders>
            <w:shd w:val="clear" w:color="auto" w:fill="auto"/>
            <w:vAlign w:val="center"/>
          </w:tcPr>
          <w:p w14:paraId="76E38B0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EWSR1-ATF1</w:t>
            </w:r>
          </w:p>
        </w:tc>
      </w:tr>
      <w:tr w14:paraId="285C9F6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6F549CCD">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0290878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EWSR1-CREB1</w:t>
            </w:r>
          </w:p>
        </w:tc>
      </w:tr>
      <w:tr w14:paraId="7F4D171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1BAB734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骨外黏液样软骨肉瘤</w:t>
            </w:r>
          </w:p>
        </w:tc>
        <w:tc>
          <w:tcPr>
            <w:tcW w:w="4878" w:type="dxa"/>
            <w:tcBorders>
              <w:tl2br w:val="nil"/>
              <w:tr2bl w:val="nil"/>
            </w:tcBorders>
            <w:shd w:val="clear" w:color="auto" w:fill="auto"/>
            <w:vAlign w:val="center"/>
          </w:tcPr>
          <w:p w14:paraId="3BA67FC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EWSR1-NR4A3</w:t>
            </w:r>
          </w:p>
        </w:tc>
      </w:tr>
      <w:tr w14:paraId="0D24DAC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66C0291C">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72EE90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TAF15(TAF2N)-NR4A3</w:t>
            </w:r>
          </w:p>
        </w:tc>
      </w:tr>
      <w:tr w14:paraId="329FCBA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12DF4A46">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666A13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TCF12-NR4A3</w:t>
            </w:r>
          </w:p>
        </w:tc>
      </w:tr>
      <w:tr w14:paraId="33F3D04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0AB3DBBB">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8E2403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TFG-NR4A3</w:t>
            </w:r>
          </w:p>
        </w:tc>
      </w:tr>
      <w:tr w14:paraId="615F7B6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46DCC6ED">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促结缔组织增生性小圆细胞肿瘤</w:t>
            </w:r>
          </w:p>
        </w:tc>
        <w:tc>
          <w:tcPr>
            <w:tcW w:w="4878" w:type="dxa"/>
            <w:tcBorders>
              <w:tl2br w:val="nil"/>
              <w:tr2bl w:val="nil"/>
            </w:tcBorders>
            <w:shd w:val="clear" w:color="auto" w:fill="auto"/>
            <w:vAlign w:val="center"/>
          </w:tcPr>
          <w:p w14:paraId="2EE85C6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EWSR1-WT1</w:t>
            </w:r>
          </w:p>
        </w:tc>
      </w:tr>
      <w:tr w14:paraId="5DAC400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037BD49B">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血管周围上皮样细胞瘤</w:t>
            </w:r>
          </w:p>
        </w:tc>
        <w:tc>
          <w:tcPr>
            <w:tcW w:w="4878" w:type="dxa"/>
            <w:tcBorders>
              <w:tl2br w:val="nil"/>
              <w:tr2bl w:val="nil"/>
            </w:tcBorders>
            <w:shd w:val="clear" w:color="auto" w:fill="auto"/>
            <w:vAlign w:val="center"/>
          </w:tcPr>
          <w:p w14:paraId="06D2087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DVL2-TFE3</w:t>
            </w:r>
          </w:p>
        </w:tc>
      </w:tr>
      <w:tr w14:paraId="22BF45C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64C8808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尤文肉瘤</w:t>
            </w:r>
          </w:p>
        </w:tc>
        <w:tc>
          <w:tcPr>
            <w:tcW w:w="4878" w:type="dxa"/>
            <w:tcBorders>
              <w:tl2br w:val="nil"/>
              <w:tr2bl w:val="nil"/>
            </w:tcBorders>
            <w:shd w:val="clear" w:color="auto" w:fill="auto"/>
            <w:vAlign w:val="center"/>
          </w:tcPr>
          <w:p w14:paraId="16D4338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EWSR1-FLI1</w:t>
            </w:r>
          </w:p>
        </w:tc>
      </w:tr>
      <w:tr w14:paraId="107680A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15A6FD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803E03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EWSR1-ERG</w:t>
            </w:r>
          </w:p>
        </w:tc>
      </w:tr>
      <w:tr w14:paraId="464ED2E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A013598">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932965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EWSR1-FEV</w:t>
            </w:r>
          </w:p>
        </w:tc>
      </w:tr>
      <w:tr w14:paraId="262BA75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70CF3E04">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173CA3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EWSR1-ETV1</w:t>
            </w:r>
          </w:p>
        </w:tc>
      </w:tr>
      <w:tr w14:paraId="58864E0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29A8988D">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084B8E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EWSR1-ETV4</w:t>
            </w:r>
          </w:p>
        </w:tc>
      </w:tr>
      <w:tr w14:paraId="53F7397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6E2D306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04F815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EWSR1-PATZ1(ZSG)</w:t>
            </w:r>
          </w:p>
        </w:tc>
      </w:tr>
      <w:tr w14:paraId="4024C28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35325838">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DB0FDA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FUS-ERG</w:t>
            </w:r>
          </w:p>
        </w:tc>
      </w:tr>
      <w:tr w14:paraId="16F51E0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4A0CAF2">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88517A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FUS-FEV</w:t>
            </w:r>
          </w:p>
        </w:tc>
      </w:tr>
      <w:tr w14:paraId="792A48A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6C1886E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CIC重排肉瘤</w:t>
            </w:r>
          </w:p>
        </w:tc>
        <w:tc>
          <w:tcPr>
            <w:tcW w:w="4878" w:type="dxa"/>
            <w:tcBorders>
              <w:tl2br w:val="nil"/>
              <w:tr2bl w:val="nil"/>
            </w:tcBorders>
            <w:shd w:val="clear" w:color="auto" w:fill="auto"/>
            <w:vAlign w:val="center"/>
          </w:tcPr>
          <w:p w14:paraId="38205E5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t>CIC-DUX4L1</w:t>
            </w:r>
          </w:p>
        </w:tc>
      </w:tr>
      <w:tr w14:paraId="0FEB070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8C27DAE">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82A889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CIC-FOXO4</w:t>
            </w:r>
          </w:p>
        </w:tc>
      </w:tr>
      <w:tr w14:paraId="64949A3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98437E4">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9D8E08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CIC-NUTM1</w:t>
            </w:r>
          </w:p>
        </w:tc>
      </w:tr>
      <w:tr w14:paraId="568000A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6ADAA8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0C2467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CIC-NUTM2B</w:t>
            </w:r>
          </w:p>
        </w:tc>
      </w:tr>
      <w:tr w14:paraId="510EEF8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0F18C48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BCOR重排肉瘤</w:t>
            </w:r>
          </w:p>
        </w:tc>
        <w:tc>
          <w:tcPr>
            <w:tcW w:w="4878" w:type="dxa"/>
            <w:tcBorders>
              <w:tl2br w:val="nil"/>
              <w:tr2bl w:val="nil"/>
            </w:tcBorders>
            <w:shd w:val="clear" w:color="auto" w:fill="auto"/>
            <w:vAlign w:val="center"/>
          </w:tcPr>
          <w:p w14:paraId="269CB7B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BCOR-CCNB3</w:t>
            </w:r>
          </w:p>
        </w:tc>
      </w:tr>
      <w:tr w14:paraId="6503286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4C63220">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E7D3F3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BCOR-MAML1</w:t>
            </w:r>
          </w:p>
        </w:tc>
      </w:tr>
      <w:tr w14:paraId="0FBDE49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F5D280A">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96CBECB">
            <w:pPr>
              <w:widowControl/>
              <w:textAlignment w:val="center"/>
              <w:rPr>
                <w:rFonts w:ascii="Times New Roman" w:hAnsi="Times New Roman" w:eastAsia="微软雅黑" w:cs="Times New Roman"/>
                <w:color w:val="000000" w:themeColor="text1"/>
                <w:sz w:val="18"/>
                <w:szCs w:val="18"/>
                <w:lang w:eastAsia="zh-CN" w:bidi="ar"/>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BCOR-MAML2</w:t>
            </w:r>
          </w:p>
        </w:tc>
      </w:tr>
      <w:tr w14:paraId="67FA262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63678EB1">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0A00D88">
            <w:pPr>
              <w:widowControl/>
              <w:textAlignment w:val="center"/>
              <w:rPr>
                <w:rFonts w:ascii="Times New Roman" w:hAnsi="Times New Roman" w:eastAsia="微软雅黑" w:cs="Times New Roman"/>
                <w:color w:val="000000" w:themeColor="text1"/>
                <w:sz w:val="18"/>
                <w:szCs w:val="18"/>
                <w:lang w:eastAsia="zh-CN" w:bidi="ar"/>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BCOR-MAML3</w:t>
            </w:r>
          </w:p>
        </w:tc>
      </w:tr>
      <w:tr w14:paraId="6293B12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108B09EF">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83B18D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ZC3H7B-BCOR</w:t>
            </w:r>
          </w:p>
        </w:tc>
      </w:tr>
      <w:tr w14:paraId="65E0B60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45BD03CF">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婴幼儿未分化圆细胞肉瘤/婴幼儿原始黏液样间叶性肿瘤</w:t>
            </w:r>
          </w:p>
        </w:tc>
        <w:tc>
          <w:tcPr>
            <w:tcW w:w="4878" w:type="dxa"/>
            <w:tcBorders>
              <w:tl2br w:val="nil"/>
              <w:tr2bl w:val="nil"/>
            </w:tcBorders>
            <w:shd w:val="clear" w:color="auto" w:fill="auto"/>
            <w:vAlign w:val="center"/>
          </w:tcPr>
          <w:p w14:paraId="3870111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YWHAE(YWHAE1)-NUTM2B</w:t>
            </w:r>
          </w:p>
        </w:tc>
      </w:tr>
      <w:tr w14:paraId="1169E06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04ED29D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EWSR1-非ETS融合的圆细胞肉瘤</w:t>
            </w:r>
          </w:p>
        </w:tc>
        <w:tc>
          <w:tcPr>
            <w:tcW w:w="4878" w:type="dxa"/>
            <w:tcBorders>
              <w:tl2br w:val="nil"/>
              <w:tr2bl w:val="nil"/>
            </w:tcBorders>
            <w:shd w:val="clear" w:color="auto" w:fill="auto"/>
            <w:vAlign w:val="center"/>
          </w:tcPr>
          <w:p w14:paraId="35EECFE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EWSR1-NFATC2</w:t>
            </w:r>
          </w:p>
        </w:tc>
      </w:tr>
      <w:tr w14:paraId="5783822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PrEx>
        <w:trPr>
          <w:trHeight w:val="283" w:hRule="atLeast"/>
        </w:trPr>
        <w:tc>
          <w:tcPr>
            <w:tcW w:w="5082" w:type="dxa"/>
            <w:vMerge w:val="continue"/>
            <w:tcBorders>
              <w:tl2br w:val="nil"/>
              <w:tr2bl w:val="nil"/>
            </w:tcBorders>
            <w:shd w:val="clear" w:color="auto" w:fill="auto"/>
            <w:vAlign w:val="center"/>
          </w:tcPr>
          <w:p w14:paraId="72282B8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7176B3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EWSR1-PATZ1</w:t>
            </w:r>
          </w:p>
        </w:tc>
      </w:tr>
      <w:tr w14:paraId="494ACAD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24CFA028">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F93AD2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EWSR1-SP3</w:t>
            </w:r>
          </w:p>
        </w:tc>
      </w:tr>
      <w:tr w14:paraId="0985F27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0BCF07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2B8A42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EWSR1-POU5F1</w:t>
            </w:r>
          </w:p>
        </w:tc>
      </w:tr>
      <w:tr w14:paraId="4858B0B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03688E78">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24B604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EWSR1-SMARCA5</w:t>
            </w:r>
          </w:p>
        </w:tc>
      </w:tr>
      <w:tr w14:paraId="3CAFDFA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3D2BEF7">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3B6BE7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FUS-NFATC2</w:t>
            </w:r>
          </w:p>
        </w:tc>
      </w:tr>
    </w:tbl>
    <w:p w14:paraId="1AC47A08">
      <w:p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参考指南：</w:t>
      </w:r>
    </w:p>
    <w:p w14:paraId="18028E55">
      <w:pPr>
        <w:numPr>
          <w:ilvl w:val="0"/>
          <w:numId w:val="12"/>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中国临床肿瘤学会（CSCO）软组织肉瘤诊疗指南2021</w:t>
      </w:r>
    </w:p>
    <w:p w14:paraId="7FB681A7">
      <w:pPr>
        <w:numPr>
          <w:ilvl w:val="0"/>
          <w:numId w:val="12"/>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中国临床肿瘤学会（CSCO）</w:t>
      </w:r>
      <w:r>
        <w:rPr>
          <w:rFonts w:ascii="Times New Roman" w:hAnsi="Times New Roman" w:eastAsia="微软雅黑" w:cs="Times New Roman"/>
          <w:sz w:val="18"/>
          <w:szCs w:val="18"/>
          <w:lang w:eastAsia="zh-CN"/>
        </w:rPr>
        <w:t>骨巨细胞瘤</w:t>
      </w:r>
      <w:r>
        <w:rPr>
          <w:rFonts w:ascii="Times New Roman" w:hAnsi="Times New Roman" w:eastAsia="微软雅黑" w:cs="Times New Roman"/>
          <w:sz w:val="18"/>
          <w:szCs w:val="18"/>
          <w:lang w:eastAsia="zh-Hans"/>
        </w:rPr>
        <w:t>诊疗指南202</w:t>
      </w:r>
      <w:r>
        <w:rPr>
          <w:rFonts w:ascii="Times New Roman" w:hAnsi="Times New Roman" w:eastAsia="微软雅黑" w:cs="Times New Roman"/>
          <w:sz w:val="18"/>
          <w:szCs w:val="18"/>
          <w:lang w:eastAsia="zh-CN"/>
        </w:rPr>
        <w:t>0</w:t>
      </w:r>
    </w:p>
    <w:p w14:paraId="05925AF8">
      <w:pPr>
        <w:rPr>
          <w:rFonts w:ascii="Times New Roman" w:hAnsi="Times New Roman" w:cs="Times New Roman"/>
          <w:sz w:val="24"/>
          <w:szCs w:val="24"/>
          <w:lang w:eastAsia="zh-CN"/>
        </w:rPr>
      </w:pPr>
      <w:r>
        <w:rPr>
          <w:rFonts w:ascii="Times New Roman" w:hAnsi="Times New Roman" w:cs="Times New Roman"/>
          <w:sz w:val="24"/>
          <w:szCs w:val="24"/>
          <w:lang w:eastAsia="zh-CN"/>
        </w:rPr>
        <w:br w:type="page"/>
      </w:r>
    </w:p>
    <w:p w14:paraId="583E909D">
      <w:pPr>
        <w:numPr>
          <w:ilvl w:val="0"/>
          <w:numId w:val="13"/>
        </w:numP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Hans"/>
        </w:rPr>
        <w:t>本部分内容参考：骨与软组织肿瘤二代测序中国专家共识（2021年版）</w:t>
      </w:r>
    </w:p>
    <w:tbl>
      <w:tblPr>
        <w:tblStyle w:val="15"/>
        <w:tblW w:w="9977" w:type="dxa"/>
        <w:tblInd w:w="-62" w:type="dxa"/>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83"/>
        <w:gridCol w:w="4894"/>
      </w:tblGrid>
      <w:tr w14:paraId="02AF446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tblHeader/>
        </w:trPr>
        <w:tc>
          <w:tcPr>
            <w:tcW w:w="5083" w:type="dxa"/>
            <w:tcBorders>
              <w:top w:val="nil"/>
              <w:bottom w:val="nil"/>
              <w:right w:val="single" w:color="FFFFFF" w:sz="18" w:space="0"/>
            </w:tcBorders>
            <w:shd w:val="clear" w:color="auto" w:fill="62B541"/>
            <w:vAlign w:val="center"/>
          </w:tcPr>
          <w:p w14:paraId="33E42E1A">
            <w:pPr>
              <w:spacing w:line="206" w:lineRule="exact"/>
              <w:ind w:left="2"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t>肉瘤亚型</w:t>
            </w:r>
          </w:p>
        </w:tc>
        <w:tc>
          <w:tcPr>
            <w:tcW w:w="4894" w:type="dxa"/>
            <w:tcBorders>
              <w:top w:val="nil"/>
              <w:left w:val="single" w:color="FFFFFF" w:sz="18" w:space="0"/>
              <w:bottom w:val="nil"/>
            </w:tcBorders>
            <w:shd w:val="clear" w:color="auto" w:fill="62B541"/>
            <w:vAlign w:val="center"/>
          </w:tcPr>
          <w:p w14:paraId="5C64BE59">
            <w:pPr>
              <w:spacing w:line="206" w:lineRule="exact"/>
              <w:ind w:left="2"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t>分子分型</w:t>
            </w:r>
          </w:p>
        </w:tc>
      </w:tr>
      <w:tr w14:paraId="254CDC5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op w:val="nil"/>
              <w:tl2br w:val="nil"/>
              <w:tr2bl w:val="nil"/>
            </w:tcBorders>
            <w:shd w:val="clear" w:color="auto" w:fill="auto"/>
            <w:vAlign w:val="center"/>
          </w:tcPr>
          <w:p w14:paraId="061656A8">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EWSR1-SMAD3阳性纤维母细胞性肿瘤</w:t>
            </w:r>
          </w:p>
        </w:tc>
        <w:tc>
          <w:tcPr>
            <w:tcW w:w="4894" w:type="dxa"/>
            <w:tcBorders>
              <w:top w:val="nil"/>
              <w:tl2br w:val="nil"/>
              <w:tr2bl w:val="nil"/>
            </w:tcBorders>
            <w:shd w:val="clear" w:color="auto" w:fill="auto"/>
            <w:vAlign w:val="center"/>
          </w:tcPr>
          <w:p w14:paraId="6BA39F8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EWSR1-SMAD3</w:t>
            </w:r>
          </w:p>
        </w:tc>
      </w:tr>
      <w:tr w14:paraId="22BBFE9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6F7972F4">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GAB1-ABL1阳性纤维母细胞性肿瘤</w:t>
            </w:r>
          </w:p>
        </w:tc>
        <w:tc>
          <w:tcPr>
            <w:tcW w:w="4894" w:type="dxa"/>
            <w:tcBorders>
              <w:tl2br w:val="nil"/>
              <w:tr2bl w:val="nil"/>
            </w:tcBorders>
            <w:shd w:val="clear" w:color="auto" w:fill="auto"/>
            <w:vAlign w:val="center"/>
          </w:tcPr>
          <w:p w14:paraId="1B039ED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GAB1-ABL1</w:t>
            </w:r>
          </w:p>
        </w:tc>
      </w:tr>
      <w:tr w14:paraId="461B3E0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7DD9A2ED">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ALK阴性炎性肌纤维母细胞瘤</w:t>
            </w:r>
          </w:p>
        </w:tc>
        <w:tc>
          <w:tcPr>
            <w:tcW w:w="4894" w:type="dxa"/>
            <w:tcBorders>
              <w:tl2br w:val="nil"/>
              <w:tr2bl w:val="nil"/>
            </w:tcBorders>
            <w:shd w:val="clear" w:color="auto" w:fill="auto"/>
            <w:vAlign w:val="center"/>
          </w:tcPr>
          <w:p w14:paraId="1A30CF9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TFG-ROS1</w:t>
            </w:r>
          </w:p>
        </w:tc>
      </w:tr>
      <w:tr w14:paraId="1915854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1326D978">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3B6E6E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YWHAE-ROS1</w:t>
            </w:r>
          </w:p>
        </w:tc>
      </w:tr>
      <w:tr w14:paraId="6CA845C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6F337BEB">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1AE508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2C5B816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34F15221">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上皮样炎性肌纤维母细胞肉瘤</w:t>
            </w:r>
          </w:p>
        </w:tc>
        <w:tc>
          <w:tcPr>
            <w:tcW w:w="4894" w:type="dxa"/>
            <w:tcBorders>
              <w:tl2br w:val="nil"/>
              <w:tr2bl w:val="nil"/>
            </w:tcBorders>
            <w:shd w:val="clear" w:color="auto" w:fill="auto"/>
            <w:vAlign w:val="center"/>
          </w:tcPr>
          <w:p w14:paraId="151B08A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RANBP2-ALK</w:t>
            </w:r>
          </w:p>
        </w:tc>
      </w:tr>
      <w:tr w14:paraId="2182A54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3D8B7EED">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498A34D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RRBP1(RRBP)-ALK</w:t>
            </w:r>
          </w:p>
        </w:tc>
      </w:tr>
      <w:tr w14:paraId="06BCC1F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3764632E">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少数隆突性皮纤维肉瘤</w:t>
            </w:r>
          </w:p>
        </w:tc>
        <w:tc>
          <w:tcPr>
            <w:tcW w:w="4894" w:type="dxa"/>
            <w:tcBorders>
              <w:tl2br w:val="nil"/>
              <w:tr2bl w:val="nil"/>
            </w:tcBorders>
            <w:shd w:val="clear" w:color="auto" w:fill="auto"/>
            <w:vAlign w:val="center"/>
          </w:tcPr>
          <w:p w14:paraId="5C49946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COL6A3-PDGFD</w:t>
            </w:r>
          </w:p>
        </w:tc>
      </w:tr>
      <w:tr w14:paraId="70D0E4A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PrEx>
        <w:trPr>
          <w:trHeight w:val="283" w:hRule="atLeast"/>
        </w:trPr>
        <w:tc>
          <w:tcPr>
            <w:tcW w:w="5083" w:type="dxa"/>
            <w:vMerge w:val="continue"/>
            <w:tcBorders>
              <w:tl2br w:val="nil"/>
              <w:tr2bl w:val="nil"/>
            </w:tcBorders>
            <w:shd w:val="clear" w:color="auto" w:fill="auto"/>
            <w:vAlign w:val="center"/>
          </w:tcPr>
          <w:p w14:paraId="20ADA83D">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03CE7B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EMILIN2-PDGFD</w:t>
            </w:r>
          </w:p>
        </w:tc>
      </w:tr>
      <w:tr w14:paraId="19D9D45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5AD297D7">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MUC4阴性硬化性上皮样纤维肉瘤</w:t>
            </w:r>
          </w:p>
        </w:tc>
        <w:tc>
          <w:tcPr>
            <w:tcW w:w="4894" w:type="dxa"/>
            <w:tcBorders>
              <w:tl2br w:val="nil"/>
              <w:tr2bl w:val="nil"/>
            </w:tcBorders>
            <w:shd w:val="clear" w:color="auto" w:fill="auto"/>
            <w:vAlign w:val="center"/>
          </w:tcPr>
          <w:p w14:paraId="78FB5F2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YAP1-KMT2A</w:t>
            </w:r>
          </w:p>
        </w:tc>
      </w:tr>
      <w:tr w14:paraId="2BC5159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265E81EF">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上皮样纤维组织细胞瘤</w:t>
            </w:r>
          </w:p>
        </w:tc>
        <w:tc>
          <w:tcPr>
            <w:tcW w:w="4894" w:type="dxa"/>
            <w:tcBorders>
              <w:tl2br w:val="nil"/>
              <w:tr2bl w:val="nil"/>
            </w:tcBorders>
            <w:shd w:val="clear" w:color="auto" w:fill="auto"/>
            <w:vAlign w:val="center"/>
          </w:tcPr>
          <w:p w14:paraId="6E813C1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SQSTM1-ALK</w:t>
            </w:r>
          </w:p>
        </w:tc>
      </w:tr>
      <w:tr w14:paraId="0CE5813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5592DB28">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39456D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VCL-ALK</w:t>
            </w:r>
          </w:p>
        </w:tc>
      </w:tr>
      <w:tr w14:paraId="4EB854F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3A94E45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上皮样血管瘤</w:t>
            </w:r>
          </w:p>
        </w:tc>
        <w:tc>
          <w:tcPr>
            <w:tcW w:w="4894" w:type="dxa"/>
            <w:tcBorders>
              <w:tl2br w:val="nil"/>
              <w:tr2bl w:val="nil"/>
            </w:tcBorders>
            <w:shd w:val="clear" w:color="auto" w:fill="auto"/>
            <w:vAlign w:val="center"/>
          </w:tcPr>
          <w:p w14:paraId="22B2838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MBNL1-FOS</w:t>
            </w:r>
          </w:p>
        </w:tc>
      </w:tr>
      <w:tr w14:paraId="56B592E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00219DC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4B314B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VIM-FOS</w:t>
            </w:r>
          </w:p>
        </w:tc>
      </w:tr>
      <w:tr w14:paraId="712FE84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53E4DBF1">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16D4A9F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lincRNA-FOS</w:t>
            </w:r>
          </w:p>
        </w:tc>
      </w:tr>
      <w:tr w14:paraId="22CA29F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3F6C38A">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05B3F78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ZFP36-FOSB</w:t>
            </w:r>
          </w:p>
        </w:tc>
      </w:tr>
      <w:tr w14:paraId="3E78FF3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5EAB8353">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103203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WWTR1-FOSB</w:t>
            </w:r>
          </w:p>
        </w:tc>
      </w:tr>
      <w:tr w14:paraId="4ED01AC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491F232A">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58C3ED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ACTB-FOSB</w:t>
            </w:r>
          </w:p>
        </w:tc>
      </w:tr>
      <w:tr w14:paraId="240E3EE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7B9BB06A">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TFE3重排上皮样血管内皮瘤</w:t>
            </w:r>
          </w:p>
        </w:tc>
        <w:tc>
          <w:tcPr>
            <w:tcW w:w="4894" w:type="dxa"/>
            <w:tcBorders>
              <w:tl2br w:val="nil"/>
              <w:tr2bl w:val="nil"/>
            </w:tcBorders>
            <w:shd w:val="clear" w:color="auto" w:fill="auto"/>
            <w:vAlign w:val="center"/>
          </w:tcPr>
          <w:p w14:paraId="1913227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YAP1-TFE3</w:t>
            </w:r>
          </w:p>
        </w:tc>
      </w:tr>
      <w:tr w14:paraId="173090B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3CD7D1E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假肌源性血管内皮瘤</w:t>
            </w:r>
          </w:p>
        </w:tc>
        <w:tc>
          <w:tcPr>
            <w:tcW w:w="4894" w:type="dxa"/>
            <w:tcBorders>
              <w:tl2br w:val="nil"/>
              <w:tr2bl w:val="nil"/>
            </w:tcBorders>
            <w:shd w:val="clear" w:color="auto" w:fill="auto"/>
            <w:vAlign w:val="center"/>
          </w:tcPr>
          <w:p w14:paraId="59D4AF0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SERPINE1-FOSB</w:t>
            </w:r>
          </w:p>
        </w:tc>
      </w:tr>
      <w:tr w14:paraId="7471212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5E7E1566">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148ED8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ACTB-FOSB</w:t>
            </w:r>
          </w:p>
        </w:tc>
      </w:tr>
      <w:tr w14:paraId="333326C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125DF305">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网状和复合性血管内皮瘤</w:t>
            </w:r>
          </w:p>
        </w:tc>
        <w:tc>
          <w:tcPr>
            <w:tcW w:w="4894" w:type="dxa"/>
            <w:tcBorders>
              <w:tl2br w:val="nil"/>
              <w:tr2bl w:val="nil"/>
            </w:tcBorders>
            <w:shd w:val="clear" w:color="auto" w:fill="auto"/>
            <w:vAlign w:val="center"/>
          </w:tcPr>
          <w:p w14:paraId="4C90A6B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YAP1-MAML2</w:t>
            </w:r>
          </w:p>
        </w:tc>
      </w:tr>
      <w:tr w14:paraId="66B5650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38060512">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伴有神经内分泌分化复合性血管内皮瘤</w:t>
            </w:r>
          </w:p>
        </w:tc>
        <w:tc>
          <w:tcPr>
            <w:tcW w:w="4894" w:type="dxa"/>
            <w:tcBorders>
              <w:tl2br w:val="nil"/>
              <w:tr2bl w:val="nil"/>
            </w:tcBorders>
            <w:shd w:val="clear" w:color="auto" w:fill="auto"/>
            <w:vAlign w:val="center"/>
          </w:tcPr>
          <w:p w14:paraId="59A9673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PTBP1-MAML2</w:t>
            </w:r>
          </w:p>
        </w:tc>
      </w:tr>
      <w:tr w14:paraId="153502D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38CB4598">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先天性梭形细胞横纹肌肉瘤</w:t>
            </w:r>
          </w:p>
        </w:tc>
        <w:tc>
          <w:tcPr>
            <w:tcW w:w="4894" w:type="dxa"/>
            <w:tcBorders>
              <w:tl2br w:val="nil"/>
              <w:tr2bl w:val="nil"/>
            </w:tcBorders>
            <w:shd w:val="clear" w:color="auto" w:fill="auto"/>
            <w:vAlign w:val="center"/>
          </w:tcPr>
          <w:p w14:paraId="02E84E2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SRF-NCOA2</w:t>
            </w:r>
          </w:p>
        </w:tc>
      </w:tr>
      <w:tr w14:paraId="18CE6E2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5056793B">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458AC29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TEAD1-NCOA2</w:t>
            </w:r>
          </w:p>
        </w:tc>
      </w:tr>
      <w:tr w14:paraId="02A6651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5E66A99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529154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VGLL2-NCOA2</w:t>
            </w:r>
          </w:p>
        </w:tc>
      </w:tr>
      <w:tr w14:paraId="57ED192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1FB8D3D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19EE9D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VGLL2-CITED2</w:t>
            </w:r>
          </w:p>
        </w:tc>
      </w:tr>
      <w:tr w14:paraId="1D7E753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71DE7713">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骨上皮样和梭形细胞横纹肌肉瘤</w:t>
            </w:r>
          </w:p>
        </w:tc>
        <w:tc>
          <w:tcPr>
            <w:tcW w:w="4894" w:type="dxa"/>
            <w:tcBorders>
              <w:tl2br w:val="nil"/>
              <w:tr2bl w:val="nil"/>
            </w:tcBorders>
            <w:shd w:val="clear" w:color="auto" w:fill="auto"/>
            <w:vAlign w:val="center"/>
          </w:tcPr>
          <w:p w14:paraId="6DF3E6C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EWSR1-TFCP2</w:t>
            </w:r>
          </w:p>
        </w:tc>
      </w:tr>
      <w:tr w14:paraId="62F0C6C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6596B3FE">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9123AA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FUS-TFCP2</w:t>
            </w:r>
          </w:p>
        </w:tc>
      </w:tr>
      <w:tr w14:paraId="0808382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5B74E4BF">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192D0F3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MEIS1-NCOA2</w:t>
            </w:r>
          </w:p>
        </w:tc>
      </w:tr>
      <w:tr w14:paraId="1906C04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121A0E2B">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NTRK重排梭形细胞肿瘤</w:t>
            </w:r>
          </w:p>
        </w:tc>
        <w:tc>
          <w:tcPr>
            <w:tcW w:w="4894" w:type="dxa"/>
            <w:tcBorders>
              <w:tl2br w:val="nil"/>
              <w:tr2bl w:val="nil"/>
            </w:tcBorders>
            <w:shd w:val="clear" w:color="auto" w:fill="auto"/>
            <w:vAlign w:val="center"/>
          </w:tcPr>
          <w:p w14:paraId="44AD2C5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LMNA-NTRK1</w:t>
            </w:r>
          </w:p>
        </w:tc>
      </w:tr>
      <w:tr w14:paraId="5452D1D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6C6019F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CD4E1F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TPR-NTRK1</w:t>
            </w:r>
          </w:p>
        </w:tc>
      </w:tr>
      <w:tr w14:paraId="72538AC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3FF7FB4F">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2B3454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TPM3-NTRK1</w:t>
            </w:r>
          </w:p>
        </w:tc>
      </w:tr>
      <w:tr w14:paraId="143DF80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PrEx>
        <w:trPr>
          <w:trHeight w:val="283" w:hRule="atLeast"/>
        </w:trPr>
        <w:tc>
          <w:tcPr>
            <w:tcW w:w="5083" w:type="dxa"/>
            <w:vMerge w:val="continue"/>
            <w:tcBorders>
              <w:tl2br w:val="nil"/>
              <w:tr2bl w:val="nil"/>
            </w:tcBorders>
            <w:shd w:val="clear" w:color="auto" w:fill="auto"/>
            <w:vAlign w:val="center"/>
          </w:tcPr>
          <w:p w14:paraId="393EBA06">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7A3005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SPECC1L-NTRK2</w:t>
            </w:r>
          </w:p>
        </w:tc>
      </w:tr>
      <w:tr w14:paraId="2F705E2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AEF809C">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2EBB9D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STRN-NTRK2</w:t>
            </w:r>
          </w:p>
        </w:tc>
      </w:tr>
      <w:tr w14:paraId="0F039A6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3C53183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21240E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EML4(EMAL4)-NTRK3</w:t>
            </w:r>
          </w:p>
        </w:tc>
      </w:tr>
      <w:tr w14:paraId="760C142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08F8D394">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1D9B234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0692BEC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575A3616">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其他双表达CD34和S-100的梭形细胞肿瘤</w:t>
            </w:r>
          </w:p>
        </w:tc>
        <w:tc>
          <w:tcPr>
            <w:tcW w:w="4894" w:type="dxa"/>
            <w:tcBorders>
              <w:tl2br w:val="nil"/>
              <w:tr2bl w:val="nil"/>
            </w:tcBorders>
            <w:shd w:val="clear" w:color="auto" w:fill="auto"/>
            <w:vAlign w:val="center"/>
          </w:tcPr>
          <w:p w14:paraId="75D558E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SEPTIN7(SEPT7)-BRAF</w:t>
            </w:r>
          </w:p>
        </w:tc>
      </w:tr>
      <w:tr w14:paraId="0235800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2F5673CE">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272B12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CUX1-BRAF</w:t>
            </w:r>
          </w:p>
        </w:tc>
      </w:tr>
      <w:tr w14:paraId="11AB778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43C3C76C">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05617F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CDC42SE2-BRAF</w:t>
            </w:r>
          </w:p>
        </w:tc>
      </w:tr>
      <w:tr w14:paraId="796F481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5AE0B27D">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8C5159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PDZRN3-RAF1</w:t>
            </w:r>
          </w:p>
        </w:tc>
      </w:tr>
      <w:tr w14:paraId="78D5B15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23488717">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BC4215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SLMAP-RAF1</w:t>
            </w:r>
          </w:p>
        </w:tc>
      </w:tr>
      <w:tr w14:paraId="10E2D2D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402BE46">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BF90BD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TMF1-RAF1</w:t>
            </w:r>
          </w:p>
        </w:tc>
      </w:tr>
      <w:tr w14:paraId="7498B36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62A4308">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39FB13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MTAP-RAF1</w:t>
            </w:r>
          </w:p>
        </w:tc>
      </w:tr>
      <w:tr w14:paraId="3F2DCA2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64CCF5F5">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B19A3B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PPP1CB-ALK</w:t>
            </w:r>
          </w:p>
        </w:tc>
      </w:tr>
      <w:tr w14:paraId="0E58CFF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4DB6F40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2C617B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TFG-RET</w:t>
            </w:r>
          </w:p>
        </w:tc>
      </w:tr>
      <w:tr w14:paraId="00113F9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1297D566">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1055DC2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MYH10-RET</w:t>
            </w:r>
          </w:p>
        </w:tc>
      </w:tr>
      <w:tr w14:paraId="1719E4F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0B843AAF">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A6866D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NCOA4-RET</w:t>
            </w:r>
          </w:p>
        </w:tc>
      </w:tr>
      <w:tr w14:paraId="5DFAE01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60B80D7A">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2B4E69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VCL-RET</w:t>
            </w:r>
          </w:p>
        </w:tc>
      </w:tr>
      <w:tr w14:paraId="0123299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0AF7F0A6">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429EEC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CLIP2-RET</w:t>
            </w:r>
          </w:p>
        </w:tc>
      </w:tr>
      <w:tr w14:paraId="2CA40D7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7E75884">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12D4FAF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KIAA1217-RET</w:t>
            </w:r>
          </w:p>
        </w:tc>
      </w:tr>
      <w:tr w14:paraId="71692DB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DA619C7">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44D2F2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KHDRBS1-RET</w:t>
            </w:r>
          </w:p>
        </w:tc>
      </w:tr>
      <w:tr w14:paraId="10B7DCA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5090C72A">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9BC536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SPECC1L-RET</w:t>
            </w:r>
          </w:p>
        </w:tc>
      </w:tr>
      <w:tr w14:paraId="739F9B3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FDD23BC">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5BF958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CCDC6-RET</w:t>
            </w:r>
          </w:p>
        </w:tc>
      </w:tr>
      <w:tr w14:paraId="5DC2091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7A12B15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EWSR1-非ETS融合肉瘤</w:t>
            </w:r>
          </w:p>
        </w:tc>
        <w:tc>
          <w:tcPr>
            <w:tcW w:w="4894" w:type="dxa"/>
            <w:tcBorders>
              <w:tl2br w:val="nil"/>
              <w:tr2bl w:val="nil"/>
            </w:tcBorders>
            <w:shd w:val="clear" w:color="auto" w:fill="auto"/>
            <w:vAlign w:val="center"/>
          </w:tcPr>
          <w:p w14:paraId="3845628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EWSR1-NFATC2</w:t>
            </w:r>
          </w:p>
        </w:tc>
      </w:tr>
      <w:tr w14:paraId="28DF213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375DED57">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588D0C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FUS-NFATC2</w:t>
            </w:r>
          </w:p>
        </w:tc>
      </w:tr>
      <w:tr w14:paraId="748F1CE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49B496C4">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7E899D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EWSR1-PATZ1</w:t>
            </w:r>
          </w:p>
        </w:tc>
      </w:tr>
      <w:tr w14:paraId="6BC9DFF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8C0D05B">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7CC07B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EWSR1-POU5F1</w:t>
            </w:r>
          </w:p>
        </w:tc>
      </w:tr>
      <w:tr w14:paraId="66DFD35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349BBA02">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B6C220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EWSR1-SP3</w:t>
            </w:r>
          </w:p>
        </w:tc>
      </w:tr>
      <w:tr w14:paraId="459D0FF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4AAA3692">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0067E9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EWSR1-SMARCA5</w:t>
            </w:r>
          </w:p>
        </w:tc>
      </w:tr>
      <w:tr w14:paraId="724DEC5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74F0AB0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BCOR重排肉瘤</w:t>
            </w:r>
          </w:p>
        </w:tc>
        <w:tc>
          <w:tcPr>
            <w:tcW w:w="4894" w:type="dxa"/>
            <w:tcBorders>
              <w:tl2br w:val="nil"/>
              <w:tr2bl w:val="nil"/>
            </w:tcBorders>
            <w:shd w:val="clear" w:color="auto" w:fill="auto"/>
            <w:vAlign w:val="center"/>
          </w:tcPr>
          <w:p w14:paraId="26775CD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BCOR-CCNB3</w:t>
            </w:r>
          </w:p>
        </w:tc>
      </w:tr>
      <w:tr w14:paraId="1B25568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0F38D372">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0A47265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BCOR-MAML3</w:t>
            </w:r>
          </w:p>
        </w:tc>
      </w:tr>
      <w:tr w14:paraId="1CD683A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0D3FEA97">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FA1310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ZC3H7B-BCOR</w:t>
            </w:r>
          </w:p>
        </w:tc>
      </w:tr>
      <w:tr w14:paraId="32C17E0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2ACEC7BF">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044C0E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YWHAE-NUTM2B</w:t>
            </w:r>
          </w:p>
        </w:tc>
      </w:tr>
      <w:tr w14:paraId="49A9B46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4226700A">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GLI1重排/扩增恶性上皮样肿瘤</w:t>
            </w:r>
          </w:p>
        </w:tc>
        <w:tc>
          <w:tcPr>
            <w:tcW w:w="4894" w:type="dxa"/>
            <w:tcBorders>
              <w:tl2br w:val="nil"/>
              <w:tr2bl w:val="nil"/>
            </w:tcBorders>
            <w:shd w:val="clear" w:color="auto" w:fill="auto"/>
            <w:vAlign w:val="center"/>
          </w:tcPr>
          <w:p w14:paraId="03B9774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ACTB-GLI1</w:t>
            </w:r>
          </w:p>
        </w:tc>
      </w:tr>
      <w:tr w14:paraId="41E9257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PrEx>
        <w:trPr>
          <w:trHeight w:val="283" w:hRule="atLeast"/>
        </w:trPr>
        <w:tc>
          <w:tcPr>
            <w:tcW w:w="5083" w:type="dxa"/>
            <w:vMerge w:val="continue"/>
            <w:tcBorders>
              <w:tl2br w:val="nil"/>
              <w:tr2bl w:val="nil"/>
            </w:tcBorders>
            <w:shd w:val="clear" w:color="auto" w:fill="auto"/>
            <w:vAlign w:val="center"/>
          </w:tcPr>
          <w:p w14:paraId="777A741A">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A44A5D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MALAT1-GLI1</w:t>
            </w:r>
          </w:p>
        </w:tc>
      </w:tr>
      <w:tr w14:paraId="7B3D161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2E3E1D4C">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3688F3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PTCH1-GLI1</w:t>
            </w:r>
          </w:p>
        </w:tc>
      </w:tr>
      <w:tr w14:paraId="0F58BD6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1609939C">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胃母细胞瘤/胃丛状纤维黏液瘤</w:t>
            </w:r>
          </w:p>
        </w:tc>
        <w:tc>
          <w:tcPr>
            <w:tcW w:w="4894" w:type="dxa"/>
            <w:tcBorders>
              <w:tl2br w:val="nil"/>
              <w:tr2bl w:val="nil"/>
            </w:tcBorders>
            <w:shd w:val="clear" w:color="auto" w:fill="auto"/>
            <w:vAlign w:val="center"/>
          </w:tcPr>
          <w:p w14:paraId="423852E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MALAT1-GLI1</w:t>
            </w:r>
          </w:p>
        </w:tc>
      </w:tr>
      <w:tr w14:paraId="1B87A27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6DB5534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野生型胃肠道间质瘤</w:t>
            </w:r>
          </w:p>
        </w:tc>
        <w:tc>
          <w:tcPr>
            <w:tcW w:w="4894" w:type="dxa"/>
            <w:tcBorders>
              <w:tl2br w:val="nil"/>
              <w:tr2bl w:val="nil"/>
            </w:tcBorders>
            <w:shd w:val="clear" w:color="auto" w:fill="auto"/>
            <w:vAlign w:val="center"/>
          </w:tcPr>
          <w:p w14:paraId="03EC7ED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FGFR1-HOOK3</w:t>
            </w:r>
          </w:p>
        </w:tc>
      </w:tr>
      <w:tr w14:paraId="7A45F45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32282598">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B420E4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FGFR1-TACC1</w:t>
            </w:r>
          </w:p>
        </w:tc>
      </w:tr>
      <w:tr w14:paraId="436DB18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469C44BA">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38BDDC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7C4BCCC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08D4356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富于细胞性肌样肿瘤</w:t>
            </w:r>
          </w:p>
        </w:tc>
        <w:tc>
          <w:tcPr>
            <w:tcW w:w="4894" w:type="dxa"/>
            <w:tcBorders>
              <w:tl2br w:val="nil"/>
              <w:tr2bl w:val="nil"/>
            </w:tcBorders>
            <w:shd w:val="clear" w:color="auto" w:fill="auto"/>
            <w:vAlign w:val="center"/>
          </w:tcPr>
          <w:p w14:paraId="7696DDD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SRF-ICA1L</w:t>
            </w:r>
          </w:p>
        </w:tc>
      </w:tr>
      <w:tr w14:paraId="362EE9E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34F74257">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肌上皮瘤样玻璃样变肿瘤</w:t>
            </w:r>
          </w:p>
        </w:tc>
        <w:tc>
          <w:tcPr>
            <w:tcW w:w="4894" w:type="dxa"/>
            <w:tcBorders>
              <w:tl2br w:val="nil"/>
              <w:tr2bl w:val="nil"/>
            </w:tcBorders>
            <w:shd w:val="clear" w:color="auto" w:fill="auto"/>
            <w:vAlign w:val="center"/>
          </w:tcPr>
          <w:p w14:paraId="26B6F54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OGT-FOXO3</w:t>
            </w:r>
          </w:p>
        </w:tc>
      </w:tr>
      <w:tr w14:paraId="3B8C0CC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193F5D09">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部分不能分类的圆细胞肉瘤</w:t>
            </w:r>
          </w:p>
        </w:tc>
        <w:tc>
          <w:tcPr>
            <w:tcW w:w="4894" w:type="dxa"/>
            <w:tcBorders>
              <w:tl2br w:val="nil"/>
              <w:tr2bl w:val="nil"/>
            </w:tcBorders>
            <w:shd w:val="clear" w:color="auto" w:fill="auto"/>
            <w:vAlign w:val="center"/>
          </w:tcPr>
          <w:p w14:paraId="6B0D47E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EWSR1-CREB1(CREB)</w:t>
            </w:r>
          </w:p>
        </w:tc>
      </w:tr>
      <w:tr w14:paraId="405E036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16D162FA">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肾脏原始梭形细胞肉瘤</w:t>
            </w:r>
          </w:p>
        </w:tc>
        <w:tc>
          <w:tcPr>
            <w:tcW w:w="4894" w:type="dxa"/>
            <w:tcBorders>
              <w:tl2br w:val="nil"/>
              <w:tr2bl w:val="nil"/>
            </w:tcBorders>
            <w:shd w:val="clear" w:color="auto" w:fill="auto"/>
            <w:vAlign w:val="center"/>
          </w:tcPr>
          <w:p w14:paraId="50B8917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MEIS1-NCOA2</w:t>
            </w:r>
          </w:p>
        </w:tc>
      </w:tr>
    </w:tbl>
    <w:p w14:paraId="7939251F">
      <w:pPr>
        <w:rPr>
          <w:rFonts w:ascii="Times New Roman" w:hAnsi="Times New Roman" w:eastAsia="微软雅黑" w:cs="Times New Roman"/>
          <w:color w:val="000000"/>
          <w:sz w:val="18"/>
          <w:szCs w:val="18"/>
          <w:lang w:eastAsia="zh-Hans" w:bidi="ar"/>
        </w:rPr>
      </w:pPr>
      <w:r>
        <w:rPr>
          <w:rFonts w:ascii="Times New Roman" w:hAnsi="Times New Roman" w:eastAsia="微软雅黑" w:cs="Times New Roman"/>
          <w:color w:val="000000"/>
          <w:sz w:val="18"/>
          <w:szCs w:val="18"/>
          <w:lang w:eastAsia="zh-Hans" w:bidi="ar"/>
        </w:rPr>
        <w:t>参考指南：骨与软组织肿瘤二代测序中国专家共识（2021年版）</w:t>
      </w:r>
    </w:p>
    <w:p w14:paraId="3C011AA8">
      <w:pPr>
        <w:rPr>
          <w:rFonts w:hint="default" w:ascii="Times New Roman" w:hAnsi="Times New Roman" w:eastAsia="微软雅黑" w:cs="Times New Roman"/>
          <w:color w:val="000000"/>
          <w:sz w:val="21"/>
          <w:szCs w:val="21"/>
          <w:lang w:val="en-US" w:eastAsia="zh-CN" w:bidi="ar"/>
        </w:rPr>
      </w:pPr>
      <w:r>
        <w:rPr>
          <w:rFonts w:ascii="Times New Roman" w:hAnsi="Times New Roman" w:eastAsia="微软雅黑" w:cs="Times New Roman"/>
          <w:color w:val="000000"/>
          <w:sz w:val="18"/>
          <w:szCs w:val="18"/>
          <w:lang w:eastAsia="zh-Hans" w:bidi="ar"/>
        </w:rPr>
        <w:br w:type="page"/>
      </w:r>
      <w:r>
        <w:rPr>
          <w:rFonts w:hint="default" w:ascii="Times New Roman" w:hAnsi="Times New Roman" w:cs="Times New Roman"/>
          <w:sz w:val="21"/>
          <w:szCs w:val="21"/>
          <w:lang w:val="en-US" w:eastAsia="zh-CN"/>
        </w:rPr>
        <w:t>{% endif %}</w:t>
      </w:r>
    </w:p>
    <w:p w14:paraId="750374D9">
      <w:pPr>
        <w:pStyle w:val="3"/>
        <w:numPr>
          <w:ilvl w:val="255"/>
          <w:numId w:val="0"/>
        </w:numPr>
        <w:jc w:val="left"/>
        <w:rPr>
          <w:rFonts w:hint="eastAsia"/>
          <w:color w:val="auto"/>
          <w:sz w:val="30"/>
          <w:lang w:val="en-US" w:eastAsia="zh-CN"/>
        </w:rPr>
      </w:pPr>
      <w:bookmarkStart w:id="99" w:name="_Toc18001"/>
      <w:r>
        <w:rPr>
          <w:rFonts w:hint="eastAsia"/>
          <w:color w:val="auto"/>
          <w:sz w:val="30"/>
          <w:lang w:val="en-US" w:eastAsia="zh-CN"/>
        </w:rPr>
        <w:t>检测基因列表（639个基因）</w:t>
      </w:r>
      <w:bookmarkEnd w:id="99"/>
    </w:p>
    <w:tbl>
      <w:tblPr>
        <w:tblStyle w:val="15"/>
        <w:tblpPr w:leftFromText="180" w:rightFromText="180" w:vertAnchor="text" w:horzAnchor="page" w:tblpXSpec="center" w:tblpY="264"/>
        <w:tblOverlap w:val="never"/>
        <w:tblW w:w="9931" w:type="dxa"/>
        <w:jc w:val="center"/>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1212"/>
        <w:gridCol w:w="1202"/>
        <w:gridCol w:w="1257"/>
        <w:gridCol w:w="1225"/>
        <w:gridCol w:w="1323"/>
        <w:gridCol w:w="1236"/>
        <w:gridCol w:w="1202"/>
        <w:gridCol w:w="1274"/>
      </w:tblGrid>
      <w:tr w14:paraId="23D49BCF">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6" w:hRule="atLeast"/>
          <w:jc w:val="center"/>
        </w:trPr>
        <w:tc>
          <w:tcPr>
            <w:tcW w:w="9931" w:type="dxa"/>
            <w:gridSpan w:val="8"/>
            <w:tcBorders>
              <w:tl2br w:val="nil"/>
              <w:tr2bl w:val="nil"/>
            </w:tcBorders>
            <w:shd w:val="clear" w:color="auto" w:fill="auto"/>
            <w:noWrap/>
            <w:vAlign w:val="center"/>
          </w:tcPr>
          <w:p w14:paraId="7DE0C9DC">
            <w:pPr>
              <w:widowControl/>
              <w:jc w:val="center"/>
              <w:textAlignment w:val="bottom"/>
              <w:rPr>
                <w:rFonts w:ascii="Times New Roman" w:hAnsi="Times New Roman" w:cs="Times New Roman"/>
                <w:i/>
                <w:iCs/>
                <w:color w:val="000000"/>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s | genes(8,18,True) %}</w:t>
            </w:r>
          </w:p>
        </w:tc>
      </w:tr>
      <w:tr w14:paraId="695AC2D0">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6" w:hRule="atLeast"/>
          <w:jc w:val="center"/>
        </w:trPr>
        <w:tc>
          <w:tcPr>
            <w:tcW w:w="1212" w:type="dxa"/>
            <w:tcBorders>
              <w:tl2br w:val="nil"/>
              <w:tr2bl w:val="nil"/>
            </w:tcBorders>
            <w:shd w:val="clear" w:color="auto" w:fill="auto"/>
            <w:noWrap/>
            <w:vAlign w:val="center"/>
          </w:tcPr>
          <w:p w14:paraId="0BEEF9CE">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Gene[0] }}</w:t>
            </w:r>
          </w:p>
        </w:tc>
        <w:tc>
          <w:tcPr>
            <w:tcW w:w="1202" w:type="dxa"/>
            <w:tcBorders>
              <w:tl2br w:val="nil"/>
              <w:tr2bl w:val="nil"/>
            </w:tcBorders>
            <w:shd w:val="clear" w:color="auto" w:fill="auto"/>
            <w:noWrap/>
            <w:vAlign w:val="center"/>
          </w:tcPr>
          <w:p w14:paraId="5BF3E08E">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Gene[1] }}</w:t>
            </w:r>
          </w:p>
        </w:tc>
        <w:tc>
          <w:tcPr>
            <w:tcW w:w="1257" w:type="dxa"/>
            <w:tcBorders>
              <w:tl2br w:val="nil"/>
              <w:tr2bl w:val="nil"/>
            </w:tcBorders>
            <w:shd w:val="clear" w:color="auto" w:fill="auto"/>
            <w:noWrap/>
            <w:vAlign w:val="center"/>
          </w:tcPr>
          <w:p w14:paraId="2597992B">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Gene[2] }}</w:t>
            </w:r>
          </w:p>
        </w:tc>
        <w:tc>
          <w:tcPr>
            <w:tcW w:w="1225" w:type="dxa"/>
            <w:tcBorders>
              <w:tl2br w:val="nil"/>
              <w:tr2bl w:val="nil"/>
            </w:tcBorders>
            <w:shd w:val="clear" w:color="auto" w:fill="auto"/>
            <w:noWrap/>
            <w:vAlign w:val="center"/>
          </w:tcPr>
          <w:p w14:paraId="09EAA040">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Gene[3] }}</w:t>
            </w:r>
          </w:p>
        </w:tc>
        <w:tc>
          <w:tcPr>
            <w:tcW w:w="1323" w:type="dxa"/>
            <w:tcBorders>
              <w:tl2br w:val="nil"/>
              <w:tr2bl w:val="nil"/>
            </w:tcBorders>
            <w:shd w:val="clear" w:color="auto" w:fill="auto"/>
            <w:noWrap/>
            <w:vAlign w:val="center"/>
          </w:tcPr>
          <w:p w14:paraId="595BCEAC">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Gene[4] }}</w:t>
            </w:r>
          </w:p>
        </w:tc>
        <w:tc>
          <w:tcPr>
            <w:tcW w:w="1236" w:type="dxa"/>
            <w:tcBorders>
              <w:tl2br w:val="nil"/>
              <w:tr2bl w:val="nil"/>
            </w:tcBorders>
            <w:shd w:val="clear" w:color="auto" w:fill="auto"/>
            <w:noWrap/>
            <w:vAlign w:val="center"/>
          </w:tcPr>
          <w:p w14:paraId="4C989A52">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Gene[5] }}</w:t>
            </w:r>
          </w:p>
        </w:tc>
        <w:tc>
          <w:tcPr>
            <w:tcW w:w="1202" w:type="dxa"/>
            <w:tcBorders>
              <w:tl2br w:val="nil"/>
              <w:tr2bl w:val="nil"/>
            </w:tcBorders>
            <w:shd w:val="clear" w:color="auto" w:fill="auto"/>
            <w:noWrap/>
            <w:vAlign w:val="center"/>
          </w:tcPr>
          <w:p w14:paraId="6C0ED6A9">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Gene[6] }}</w:t>
            </w:r>
          </w:p>
        </w:tc>
        <w:tc>
          <w:tcPr>
            <w:tcW w:w="0" w:type="auto"/>
            <w:tcBorders>
              <w:tl2br w:val="nil"/>
              <w:tr2bl w:val="nil"/>
            </w:tcBorders>
            <w:shd w:val="clear" w:color="auto" w:fill="auto"/>
            <w:noWrap/>
            <w:vAlign w:val="center"/>
          </w:tcPr>
          <w:p w14:paraId="1F173D11">
            <w:pPr>
              <w:widowControl/>
              <w:jc w:val="center"/>
              <w:textAlignment w:val="bottom"/>
              <w:rPr>
                <w:rFonts w:ascii="Times New Roman" w:hAnsi="Times New Roman" w:cs="Times New Roman"/>
                <w:i/>
                <w:iCs/>
                <w:color w:val="000000"/>
                <w:sz w:val="18"/>
                <w:szCs w:val="18"/>
              </w:rPr>
            </w:pPr>
            <w:r>
              <w:rPr>
                <w:rFonts w:hint="eastAsia" w:ascii="Times New Roman" w:hAnsi="Times New Roman" w:cs="Times New Roman"/>
                <w:i/>
                <w:iCs/>
                <w:color w:val="000000"/>
                <w:sz w:val="18"/>
                <w:szCs w:val="18"/>
                <w:lang w:eastAsia="zh-CN" w:bidi="ar"/>
              </w:rPr>
              <w:t>{{r Gene[7] }}</w:t>
            </w:r>
          </w:p>
        </w:tc>
      </w:tr>
      <w:tr w14:paraId="58279D51">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6" w:hRule="atLeast"/>
          <w:jc w:val="center"/>
        </w:trPr>
        <w:tc>
          <w:tcPr>
            <w:tcW w:w="9931" w:type="dxa"/>
            <w:gridSpan w:val="8"/>
            <w:tcBorders>
              <w:tl2br w:val="nil"/>
              <w:tr2bl w:val="nil"/>
            </w:tcBorders>
            <w:shd w:val="clear" w:color="auto" w:fill="auto"/>
            <w:noWrap/>
            <w:vAlign w:val="center"/>
          </w:tcPr>
          <w:p w14:paraId="7CC3F68A">
            <w:pPr>
              <w:jc w:val="center"/>
              <w:rPr>
                <w:rFonts w:ascii="Times New Roman" w:hAnsi="Times New Roman" w:cs="Times New Roman"/>
                <w:i/>
                <w:iCs/>
                <w:color w:val="000000"/>
                <w:sz w:val="18"/>
                <w:szCs w:val="18"/>
              </w:rPr>
            </w:pPr>
            <w:r>
              <w:rPr>
                <w:rFonts w:hint="eastAsia" w:ascii="Times New Roman" w:hAnsi="Times New Roman" w:eastAsia="微软雅黑" w:cs="Times New Roman"/>
                <w:sz w:val="18"/>
                <w:szCs w:val="18"/>
                <w:lang w:eastAsia="zh-CN"/>
              </w:rPr>
              <w:t>{%tr endfor%}</w:t>
            </w:r>
          </w:p>
        </w:tc>
      </w:tr>
    </w:tbl>
    <w:p w14:paraId="383B99AB">
      <w:pPr>
        <w:rPr>
          <w:rFonts w:ascii="Times New Roman" w:hAnsi="Times New Roman"/>
          <w:sz w:val="30"/>
          <w:lang w:eastAsia="zh-CN"/>
        </w:rPr>
      </w:pPr>
    </w:p>
    <w:p w14:paraId="13254E49">
      <w:pPr>
        <w:rPr>
          <w:rFonts w:ascii="Times New Roman" w:hAnsi="Times New Roman"/>
          <w:sz w:val="30"/>
          <w:lang w:eastAsia="zh-CN"/>
        </w:rPr>
      </w:pPr>
      <w:r>
        <w:rPr>
          <w:rFonts w:hint="eastAsia" w:ascii="Times New Roman" w:hAnsi="Times New Roman"/>
          <w:sz w:val="30"/>
          <w:lang w:eastAsia="zh-CN"/>
        </w:rPr>
        <w:br w:type="page"/>
      </w:r>
    </w:p>
    <w:p w14:paraId="77B7B61B">
      <w:pPr>
        <w:pStyle w:val="3"/>
        <w:numPr>
          <w:ilvl w:val="255"/>
          <w:numId w:val="0"/>
        </w:numPr>
        <w:jc w:val="left"/>
        <w:rPr>
          <w:color w:val="auto"/>
          <w:sz w:val="30"/>
          <w:lang w:eastAsia="zh-CN"/>
        </w:rPr>
      </w:pPr>
      <w:bookmarkStart w:id="100" w:name="_Toc24071"/>
      <w:bookmarkStart w:id="101" w:name="_Toc3409"/>
      <w:bookmarkStart w:id="102" w:name="_Toc15114"/>
      <w:r>
        <w:rPr>
          <w:rFonts w:hint="eastAsia"/>
          <w:color w:val="auto"/>
          <w:sz w:val="30"/>
          <w:lang w:eastAsia="zh-CN"/>
        </w:rPr>
        <w:t>检测方法与局限性</w:t>
      </w:r>
      <w:bookmarkEnd w:id="100"/>
      <w:bookmarkEnd w:id="101"/>
      <w:bookmarkEnd w:id="102"/>
    </w:p>
    <w:p w14:paraId="723DC2B1">
      <w:pPr>
        <w:rPr>
          <w:highlight w:val="yellow"/>
          <w:lang w:eastAsia="zh-CN"/>
        </w:rPr>
      </w:pPr>
    </w:p>
    <w:p w14:paraId="19ACC5DD">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79AE3065">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0BF90066">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65224209">
      <w:pPr>
        <w:rPr>
          <w:rFonts w:ascii="Times New Roman" w:hAnsi="Times New Roman" w:eastAsia="微软雅黑" w:cs="Times New Roman"/>
          <w:bCs/>
          <w:sz w:val="21"/>
          <w:szCs w:val="21"/>
          <w:lang w:eastAsia="zh-CN"/>
        </w:rPr>
      </w:pPr>
    </w:p>
    <w:p w14:paraId="77E2CD12">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3B34760A">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47FBB3C0">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1D693D7B">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88"/>
    <w:bookmarkEnd w:id="89"/>
    <w:bookmarkEnd w:id="90"/>
    <w:bookmarkEnd w:id="91"/>
    <w:bookmarkEnd w:id="92"/>
    <w:bookmarkEnd w:id="93"/>
    <w:bookmarkEnd w:id="94"/>
    <w:p w14:paraId="3DCBBEF1">
      <w:pPr>
        <w:pStyle w:val="3"/>
        <w:numPr>
          <w:ilvl w:val="255"/>
          <w:numId w:val="0"/>
        </w:numPr>
        <w:jc w:val="left"/>
        <w:rPr>
          <w:color w:val="auto"/>
          <w:sz w:val="30"/>
          <w:lang w:eastAsia="zh-CN"/>
        </w:rPr>
      </w:pPr>
      <w:bookmarkStart w:id="103" w:name="_Toc107825571"/>
      <w:bookmarkStart w:id="104" w:name="_Toc9662"/>
      <w:bookmarkStart w:id="105" w:name="_Toc26977"/>
      <w:bookmarkStart w:id="106" w:name="_Toc21361"/>
      <w:bookmarkStart w:id="107" w:name="_Toc16927"/>
      <w:bookmarkStart w:id="108" w:name="_Toc14611_WPSOffice_Level1"/>
      <w:bookmarkStart w:id="109" w:name="_Toc17792_WPSOffice_Level2"/>
      <w:bookmarkStart w:id="110" w:name="_Toc13275"/>
      <w:bookmarkStart w:id="111" w:name="_Toc19584_WPSOffice_Level1"/>
      <w:bookmarkStart w:id="112" w:name="_Toc22623"/>
      <w:bookmarkStart w:id="113" w:name="_Toc22162_WPSOffice_Level1"/>
      <w:r>
        <w:rPr>
          <w:rFonts w:hint="eastAsia"/>
          <w:color w:val="auto"/>
          <w:sz w:val="30"/>
          <w:lang w:eastAsia="zh-CN"/>
        </w:rPr>
        <w:t>参考文献</w:t>
      </w:r>
      <w:bookmarkEnd w:id="103"/>
      <w:bookmarkEnd w:id="104"/>
      <w:bookmarkEnd w:id="105"/>
      <w:bookmarkEnd w:id="106"/>
      <w:bookmarkEnd w:id="107"/>
    </w:p>
    <w:bookmarkEnd w:id="108"/>
    <w:bookmarkEnd w:id="109"/>
    <w:bookmarkEnd w:id="110"/>
    <w:bookmarkEnd w:id="111"/>
    <w:bookmarkEnd w:id="112"/>
    <w:bookmarkEnd w:id="113"/>
    <w:p w14:paraId="68C1F568">
      <w:pPr>
        <w:pStyle w:val="33"/>
        <w:widowControl/>
        <w:adjustRightInd w:val="0"/>
        <w:snapToGrid w:val="0"/>
        <w:spacing w:after="120" w:afterLines="50"/>
        <w:ind w:firstLine="0" w:firstLineChars="0"/>
        <w:jc w:val="both"/>
        <w:rPr>
          <w:rFonts w:hint="default" w:ascii="Times New Roman" w:hAnsi="Times New Roman" w:eastAsia="微软雅黑"/>
          <w:sz w:val="15"/>
          <w:szCs w:val="15"/>
        </w:rPr>
      </w:pPr>
    </w:p>
    <w:p w14:paraId="7D4F7BBB">
      <w:pPr>
        <w:keepNext w:val="0"/>
        <w:keepLines w:val="0"/>
        <w:widowControl w:val="0"/>
        <w:suppressLineNumbers w:val="0"/>
        <w:spacing w:before="0" w:beforeAutospacing="0" w:after="0" w:afterAutospacing="0"/>
        <w:ind w:left="0" w:right="0"/>
        <w:jc w:val="left"/>
        <w:rPr>
          <w:rFonts w:hint="eastAsia" w:ascii="Times New Roman" w:hAnsi="Times New Roman" w:cs="Times New Roman"/>
          <w:sz w:val="15"/>
          <w:szCs w:val="15"/>
          <w:lang w:eastAsia="zh-CN"/>
        </w:rPr>
      </w:pPr>
      <w:r>
        <w:rPr>
          <w:rFonts w:hint="default" w:ascii="Times New Roman" w:hAnsi="Times New Roman" w:cs="Times New Roman"/>
          <w:sz w:val="15"/>
          <w:szCs w:val="15"/>
          <w:lang w:val="en-US" w:eastAsia="zh-CN"/>
        </w:rPr>
        <w:t xml:space="preserve">{% if </w:t>
      </w:r>
      <w:r>
        <w:rPr>
          <w:rFonts w:hint="eastAsia" w:ascii="Times New Roman" w:hAnsi="Times New Roman" w:cs="Times New Roman"/>
          <w:sz w:val="15"/>
          <w:szCs w:val="15"/>
          <w:lang w:val="en-US" w:eastAsia="zh-CN"/>
        </w:rPr>
        <w:t xml:space="preserve">3620 in diseaseIdList </w:t>
      </w:r>
      <w:r>
        <w:rPr>
          <w:rFonts w:hint="default" w:ascii="Times New Roman" w:hAnsi="Times New Roman" w:cs="Times New Roman"/>
          <w:sz w:val="15"/>
          <w:szCs w:val="15"/>
          <w:lang w:val="en-US" w:eastAsia="zh-CN"/>
        </w:rPr>
        <w:t>%}</w:t>
      </w:r>
      <w:r>
        <w:rPr>
          <w:rFonts w:hint="eastAsia" w:ascii="Times New Roman" w:hAnsi="Times New Roman" w:cs="Times New Roman"/>
          <w:sz w:val="15"/>
          <w:szCs w:val="15"/>
          <w:lang w:eastAsia="zh-CN"/>
        </w:rPr>
        <w:t>NCCN临床实践指南：中枢神经系统肿瘤（2020.V3）</w:t>
      </w:r>
    </w:p>
    <w:p w14:paraId="57DF88EC">
      <w:pPr>
        <w:keepNext w:val="0"/>
        <w:keepLines w:val="0"/>
        <w:pageBreakBefore w:val="0"/>
        <w:widowControl/>
        <w:kinsoku/>
        <w:wordWrap/>
        <w:overflowPunct/>
        <w:topLinePunct w:val="0"/>
        <w:autoSpaceDE/>
        <w:autoSpaceDN/>
        <w:bidi w:val="0"/>
        <w:adjustRightInd w:val="0"/>
        <w:snapToGrid w:val="0"/>
        <w:spacing w:line="360" w:lineRule="auto"/>
        <w:jc w:val="both"/>
        <w:textAlignment w:val="auto"/>
        <w:rPr>
          <w:rFonts w:hint="eastAsia" w:ascii="Times New Roman" w:hAnsi="Times New Roman" w:cs="Times New Roman"/>
          <w:sz w:val="15"/>
          <w:szCs w:val="15"/>
          <w:lang w:eastAsia="zh-CN"/>
        </w:rPr>
      </w:pPr>
      <w:r>
        <w:rPr>
          <w:rFonts w:hint="eastAsia" w:ascii="Times New Roman" w:hAnsi="Times New Roman" w:cs="Times New Roman"/>
          <w:sz w:val="15"/>
          <w:szCs w:val="15"/>
          <w:lang w:eastAsia="zh-CN"/>
        </w:rPr>
        <w:t>2022年版《脑胶质瘤中国肿瘤整合诊治指南》</w:t>
      </w:r>
    </w:p>
    <w:p w14:paraId="00663F26">
      <w:pPr>
        <w:keepNext w:val="0"/>
        <w:keepLines w:val="0"/>
        <w:pageBreakBefore w:val="0"/>
        <w:widowControl/>
        <w:kinsoku/>
        <w:wordWrap/>
        <w:overflowPunct/>
        <w:topLinePunct w:val="0"/>
        <w:autoSpaceDE/>
        <w:autoSpaceDN/>
        <w:bidi w:val="0"/>
        <w:adjustRightInd w:val="0"/>
        <w:snapToGrid w:val="0"/>
        <w:spacing w:line="360" w:lineRule="auto"/>
        <w:jc w:val="both"/>
        <w:textAlignment w:val="auto"/>
        <w:rPr>
          <w:rFonts w:hint="eastAsia" w:ascii="Times New Roman" w:hAnsi="Times New Roman" w:cs="Times New Roman"/>
          <w:sz w:val="15"/>
          <w:szCs w:val="15"/>
          <w:lang w:eastAsia="zh-CN"/>
        </w:rPr>
      </w:pPr>
      <w:r>
        <w:rPr>
          <w:rFonts w:hint="eastAsia" w:ascii="Times New Roman" w:hAnsi="Times New Roman" w:cs="Times New Roman"/>
          <w:sz w:val="15"/>
          <w:szCs w:val="15"/>
          <w:lang w:eastAsia="zh-CN"/>
        </w:rPr>
        <w:t>2022年版《中国抗癌协会脑胶质瘤整合诊治指南》</w:t>
      </w:r>
    </w:p>
    <w:p w14:paraId="7E8D1566">
      <w:pPr>
        <w:keepNext w:val="0"/>
        <w:keepLines w:val="0"/>
        <w:pageBreakBefore w:val="0"/>
        <w:widowControl/>
        <w:kinsoku/>
        <w:wordWrap/>
        <w:overflowPunct/>
        <w:topLinePunct w:val="0"/>
        <w:autoSpaceDE/>
        <w:autoSpaceDN/>
        <w:bidi w:val="0"/>
        <w:adjustRightInd w:val="0"/>
        <w:snapToGrid w:val="0"/>
        <w:spacing w:line="360" w:lineRule="auto"/>
        <w:jc w:val="both"/>
        <w:textAlignment w:val="auto"/>
        <w:rPr>
          <w:rFonts w:hint="default" w:ascii="Times New Roman" w:hAnsi="Times New Roman" w:cs="Times New Roman"/>
          <w:sz w:val="15"/>
          <w:szCs w:val="15"/>
          <w:lang w:val="en-US" w:eastAsia="zh-CN"/>
        </w:rPr>
      </w:pPr>
      <w:r>
        <w:rPr>
          <w:rFonts w:hint="eastAsia" w:ascii="Times New Roman" w:hAnsi="Times New Roman" w:cs="Times New Roman"/>
          <w:sz w:val="15"/>
          <w:szCs w:val="15"/>
          <w:lang w:val="en-US" w:eastAsia="zh-CN"/>
        </w:rPr>
        <w:t>The 2021 WHO Classification of Tumors of the Central Nervous System: a summary Neuro-Oncology 23(8), 1231–1251, 2021 | doi:10.1093/neuonc/noab106</w:t>
      </w:r>
    </w:p>
    <w:p w14:paraId="5771ACEE">
      <w:pPr>
        <w:keepNext w:val="0"/>
        <w:keepLines w:val="0"/>
        <w:pageBreakBefore w:val="0"/>
        <w:widowControl/>
        <w:kinsoku/>
        <w:wordWrap/>
        <w:overflowPunct/>
        <w:topLinePunct w:val="0"/>
        <w:autoSpaceDE/>
        <w:autoSpaceDN/>
        <w:bidi w:val="0"/>
        <w:adjustRightInd w:val="0"/>
        <w:snapToGrid w:val="0"/>
        <w:spacing w:line="360" w:lineRule="auto"/>
        <w:jc w:val="both"/>
        <w:textAlignment w:val="auto"/>
        <w:rPr>
          <w:rFonts w:hint="eastAsia" w:ascii="Times New Roman" w:hAnsi="Times New Roman" w:cs="Times New Roman"/>
          <w:sz w:val="15"/>
          <w:szCs w:val="15"/>
          <w:lang w:eastAsia="zh-CN"/>
        </w:rPr>
      </w:pPr>
      <w:bookmarkStart w:id="114" w:name="OLE_LINK1"/>
      <w:r>
        <w:rPr>
          <w:rFonts w:hint="eastAsia" w:ascii="Times New Roman" w:hAnsi="Times New Roman" w:cs="Times New Roman"/>
          <w:sz w:val="15"/>
          <w:szCs w:val="15"/>
          <w:lang w:eastAsia="zh-CN"/>
        </w:rPr>
        <w:t>Comprehensive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Genomic</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Profiling</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of</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282</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Pediatric</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Low</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High</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Grade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Gliomas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Reveals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Genomic</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Drivers,Tumor</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Mutational</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Burden,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Hypermutation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Signatures.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PMID:28912153</w:t>
      </w:r>
    </w:p>
    <w:bookmarkEnd w:id="114"/>
    <w:p w14:paraId="1525612A">
      <w:pPr>
        <w:keepNext w:val="0"/>
        <w:keepLines w:val="0"/>
        <w:pageBreakBefore w:val="0"/>
        <w:widowControl/>
        <w:kinsoku/>
        <w:wordWrap/>
        <w:overflowPunct/>
        <w:topLinePunct w:val="0"/>
        <w:autoSpaceDE/>
        <w:autoSpaceDN/>
        <w:bidi w:val="0"/>
        <w:adjustRightInd w:val="0"/>
        <w:snapToGrid w:val="0"/>
        <w:spacing w:line="360" w:lineRule="auto"/>
        <w:jc w:val="both"/>
        <w:textAlignment w:val="auto"/>
        <w:rPr>
          <w:rFonts w:hint="eastAsia" w:ascii="Times New Roman" w:hAnsi="Times New Roman" w:cs="Times New Roman"/>
          <w:sz w:val="15"/>
          <w:szCs w:val="15"/>
          <w:lang w:eastAsia="zh-CN"/>
        </w:rPr>
      </w:pPr>
      <w:r>
        <w:rPr>
          <w:rFonts w:hint="eastAsia" w:ascii="Times New Roman" w:hAnsi="Times New Roman" w:cs="Times New Roman"/>
          <w:sz w:val="15"/>
          <w:szCs w:val="15"/>
          <w:lang w:eastAsia="zh-CN"/>
        </w:rPr>
        <w:t>ChapmanPB,HauschildA,RobertCetal.ImprovedsurvivalwithvemurafenibinmelanomaWithBRAFV600Emutation[J].</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New</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England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Journal</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of</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Medicine,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2011,364(26):2507-2516.</w:t>
      </w:r>
    </w:p>
    <w:p w14:paraId="06D8A17A">
      <w:pPr>
        <w:keepNext w:val="0"/>
        <w:keepLines w:val="0"/>
        <w:pageBreakBefore w:val="0"/>
        <w:widowControl/>
        <w:kinsoku/>
        <w:wordWrap/>
        <w:overflowPunct/>
        <w:topLinePunct w:val="0"/>
        <w:autoSpaceDE/>
        <w:autoSpaceDN/>
        <w:bidi w:val="0"/>
        <w:adjustRightInd w:val="0"/>
        <w:snapToGrid w:val="0"/>
        <w:spacing w:line="360" w:lineRule="auto"/>
        <w:jc w:val="both"/>
        <w:textAlignment w:val="auto"/>
        <w:rPr>
          <w:rFonts w:hint="eastAsia" w:ascii="Times New Roman" w:hAnsi="Times New Roman" w:cs="Times New Roman"/>
          <w:sz w:val="15"/>
          <w:szCs w:val="15"/>
          <w:lang w:eastAsia="zh-CN"/>
        </w:rPr>
      </w:pPr>
      <w:r>
        <w:rPr>
          <w:rFonts w:hint="eastAsia" w:ascii="Times New Roman" w:hAnsi="Times New Roman" w:cs="Times New Roman"/>
          <w:sz w:val="15"/>
          <w:szCs w:val="15"/>
          <w:lang w:eastAsia="zh-CN"/>
        </w:rPr>
        <w:t>High-gradeglioma：ESMO</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Clinical</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Practice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Guidelines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fordiagnosis,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treatment</w:t>
      </w:r>
      <w:r>
        <w:rPr>
          <w:rFonts w:hint="eastAsia" w:ascii="Times New Roman" w:hAnsi="Times New Roman" w:cs="Times New Roman"/>
          <w:sz w:val="15"/>
          <w:szCs w:val="15"/>
          <w:lang w:val="en-US" w:eastAsia="zh-CN"/>
        </w:rPr>
        <w:t xml:space="preserve"> a</w:t>
      </w:r>
      <w:r>
        <w:rPr>
          <w:rFonts w:hint="eastAsia" w:ascii="Times New Roman" w:hAnsi="Times New Roman" w:cs="Times New Roman"/>
          <w:sz w:val="15"/>
          <w:szCs w:val="15"/>
          <w:lang w:eastAsia="zh-CN"/>
        </w:rPr>
        <w:t>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follow-up.AnnalsofOncology00:1-9,2014.</w:t>
      </w:r>
    </w:p>
    <w:p w14:paraId="39926A41">
      <w:pPr>
        <w:keepNext w:val="0"/>
        <w:keepLines w:val="0"/>
        <w:pageBreakBefore w:val="0"/>
        <w:widowControl/>
        <w:kinsoku/>
        <w:wordWrap/>
        <w:overflowPunct/>
        <w:topLinePunct w:val="0"/>
        <w:autoSpaceDE/>
        <w:autoSpaceDN/>
        <w:bidi w:val="0"/>
        <w:adjustRightInd w:val="0"/>
        <w:snapToGrid w:val="0"/>
        <w:spacing w:line="360" w:lineRule="auto"/>
        <w:jc w:val="both"/>
        <w:textAlignment w:val="auto"/>
        <w:rPr>
          <w:rFonts w:hint="eastAsia" w:ascii="Times New Roman" w:hAnsi="Times New Roman" w:cs="Times New Roman"/>
          <w:sz w:val="15"/>
          <w:szCs w:val="15"/>
          <w:lang w:eastAsia="zh-CN"/>
        </w:rPr>
      </w:pPr>
      <w:r>
        <w:rPr>
          <w:rFonts w:hint="eastAsia" w:ascii="Times New Roman" w:hAnsi="Times New Roman" w:cs="Times New Roman"/>
          <w:sz w:val="15"/>
          <w:szCs w:val="15"/>
          <w:lang w:eastAsia="zh-CN"/>
        </w:rPr>
        <w:t>KillelaPJ,YanH,BignerDD,etal.Mutations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IDH1,</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IDH2,</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the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TERT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promoter</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define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clinically</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distinct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subgroup</w:t>
      </w:r>
      <w:r>
        <w:rPr>
          <w:rFonts w:hint="eastAsia" w:ascii="Times New Roman" w:hAnsi="Times New Roman" w:cs="Times New Roman"/>
          <w:sz w:val="15"/>
          <w:szCs w:val="15"/>
          <w:lang w:val="en-US" w:eastAsia="zh-CN"/>
        </w:rPr>
        <w:t xml:space="preserve">s </w:t>
      </w:r>
      <w:r>
        <w:rPr>
          <w:rFonts w:hint="eastAsia" w:ascii="Times New Roman" w:hAnsi="Times New Roman" w:cs="Times New Roman"/>
          <w:sz w:val="15"/>
          <w:szCs w:val="15"/>
          <w:lang w:eastAsia="zh-CN"/>
        </w:rPr>
        <w:t>of</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adult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malignant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gliomas.Oncotarget2014;5(6):1515-1525.</w:t>
      </w:r>
    </w:p>
    <w:p w14:paraId="7F73C0B8">
      <w:pPr>
        <w:keepNext w:val="0"/>
        <w:keepLines w:val="0"/>
        <w:pageBreakBefore w:val="0"/>
        <w:widowControl/>
        <w:kinsoku/>
        <w:wordWrap/>
        <w:overflowPunct/>
        <w:topLinePunct w:val="0"/>
        <w:autoSpaceDE/>
        <w:autoSpaceDN/>
        <w:bidi w:val="0"/>
        <w:adjustRightInd w:val="0"/>
        <w:snapToGrid w:val="0"/>
        <w:spacing w:line="360" w:lineRule="auto"/>
        <w:jc w:val="left"/>
        <w:textAlignment w:val="auto"/>
        <w:rPr>
          <w:rFonts w:hint="eastAsia" w:ascii="Times New Roman" w:hAnsi="Times New Roman" w:cs="Times New Roman"/>
          <w:sz w:val="15"/>
          <w:szCs w:val="15"/>
          <w:lang w:eastAsia="zh-CN"/>
        </w:rPr>
      </w:pPr>
      <w:r>
        <w:rPr>
          <w:rFonts w:hint="eastAsia" w:ascii="Times New Roman" w:hAnsi="Times New Roman" w:cs="Times New Roman"/>
          <w:sz w:val="15"/>
          <w:szCs w:val="15"/>
          <w:lang w:eastAsia="zh-CN"/>
        </w:rPr>
        <w:t>LukeJJ,HodiFS.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Ipilimumab,</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vemurafenib,</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da</w:t>
      </w:r>
      <w:r>
        <w:rPr>
          <w:rFonts w:hint="eastAsia" w:ascii="Times New Roman" w:hAnsi="Times New Roman" w:cs="Times New Roman"/>
          <w:sz w:val="15"/>
          <w:szCs w:val="15"/>
          <w:lang w:val="en-US" w:eastAsia="zh-CN"/>
        </w:rPr>
        <w:t>braf</w:t>
      </w:r>
      <w:r>
        <w:rPr>
          <w:rFonts w:hint="eastAsia" w:ascii="Times New Roman" w:hAnsi="Times New Roman" w:cs="Times New Roman"/>
          <w:sz w:val="15"/>
          <w:szCs w:val="15"/>
          <w:lang w:eastAsia="zh-CN"/>
        </w:rPr>
        <w:t>enib,</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trametinib:</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synergistic</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competitors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the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clinical</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management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of</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BRAF</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Mutant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malignant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melanoma[J].</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Theoncologist,2013,18(6):717-725.</w:t>
      </w:r>
    </w:p>
    <w:p w14:paraId="0CBE2845">
      <w:pPr>
        <w:pStyle w:val="33"/>
        <w:widowControl/>
        <w:adjustRightInd w:val="0"/>
        <w:snapToGrid w:val="0"/>
        <w:spacing w:after="120" w:afterLines="50"/>
        <w:ind w:firstLine="0" w:firstLineChars="0"/>
        <w:jc w:val="both"/>
        <w:rPr>
          <w:rFonts w:hint="eastAsia" w:ascii="Times New Roman" w:hAnsi="Times New Roman" w:cs="Times New Roman"/>
          <w:sz w:val="15"/>
          <w:szCs w:val="15"/>
          <w:lang w:val="en-US" w:eastAsia="zh-CN"/>
        </w:rPr>
      </w:pPr>
      <w:r>
        <w:rPr>
          <w:rFonts w:hint="eastAsia" w:ascii="Times New Roman" w:hAnsi="Times New Roman" w:cs="Times New Roman"/>
          <w:sz w:val="15"/>
          <w:szCs w:val="15"/>
          <w:lang w:eastAsia="zh-CN"/>
        </w:rPr>
        <w:t>DubbinkHJ,AtmodimedjoPN,VanMR,etal.Diagnostic</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Detection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of</w:t>
      </w:r>
      <w:r>
        <w:rPr>
          <w:rFonts w:hint="eastAsia" w:ascii="Times New Roman" w:hAnsi="Times New Roman" w:cs="Times New Roman"/>
          <w:sz w:val="15"/>
          <w:szCs w:val="15"/>
          <w:lang w:val="en-US" w:eastAsia="zh-CN"/>
        </w:rPr>
        <w:t xml:space="preserve"> </w:t>
      </w:r>
      <w:r>
        <w:rPr>
          <w:rFonts w:hint="eastAsia" w:ascii="Times New Roman" w:hAnsi="Times New Roman" w:eastAsia="微软雅黑" w:cs="Times New Roman"/>
          <w:sz w:val="15"/>
          <w:szCs w:val="15"/>
          <w:lang w:eastAsia="zh-CN"/>
        </w:rPr>
        <w:t>Allelic</w:t>
      </w:r>
      <w:r>
        <w:rPr>
          <w:rFonts w:hint="eastAsia" w:ascii="Times New Roman" w:hAnsi="Times New Roman" w:eastAsia="微软雅黑" w:cs="Times New Roman"/>
          <w:sz w:val="15"/>
          <w:szCs w:val="15"/>
          <w:lang w:val="en-US" w:eastAsia="zh-CN"/>
        </w:rPr>
        <w:t xml:space="preserve"> </w:t>
      </w:r>
      <w:r>
        <w:rPr>
          <w:rFonts w:hint="eastAsia" w:ascii="Times New Roman" w:hAnsi="Times New Roman" w:cs="Times New Roman"/>
          <w:sz w:val="15"/>
          <w:szCs w:val="15"/>
          <w:lang w:eastAsia="zh-CN"/>
        </w:rPr>
        <w:t>Losses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Imbalances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by</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Next-Generation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Sequencing:</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1P/19Q</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Co-deletion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Analysis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of</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Gliomas.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[J].</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JournalofMolecularDiagnostics,2016,18(5):775-78</w:t>
      </w:r>
      <w:r>
        <w:rPr>
          <w:rFonts w:hint="eastAsia" w:ascii="Times New Roman" w:hAnsi="Times New Roman" w:cs="Times New Roman"/>
          <w:sz w:val="15"/>
          <w:szCs w:val="15"/>
          <w:lang w:val="en-US" w:eastAsia="zh-CN"/>
        </w:rPr>
        <w:t>6</w:t>
      </w:r>
    </w:p>
    <w:p w14:paraId="4D8BCA0B">
      <w:pPr>
        <w:keepNext w:val="0"/>
        <w:keepLines w:val="0"/>
        <w:pageBreakBefore w:val="0"/>
        <w:widowControl/>
        <w:kinsoku/>
        <w:wordWrap/>
        <w:overflowPunct/>
        <w:topLinePunct w:val="0"/>
        <w:autoSpaceDE/>
        <w:autoSpaceDN/>
        <w:bidi w:val="0"/>
        <w:adjustRightInd w:val="0"/>
        <w:snapToGrid w:val="0"/>
        <w:spacing w:line="36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val="en-US" w:eastAsia="zh-CN"/>
        </w:rPr>
        <w:t xml:space="preserve">{% </w:t>
      </w:r>
      <w:r>
        <w:rPr>
          <w:rFonts w:hint="eastAsia" w:ascii="Times New Roman" w:hAnsi="Times New Roman" w:cs="Times New Roman"/>
          <w:sz w:val="15"/>
          <w:szCs w:val="15"/>
          <w:lang w:val="en-US" w:eastAsia="zh-CN"/>
        </w:rPr>
        <w:t>el</w:t>
      </w:r>
      <w:r>
        <w:rPr>
          <w:rFonts w:hint="default" w:ascii="Times New Roman" w:hAnsi="Times New Roman" w:cs="Times New Roman"/>
          <w:sz w:val="15"/>
          <w:szCs w:val="15"/>
          <w:lang w:val="en-US" w:eastAsia="zh-CN"/>
        </w:rPr>
        <w:t xml:space="preserve">if </w:t>
      </w:r>
      <w:r>
        <w:rPr>
          <w:rFonts w:hint="eastAsia" w:ascii="Times New Roman" w:hAnsi="Times New Roman" w:cs="Times New Roman"/>
          <w:sz w:val="15"/>
          <w:szCs w:val="15"/>
          <w:lang w:val="en-US" w:eastAsia="zh-CN"/>
        </w:rPr>
        <w:t xml:space="preserve">60463 in diseaseIdList </w:t>
      </w:r>
      <w:r>
        <w:rPr>
          <w:rFonts w:hint="default" w:ascii="Times New Roman" w:hAnsi="Times New Roman" w:cs="Times New Roman"/>
          <w:sz w:val="15"/>
          <w:szCs w:val="15"/>
          <w:lang w:val="en-US" w:eastAsia="zh-CN"/>
        </w:rPr>
        <w:t>%}</w:t>
      </w:r>
      <w:r>
        <w:rPr>
          <w:rFonts w:hint="default" w:ascii="Times New Roman" w:hAnsi="Times New Roman" w:cs="Times New Roman"/>
          <w:sz w:val="15"/>
          <w:szCs w:val="15"/>
          <w:lang w:eastAsia="zh-CN"/>
        </w:rPr>
        <w:t>KEES U R，MULCAHY M T，WILLOUGHBY M L. Intrathoracic</w:t>
      </w:r>
      <w:r>
        <w:rPr>
          <w:rFonts w:hint="eastAsia" w:ascii="Times New Roman" w:hAnsi="Times New Roman" w:cs="Times New Roman"/>
          <w:sz w:val="15"/>
          <w:szCs w:val="15"/>
          <w:lang w:val="en-US" w:eastAsia="zh-CN"/>
        </w:rPr>
        <w:t xml:space="preserve"> </w:t>
      </w:r>
      <w:r>
        <w:rPr>
          <w:rFonts w:hint="default" w:ascii="Times New Roman" w:hAnsi="Times New Roman" w:cs="Times New Roman"/>
          <w:sz w:val="15"/>
          <w:szCs w:val="15"/>
          <w:lang w:eastAsia="zh-CN"/>
        </w:rPr>
        <w:t>carcinoma in an 11⁃year⁃old girl showing a translocation t（15；19）［J］.Am J Pediatr Hematol Oncol，1991，13</w:t>
      </w:r>
      <w:r>
        <w:rPr>
          <w:rFonts w:hint="eastAsia" w:ascii="Times New Roman" w:hAnsi="Times New Roman" w:cs="Times New Roman"/>
          <w:sz w:val="15"/>
          <w:szCs w:val="15"/>
          <w:lang w:val="en-US" w:eastAsia="zh-CN"/>
        </w:rPr>
        <w:t>(</w:t>
      </w:r>
      <w:r>
        <w:rPr>
          <w:rFonts w:hint="default" w:ascii="Times New Roman" w:hAnsi="Times New Roman" w:cs="Times New Roman"/>
          <w:sz w:val="15"/>
          <w:szCs w:val="15"/>
          <w:lang w:eastAsia="zh-CN"/>
        </w:rPr>
        <w:t>4</w:t>
      </w:r>
      <w:r>
        <w:rPr>
          <w:rFonts w:hint="eastAsia" w:ascii="Times New Roman" w:hAnsi="Times New Roman" w:cs="Times New Roman"/>
          <w:sz w:val="15"/>
          <w:szCs w:val="15"/>
          <w:lang w:val="en-US" w:eastAsia="zh-CN"/>
        </w:rPr>
        <w:t>)</w:t>
      </w:r>
      <w:r>
        <w:rPr>
          <w:rFonts w:hint="default" w:ascii="Times New Roman" w:hAnsi="Times New Roman" w:cs="Times New Roman"/>
          <w:sz w:val="15"/>
          <w:szCs w:val="15"/>
          <w:lang w:eastAsia="zh-CN"/>
        </w:rPr>
        <w:t>：459⁃464.</w:t>
      </w:r>
    </w:p>
    <w:p w14:paraId="0C470735">
      <w:pPr>
        <w:keepNext w:val="0"/>
        <w:keepLines w:val="0"/>
        <w:pageBreakBefore w:val="0"/>
        <w:widowControl/>
        <w:kinsoku/>
        <w:wordWrap/>
        <w:overflowPunct/>
        <w:topLinePunct w:val="0"/>
        <w:autoSpaceDE/>
        <w:autoSpaceDN/>
        <w:bidi w:val="0"/>
        <w:adjustRightInd w:val="0"/>
        <w:snapToGrid w:val="0"/>
        <w:spacing w:line="36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CHAU N G，MA C，DANGA K，et al.An Anatomical Site and Genetic⁃Based Prognostic Model for Patients With Nuclear Protein in Testis（NUT）Midline Carcinoma：Analysis of 124 Patients［J］.JNCI Cancer</w:t>
      </w:r>
      <w:r>
        <w:rPr>
          <w:rFonts w:hint="eastAsia" w:ascii="Times New Roman" w:hAnsi="Times New Roman" w:cs="Times New Roman"/>
          <w:sz w:val="15"/>
          <w:szCs w:val="15"/>
          <w:lang w:val="en-US" w:eastAsia="zh-CN"/>
        </w:rPr>
        <w:t xml:space="preserve"> </w:t>
      </w:r>
      <w:r>
        <w:rPr>
          <w:rFonts w:hint="default" w:ascii="Times New Roman" w:hAnsi="Times New Roman" w:cs="Times New Roman"/>
          <w:sz w:val="15"/>
          <w:szCs w:val="15"/>
          <w:lang w:eastAsia="zh-CN"/>
        </w:rPr>
        <w:t>Spectr，2020，4（2）：pkz94.</w:t>
      </w:r>
    </w:p>
    <w:p w14:paraId="7A3661DF">
      <w:pPr>
        <w:keepNext w:val="0"/>
        <w:keepLines w:val="0"/>
        <w:pageBreakBefore w:val="0"/>
        <w:widowControl/>
        <w:kinsoku/>
        <w:wordWrap/>
        <w:overflowPunct/>
        <w:topLinePunct w:val="0"/>
        <w:autoSpaceDE/>
        <w:autoSpaceDN/>
        <w:bidi w:val="0"/>
        <w:adjustRightInd w:val="0"/>
        <w:snapToGrid w:val="0"/>
        <w:spacing w:line="36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CHARLAB R，RACZ R.The expanding universe of NUTM1 fusions</w:t>
      </w:r>
      <w:r>
        <w:rPr>
          <w:rFonts w:hint="eastAsia" w:ascii="Times New Roman" w:hAnsi="Times New Roman" w:cs="Times New Roman"/>
          <w:sz w:val="15"/>
          <w:szCs w:val="15"/>
          <w:lang w:val="en-US" w:eastAsia="zh-CN"/>
        </w:rPr>
        <w:t xml:space="preserve"> </w:t>
      </w:r>
      <w:r>
        <w:rPr>
          <w:rFonts w:hint="default" w:ascii="Times New Roman" w:hAnsi="Times New Roman" w:cs="Times New Roman"/>
          <w:sz w:val="15"/>
          <w:szCs w:val="15"/>
          <w:lang w:eastAsia="zh-CN"/>
        </w:rPr>
        <w:t>in pediatric cancer［J］.Clin Transl Sci，2023，16（8）：1331⁃1339.</w:t>
      </w:r>
    </w:p>
    <w:p w14:paraId="4E779724">
      <w:pPr>
        <w:keepNext w:val="0"/>
        <w:keepLines w:val="0"/>
        <w:pageBreakBefore w:val="0"/>
        <w:widowControl/>
        <w:kinsoku/>
        <w:wordWrap/>
        <w:overflowPunct/>
        <w:topLinePunct w:val="0"/>
        <w:autoSpaceDE/>
        <w:autoSpaceDN/>
        <w:bidi w:val="0"/>
        <w:adjustRightInd w:val="0"/>
        <w:snapToGrid w:val="0"/>
        <w:spacing w:line="36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COSTA B A，MARAVEYAS A，WILKOFF M H，et al.Primary Pulmonary</w:t>
      </w:r>
      <w:r>
        <w:rPr>
          <w:rFonts w:hint="eastAsia" w:ascii="Times New Roman" w:hAnsi="Times New Roman" w:cs="Times New Roman"/>
          <w:sz w:val="15"/>
          <w:szCs w:val="15"/>
          <w:lang w:val="en-US" w:eastAsia="zh-CN"/>
        </w:rPr>
        <w:t xml:space="preserve"> </w:t>
      </w:r>
      <w:r>
        <w:rPr>
          <w:rFonts w:hint="default" w:ascii="Times New Roman" w:hAnsi="Times New Roman" w:cs="Times New Roman"/>
          <w:sz w:val="15"/>
          <w:szCs w:val="15"/>
          <w:lang w:eastAsia="zh-CN"/>
        </w:rPr>
        <w:t>NUT Carcinoma：Case Illustration and Updated Review of Literature［J］.Clin Lung Cancer，2022，23</w:t>
      </w:r>
      <w:r>
        <w:rPr>
          <w:rFonts w:hint="eastAsia" w:ascii="Times New Roman" w:hAnsi="Times New Roman" w:cs="Times New Roman"/>
          <w:sz w:val="15"/>
          <w:szCs w:val="15"/>
          <w:lang w:val="en-US" w:eastAsia="zh-CN"/>
        </w:rPr>
        <w:t>(</w:t>
      </w:r>
      <w:r>
        <w:rPr>
          <w:rFonts w:hint="default" w:ascii="Times New Roman" w:hAnsi="Times New Roman" w:cs="Times New Roman"/>
          <w:sz w:val="15"/>
          <w:szCs w:val="15"/>
          <w:lang w:eastAsia="zh-CN"/>
        </w:rPr>
        <w:t>4</w:t>
      </w:r>
      <w:r>
        <w:rPr>
          <w:rFonts w:hint="eastAsia" w:ascii="Times New Roman" w:hAnsi="Times New Roman" w:cs="Times New Roman"/>
          <w:sz w:val="15"/>
          <w:szCs w:val="15"/>
          <w:lang w:val="en-US" w:eastAsia="zh-CN"/>
        </w:rPr>
        <w:t>)</w:t>
      </w:r>
      <w:r>
        <w:rPr>
          <w:rFonts w:hint="default" w:ascii="Times New Roman" w:hAnsi="Times New Roman" w:cs="Times New Roman"/>
          <w:sz w:val="15"/>
          <w:szCs w:val="15"/>
          <w:lang w:eastAsia="zh-CN"/>
        </w:rPr>
        <w:t>：e296⁃e300.</w:t>
      </w:r>
    </w:p>
    <w:p w14:paraId="6490D240">
      <w:pPr>
        <w:keepNext w:val="0"/>
        <w:keepLines w:val="0"/>
        <w:pageBreakBefore w:val="0"/>
        <w:widowControl/>
        <w:kinsoku/>
        <w:wordWrap/>
        <w:overflowPunct/>
        <w:topLinePunct w:val="0"/>
        <w:autoSpaceDE/>
        <w:autoSpaceDN/>
        <w:bidi w:val="0"/>
        <w:adjustRightInd w:val="0"/>
        <w:snapToGrid w:val="0"/>
        <w:spacing w:line="36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VIRARKAR M，MALLERY M，SALEH M，et al.Clinical，Radiographic，Pathologic Characterization and Survival Outcomes of Nuclear Protein of</w:t>
      </w:r>
      <w:r>
        <w:rPr>
          <w:rFonts w:hint="eastAsia" w:ascii="Times New Roman" w:hAnsi="Times New Roman" w:cs="Times New Roman"/>
          <w:sz w:val="15"/>
          <w:szCs w:val="15"/>
          <w:lang w:val="en-US" w:eastAsia="zh-CN"/>
        </w:rPr>
        <w:t xml:space="preserve"> </w:t>
      </w:r>
      <w:r>
        <w:rPr>
          <w:rFonts w:hint="default" w:ascii="Times New Roman" w:hAnsi="Times New Roman" w:cs="Times New Roman"/>
          <w:sz w:val="15"/>
          <w:szCs w:val="15"/>
          <w:lang w:eastAsia="zh-CN"/>
        </w:rPr>
        <w:t>the Testis Carcinoma［J］.J Comput Assist Tomogr，2021，45</w:t>
      </w:r>
      <w:r>
        <w:rPr>
          <w:rFonts w:hint="eastAsia" w:ascii="Times New Roman" w:hAnsi="Times New Roman" w:cs="Times New Roman"/>
          <w:sz w:val="15"/>
          <w:szCs w:val="15"/>
          <w:lang w:val="en-US" w:eastAsia="zh-CN"/>
        </w:rPr>
        <w:t>(</w:t>
      </w:r>
      <w:r>
        <w:rPr>
          <w:rFonts w:hint="default" w:ascii="Times New Roman" w:hAnsi="Times New Roman" w:cs="Times New Roman"/>
          <w:sz w:val="15"/>
          <w:szCs w:val="15"/>
          <w:lang w:eastAsia="zh-CN"/>
        </w:rPr>
        <w:t>3</w:t>
      </w:r>
      <w:r>
        <w:rPr>
          <w:rFonts w:hint="eastAsia" w:ascii="Times New Roman" w:hAnsi="Times New Roman" w:cs="Times New Roman"/>
          <w:sz w:val="15"/>
          <w:szCs w:val="15"/>
          <w:lang w:val="en-US" w:eastAsia="zh-CN"/>
        </w:rPr>
        <w:t>):</w:t>
      </w:r>
      <w:r>
        <w:rPr>
          <w:rFonts w:hint="default" w:ascii="Times New Roman" w:hAnsi="Times New Roman" w:cs="Times New Roman"/>
          <w:sz w:val="15"/>
          <w:szCs w:val="15"/>
          <w:lang w:eastAsia="zh-CN"/>
        </w:rPr>
        <w:t>431⁃441.</w:t>
      </w:r>
    </w:p>
    <w:p w14:paraId="2C377F23">
      <w:pPr>
        <w:pStyle w:val="33"/>
        <w:widowControl/>
        <w:adjustRightInd w:val="0"/>
        <w:snapToGrid w:val="0"/>
        <w:spacing w:after="120" w:afterLines="50"/>
        <w:ind w:firstLine="0" w:firstLineChars="0"/>
        <w:jc w:val="both"/>
        <w:rPr>
          <w:rFonts w:hint="eastAsia" w:ascii="Times New Roman" w:hAnsi="Times New Roman" w:cs="Times New Roman"/>
          <w:sz w:val="15"/>
          <w:szCs w:val="15"/>
          <w:lang w:eastAsia="zh-CN"/>
        </w:rPr>
      </w:pPr>
      <w:r>
        <w:rPr>
          <w:rFonts w:hint="default" w:ascii="Times New Roman" w:hAnsi="Times New Roman" w:cs="Times New Roman"/>
          <w:sz w:val="15"/>
          <w:szCs w:val="15"/>
          <w:lang w:eastAsia="zh-CN"/>
        </w:rPr>
        <w:t>中线（NUT）癌诊断与治疗专家共识（2023版</w:t>
      </w:r>
      <w:r>
        <w:rPr>
          <w:rFonts w:hint="eastAsia" w:ascii="Times New Roman" w:hAnsi="Times New Roman" w:cs="Times New Roman"/>
          <w:sz w:val="15"/>
          <w:szCs w:val="15"/>
          <w:lang w:eastAsia="zh-CN"/>
        </w:rPr>
        <w:t>）</w:t>
      </w:r>
    </w:p>
    <w:p w14:paraId="5D3EA672">
      <w:pPr>
        <w:keepNext w:val="0"/>
        <w:keepLines w:val="0"/>
        <w:pageBreakBefore w:val="0"/>
        <w:widowControl/>
        <w:kinsoku/>
        <w:wordWrap/>
        <w:overflowPunct/>
        <w:topLinePunct w:val="0"/>
        <w:autoSpaceDE/>
        <w:autoSpaceDN/>
        <w:bidi w:val="0"/>
        <w:adjustRightInd w:val="0"/>
        <w:snapToGrid w:val="0"/>
        <w:spacing w:line="360" w:lineRule="auto"/>
        <w:jc w:val="left"/>
        <w:textAlignment w:val="auto"/>
        <w:rPr>
          <w:rFonts w:hint="eastAsia" w:ascii="Times New Roman" w:hAnsi="Times New Roman" w:cs="Times New Roman"/>
          <w:sz w:val="15"/>
          <w:szCs w:val="15"/>
          <w:lang w:val="en-US" w:eastAsia="zh-CN"/>
        </w:rPr>
      </w:pPr>
      <w:r>
        <w:rPr>
          <w:rFonts w:hint="default" w:ascii="Times New Roman" w:hAnsi="Times New Roman" w:cs="Times New Roman"/>
          <w:sz w:val="15"/>
          <w:szCs w:val="15"/>
          <w:lang w:val="en-US" w:eastAsia="zh-CN"/>
        </w:rPr>
        <w:t xml:space="preserve">{% </w:t>
      </w:r>
      <w:r>
        <w:rPr>
          <w:rFonts w:hint="eastAsia" w:ascii="Times New Roman" w:hAnsi="Times New Roman" w:cs="Times New Roman"/>
          <w:sz w:val="15"/>
          <w:szCs w:val="15"/>
          <w:lang w:val="en-US" w:eastAsia="zh-CN"/>
        </w:rPr>
        <w:t>el</w:t>
      </w:r>
      <w:r>
        <w:rPr>
          <w:rFonts w:hint="default" w:ascii="Times New Roman" w:hAnsi="Times New Roman" w:cs="Times New Roman"/>
          <w:sz w:val="15"/>
          <w:szCs w:val="15"/>
          <w:lang w:val="en-US" w:eastAsia="zh-CN"/>
        </w:rPr>
        <w:t xml:space="preserve">if </w:t>
      </w:r>
      <w:r>
        <w:rPr>
          <w:rFonts w:hint="eastAsia" w:ascii="Times New Roman" w:hAnsi="Times New Roman" w:cs="Times New Roman"/>
          <w:sz w:val="15"/>
          <w:szCs w:val="15"/>
          <w:lang w:val="en-US" w:eastAsia="zh-CN"/>
        </w:rPr>
        <w:t xml:space="preserve">263 in diseaseIdList </w:t>
      </w:r>
      <w:r>
        <w:rPr>
          <w:rFonts w:hint="default" w:ascii="Times New Roman" w:hAnsi="Times New Roman" w:cs="Times New Roman"/>
          <w:sz w:val="15"/>
          <w:szCs w:val="15"/>
          <w:lang w:val="en-US" w:eastAsia="zh-CN"/>
        </w:rPr>
        <w:t>%}</w:t>
      </w:r>
      <w:r>
        <w:rPr>
          <w:rFonts w:hint="default" w:ascii="Times New Roman" w:hAnsi="Times New Roman" w:cs="Times New Roman"/>
          <w:sz w:val="15"/>
          <w:szCs w:val="15"/>
          <w:lang w:eastAsia="zh-CN"/>
        </w:rPr>
        <w:t>WH</w:t>
      </w:r>
      <w:r>
        <w:rPr>
          <w:rFonts w:hint="eastAsia" w:ascii="Times New Roman" w:hAnsi="Times New Roman" w:cs="Times New Roman"/>
          <w:sz w:val="15"/>
          <w:szCs w:val="15"/>
          <w:lang w:val="en-US" w:eastAsia="zh-CN"/>
        </w:rPr>
        <w:t>O</w:t>
      </w:r>
      <w:r>
        <w:rPr>
          <w:rFonts w:hint="default" w:ascii="Times New Roman" w:hAnsi="Times New Roman" w:cs="Times New Roman"/>
          <w:sz w:val="15"/>
          <w:szCs w:val="15"/>
          <w:lang w:eastAsia="zh-CN"/>
        </w:rPr>
        <w:t xml:space="preserve"> Classification of Tumours Editorial Board. WHO classifica-tion of tumours. Urinary and male genital tumours [ M]. 5th ed,Lyon:IARC Press,2022 :72 -84</w:t>
      </w:r>
      <w:r>
        <w:rPr>
          <w:rFonts w:hint="eastAsia" w:ascii="Times New Roman" w:hAnsi="Times New Roman" w:cs="Times New Roman"/>
          <w:sz w:val="15"/>
          <w:szCs w:val="15"/>
          <w:lang w:val="en-US" w:eastAsia="zh-CN"/>
        </w:rPr>
        <w:t>.</w:t>
      </w:r>
    </w:p>
    <w:p w14:paraId="142578A2">
      <w:pPr>
        <w:keepNext w:val="0"/>
        <w:keepLines w:val="0"/>
        <w:pageBreakBefore w:val="0"/>
        <w:widowControl/>
        <w:kinsoku/>
        <w:wordWrap/>
        <w:overflowPunct/>
        <w:topLinePunct w:val="0"/>
        <w:autoSpaceDE/>
        <w:autoSpaceDN/>
        <w:bidi w:val="0"/>
        <w:adjustRightInd w:val="0"/>
        <w:snapToGrid w:val="0"/>
        <w:spacing w:line="36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Pei J, Cooper H, Flieder D B,et al. NEAT1-TFE3 and KAT6A.TFE3 renal cell carcinomas, new members of MiT family transloca-tion renal cell carcinoma[J]. Mod Pathol, 2019,32(5):710-716.</w:t>
      </w:r>
    </w:p>
    <w:p w14:paraId="6EEECC2E">
      <w:pPr>
        <w:keepNext w:val="0"/>
        <w:keepLines w:val="0"/>
        <w:pageBreakBefore w:val="0"/>
        <w:widowControl/>
        <w:kinsoku/>
        <w:wordWrap/>
        <w:overflowPunct/>
        <w:topLinePunct w:val="0"/>
        <w:autoSpaceDE/>
        <w:autoSpaceDN/>
        <w:bidi w:val="0"/>
        <w:adjustRightInd w:val="0"/>
        <w:snapToGrid w:val="0"/>
        <w:spacing w:line="36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Wang X T, Xia Q Y, Ye S B, et al. RNA sequencing of Xpl1translocation-associated cancers reveals novel gene fusions and dis-tinctive clinicopathologic correlations[ 」]. Mod Pathol, 2018 ,31(9):1346 -1360.</w:t>
      </w:r>
    </w:p>
    <w:p w14:paraId="35DF696F">
      <w:pPr>
        <w:keepNext w:val="0"/>
        <w:keepLines w:val="0"/>
        <w:pageBreakBefore w:val="0"/>
        <w:widowControl/>
        <w:kinsoku/>
        <w:wordWrap/>
        <w:overflowPunct/>
        <w:topLinePunct w:val="0"/>
        <w:autoSpaceDE/>
        <w:autoSpaceDN/>
        <w:bidi w:val="0"/>
        <w:adjustRightInd w:val="0"/>
        <w:snapToGrid w:val="0"/>
        <w:spacing w:line="36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Wang XM,Shao L,Xiao H,et al. Lessons from 801 clinicalTFE3/TFEB FISH assays performed on renal cell carcinoma suspi-cious forMiTF family aberrations[」]. Am J Clin Pathol, 2023 ,160(6):549 -554.</w:t>
      </w:r>
    </w:p>
    <w:p w14:paraId="0FCD5146">
      <w:pPr>
        <w:pStyle w:val="33"/>
        <w:widowControl/>
        <w:adjustRightInd w:val="0"/>
        <w:snapToGrid w:val="0"/>
        <w:spacing w:after="120" w:afterLines="50"/>
        <w:ind w:firstLine="0" w:firstLineChars="0"/>
        <w:jc w:val="both"/>
        <w:rPr>
          <w:rFonts w:hint="default" w:ascii="Times New Roman" w:hAnsi="Times New Roman" w:cs="Times New Roman"/>
          <w:sz w:val="15"/>
          <w:szCs w:val="15"/>
          <w:lang w:val="en-US" w:eastAsia="zh-CN"/>
        </w:rPr>
      </w:pPr>
      <w:r>
        <w:rPr>
          <w:rFonts w:hint="default" w:ascii="Times New Roman" w:hAnsi="Times New Roman" w:cs="Times New Roman"/>
          <w:sz w:val="15"/>
          <w:szCs w:val="15"/>
          <w:lang w:eastAsia="zh-CN"/>
        </w:rPr>
        <w:t>Xia QY, Wang XT, Fang R, et al. Clinicopathologic and molee-ular analysis of the TFEB fusion variant reveals new members ofTFEB translocation renal cell carcinomas ( RCCs): expanding thegenomic spectrum[」]. Am JSurg Pathol,2020,44(4):477 -48</w:t>
      </w:r>
      <w:r>
        <w:rPr>
          <w:rFonts w:hint="eastAsia" w:ascii="Times New Roman" w:hAnsi="Times New Roman" w:cs="Times New Roman"/>
          <w:sz w:val="15"/>
          <w:szCs w:val="15"/>
          <w:lang w:val="en-US" w:eastAsia="zh-CN"/>
        </w:rPr>
        <w:t>9</w:t>
      </w:r>
    </w:p>
    <w:p w14:paraId="138C9DD0">
      <w:pPr>
        <w:pStyle w:val="32"/>
        <w:adjustRightInd w:val="0"/>
        <w:snapToGrid w:val="0"/>
        <w:spacing w:after="120" w:afterLines="50"/>
        <w:ind w:firstLine="0" w:firstLineChars="0"/>
        <w:jc w:val="both"/>
        <w:rPr>
          <w:rFonts w:ascii="Times New Roman" w:hAnsi="Times New Roman" w:eastAsia="微软雅黑" w:cs="Times New Roman"/>
          <w:sz w:val="15"/>
          <w:szCs w:val="15"/>
        </w:rPr>
      </w:pPr>
      <w:r>
        <w:rPr>
          <w:rFonts w:hint="default" w:ascii="Times New Roman" w:hAnsi="Times New Roman" w:cs="Times New Roman"/>
          <w:sz w:val="15"/>
          <w:szCs w:val="15"/>
          <w:lang w:val="en-US" w:eastAsia="zh-CN"/>
        </w:rPr>
        <w:t xml:space="preserve">{% </w:t>
      </w:r>
      <w:r>
        <w:rPr>
          <w:rFonts w:hint="eastAsia" w:ascii="Times New Roman" w:hAnsi="Times New Roman" w:cs="Times New Roman"/>
          <w:sz w:val="15"/>
          <w:szCs w:val="15"/>
          <w:lang w:val="en-US" w:eastAsia="zh-CN"/>
        </w:rPr>
        <w:t>el</w:t>
      </w:r>
      <w:r>
        <w:rPr>
          <w:rFonts w:hint="default" w:ascii="Times New Roman" w:hAnsi="Times New Roman" w:cs="Times New Roman"/>
          <w:sz w:val="15"/>
          <w:szCs w:val="15"/>
          <w:lang w:val="en-US" w:eastAsia="zh-CN"/>
        </w:rPr>
        <w:t xml:space="preserve">if </w:t>
      </w:r>
      <w:r>
        <w:rPr>
          <w:rFonts w:hint="eastAsia" w:ascii="Times New Roman" w:hAnsi="Times New Roman" w:cs="Times New Roman"/>
          <w:sz w:val="15"/>
          <w:szCs w:val="15"/>
          <w:lang w:val="en-US" w:eastAsia="zh-CN"/>
        </w:rPr>
        <w:t xml:space="preserve">1115 in diseaseIdList </w:t>
      </w:r>
      <w:r>
        <w:rPr>
          <w:rFonts w:hint="default" w:ascii="Times New Roman" w:hAnsi="Times New Roman" w:cs="Times New Roman"/>
          <w:sz w:val="15"/>
          <w:szCs w:val="15"/>
          <w:lang w:val="en-US" w:eastAsia="zh-CN"/>
        </w:rPr>
        <w:t>%}</w:t>
      </w:r>
      <w:r>
        <w:rPr>
          <w:rFonts w:ascii="Times New Roman" w:hAnsi="Times New Roman" w:eastAsia="微软雅黑" w:cs="Times New Roman"/>
          <w:sz w:val="15"/>
          <w:szCs w:val="15"/>
        </w:rPr>
        <w:t>Riggi N, Cironi L, Provero P, et al. Development of Ewing's sarcoma from primary bone marrow-derived mesenchymal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progenitor cells. Cancer Res. 2005;65(24):11459-11468.[PMID:16357154]</w:t>
      </w:r>
    </w:p>
    <w:p w14:paraId="27514A69">
      <w:pPr>
        <w:pStyle w:val="32"/>
        <w:adjustRightInd w:val="0"/>
        <w:snapToGrid w:val="0"/>
        <w:spacing w:after="120" w:afterLines="50"/>
        <w:ind w:firstLine="0" w:firstLineChars="0"/>
        <w:jc w:val="both"/>
        <w:rPr>
          <w:rFonts w:ascii="Times New Roman" w:hAnsi="Times New Roman" w:eastAsia="微软雅黑" w:cs="Times New Roman"/>
          <w:sz w:val="15"/>
          <w:szCs w:val="15"/>
        </w:rPr>
      </w:pPr>
      <w:r>
        <w:rPr>
          <w:rFonts w:ascii="Times New Roman" w:hAnsi="Times New Roman" w:eastAsia="微软雅黑" w:cs="Times New Roman"/>
          <w:sz w:val="15"/>
          <w:szCs w:val="15"/>
        </w:rPr>
        <w:t>Jeon IS, Davis JN, Braun BS, et al. A variant Ewing's sarcoma translocation (7;22) fuses the EWS gene to the ETS gene</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ETV1. Oncogene. 1995;10(6):1229-1234.[PMID:7700648]</w:t>
      </w:r>
    </w:p>
    <w:p w14:paraId="5D6AE1E5">
      <w:pPr>
        <w:pStyle w:val="32"/>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Riggi N, Knoechel B, Gillespie SM, et al. EWS-FLI1 utilizes divergent chromatin remodeling mechanisms to directly</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activate or repress enhancer elements in Ewing sarcoma. Cancer Cell. 2014;26(5):668-681.[PMID:25453903]</w:t>
      </w:r>
    </w:p>
    <w:p w14:paraId="64BF22FB">
      <w:pPr>
        <w:pStyle w:val="32"/>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Soft tissue and bone tumours / edited by WHO Classification of Tumours Editorial Board.（2020）.</w:t>
      </w:r>
    </w:p>
    <w:p w14:paraId="4FF0FAEB">
      <w:pPr>
        <w:pStyle w:val="32"/>
        <w:adjustRightInd w:val="0"/>
        <w:snapToGrid w:val="0"/>
        <w:spacing w:after="120" w:afterLines="50"/>
        <w:ind w:firstLine="0" w:firstLineChars="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Hans"/>
        </w:rPr>
        <w:t>NCCN Guidelines Version 2.2021 Soft Tissue Sarcoma.</w:t>
      </w:r>
    </w:p>
    <w:p w14:paraId="1996CF5E">
      <w:pPr>
        <w:pStyle w:val="32"/>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Hans"/>
        </w:rPr>
        <w:t>中国临床肿瘤学会（CSCO）软组织肉瘤诊疗指南2021.</w:t>
      </w:r>
    </w:p>
    <w:p w14:paraId="3F458897">
      <w:pPr>
        <w:keepNext w:val="0"/>
        <w:keepLines w:val="0"/>
        <w:pageBreakBefore w:val="0"/>
        <w:widowControl/>
        <w:kinsoku/>
        <w:wordWrap/>
        <w:overflowPunct/>
        <w:topLinePunct w:val="0"/>
        <w:autoSpaceDE/>
        <w:autoSpaceDN/>
        <w:bidi w:val="0"/>
        <w:adjustRightInd w:val="0"/>
        <w:snapToGrid w:val="0"/>
        <w:spacing w:line="360" w:lineRule="auto"/>
        <w:jc w:val="left"/>
        <w:textAlignment w:val="auto"/>
        <w:rPr>
          <w:rFonts w:hint="eastAsia" w:ascii="Times New Roman" w:hAnsi="Times New Roman" w:cs="Times New Roman"/>
          <w:sz w:val="15"/>
          <w:szCs w:val="15"/>
          <w:lang w:val="en-US" w:eastAsia="zh-CN"/>
        </w:rPr>
      </w:pPr>
      <w:r>
        <w:rPr>
          <w:rFonts w:ascii="Times New Roman" w:hAnsi="Times New Roman" w:eastAsia="微软雅黑" w:cs="Times New Roman"/>
          <w:sz w:val="15"/>
          <w:szCs w:val="15"/>
          <w:lang w:eastAsia="zh-CN"/>
        </w:rPr>
        <w:t>《骨与软组织肿瘤二代测序中国专家共识（2021 年版）》,中国抗癌协会肉瘤专业委员会.中国肿瘤临床2021年第48卷第20期.</w:t>
      </w:r>
    </w:p>
    <w:p w14:paraId="127D986C">
      <w:pPr>
        <w:keepNext w:val="0"/>
        <w:keepLines w:val="0"/>
        <w:pageBreakBefore w:val="0"/>
        <w:widowControl/>
        <w:kinsoku/>
        <w:wordWrap/>
        <w:overflowPunct/>
        <w:topLinePunct w:val="0"/>
        <w:autoSpaceDE/>
        <w:autoSpaceDN/>
        <w:bidi w:val="0"/>
        <w:adjustRightInd w:val="0"/>
        <w:snapToGrid w:val="0"/>
        <w:spacing w:line="360" w:lineRule="auto"/>
        <w:jc w:val="left"/>
        <w:textAlignment w:val="auto"/>
        <w:rPr>
          <w:rFonts w:hint="default" w:ascii="Times New Roman" w:hAnsi="Times New Roman" w:cs="Times New Roman"/>
          <w:sz w:val="15"/>
          <w:szCs w:val="15"/>
          <w:lang w:eastAsia="zh-CN"/>
        </w:rPr>
      </w:pPr>
      <w:r>
        <w:rPr>
          <w:rFonts w:hint="eastAsia" w:ascii="Times New Roman" w:hAnsi="Times New Roman" w:cs="Times New Roman"/>
          <w:sz w:val="15"/>
          <w:szCs w:val="15"/>
          <w:lang w:val="en-US" w:eastAsia="zh-CN"/>
        </w:rPr>
        <w:t>{% else %}</w:t>
      </w:r>
      <w:r>
        <w:rPr>
          <w:rFonts w:hint="default" w:ascii="Times New Roman" w:hAnsi="Times New Roman" w:cs="Times New Roman"/>
          <w:sz w:val="15"/>
          <w:szCs w:val="15"/>
          <w:lang w:eastAsia="zh-CN"/>
        </w:rPr>
        <w:t xml:space="preserve">Shaw AT, Bauer TM, de Marinis F, et al. First-line lorlatinib or crizotinib in advanced ALK-positive lung cancer. N Engl J Med. 2020;383(21):2018-2029. </w:t>
      </w:r>
    </w:p>
    <w:p w14:paraId="2EB17811">
      <w:pPr>
        <w:keepNext w:val="0"/>
        <w:keepLines w:val="0"/>
        <w:pageBreakBefore w:val="0"/>
        <w:widowControl/>
        <w:kinsoku/>
        <w:wordWrap/>
        <w:overflowPunct/>
        <w:topLinePunct w:val="0"/>
        <w:autoSpaceDE/>
        <w:autoSpaceDN/>
        <w:bidi w:val="0"/>
        <w:adjustRightInd w:val="0"/>
        <w:snapToGrid w:val="0"/>
        <w:spacing w:line="36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Drusbosky LM, Rodriguez E, Dawar R, et al. Therapeutic strategies in RET gene rearranged non-small cell lung cancer. J Hematol Oncol. 2021;14(1):50.</w:t>
      </w:r>
    </w:p>
    <w:p w14:paraId="60C9EDB3">
      <w:pPr>
        <w:keepNext w:val="0"/>
        <w:keepLines w:val="0"/>
        <w:pageBreakBefore w:val="0"/>
        <w:widowControl/>
        <w:kinsoku/>
        <w:wordWrap/>
        <w:overflowPunct/>
        <w:topLinePunct w:val="0"/>
        <w:autoSpaceDE/>
        <w:autoSpaceDN/>
        <w:bidi w:val="0"/>
        <w:adjustRightInd w:val="0"/>
        <w:snapToGrid w:val="0"/>
        <w:spacing w:line="36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Li W, Guo L, Liu Y, Dong L, et al.</w:t>
      </w:r>
      <w:r>
        <w:rPr>
          <w:rFonts w:hint="eastAsia" w:ascii="Times New Roman" w:hAnsi="Times New Roman" w:cs="Times New Roman"/>
          <w:sz w:val="15"/>
          <w:szCs w:val="15"/>
          <w:lang w:val="en-US" w:eastAsia="zh-CN"/>
        </w:rPr>
        <w:t xml:space="preserve"> </w:t>
      </w:r>
      <w:r>
        <w:rPr>
          <w:rFonts w:hint="default" w:ascii="Times New Roman" w:hAnsi="Times New Roman" w:cs="Times New Roman"/>
          <w:sz w:val="15"/>
          <w:szCs w:val="15"/>
          <w:lang w:eastAsia="zh-CN"/>
        </w:rPr>
        <w:t xml:space="preserve">Potential Unreliability of Uncommon ALK, ROS1, and RET Genomic Breakpoints in Predicting the Efficacy of Targeted Therapy in NSCLC. J Thorac Oncol. 2021 Mar;16(3):404-418. doi: 10.1016/j.jtho.2020.10.156. Epub 2020 Nov 26. </w:t>
      </w:r>
    </w:p>
    <w:p w14:paraId="15442F5F">
      <w:pPr>
        <w:keepNext w:val="0"/>
        <w:keepLines w:val="0"/>
        <w:pageBreakBefore w:val="0"/>
        <w:widowControl/>
        <w:kinsoku/>
        <w:wordWrap/>
        <w:overflowPunct/>
        <w:topLinePunct w:val="0"/>
        <w:autoSpaceDE/>
        <w:autoSpaceDN/>
        <w:bidi w:val="0"/>
        <w:adjustRightInd w:val="0"/>
        <w:snapToGrid w:val="0"/>
        <w:spacing w:line="36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Li W, Liu Y, Li W, et al. Intergenic Breakpoints Identified by DNA Sequencing Confound Targetable Kinase Fusion Detection in NSCLC. J Thorac Oncol. 2020 Jul;15(7):1223-1231. doi: 10.1016/j.jtho.2020.02.023. Epub 2020 Mar 7.</w:t>
      </w:r>
    </w:p>
    <w:p w14:paraId="154CD193">
      <w:pPr>
        <w:keepNext w:val="0"/>
        <w:keepLines w:val="0"/>
        <w:pageBreakBefore w:val="0"/>
        <w:widowControl/>
        <w:kinsoku/>
        <w:wordWrap/>
        <w:overflowPunct/>
        <w:topLinePunct w:val="0"/>
        <w:autoSpaceDE/>
        <w:autoSpaceDN/>
        <w:bidi w:val="0"/>
        <w:adjustRightInd w:val="0"/>
        <w:snapToGrid w:val="0"/>
        <w:spacing w:line="36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Majewski IJ, Mittempergher L, Davidson NM, et al. Identification of recurrent FGFR3 fusion genes in lung cancer through kinome-centred RNA sequencing. J Pathol. 2013 Jul;230(3):270-6. doi: 10.1002/path.4209. PMID: 23661334.</w:t>
      </w:r>
    </w:p>
    <w:p w14:paraId="39FE750E">
      <w:pPr>
        <w:keepNext w:val="0"/>
        <w:keepLines w:val="0"/>
        <w:pageBreakBefore w:val="0"/>
        <w:widowControl/>
        <w:kinsoku/>
        <w:wordWrap/>
        <w:overflowPunct/>
        <w:topLinePunct w:val="0"/>
        <w:autoSpaceDE/>
        <w:autoSpaceDN/>
        <w:bidi w:val="0"/>
        <w:adjustRightInd w:val="0"/>
        <w:snapToGrid w:val="0"/>
        <w:spacing w:line="360" w:lineRule="auto"/>
        <w:jc w:val="left"/>
        <w:textAlignment w:val="auto"/>
        <w:rPr>
          <w:rFonts w:hint="default" w:ascii="Times New Roman" w:hAnsi="Times New Roman" w:cs="Times New Roman"/>
          <w:sz w:val="15"/>
          <w:szCs w:val="15"/>
          <w:lang w:val="en-US" w:eastAsia="zh-CN"/>
        </w:rPr>
      </w:pPr>
      <w:r>
        <w:rPr>
          <w:rFonts w:hint="default" w:ascii="Times New Roman" w:hAnsi="Times New Roman" w:cs="Times New Roman"/>
          <w:sz w:val="15"/>
          <w:szCs w:val="15"/>
          <w:lang w:eastAsia="zh-CN"/>
        </w:rPr>
        <w:t>《中国实体瘤 NTRK 融合基因临床治疗专家共识》</w:t>
      </w:r>
      <w:r>
        <w:rPr>
          <w:rFonts w:hint="eastAsia" w:ascii="Times New Roman" w:hAnsi="Times New Roman" w:cs="Times New Roman"/>
          <w:sz w:val="15"/>
          <w:szCs w:val="15"/>
          <w:lang w:val="en-US" w:eastAsia="zh-CN"/>
        </w:rPr>
        <w:t>2022.9.</w:t>
      </w:r>
    </w:p>
    <w:p w14:paraId="0B3B134D">
      <w:pPr>
        <w:keepNext w:val="0"/>
        <w:keepLines w:val="0"/>
        <w:pageBreakBefore w:val="0"/>
        <w:widowControl/>
        <w:kinsoku/>
        <w:wordWrap/>
        <w:overflowPunct/>
        <w:topLinePunct w:val="0"/>
        <w:autoSpaceDE/>
        <w:autoSpaceDN/>
        <w:bidi w:val="0"/>
        <w:adjustRightInd w:val="0"/>
        <w:snapToGrid w:val="0"/>
        <w:spacing w:line="36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 xml:space="preserve">中国临床肿瘤学会（CSCO）软组织肉瘤诊疗指南2021. 7. </w:t>
      </w:r>
    </w:p>
    <w:p w14:paraId="40BB38AF">
      <w:pPr>
        <w:pStyle w:val="33"/>
        <w:widowControl/>
        <w:adjustRightInd w:val="0"/>
        <w:snapToGrid w:val="0"/>
        <w:spacing w:after="120" w:afterLines="50"/>
        <w:ind w:firstLine="0" w:firstLineChars="0"/>
        <w:jc w:val="both"/>
        <w:rPr>
          <w:rFonts w:ascii="Times New Roman" w:hAnsi="Times New Roman" w:eastAsia="等线"/>
          <w:sz w:val="22"/>
          <w:lang w:eastAsia="zh-CN"/>
        </w:rPr>
      </w:pPr>
      <w:r>
        <w:rPr>
          <w:rFonts w:hint="default" w:ascii="Times New Roman" w:hAnsi="Times New Roman" w:cs="Times New Roman"/>
          <w:sz w:val="15"/>
          <w:szCs w:val="15"/>
          <w:lang w:eastAsia="zh-CN"/>
        </w:rPr>
        <w:t>《骨与软组织肿瘤二代测序中国专家共识（2021 年版）</w:t>
      </w:r>
      <w:r>
        <w:rPr>
          <w:rFonts w:hint="eastAsia" w:ascii="Times New Roman" w:hAnsi="Times New Roman" w:cs="Times New Roman"/>
          <w:sz w:val="15"/>
          <w:szCs w:val="15"/>
          <w:lang w:eastAsia="zh-CN"/>
        </w:rPr>
        <w:t>》</w:t>
      </w:r>
      <w:r>
        <w:rPr>
          <w:rFonts w:hint="eastAsia" w:ascii="Times New Roman" w:hAnsi="Times New Roman" w:cs="Times New Roman"/>
          <w:sz w:val="15"/>
          <w:szCs w:val="15"/>
          <w:lang w:val="en-US" w:eastAsia="zh-CN"/>
        </w:rPr>
        <w:t>{% endif %}</w:t>
      </w:r>
    </w:p>
    <w:sectPr>
      <w:headerReference r:id="rId5" w:type="default"/>
      <w:footerReference r:id="rId6" w:type="default"/>
      <w:pgSz w:w="11911" w:h="16838"/>
      <w:pgMar w:top="1037" w:right="1020" w:bottom="981" w:left="1020" w:header="0" w:footer="567" w:gutter="0"/>
      <w:pgBorders>
        <w:top w:val="none" w:sz="0" w:space="0"/>
        <w:left w:val="none" w:sz="0" w:space="0"/>
        <w:bottom w:val="none" w:sz="0" w:space="0"/>
        <w:right w:val="none" w:sz="0" w:space="0"/>
      </w:pgBorders>
      <w:pgNumType w:fmt="decimal" w:start="1"/>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FFF16C">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48D4F9">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874395" cy="245745"/>
              <wp:effectExtent l="0" t="0" r="0" b="0"/>
              <wp:wrapNone/>
              <wp:docPr id="4" name="文本框 4"/>
              <wp:cNvGraphicFramePr/>
              <a:graphic xmlns:a="http://schemas.openxmlformats.org/drawingml/2006/main">
                <a:graphicData uri="http://schemas.microsoft.com/office/word/2010/wordprocessingShape">
                  <wps:wsp>
                    <wps:cNvSpPr txBox="1"/>
                    <wps:spPr>
                      <a:xfrm>
                        <a:off x="0" y="0"/>
                        <a:ext cx="874395" cy="2457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ED0CF8">
                          <w:pPr>
                            <w:pStyle w:val="9"/>
                            <w:jc w:val="center"/>
                            <w:rPr>
                              <w:rFonts w:hint="default"/>
                            </w:rPr>
                          </w:pPr>
                          <w:r>
                            <w:rPr>
                              <w:rFonts w:hint="default" w:ascii="Times New Roman" w:hAnsi="Times New Roman" w:cs="Times New Roman"/>
                              <w:b/>
                              <w:bCs/>
                            </w:rPr>
                            <w:fldChar w:fldCharType="begin"/>
                          </w:r>
                          <w:r>
                            <w:rPr>
                              <w:rFonts w:hint="default" w:ascii="Times New Roman" w:hAnsi="Times New Roman" w:cs="Times New Roman"/>
                              <w:b/>
                              <w:bCs/>
                            </w:rPr>
                            <w:instrText xml:space="preserve"> PAGE  \* MERGEFORMAT </w:instrText>
                          </w:r>
                          <w:r>
                            <w:rPr>
                              <w:rFonts w:hint="default" w:ascii="Times New Roman" w:hAnsi="Times New Roman" w:cs="Times New Roman"/>
                              <w:b/>
                              <w:bCs/>
                            </w:rPr>
                            <w:fldChar w:fldCharType="separate"/>
                          </w:r>
                          <w:r>
                            <w:rPr>
                              <w:rFonts w:hint="default" w:ascii="Times New Roman" w:hAnsi="Times New Roman" w:cs="Times New Roman"/>
                              <w:b/>
                              <w:bCs/>
                            </w:rPr>
                            <w:t>2</w:t>
                          </w:r>
                          <w:r>
                            <w:rPr>
                              <w:rFonts w:hint="default" w:ascii="Times New Roman" w:hAnsi="Times New Roman" w:cs="Times New Roman"/>
                              <w:b/>
                              <w:bCs/>
                            </w:rPr>
                            <w:fldChar w:fldCharType="end"/>
                          </w:r>
                          <w:r>
                            <w:rPr>
                              <w:rFonts w:hint="default"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50</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48</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top:0pt;height:19.35pt;width:68.85pt;mso-position-horizontal:center;mso-position-horizontal-relative:margin;z-index:251659264;mso-width-relative:page;mso-height-relative:page;" filled="f" stroked="f" coordsize="21600,21600" o:gfxdata="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B7DgIXUAAAABAEAAA8AAAAAAAAAAQAgAAAAIgAAAGRycy9kb3ducmV2&#10;LnhtbFBLAQIUABQAAAAIAIdO4kCDVhBEOQIAAGEEAAAOAAAAAAAAAAEAIAAAACMBAABkcnMvZTJv&#10;RG9jLnhtbFBLBQYAAAAABgAGAFkBAADOBQAAAAA=&#10;">
              <v:fill on="f" focussize="0,0"/>
              <v:stroke on="f" weight="0.5pt"/>
              <v:imagedata o:title=""/>
              <o:lock v:ext="edit" aspectratio="f"/>
              <v:textbox inset="0mm,0mm,0mm,0mm">
                <w:txbxContent>
                  <w:p w14:paraId="59ED0CF8">
                    <w:pPr>
                      <w:pStyle w:val="9"/>
                      <w:jc w:val="center"/>
                      <w:rPr>
                        <w:rFonts w:hint="default"/>
                      </w:rPr>
                    </w:pPr>
                    <w:r>
                      <w:rPr>
                        <w:rFonts w:hint="default" w:ascii="Times New Roman" w:hAnsi="Times New Roman" w:cs="Times New Roman"/>
                        <w:b/>
                        <w:bCs/>
                      </w:rPr>
                      <w:fldChar w:fldCharType="begin"/>
                    </w:r>
                    <w:r>
                      <w:rPr>
                        <w:rFonts w:hint="default" w:ascii="Times New Roman" w:hAnsi="Times New Roman" w:cs="Times New Roman"/>
                        <w:b/>
                        <w:bCs/>
                      </w:rPr>
                      <w:instrText xml:space="preserve"> PAGE  \* MERGEFORMAT </w:instrText>
                    </w:r>
                    <w:r>
                      <w:rPr>
                        <w:rFonts w:hint="default" w:ascii="Times New Roman" w:hAnsi="Times New Roman" w:cs="Times New Roman"/>
                        <w:b/>
                        <w:bCs/>
                      </w:rPr>
                      <w:fldChar w:fldCharType="separate"/>
                    </w:r>
                    <w:r>
                      <w:rPr>
                        <w:rFonts w:hint="default" w:ascii="Times New Roman" w:hAnsi="Times New Roman" w:cs="Times New Roman"/>
                        <w:b/>
                        <w:bCs/>
                      </w:rPr>
                      <w:t>2</w:t>
                    </w:r>
                    <w:r>
                      <w:rPr>
                        <w:rFonts w:hint="default" w:ascii="Times New Roman" w:hAnsi="Times New Roman" w:cs="Times New Roman"/>
                        <w:b/>
                        <w:bCs/>
                      </w:rPr>
                      <w:fldChar w:fldCharType="end"/>
                    </w:r>
                    <w:r>
                      <w:rPr>
                        <w:rFonts w:hint="default"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50</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48</w:t>
                    </w:r>
                    <w:r>
                      <w:rPr>
                        <w:rFonts w:ascii="Times New Roman" w:hAnsi="Times New Roman" w:eastAsia="微软雅黑" w:cs="Times New Roman"/>
                        <w:b/>
                        <w:bCs/>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8FF9AE">
    <w:pPr>
      <w:jc w:val="right"/>
      <w:rPr>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A5FE0D">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9F51BF2"/>
    <w:multiLevelType w:val="singleLevel"/>
    <w:tmpl w:val="89F51BF2"/>
    <w:lvl w:ilvl="0" w:tentative="0">
      <w:start w:val="1"/>
      <w:numFmt w:val="bullet"/>
      <w:lvlText w:val=""/>
      <w:lvlJc w:val="left"/>
      <w:pPr>
        <w:ind w:left="420" w:hanging="420"/>
      </w:pPr>
      <w:rPr>
        <w:rFonts w:hint="default" w:ascii="Wingdings" w:hAnsi="Wingdings"/>
      </w:rPr>
    </w:lvl>
  </w:abstractNum>
  <w:abstractNum w:abstractNumId="1">
    <w:nsid w:val="9CED26BD"/>
    <w:multiLevelType w:val="multilevel"/>
    <w:tmpl w:val="9CED26B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ABDD2E30"/>
    <w:multiLevelType w:val="singleLevel"/>
    <w:tmpl w:val="ABDD2E30"/>
    <w:lvl w:ilvl="0" w:tentative="0">
      <w:start w:val="1"/>
      <w:numFmt w:val="bullet"/>
      <w:lvlText w:val=""/>
      <w:lvlJc w:val="left"/>
      <w:pPr>
        <w:ind w:left="420" w:hanging="420"/>
      </w:pPr>
      <w:rPr>
        <w:rFonts w:hint="default" w:ascii="Wingdings" w:hAnsi="Wingdings"/>
      </w:rPr>
    </w:lvl>
  </w:abstractNum>
  <w:abstractNum w:abstractNumId="3">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219D0AF6"/>
    <w:multiLevelType w:val="singleLevel"/>
    <w:tmpl w:val="219D0AF6"/>
    <w:lvl w:ilvl="0" w:tentative="0">
      <w:start w:val="1"/>
      <w:numFmt w:val="decimal"/>
      <w:suff w:val="space"/>
      <w:lvlText w:val="%1."/>
      <w:lvlJc w:val="left"/>
    </w:lvl>
  </w:abstractNum>
  <w:abstractNum w:abstractNumId="5">
    <w:nsid w:val="2CEC1C1C"/>
    <w:multiLevelType w:val="multilevel"/>
    <w:tmpl w:val="2CEC1C1C"/>
    <w:lvl w:ilvl="0" w:tentative="0">
      <w:start w:val="1"/>
      <w:numFmt w:val="bullet"/>
      <w:pStyle w:val="25"/>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
    <w:nsid w:val="3267C012"/>
    <w:multiLevelType w:val="singleLevel"/>
    <w:tmpl w:val="3267C012"/>
    <w:lvl w:ilvl="0" w:tentative="0">
      <w:start w:val="1"/>
      <w:numFmt w:val="decimal"/>
      <w:lvlText w:val="%1."/>
      <w:lvlJc w:val="left"/>
      <w:pPr>
        <w:tabs>
          <w:tab w:val="left" w:pos="312"/>
        </w:tabs>
      </w:pPr>
    </w:lvl>
  </w:abstractNum>
  <w:abstractNum w:abstractNumId="7">
    <w:nsid w:val="34613CBC"/>
    <w:multiLevelType w:val="multilevel"/>
    <w:tmpl w:val="34613CBC"/>
    <w:lvl w:ilvl="0" w:tentative="0">
      <w:start w:val="1"/>
      <w:numFmt w:val="bullet"/>
      <w:pStyle w:val="27"/>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9">
    <w:nsid w:val="4727A939"/>
    <w:multiLevelType w:val="singleLevel"/>
    <w:tmpl w:val="4727A939"/>
    <w:lvl w:ilvl="0" w:tentative="0">
      <w:start w:val="1"/>
      <w:numFmt w:val="decimal"/>
      <w:lvlText w:val="%1."/>
      <w:lvlJc w:val="left"/>
      <w:pPr>
        <w:tabs>
          <w:tab w:val="left" w:pos="312"/>
        </w:tabs>
      </w:pPr>
    </w:lvl>
  </w:abstractNum>
  <w:abstractNum w:abstractNumId="10">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1">
    <w:nsid w:val="5B812BEF"/>
    <w:multiLevelType w:val="multilevel"/>
    <w:tmpl w:val="5B812BEF"/>
    <w:lvl w:ilvl="0" w:tentative="0">
      <w:start w:val="1"/>
      <w:numFmt w:val="bullet"/>
      <w:pStyle w:val="24"/>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2">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0"/>
  </w:num>
  <w:num w:numId="2">
    <w:abstractNumId w:val="12"/>
  </w:num>
  <w:num w:numId="3">
    <w:abstractNumId w:val="11"/>
  </w:num>
  <w:num w:numId="4">
    <w:abstractNumId w:val="5"/>
  </w:num>
  <w:num w:numId="5">
    <w:abstractNumId w:val="7"/>
  </w:num>
  <w:num w:numId="6">
    <w:abstractNumId w:val="3"/>
  </w:num>
  <w:num w:numId="7">
    <w:abstractNumId w:val="1"/>
  </w:num>
  <w:num w:numId="8">
    <w:abstractNumId w:val="8"/>
  </w:num>
  <w:num w:numId="9">
    <w:abstractNumId w:val="4"/>
  </w:num>
  <w:num w:numId="10">
    <w:abstractNumId w:val="0"/>
  </w:num>
  <w:num w:numId="11">
    <w:abstractNumId w:val="9"/>
  </w:num>
  <w:num w:numId="12">
    <w:abstractNumId w:val="6"/>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documentProtection w:enforcement="0"/>
  <w:defaultTabStop w:val="420"/>
  <w:drawingGridHorizontalSpacing w:val="220"/>
  <w:drawingGridVerticalSpacing w:val="-794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001C1"/>
    <w:rsid w:val="00001694"/>
    <w:rsid w:val="00033509"/>
    <w:rsid w:val="0005498B"/>
    <w:rsid w:val="00081920"/>
    <w:rsid w:val="000828AC"/>
    <w:rsid w:val="000A7060"/>
    <w:rsid w:val="000B5B79"/>
    <w:rsid w:val="000B6DCF"/>
    <w:rsid w:val="000F1926"/>
    <w:rsid w:val="00107E39"/>
    <w:rsid w:val="001270E6"/>
    <w:rsid w:val="00154460"/>
    <w:rsid w:val="00172A27"/>
    <w:rsid w:val="00184059"/>
    <w:rsid w:val="00192B96"/>
    <w:rsid w:val="00195F33"/>
    <w:rsid w:val="001C358C"/>
    <w:rsid w:val="001F265E"/>
    <w:rsid w:val="001F4429"/>
    <w:rsid w:val="001F5C37"/>
    <w:rsid w:val="001F6B65"/>
    <w:rsid w:val="002079E9"/>
    <w:rsid w:val="002558A2"/>
    <w:rsid w:val="002570D8"/>
    <w:rsid w:val="00276CD5"/>
    <w:rsid w:val="00286D54"/>
    <w:rsid w:val="00287F02"/>
    <w:rsid w:val="00294AB0"/>
    <w:rsid w:val="002E3CD6"/>
    <w:rsid w:val="002E7BF1"/>
    <w:rsid w:val="00302818"/>
    <w:rsid w:val="00314279"/>
    <w:rsid w:val="00347920"/>
    <w:rsid w:val="00351BFB"/>
    <w:rsid w:val="00370A25"/>
    <w:rsid w:val="003769F2"/>
    <w:rsid w:val="00391615"/>
    <w:rsid w:val="003B57DA"/>
    <w:rsid w:val="003D2994"/>
    <w:rsid w:val="003D6E2F"/>
    <w:rsid w:val="00404B24"/>
    <w:rsid w:val="00404F19"/>
    <w:rsid w:val="00431C42"/>
    <w:rsid w:val="00440C0E"/>
    <w:rsid w:val="004512CF"/>
    <w:rsid w:val="00460E44"/>
    <w:rsid w:val="004716C5"/>
    <w:rsid w:val="004D1395"/>
    <w:rsid w:val="004F34A2"/>
    <w:rsid w:val="005130C6"/>
    <w:rsid w:val="0052321F"/>
    <w:rsid w:val="00565986"/>
    <w:rsid w:val="005746B2"/>
    <w:rsid w:val="005A46FA"/>
    <w:rsid w:val="005C4908"/>
    <w:rsid w:val="005E26B2"/>
    <w:rsid w:val="00604E02"/>
    <w:rsid w:val="00635CB1"/>
    <w:rsid w:val="006A31A2"/>
    <w:rsid w:val="006A479C"/>
    <w:rsid w:val="006D0EFE"/>
    <w:rsid w:val="006F49BB"/>
    <w:rsid w:val="007139FD"/>
    <w:rsid w:val="00723F9A"/>
    <w:rsid w:val="00737E1E"/>
    <w:rsid w:val="007442EF"/>
    <w:rsid w:val="007600EB"/>
    <w:rsid w:val="00772573"/>
    <w:rsid w:val="007834F9"/>
    <w:rsid w:val="007856DE"/>
    <w:rsid w:val="00797E76"/>
    <w:rsid w:val="007E782E"/>
    <w:rsid w:val="007F0C3F"/>
    <w:rsid w:val="007F160A"/>
    <w:rsid w:val="008010E0"/>
    <w:rsid w:val="00812090"/>
    <w:rsid w:val="008357FF"/>
    <w:rsid w:val="00853A18"/>
    <w:rsid w:val="008559CF"/>
    <w:rsid w:val="00875C74"/>
    <w:rsid w:val="00877130"/>
    <w:rsid w:val="008B1AB4"/>
    <w:rsid w:val="008B2982"/>
    <w:rsid w:val="008B61B8"/>
    <w:rsid w:val="008C3032"/>
    <w:rsid w:val="008D037F"/>
    <w:rsid w:val="008E4FDA"/>
    <w:rsid w:val="008F211E"/>
    <w:rsid w:val="008F3463"/>
    <w:rsid w:val="008F5DB3"/>
    <w:rsid w:val="00907638"/>
    <w:rsid w:val="0091666E"/>
    <w:rsid w:val="00A0169B"/>
    <w:rsid w:val="00A15B0F"/>
    <w:rsid w:val="00A60242"/>
    <w:rsid w:val="00A843FC"/>
    <w:rsid w:val="00A92DCD"/>
    <w:rsid w:val="00AE4577"/>
    <w:rsid w:val="00AE4D38"/>
    <w:rsid w:val="00AE5DB4"/>
    <w:rsid w:val="00B01B75"/>
    <w:rsid w:val="00B15932"/>
    <w:rsid w:val="00B16E7E"/>
    <w:rsid w:val="00B35012"/>
    <w:rsid w:val="00B41DAE"/>
    <w:rsid w:val="00B42173"/>
    <w:rsid w:val="00B42F3E"/>
    <w:rsid w:val="00B72288"/>
    <w:rsid w:val="00B76730"/>
    <w:rsid w:val="00B85740"/>
    <w:rsid w:val="00BE10E2"/>
    <w:rsid w:val="00C01969"/>
    <w:rsid w:val="00C24228"/>
    <w:rsid w:val="00C348E7"/>
    <w:rsid w:val="00C779A7"/>
    <w:rsid w:val="00D045C6"/>
    <w:rsid w:val="00D05604"/>
    <w:rsid w:val="00D065CB"/>
    <w:rsid w:val="00D15FD5"/>
    <w:rsid w:val="00D2107B"/>
    <w:rsid w:val="00D22BB0"/>
    <w:rsid w:val="00D2723E"/>
    <w:rsid w:val="00D40855"/>
    <w:rsid w:val="00D43F0A"/>
    <w:rsid w:val="00D730DF"/>
    <w:rsid w:val="00DA2F2F"/>
    <w:rsid w:val="00DB0016"/>
    <w:rsid w:val="00E31BA8"/>
    <w:rsid w:val="00E421E5"/>
    <w:rsid w:val="00E451FC"/>
    <w:rsid w:val="00E548FF"/>
    <w:rsid w:val="00F16E7E"/>
    <w:rsid w:val="00F23A93"/>
    <w:rsid w:val="00F25C1E"/>
    <w:rsid w:val="00F3295E"/>
    <w:rsid w:val="00F8668E"/>
    <w:rsid w:val="00FA4DD8"/>
    <w:rsid w:val="00FA7354"/>
    <w:rsid w:val="00FD0E69"/>
    <w:rsid w:val="00FF7146"/>
    <w:rsid w:val="00FF7BB1"/>
    <w:rsid w:val="011A030A"/>
    <w:rsid w:val="011A0D8B"/>
    <w:rsid w:val="015B68E3"/>
    <w:rsid w:val="0171268E"/>
    <w:rsid w:val="01A0337A"/>
    <w:rsid w:val="01B7144F"/>
    <w:rsid w:val="02235929"/>
    <w:rsid w:val="025117B2"/>
    <w:rsid w:val="027C61F4"/>
    <w:rsid w:val="02B44A06"/>
    <w:rsid w:val="02CA5230"/>
    <w:rsid w:val="02F96864"/>
    <w:rsid w:val="030338CF"/>
    <w:rsid w:val="031B6FF1"/>
    <w:rsid w:val="0345216A"/>
    <w:rsid w:val="038726D8"/>
    <w:rsid w:val="039B4330"/>
    <w:rsid w:val="03AC1B29"/>
    <w:rsid w:val="03C81F92"/>
    <w:rsid w:val="03E921F1"/>
    <w:rsid w:val="04791D69"/>
    <w:rsid w:val="04820ADC"/>
    <w:rsid w:val="04871837"/>
    <w:rsid w:val="04A167FA"/>
    <w:rsid w:val="04C17114"/>
    <w:rsid w:val="04D24A99"/>
    <w:rsid w:val="051F43D2"/>
    <w:rsid w:val="05476D0D"/>
    <w:rsid w:val="05815BFE"/>
    <w:rsid w:val="05887898"/>
    <w:rsid w:val="05980479"/>
    <w:rsid w:val="05C86C09"/>
    <w:rsid w:val="05CC64B2"/>
    <w:rsid w:val="05D63B33"/>
    <w:rsid w:val="066833E1"/>
    <w:rsid w:val="0696420E"/>
    <w:rsid w:val="06A61E8D"/>
    <w:rsid w:val="06C726BC"/>
    <w:rsid w:val="06E36A2C"/>
    <w:rsid w:val="06EB7F4D"/>
    <w:rsid w:val="074043CC"/>
    <w:rsid w:val="074450F8"/>
    <w:rsid w:val="074468B9"/>
    <w:rsid w:val="077559CB"/>
    <w:rsid w:val="079A03B3"/>
    <w:rsid w:val="07AB34E7"/>
    <w:rsid w:val="07D36A00"/>
    <w:rsid w:val="07DB59EB"/>
    <w:rsid w:val="07F338EC"/>
    <w:rsid w:val="082B1C77"/>
    <w:rsid w:val="083F50A2"/>
    <w:rsid w:val="08521695"/>
    <w:rsid w:val="088D7FF0"/>
    <w:rsid w:val="08B07D5B"/>
    <w:rsid w:val="08BD53C7"/>
    <w:rsid w:val="08C413EB"/>
    <w:rsid w:val="09705B33"/>
    <w:rsid w:val="0974059C"/>
    <w:rsid w:val="09A9662A"/>
    <w:rsid w:val="09AC1BC1"/>
    <w:rsid w:val="09BC6232"/>
    <w:rsid w:val="0A043ABA"/>
    <w:rsid w:val="0A164154"/>
    <w:rsid w:val="0A360DE8"/>
    <w:rsid w:val="0A4A3E4A"/>
    <w:rsid w:val="0A4F2135"/>
    <w:rsid w:val="0A757891"/>
    <w:rsid w:val="0ADA7F11"/>
    <w:rsid w:val="0AEC09F3"/>
    <w:rsid w:val="0AF224C0"/>
    <w:rsid w:val="0B2C5085"/>
    <w:rsid w:val="0B3C2E84"/>
    <w:rsid w:val="0B7E7D58"/>
    <w:rsid w:val="0B9E14CB"/>
    <w:rsid w:val="0B9E4213"/>
    <w:rsid w:val="0BD32ECA"/>
    <w:rsid w:val="0BE77026"/>
    <w:rsid w:val="0C1768CC"/>
    <w:rsid w:val="0C2310C3"/>
    <w:rsid w:val="0C3A0C95"/>
    <w:rsid w:val="0C3E5385"/>
    <w:rsid w:val="0C423702"/>
    <w:rsid w:val="0C96240B"/>
    <w:rsid w:val="0CA25C70"/>
    <w:rsid w:val="0CC26BD0"/>
    <w:rsid w:val="0CCF21C8"/>
    <w:rsid w:val="0CFC3F9F"/>
    <w:rsid w:val="0D055CE8"/>
    <w:rsid w:val="0D0F4ED6"/>
    <w:rsid w:val="0D9819F1"/>
    <w:rsid w:val="0DAB0FFB"/>
    <w:rsid w:val="0DE0692F"/>
    <w:rsid w:val="0DEF3DA1"/>
    <w:rsid w:val="0E11445D"/>
    <w:rsid w:val="0E542351"/>
    <w:rsid w:val="0E632099"/>
    <w:rsid w:val="0EBF2A43"/>
    <w:rsid w:val="0EC91129"/>
    <w:rsid w:val="0ED843CC"/>
    <w:rsid w:val="0EDA08E0"/>
    <w:rsid w:val="0F221391"/>
    <w:rsid w:val="0F890797"/>
    <w:rsid w:val="0F8E6586"/>
    <w:rsid w:val="0FB9297A"/>
    <w:rsid w:val="0FC40D7D"/>
    <w:rsid w:val="0FCC6C3F"/>
    <w:rsid w:val="0FD33020"/>
    <w:rsid w:val="0FE820CC"/>
    <w:rsid w:val="0FEF6595"/>
    <w:rsid w:val="102D3EDB"/>
    <w:rsid w:val="103534AE"/>
    <w:rsid w:val="10393EFC"/>
    <w:rsid w:val="105635DE"/>
    <w:rsid w:val="10A519AE"/>
    <w:rsid w:val="10FD358E"/>
    <w:rsid w:val="110D3F98"/>
    <w:rsid w:val="114E32AC"/>
    <w:rsid w:val="117B0EEB"/>
    <w:rsid w:val="11A5284D"/>
    <w:rsid w:val="1212349F"/>
    <w:rsid w:val="12224D50"/>
    <w:rsid w:val="126971EB"/>
    <w:rsid w:val="12850E64"/>
    <w:rsid w:val="12963DA1"/>
    <w:rsid w:val="12984F1A"/>
    <w:rsid w:val="12AC6FD4"/>
    <w:rsid w:val="12E61DB3"/>
    <w:rsid w:val="12F372F0"/>
    <w:rsid w:val="13250E31"/>
    <w:rsid w:val="132612E4"/>
    <w:rsid w:val="135250D0"/>
    <w:rsid w:val="13772741"/>
    <w:rsid w:val="137F27FC"/>
    <w:rsid w:val="13897526"/>
    <w:rsid w:val="13AB527B"/>
    <w:rsid w:val="13EC27A3"/>
    <w:rsid w:val="14520ED9"/>
    <w:rsid w:val="1464050D"/>
    <w:rsid w:val="14872247"/>
    <w:rsid w:val="148972D9"/>
    <w:rsid w:val="149B7751"/>
    <w:rsid w:val="14A4287F"/>
    <w:rsid w:val="14C82A00"/>
    <w:rsid w:val="14E50274"/>
    <w:rsid w:val="150E31A1"/>
    <w:rsid w:val="15196B67"/>
    <w:rsid w:val="15237799"/>
    <w:rsid w:val="1524470F"/>
    <w:rsid w:val="152E3223"/>
    <w:rsid w:val="153F7D0D"/>
    <w:rsid w:val="155B77B8"/>
    <w:rsid w:val="156F1ACB"/>
    <w:rsid w:val="15D73C77"/>
    <w:rsid w:val="165063E4"/>
    <w:rsid w:val="16924078"/>
    <w:rsid w:val="16A76961"/>
    <w:rsid w:val="16AD6471"/>
    <w:rsid w:val="16BC00B5"/>
    <w:rsid w:val="16BD5BE8"/>
    <w:rsid w:val="16D03ECB"/>
    <w:rsid w:val="16E633BC"/>
    <w:rsid w:val="16E67B0D"/>
    <w:rsid w:val="17547636"/>
    <w:rsid w:val="179E5A16"/>
    <w:rsid w:val="17A631D1"/>
    <w:rsid w:val="17EC02EE"/>
    <w:rsid w:val="17EF172D"/>
    <w:rsid w:val="18043F40"/>
    <w:rsid w:val="184975D8"/>
    <w:rsid w:val="184F5A03"/>
    <w:rsid w:val="18553367"/>
    <w:rsid w:val="188B1EE6"/>
    <w:rsid w:val="188E10A8"/>
    <w:rsid w:val="18A73199"/>
    <w:rsid w:val="190E72BC"/>
    <w:rsid w:val="19437087"/>
    <w:rsid w:val="198744F7"/>
    <w:rsid w:val="198E1BE8"/>
    <w:rsid w:val="199369D8"/>
    <w:rsid w:val="1A03103B"/>
    <w:rsid w:val="1A071D61"/>
    <w:rsid w:val="1A7144F7"/>
    <w:rsid w:val="1A882AFB"/>
    <w:rsid w:val="1A8A011D"/>
    <w:rsid w:val="1AC27555"/>
    <w:rsid w:val="1AFB664C"/>
    <w:rsid w:val="1B1C0795"/>
    <w:rsid w:val="1B28649B"/>
    <w:rsid w:val="1B447D2D"/>
    <w:rsid w:val="1B954E3D"/>
    <w:rsid w:val="1BA36B7F"/>
    <w:rsid w:val="1BAD3E87"/>
    <w:rsid w:val="1C052BBE"/>
    <w:rsid w:val="1C085913"/>
    <w:rsid w:val="1C7A05D0"/>
    <w:rsid w:val="1C896BF7"/>
    <w:rsid w:val="1C8A6328"/>
    <w:rsid w:val="1C98707F"/>
    <w:rsid w:val="1CA438BF"/>
    <w:rsid w:val="1CCD19AC"/>
    <w:rsid w:val="1CFB3D7D"/>
    <w:rsid w:val="1D0B7646"/>
    <w:rsid w:val="1D103BE7"/>
    <w:rsid w:val="1D76528B"/>
    <w:rsid w:val="1D855A32"/>
    <w:rsid w:val="1DB12F23"/>
    <w:rsid w:val="1DDA5C93"/>
    <w:rsid w:val="1E4E1501"/>
    <w:rsid w:val="1EAB0C6A"/>
    <w:rsid w:val="1EAF2912"/>
    <w:rsid w:val="1EB41ABE"/>
    <w:rsid w:val="1ED80F44"/>
    <w:rsid w:val="1EEB2832"/>
    <w:rsid w:val="1EF75EC5"/>
    <w:rsid w:val="1F0761CC"/>
    <w:rsid w:val="1F2B7CAE"/>
    <w:rsid w:val="1FA57A62"/>
    <w:rsid w:val="1FB7220A"/>
    <w:rsid w:val="1FEC44A1"/>
    <w:rsid w:val="20160A2B"/>
    <w:rsid w:val="20205A20"/>
    <w:rsid w:val="20617863"/>
    <w:rsid w:val="20635A0A"/>
    <w:rsid w:val="20740297"/>
    <w:rsid w:val="20855B55"/>
    <w:rsid w:val="208C320E"/>
    <w:rsid w:val="209432E5"/>
    <w:rsid w:val="20AC4ABE"/>
    <w:rsid w:val="20C205EB"/>
    <w:rsid w:val="20E701EC"/>
    <w:rsid w:val="213D29A6"/>
    <w:rsid w:val="216F18A9"/>
    <w:rsid w:val="21D55A39"/>
    <w:rsid w:val="22180203"/>
    <w:rsid w:val="22C97FF1"/>
    <w:rsid w:val="22F90B63"/>
    <w:rsid w:val="23007D7C"/>
    <w:rsid w:val="2322058C"/>
    <w:rsid w:val="235C2C2A"/>
    <w:rsid w:val="23DC4798"/>
    <w:rsid w:val="23DE28B4"/>
    <w:rsid w:val="23FF1819"/>
    <w:rsid w:val="24072BAB"/>
    <w:rsid w:val="240A1E65"/>
    <w:rsid w:val="245142FB"/>
    <w:rsid w:val="24D35DD8"/>
    <w:rsid w:val="25037400"/>
    <w:rsid w:val="253036C5"/>
    <w:rsid w:val="253E4460"/>
    <w:rsid w:val="256C4478"/>
    <w:rsid w:val="25726076"/>
    <w:rsid w:val="258869DA"/>
    <w:rsid w:val="259979FD"/>
    <w:rsid w:val="25C6273E"/>
    <w:rsid w:val="25FD2582"/>
    <w:rsid w:val="260C7C1F"/>
    <w:rsid w:val="26137398"/>
    <w:rsid w:val="268C673B"/>
    <w:rsid w:val="26976104"/>
    <w:rsid w:val="271A3FF4"/>
    <w:rsid w:val="271C165B"/>
    <w:rsid w:val="273F083F"/>
    <w:rsid w:val="27870460"/>
    <w:rsid w:val="27DD40F7"/>
    <w:rsid w:val="27E3036D"/>
    <w:rsid w:val="280B1FC0"/>
    <w:rsid w:val="28135739"/>
    <w:rsid w:val="281C757A"/>
    <w:rsid w:val="284978CD"/>
    <w:rsid w:val="286F2FA1"/>
    <w:rsid w:val="287B12EA"/>
    <w:rsid w:val="2891291A"/>
    <w:rsid w:val="28B74238"/>
    <w:rsid w:val="28B83CA7"/>
    <w:rsid w:val="28BA2819"/>
    <w:rsid w:val="28CF73DA"/>
    <w:rsid w:val="28E502F9"/>
    <w:rsid w:val="29363F06"/>
    <w:rsid w:val="294921DF"/>
    <w:rsid w:val="296C36E3"/>
    <w:rsid w:val="296F5B95"/>
    <w:rsid w:val="29DE0525"/>
    <w:rsid w:val="29EF70C8"/>
    <w:rsid w:val="2A221D03"/>
    <w:rsid w:val="2A3716AB"/>
    <w:rsid w:val="2A7C3C18"/>
    <w:rsid w:val="2A8D72E7"/>
    <w:rsid w:val="2ABF25BE"/>
    <w:rsid w:val="2ADE2A02"/>
    <w:rsid w:val="2B243DEB"/>
    <w:rsid w:val="2B302D87"/>
    <w:rsid w:val="2B485DBB"/>
    <w:rsid w:val="2B692B05"/>
    <w:rsid w:val="2B8C0A94"/>
    <w:rsid w:val="2BB67139"/>
    <w:rsid w:val="2BDD6E53"/>
    <w:rsid w:val="2BDE1876"/>
    <w:rsid w:val="2BF64087"/>
    <w:rsid w:val="2C165FD1"/>
    <w:rsid w:val="2C427C83"/>
    <w:rsid w:val="2CC51381"/>
    <w:rsid w:val="2CFB5534"/>
    <w:rsid w:val="2D0D0130"/>
    <w:rsid w:val="2D2A3BDD"/>
    <w:rsid w:val="2D532F56"/>
    <w:rsid w:val="2D6F4BEE"/>
    <w:rsid w:val="2DAD2E9F"/>
    <w:rsid w:val="2DB046D4"/>
    <w:rsid w:val="2E0C0EE9"/>
    <w:rsid w:val="2E3D6CA4"/>
    <w:rsid w:val="2E50390C"/>
    <w:rsid w:val="2E7C271A"/>
    <w:rsid w:val="2E7C3545"/>
    <w:rsid w:val="2EA73960"/>
    <w:rsid w:val="2EAF6A86"/>
    <w:rsid w:val="2EB35A8A"/>
    <w:rsid w:val="2ECC0B8E"/>
    <w:rsid w:val="2ED4504C"/>
    <w:rsid w:val="2F28730D"/>
    <w:rsid w:val="2F47605F"/>
    <w:rsid w:val="2F7554CE"/>
    <w:rsid w:val="2FB72D5C"/>
    <w:rsid w:val="301C551E"/>
    <w:rsid w:val="30396056"/>
    <w:rsid w:val="304862D7"/>
    <w:rsid w:val="30C51137"/>
    <w:rsid w:val="30CB109B"/>
    <w:rsid w:val="30CF7407"/>
    <w:rsid w:val="30DA24F1"/>
    <w:rsid w:val="30E81B43"/>
    <w:rsid w:val="30F65B02"/>
    <w:rsid w:val="3109019E"/>
    <w:rsid w:val="310959FE"/>
    <w:rsid w:val="3109732A"/>
    <w:rsid w:val="312E53DA"/>
    <w:rsid w:val="314C232E"/>
    <w:rsid w:val="315E5833"/>
    <w:rsid w:val="31840F63"/>
    <w:rsid w:val="319764DC"/>
    <w:rsid w:val="31DF35CD"/>
    <w:rsid w:val="32080EDC"/>
    <w:rsid w:val="32AB7EAB"/>
    <w:rsid w:val="32B71D27"/>
    <w:rsid w:val="32DE07F1"/>
    <w:rsid w:val="32F7059A"/>
    <w:rsid w:val="331534C4"/>
    <w:rsid w:val="33187C85"/>
    <w:rsid w:val="331D3C4A"/>
    <w:rsid w:val="33323300"/>
    <w:rsid w:val="336439F5"/>
    <w:rsid w:val="338527AA"/>
    <w:rsid w:val="338C0DA0"/>
    <w:rsid w:val="339415E0"/>
    <w:rsid w:val="33AD7188"/>
    <w:rsid w:val="33AE0711"/>
    <w:rsid w:val="34067A65"/>
    <w:rsid w:val="343B507D"/>
    <w:rsid w:val="343F3919"/>
    <w:rsid w:val="344304E0"/>
    <w:rsid w:val="34476E90"/>
    <w:rsid w:val="34777EA9"/>
    <w:rsid w:val="34825981"/>
    <w:rsid w:val="348573AD"/>
    <w:rsid w:val="34AC4555"/>
    <w:rsid w:val="34F36D08"/>
    <w:rsid w:val="3519707B"/>
    <w:rsid w:val="35485482"/>
    <w:rsid w:val="357E5409"/>
    <w:rsid w:val="35945D5F"/>
    <w:rsid w:val="35B3556B"/>
    <w:rsid w:val="35BC7D52"/>
    <w:rsid w:val="35F5325E"/>
    <w:rsid w:val="360630CA"/>
    <w:rsid w:val="360A76FC"/>
    <w:rsid w:val="361231BE"/>
    <w:rsid w:val="36123FBF"/>
    <w:rsid w:val="366A08A1"/>
    <w:rsid w:val="36801FC3"/>
    <w:rsid w:val="36A92AAB"/>
    <w:rsid w:val="36EF163D"/>
    <w:rsid w:val="371E73E3"/>
    <w:rsid w:val="37334B21"/>
    <w:rsid w:val="374351D0"/>
    <w:rsid w:val="376A3DBD"/>
    <w:rsid w:val="37E81DE8"/>
    <w:rsid w:val="38127AB9"/>
    <w:rsid w:val="3848012E"/>
    <w:rsid w:val="387F6B81"/>
    <w:rsid w:val="38A11AEB"/>
    <w:rsid w:val="38C924A0"/>
    <w:rsid w:val="38F86950"/>
    <w:rsid w:val="390163DD"/>
    <w:rsid w:val="390F75B2"/>
    <w:rsid w:val="39117F66"/>
    <w:rsid w:val="39525C52"/>
    <w:rsid w:val="3956425B"/>
    <w:rsid w:val="396D50DB"/>
    <w:rsid w:val="39A22AAB"/>
    <w:rsid w:val="39A64D30"/>
    <w:rsid w:val="39BB523D"/>
    <w:rsid w:val="39C6291A"/>
    <w:rsid w:val="3A0C3554"/>
    <w:rsid w:val="3A202424"/>
    <w:rsid w:val="3A804354"/>
    <w:rsid w:val="3ACE068F"/>
    <w:rsid w:val="3AD22BFA"/>
    <w:rsid w:val="3ADA55AC"/>
    <w:rsid w:val="3AF12A22"/>
    <w:rsid w:val="3AF460F5"/>
    <w:rsid w:val="3B0F7D65"/>
    <w:rsid w:val="3B261813"/>
    <w:rsid w:val="3B2748BB"/>
    <w:rsid w:val="3B721C7C"/>
    <w:rsid w:val="3BEA5380"/>
    <w:rsid w:val="3BF655CF"/>
    <w:rsid w:val="3BFF70BC"/>
    <w:rsid w:val="3C365B20"/>
    <w:rsid w:val="3C3F24CA"/>
    <w:rsid w:val="3C545137"/>
    <w:rsid w:val="3C5D7709"/>
    <w:rsid w:val="3C5D7D9D"/>
    <w:rsid w:val="3CA93488"/>
    <w:rsid w:val="3D1C54C3"/>
    <w:rsid w:val="3D23046C"/>
    <w:rsid w:val="3D333B35"/>
    <w:rsid w:val="3D6C60E9"/>
    <w:rsid w:val="3D855C98"/>
    <w:rsid w:val="3D996300"/>
    <w:rsid w:val="3DAE03CA"/>
    <w:rsid w:val="3DC72F9A"/>
    <w:rsid w:val="3EA66B99"/>
    <w:rsid w:val="3EA86ADD"/>
    <w:rsid w:val="3EB6778E"/>
    <w:rsid w:val="3EC949BD"/>
    <w:rsid w:val="3EEC20B5"/>
    <w:rsid w:val="3F1D1FAD"/>
    <w:rsid w:val="3F453F96"/>
    <w:rsid w:val="3F547FD3"/>
    <w:rsid w:val="3F5A2EDA"/>
    <w:rsid w:val="3F7F04C5"/>
    <w:rsid w:val="3FBA151A"/>
    <w:rsid w:val="3FCB42E0"/>
    <w:rsid w:val="3FCD0245"/>
    <w:rsid w:val="3FF2193A"/>
    <w:rsid w:val="402D0DF8"/>
    <w:rsid w:val="405979F4"/>
    <w:rsid w:val="405E0973"/>
    <w:rsid w:val="40667949"/>
    <w:rsid w:val="407A48B6"/>
    <w:rsid w:val="408706D4"/>
    <w:rsid w:val="40895D14"/>
    <w:rsid w:val="40BA2B58"/>
    <w:rsid w:val="40F91152"/>
    <w:rsid w:val="4123696B"/>
    <w:rsid w:val="412C4767"/>
    <w:rsid w:val="414D51AD"/>
    <w:rsid w:val="41541293"/>
    <w:rsid w:val="41544514"/>
    <w:rsid w:val="416A65A4"/>
    <w:rsid w:val="41C73588"/>
    <w:rsid w:val="41C8041D"/>
    <w:rsid w:val="41EC43CC"/>
    <w:rsid w:val="41FA16D6"/>
    <w:rsid w:val="41FB3136"/>
    <w:rsid w:val="41FF695D"/>
    <w:rsid w:val="42350DEA"/>
    <w:rsid w:val="42431596"/>
    <w:rsid w:val="42657ECE"/>
    <w:rsid w:val="42967F6B"/>
    <w:rsid w:val="42A10252"/>
    <w:rsid w:val="42D665BD"/>
    <w:rsid w:val="42E12561"/>
    <w:rsid w:val="432B281E"/>
    <w:rsid w:val="43821027"/>
    <w:rsid w:val="43EE04C7"/>
    <w:rsid w:val="43F80311"/>
    <w:rsid w:val="44165A49"/>
    <w:rsid w:val="44190360"/>
    <w:rsid w:val="44395BA8"/>
    <w:rsid w:val="447F6FC8"/>
    <w:rsid w:val="4489635E"/>
    <w:rsid w:val="449874DC"/>
    <w:rsid w:val="44E01002"/>
    <w:rsid w:val="452112A4"/>
    <w:rsid w:val="454A2BAB"/>
    <w:rsid w:val="459308E1"/>
    <w:rsid w:val="45A93012"/>
    <w:rsid w:val="45D4644E"/>
    <w:rsid w:val="45DB483E"/>
    <w:rsid w:val="46386C71"/>
    <w:rsid w:val="46647CCF"/>
    <w:rsid w:val="46752E4C"/>
    <w:rsid w:val="468834C8"/>
    <w:rsid w:val="46B72EB2"/>
    <w:rsid w:val="46F92781"/>
    <w:rsid w:val="474002CC"/>
    <w:rsid w:val="47523EC7"/>
    <w:rsid w:val="47B53BAA"/>
    <w:rsid w:val="47CB6AB5"/>
    <w:rsid w:val="47DA2811"/>
    <w:rsid w:val="481C2D4F"/>
    <w:rsid w:val="486620A5"/>
    <w:rsid w:val="48941E44"/>
    <w:rsid w:val="48D90393"/>
    <w:rsid w:val="48F33103"/>
    <w:rsid w:val="49692174"/>
    <w:rsid w:val="499E6F1D"/>
    <w:rsid w:val="49C56F37"/>
    <w:rsid w:val="49C822B9"/>
    <w:rsid w:val="49E2373B"/>
    <w:rsid w:val="4A1A1AFC"/>
    <w:rsid w:val="4A1A6A4D"/>
    <w:rsid w:val="4A1C7F69"/>
    <w:rsid w:val="4A3D2296"/>
    <w:rsid w:val="4A4A7BE5"/>
    <w:rsid w:val="4A693618"/>
    <w:rsid w:val="4A7E299A"/>
    <w:rsid w:val="4A83553B"/>
    <w:rsid w:val="4AB72EFA"/>
    <w:rsid w:val="4AC24D5B"/>
    <w:rsid w:val="4B315A79"/>
    <w:rsid w:val="4B64462A"/>
    <w:rsid w:val="4B996FB5"/>
    <w:rsid w:val="4B9A68A7"/>
    <w:rsid w:val="4BC14EAA"/>
    <w:rsid w:val="4BF977CF"/>
    <w:rsid w:val="4BFE0015"/>
    <w:rsid w:val="4C050246"/>
    <w:rsid w:val="4C0664BF"/>
    <w:rsid w:val="4C0F23A4"/>
    <w:rsid w:val="4C120763"/>
    <w:rsid w:val="4C150E22"/>
    <w:rsid w:val="4C4C20D1"/>
    <w:rsid w:val="4C6263AC"/>
    <w:rsid w:val="4CA920D2"/>
    <w:rsid w:val="4CAD5597"/>
    <w:rsid w:val="4CC53F3F"/>
    <w:rsid w:val="4CCC0113"/>
    <w:rsid w:val="4CEB1FF1"/>
    <w:rsid w:val="4D265BFE"/>
    <w:rsid w:val="4D443EBC"/>
    <w:rsid w:val="4D6A309D"/>
    <w:rsid w:val="4D9E31C3"/>
    <w:rsid w:val="4D9E333C"/>
    <w:rsid w:val="4DB6655A"/>
    <w:rsid w:val="4DC108F4"/>
    <w:rsid w:val="4DC67DC5"/>
    <w:rsid w:val="4DCE3A17"/>
    <w:rsid w:val="4E0176F5"/>
    <w:rsid w:val="4E0C0474"/>
    <w:rsid w:val="4E2F60B4"/>
    <w:rsid w:val="4E41374F"/>
    <w:rsid w:val="4E414BB2"/>
    <w:rsid w:val="4E482BE2"/>
    <w:rsid w:val="4E7E4296"/>
    <w:rsid w:val="4EC92B5C"/>
    <w:rsid w:val="4ED24E8A"/>
    <w:rsid w:val="4ED50D56"/>
    <w:rsid w:val="4ED75229"/>
    <w:rsid w:val="4EE2753C"/>
    <w:rsid w:val="4F0D5F85"/>
    <w:rsid w:val="4F206F52"/>
    <w:rsid w:val="4F2C4F1E"/>
    <w:rsid w:val="4F300D96"/>
    <w:rsid w:val="4F3351A1"/>
    <w:rsid w:val="4F4B4EC8"/>
    <w:rsid w:val="4F4C02F9"/>
    <w:rsid w:val="4F546E7B"/>
    <w:rsid w:val="4F5624CB"/>
    <w:rsid w:val="4F774B1B"/>
    <w:rsid w:val="4FB467F9"/>
    <w:rsid w:val="4FD02F65"/>
    <w:rsid w:val="4FF77627"/>
    <w:rsid w:val="50440CF8"/>
    <w:rsid w:val="50CA6717"/>
    <w:rsid w:val="510D07DF"/>
    <w:rsid w:val="514F1235"/>
    <w:rsid w:val="51895F8F"/>
    <w:rsid w:val="519B28E7"/>
    <w:rsid w:val="51A84DBE"/>
    <w:rsid w:val="51BA3724"/>
    <w:rsid w:val="51EA52E6"/>
    <w:rsid w:val="524D7E04"/>
    <w:rsid w:val="52832C8D"/>
    <w:rsid w:val="52DB3A4A"/>
    <w:rsid w:val="52E57CC3"/>
    <w:rsid w:val="5312550A"/>
    <w:rsid w:val="534A1349"/>
    <w:rsid w:val="5359222A"/>
    <w:rsid w:val="5394125E"/>
    <w:rsid w:val="539F16B1"/>
    <w:rsid w:val="53B347B9"/>
    <w:rsid w:val="53DE69BF"/>
    <w:rsid w:val="53F046E7"/>
    <w:rsid w:val="53F65A75"/>
    <w:rsid w:val="53F7012F"/>
    <w:rsid w:val="541E45C6"/>
    <w:rsid w:val="54562E9A"/>
    <w:rsid w:val="54814F3D"/>
    <w:rsid w:val="54D264E2"/>
    <w:rsid w:val="54D723E8"/>
    <w:rsid w:val="55043940"/>
    <w:rsid w:val="550721D5"/>
    <w:rsid w:val="552D03A4"/>
    <w:rsid w:val="55387C0D"/>
    <w:rsid w:val="554B10D3"/>
    <w:rsid w:val="555278C4"/>
    <w:rsid w:val="557347D9"/>
    <w:rsid w:val="558D4CD1"/>
    <w:rsid w:val="55A31786"/>
    <w:rsid w:val="55A47060"/>
    <w:rsid w:val="55AC636A"/>
    <w:rsid w:val="55C15CC7"/>
    <w:rsid w:val="56072347"/>
    <w:rsid w:val="56084A61"/>
    <w:rsid w:val="563648E8"/>
    <w:rsid w:val="569605B1"/>
    <w:rsid w:val="56A650A5"/>
    <w:rsid w:val="56B967C0"/>
    <w:rsid w:val="56BE67A9"/>
    <w:rsid w:val="56EE7782"/>
    <w:rsid w:val="57550496"/>
    <w:rsid w:val="576B0D91"/>
    <w:rsid w:val="57830686"/>
    <w:rsid w:val="57A9177C"/>
    <w:rsid w:val="57C96345"/>
    <w:rsid w:val="57D17697"/>
    <w:rsid w:val="57D92384"/>
    <w:rsid w:val="57E04F41"/>
    <w:rsid w:val="58020827"/>
    <w:rsid w:val="581808D2"/>
    <w:rsid w:val="5878114F"/>
    <w:rsid w:val="588E3A11"/>
    <w:rsid w:val="58941028"/>
    <w:rsid w:val="58980CA8"/>
    <w:rsid w:val="58A44110"/>
    <w:rsid w:val="58B42629"/>
    <w:rsid w:val="58D5714F"/>
    <w:rsid w:val="58DE21CC"/>
    <w:rsid w:val="5927169E"/>
    <w:rsid w:val="59302495"/>
    <w:rsid w:val="594B4BEF"/>
    <w:rsid w:val="5A442CE0"/>
    <w:rsid w:val="5A5F1744"/>
    <w:rsid w:val="5A782B46"/>
    <w:rsid w:val="5B2616E5"/>
    <w:rsid w:val="5B3A4C3E"/>
    <w:rsid w:val="5B474BD0"/>
    <w:rsid w:val="5B884B96"/>
    <w:rsid w:val="5BF93517"/>
    <w:rsid w:val="5C435D6C"/>
    <w:rsid w:val="5D090FC9"/>
    <w:rsid w:val="5D0B0832"/>
    <w:rsid w:val="5D0F0AB2"/>
    <w:rsid w:val="5D7217AC"/>
    <w:rsid w:val="5DAD34DD"/>
    <w:rsid w:val="5DB10733"/>
    <w:rsid w:val="5E070ED0"/>
    <w:rsid w:val="5E0B0A29"/>
    <w:rsid w:val="5E510750"/>
    <w:rsid w:val="5ED206DD"/>
    <w:rsid w:val="5F2F4877"/>
    <w:rsid w:val="5F45345B"/>
    <w:rsid w:val="5F5D6E5A"/>
    <w:rsid w:val="5FA2526B"/>
    <w:rsid w:val="5FA40847"/>
    <w:rsid w:val="5FAA3C47"/>
    <w:rsid w:val="5FCB432F"/>
    <w:rsid w:val="5FD448AC"/>
    <w:rsid w:val="5FF61953"/>
    <w:rsid w:val="5FFD6499"/>
    <w:rsid w:val="600E54F4"/>
    <w:rsid w:val="604157B4"/>
    <w:rsid w:val="607B75C7"/>
    <w:rsid w:val="608E3AB9"/>
    <w:rsid w:val="60A827A3"/>
    <w:rsid w:val="60D51A59"/>
    <w:rsid w:val="60E344FF"/>
    <w:rsid w:val="60E82224"/>
    <w:rsid w:val="60EF0A8D"/>
    <w:rsid w:val="60F12BA5"/>
    <w:rsid w:val="60F575C1"/>
    <w:rsid w:val="61147D5F"/>
    <w:rsid w:val="61461C93"/>
    <w:rsid w:val="61B17DFE"/>
    <w:rsid w:val="61CA13D9"/>
    <w:rsid w:val="61FC42CB"/>
    <w:rsid w:val="622E2E60"/>
    <w:rsid w:val="6260477F"/>
    <w:rsid w:val="62847EA7"/>
    <w:rsid w:val="62852ABE"/>
    <w:rsid w:val="62A615B2"/>
    <w:rsid w:val="62A974C8"/>
    <w:rsid w:val="62DB637F"/>
    <w:rsid w:val="62E00223"/>
    <w:rsid w:val="62FA10BA"/>
    <w:rsid w:val="62FD5017"/>
    <w:rsid w:val="63296CF6"/>
    <w:rsid w:val="63532130"/>
    <w:rsid w:val="637A23E2"/>
    <w:rsid w:val="638C2DD2"/>
    <w:rsid w:val="63972103"/>
    <w:rsid w:val="63D615FE"/>
    <w:rsid w:val="64027326"/>
    <w:rsid w:val="640B7333"/>
    <w:rsid w:val="6469117D"/>
    <w:rsid w:val="64871562"/>
    <w:rsid w:val="64D52890"/>
    <w:rsid w:val="64D605E3"/>
    <w:rsid w:val="64EA7FB1"/>
    <w:rsid w:val="64EC6C5A"/>
    <w:rsid w:val="65211E78"/>
    <w:rsid w:val="653528A1"/>
    <w:rsid w:val="653D7AF3"/>
    <w:rsid w:val="6570487D"/>
    <w:rsid w:val="65771892"/>
    <w:rsid w:val="65B119A5"/>
    <w:rsid w:val="65BB38BC"/>
    <w:rsid w:val="65E25E59"/>
    <w:rsid w:val="65E652DD"/>
    <w:rsid w:val="65E83D85"/>
    <w:rsid w:val="65F916BF"/>
    <w:rsid w:val="661C2A65"/>
    <w:rsid w:val="6622535F"/>
    <w:rsid w:val="66346CA6"/>
    <w:rsid w:val="66565CBE"/>
    <w:rsid w:val="66602909"/>
    <w:rsid w:val="66E50CF7"/>
    <w:rsid w:val="66E8781C"/>
    <w:rsid w:val="66F823CA"/>
    <w:rsid w:val="670E76D1"/>
    <w:rsid w:val="67574E33"/>
    <w:rsid w:val="679B2764"/>
    <w:rsid w:val="67CC71F3"/>
    <w:rsid w:val="67D77C44"/>
    <w:rsid w:val="68156FD0"/>
    <w:rsid w:val="686052D7"/>
    <w:rsid w:val="68645048"/>
    <w:rsid w:val="68752125"/>
    <w:rsid w:val="690459DC"/>
    <w:rsid w:val="690B7AFD"/>
    <w:rsid w:val="692A385D"/>
    <w:rsid w:val="69543567"/>
    <w:rsid w:val="698F0E71"/>
    <w:rsid w:val="699A6C05"/>
    <w:rsid w:val="6A6D318E"/>
    <w:rsid w:val="6A90444F"/>
    <w:rsid w:val="6A930078"/>
    <w:rsid w:val="6AB30BF9"/>
    <w:rsid w:val="6AE61DAD"/>
    <w:rsid w:val="6AEE31E1"/>
    <w:rsid w:val="6AF53AB4"/>
    <w:rsid w:val="6AFC4C50"/>
    <w:rsid w:val="6AFF6DD9"/>
    <w:rsid w:val="6B2031BA"/>
    <w:rsid w:val="6B3034CF"/>
    <w:rsid w:val="6B6721F6"/>
    <w:rsid w:val="6B713444"/>
    <w:rsid w:val="6B7A60D6"/>
    <w:rsid w:val="6B956E9A"/>
    <w:rsid w:val="6B983A82"/>
    <w:rsid w:val="6B9F6D44"/>
    <w:rsid w:val="6BB81397"/>
    <w:rsid w:val="6C203A9A"/>
    <w:rsid w:val="6C385BB0"/>
    <w:rsid w:val="6C6118DE"/>
    <w:rsid w:val="6CA21E49"/>
    <w:rsid w:val="6CA6506C"/>
    <w:rsid w:val="6CAD0466"/>
    <w:rsid w:val="6CB75CCD"/>
    <w:rsid w:val="6CBA18DE"/>
    <w:rsid w:val="6CCC3634"/>
    <w:rsid w:val="6CF450EA"/>
    <w:rsid w:val="6CF52602"/>
    <w:rsid w:val="6D2D26D4"/>
    <w:rsid w:val="6D2F4A11"/>
    <w:rsid w:val="6D3F691A"/>
    <w:rsid w:val="6D6F7597"/>
    <w:rsid w:val="6D8C0517"/>
    <w:rsid w:val="6DC02322"/>
    <w:rsid w:val="6DE5023A"/>
    <w:rsid w:val="6E8B1784"/>
    <w:rsid w:val="6E9303C1"/>
    <w:rsid w:val="6ECF03D4"/>
    <w:rsid w:val="6EEA4B30"/>
    <w:rsid w:val="6EEB1850"/>
    <w:rsid w:val="6F1D62F1"/>
    <w:rsid w:val="6F617B7A"/>
    <w:rsid w:val="6F71329B"/>
    <w:rsid w:val="6F7A3C37"/>
    <w:rsid w:val="6F7C514E"/>
    <w:rsid w:val="6FA474C8"/>
    <w:rsid w:val="6FC02C16"/>
    <w:rsid w:val="6FE836DF"/>
    <w:rsid w:val="6FF6475E"/>
    <w:rsid w:val="70184EA3"/>
    <w:rsid w:val="70321B8C"/>
    <w:rsid w:val="704269AA"/>
    <w:rsid w:val="7065127C"/>
    <w:rsid w:val="70683582"/>
    <w:rsid w:val="707053C2"/>
    <w:rsid w:val="7084049C"/>
    <w:rsid w:val="709A3A39"/>
    <w:rsid w:val="70A237D7"/>
    <w:rsid w:val="70C01024"/>
    <w:rsid w:val="70CB53E1"/>
    <w:rsid w:val="70E45041"/>
    <w:rsid w:val="71056F4E"/>
    <w:rsid w:val="714E12CF"/>
    <w:rsid w:val="71707E34"/>
    <w:rsid w:val="71CE5989"/>
    <w:rsid w:val="7209016D"/>
    <w:rsid w:val="72462B16"/>
    <w:rsid w:val="724D78E7"/>
    <w:rsid w:val="7259341C"/>
    <w:rsid w:val="728B00C1"/>
    <w:rsid w:val="72B40135"/>
    <w:rsid w:val="72BD2D00"/>
    <w:rsid w:val="72E74435"/>
    <w:rsid w:val="72FA299D"/>
    <w:rsid w:val="734446DC"/>
    <w:rsid w:val="734521A8"/>
    <w:rsid w:val="73486236"/>
    <w:rsid w:val="73707E67"/>
    <w:rsid w:val="7382217D"/>
    <w:rsid w:val="73AA3A2F"/>
    <w:rsid w:val="73BA58EC"/>
    <w:rsid w:val="73BB65D5"/>
    <w:rsid w:val="73CA7D44"/>
    <w:rsid w:val="73F538C3"/>
    <w:rsid w:val="741F0C23"/>
    <w:rsid w:val="74277859"/>
    <w:rsid w:val="743439CA"/>
    <w:rsid w:val="745E5DE3"/>
    <w:rsid w:val="748F3308"/>
    <w:rsid w:val="74BC7F66"/>
    <w:rsid w:val="74DD127A"/>
    <w:rsid w:val="75686B98"/>
    <w:rsid w:val="75CA1C7B"/>
    <w:rsid w:val="765E04EA"/>
    <w:rsid w:val="765F3D46"/>
    <w:rsid w:val="7677072C"/>
    <w:rsid w:val="76A00464"/>
    <w:rsid w:val="76A021B3"/>
    <w:rsid w:val="76B664D7"/>
    <w:rsid w:val="76CC5FFF"/>
    <w:rsid w:val="76E33575"/>
    <w:rsid w:val="76EB2B73"/>
    <w:rsid w:val="770B0914"/>
    <w:rsid w:val="775B260D"/>
    <w:rsid w:val="77735805"/>
    <w:rsid w:val="77813724"/>
    <w:rsid w:val="77996CC0"/>
    <w:rsid w:val="779A64DA"/>
    <w:rsid w:val="77A33591"/>
    <w:rsid w:val="77B01315"/>
    <w:rsid w:val="77D16924"/>
    <w:rsid w:val="77DC2E5C"/>
    <w:rsid w:val="78047EB1"/>
    <w:rsid w:val="78063F96"/>
    <w:rsid w:val="782C2784"/>
    <w:rsid w:val="78326601"/>
    <w:rsid w:val="783976E2"/>
    <w:rsid w:val="784946D9"/>
    <w:rsid w:val="785C5998"/>
    <w:rsid w:val="78912C2B"/>
    <w:rsid w:val="78B6451A"/>
    <w:rsid w:val="78FB211C"/>
    <w:rsid w:val="790147C9"/>
    <w:rsid w:val="792A6F66"/>
    <w:rsid w:val="795269EF"/>
    <w:rsid w:val="796D7AA9"/>
    <w:rsid w:val="797F7147"/>
    <w:rsid w:val="79BE2A91"/>
    <w:rsid w:val="7A3A5831"/>
    <w:rsid w:val="7A992CC0"/>
    <w:rsid w:val="7AD5704D"/>
    <w:rsid w:val="7AF95CC7"/>
    <w:rsid w:val="7B041FA2"/>
    <w:rsid w:val="7B1F37B5"/>
    <w:rsid w:val="7B3A50B0"/>
    <w:rsid w:val="7B867A45"/>
    <w:rsid w:val="7B8B2C1D"/>
    <w:rsid w:val="7BCA3B47"/>
    <w:rsid w:val="7BD020E4"/>
    <w:rsid w:val="7BD10626"/>
    <w:rsid w:val="7C01614C"/>
    <w:rsid w:val="7C3403C9"/>
    <w:rsid w:val="7C423C8F"/>
    <w:rsid w:val="7C89639D"/>
    <w:rsid w:val="7CD3004A"/>
    <w:rsid w:val="7CEF7382"/>
    <w:rsid w:val="7D062C5B"/>
    <w:rsid w:val="7D4E0A33"/>
    <w:rsid w:val="7D4E0C16"/>
    <w:rsid w:val="7D793C28"/>
    <w:rsid w:val="7D8C0F6F"/>
    <w:rsid w:val="7DA32B71"/>
    <w:rsid w:val="7DBC1642"/>
    <w:rsid w:val="7E171363"/>
    <w:rsid w:val="7E5D1143"/>
    <w:rsid w:val="7EEE51D4"/>
    <w:rsid w:val="7EFC2718"/>
    <w:rsid w:val="7F4C5AD9"/>
    <w:rsid w:val="7F6A5445"/>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8"/>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qFormat/>
    <w:uiPriority w:val="1"/>
    <w:pPr>
      <w:outlineLvl w:val="2"/>
    </w:pPr>
    <w:rPr>
      <w:rFonts w:eastAsia="黑体"/>
      <w:b/>
      <w:sz w:val="28"/>
      <w:szCs w:val="30"/>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qFormat/>
    <w:uiPriority w:val="0"/>
  </w:style>
  <w:style w:type="paragraph" w:styleId="6">
    <w:name w:val="Body Text"/>
    <w:basedOn w:val="1"/>
    <w:link w:val="36"/>
    <w:qFormat/>
    <w:uiPriority w:val="1"/>
    <w:rPr>
      <w:sz w:val="18"/>
      <w:szCs w:val="18"/>
    </w:rPr>
  </w:style>
  <w:style w:type="paragraph" w:styleId="7">
    <w:name w:val="toc 3"/>
    <w:basedOn w:val="1"/>
    <w:next w:val="1"/>
    <w:qFormat/>
    <w:uiPriority w:val="0"/>
    <w:pPr>
      <w:ind w:left="840" w:leftChars="400"/>
    </w:pPr>
  </w:style>
  <w:style w:type="paragraph" w:styleId="8">
    <w:name w:val="Balloon Text"/>
    <w:basedOn w:val="1"/>
    <w:link w:val="34"/>
    <w:qFormat/>
    <w:uiPriority w:val="0"/>
    <w:rPr>
      <w:sz w:val="18"/>
      <w:szCs w:val="18"/>
    </w:rPr>
  </w:style>
  <w:style w:type="paragraph" w:styleId="9">
    <w:name w:val="footer"/>
    <w:basedOn w:val="1"/>
    <w:unhideWhenUsed/>
    <w:qFormat/>
    <w:uiPriority w:val="99"/>
    <w:pPr>
      <w:tabs>
        <w:tab w:val="center" w:pos="4153"/>
        <w:tab w:val="right" w:pos="8306"/>
      </w:tabs>
      <w:snapToGrid w:val="0"/>
    </w:pPr>
    <w:rPr>
      <w:sz w:val="18"/>
      <w:szCs w:val="18"/>
    </w:rPr>
  </w:style>
  <w:style w:type="paragraph" w:styleId="1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unhideWhenUsed/>
    <w:qFormat/>
    <w:uiPriority w:val="39"/>
  </w:style>
  <w:style w:type="paragraph" w:styleId="12">
    <w:name w:val="toc 2"/>
    <w:basedOn w:val="1"/>
    <w:next w:val="1"/>
    <w:unhideWhenUsed/>
    <w:qFormat/>
    <w:uiPriority w:val="39"/>
    <w:pPr>
      <w:ind w:left="420" w:leftChars="200"/>
    </w:pPr>
  </w:style>
  <w:style w:type="paragraph" w:styleId="1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4">
    <w:name w:val="Normal (Web)"/>
    <w:basedOn w:val="1"/>
    <w:qFormat/>
    <w:uiPriority w:val="0"/>
    <w:rPr>
      <w:sz w:val="24"/>
    </w:rPr>
  </w:style>
  <w:style w:type="table" w:styleId="16">
    <w:name w:val="Table Grid"/>
    <w:basedOn w:val="15"/>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0"/>
    <w:rPr>
      <w:b/>
    </w:rPr>
  </w:style>
  <w:style w:type="character" w:styleId="19">
    <w:name w:val="Hyperlink"/>
    <w:basedOn w:val="17"/>
    <w:unhideWhenUsed/>
    <w:qFormat/>
    <w:uiPriority w:val="99"/>
    <w:rPr>
      <w:color w:val="0563C1" w:themeColor="hyperlink"/>
      <w:u w:val="single"/>
      <w14:textFill>
        <w14:solidFill>
          <w14:schemeClr w14:val="hlink"/>
        </w14:solidFill>
      </w14:textFill>
    </w:rPr>
  </w:style>
  <w:style w:type="character" w:styleId="20">
    <w:name w:val="annotation reference"/>
    <w:basedOn w:val="17"/>
    <w:qFormat/>
    <w:uiPriority w:val="0"/>
    <w:rPr>
      <w:sz w:val="21"/>
      <w:szCs w:val="21"/>
    </w:rPr>
  </w:style>
  <w:style w:type="paragraph" w:customStyle="1" w:styleId="21">
    <w:name w:val="Table Paragraph"/>
    <w:basedOn w:val="1"/>
    <w:qFormat/>
    <w:uiPriority w:val="1"/>
  </w:style>
  <w:style w:type="table" w:customStyle="1" w:styleId="22">
    <w:name w:val="Table Normal1"/>
    <w:unhideWhenUsed/>
    <w:qFormat/>
    <w:uiPriority w:val="2"/>
    <w:tblPr>
      <w:tblCellMar>
        <w:top w:w="0" w:type="dxa"/>
        <w:left w:w="0" w:type="dxa"/>
        <w:bottom w:w="0" w:type="dxa"/>
        <w:right w:w="0" w:type="dxa"/>
      </w:tblCellMar>
    </w:tblPr>
  </w:style>
  <w:style w:type="paragraph" w:customStyle="1" w:styleId="23">
    <w:name w:val="List Paragraph1"/>
    <w:basedOn w:val="1"/>
    <w:qFormat/>
    <w:uiPriority w:val="34"/>
    <w:rPr>
      <w:rFonts w:asciiTheme="minorHAnsi" w:hAnsiTheme="minorHAnsi" w:eastAsiaTheme="minorEastAsia" w:cstheme="minorBidi"/>
    </w:rPr>
  </w:style>
  <w:style w:type="paragraph" w:customStyle="1" w:styleId="24">
    <w:name w:val="标题1-1"/>
    <w:basedOn w:val="2"/>
    <w:next w:val="1"/>
    <w:qFormat/>
    <w:uiPriority w:val="1"/>
    <w:pPr>
      <w:numPr>
        <w:numId w:val="3"/>
      </w:numPr>
    </w:pPr>
    <w:rPr>
      <w:rFonts w:cs="Times New Roman"/>
      <w:bCs w:val="0"/>
      <w:color w:val="45A3A7"/>
    </w:rPr>
  </w:style>
  <w:style w:type="paragraph" w:customStyle="1" w:styleId="25">
    <w:name w:val="标题2-1"/>
    <w:basedOn w:val="3"/>
    <w:next w:val="1"/>
    <w:qFormat/>
    <w:uiPriority w:val="1"/>
    <w:pPr>
      <w:numPr>
        <w:numId w:val="4"/>
      </w:numPr>
      <w:spacing w:line="276" w:lineRule="auto"/>
    </w:pPr>
    <w:rPr>
      <w:rFonts w:cs="Times New Roman"/>
      <w:color w:val="45A3A7"/>
      <w:szCs w:val="24"/>
      <w:lang w:eastAsia="zh-CN"/>
    </w:rPr>
  </w:style>
  <w:style w:type="paragraph" w:customStyle="1" w:styleId="26">
    <w:name w:val="样式1"/>
    <w:basedOn w:val="6"/>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7">
    <w:name w:val="标题1-3"/>
    <w:basedOn w:val="2"/>
    <w:next w:val="1"/>
    <w:qFormat/>
    <w:uiPriority w:val="1"/>
    <w:pPr>
      <w:numPr>
        <w:numId w:val="5"/>
      </w:numPr>
    </w:pPr>
    <w:rPr>
      <w:rFonts w:cs="Times New Roman"/>
      <w:color w:val="416AAB"/>
      <w:szCs w:val="32"/>
    </w:rPr>
  </w:style>
  <w:style w:type="paragraph" w:customStyle="1" w:styleId="28">
    <w:name w:val="标题2-3"/>
    <w:basedOn w:val="3"/>
    <w:next w:val="1"/>
    <w:qFormat/>
    <w:uiPriority w:val="1"/>
    <w:pPr>
      <w:numPr>
        <w:numId w:val="0"/>
      </w:numPr>
      <w:spacing w:before="12" w:line="380" w:lineRule="exact"/>
      <w:jc w:val="left"/>
    </w:pPr>
    <w:rPr>
      <w:rFonts w:cs="Times New Roman"/>
      <w:color w:val="416AAB"/>
      <w:szCs w:val="24"/>
      <w:lang w:eastAsia="zh-CN"/>
    </w:rPr>
  </w:style>
  <w:style w:type="paragraph" w:customStyle="1" w:styleId="29">
    <w:name w:val="WPSOffice手动目录 1"/>
    <w:qFormat/>
    <w:uiPriority w:val="0"/>
    <w:rPr>
      <w:rFonts w:asciiTheme="minorHAnsi" w:hAnsiTheme="minorHAnsi" w:eastAsiaTheme="minorHAnsi" w:cstheme="minorBidi"/>
      <w:lang w:val="en-US" w:eastAsia="zh-CN" w:bidi="ar-SA"/>
    </w:rPr>
  </w:style>
  <w:style w:type="paragraph" w:customStyle="1" w:styleId="30">
    <w:name w:val="WPSOffice手动目录 2"/>
    <w:qFormat/>
    <w:uiPriority w:val="0"/>
    <w:pPr>
      <w:ind w:left="200" w:leftChars="200"/>
    </w:pPr>
    <w:rPr>
      <w:rFonts w:asciiTheme="minorHAnsi" w:hAnsiTheme="minorHAnsi" w:eastAsiaTheme="minorHAnsi" w:cstheme="minorBidi"/>
      <w:lang w:val="en-US" w:eastAsia="zh-CN" w:bidi="ar-SA"/>
    </w:rPr>
  </w:style>
  <w:style w:type="paragraph" w:customStyle="1" w:styleId="31">
    <w:name w:val="列出段落1"/>
    <w:basedOn w:val="1"/>
    <w:unhideWhenUsed/>
    <w:qFormat/>
    <w:uiPriority w:val="34"/>
    <w:pPr>
      <w:spacing w:before="42"/>
      <w:ind w:left="1699" w:hanging="380"/>
    </w:pPr>
    <w:rPr>
      <w:sz w:val="24"/>
    </w:rPr>
  </w:style>
  <w:style w:type="paragraph" w:styleId="32">
    <w:name w:val="List Paragraph"/>
    <w:basedOn w:val="1"/>
    <w:qFormat/>
    <w:uiPriority w:val="99"/>
    <w:pPr>
      <w:ind w:firstLine="420" w:firstLineChars="200"/>
    </w:pPr>
  </w:style>
  <w:style w:type="paragraph" w:customStyle="1" w:styleId="33">
    <w:name w:val="msolistparagraph"/>
    <w:basedOn w:val="1"/>
    <w:qFormat/>
    <w:uiPriority w:val="0"/>
    <w:pPr>
      <w:ind w:firstLine="420" w:firstLineChars="200"/>
    </w:pPr>
    <w:rPr>
      <w:rFonts w:hint="eastAsia" w:cs="Times New Roman"/>
      <w:lang w:eastAsia="zh-CN"/>
    </w:rPr>
  </w:style>
  <w:style w:type="character" w:customStyle="1" w:styleId="34">
    <w:name w:val="批注框文本 字符"/>
    <w:basedOn w:val="17"/>
    <w:link w:val="8"/>
    <w:qFormat/>
    <w:uiPriority w:val="0"/>
    <w:rPr>
      <w:rFonts w:ascii="宋体" w:hAnsi="宋体" w:cs="宋体"/>
      <w:sz w:val="18"/>
      <w:szCs w:val="18"/>
      <w:lang w:eastAsia="en-US"/>
    </w:rPr>
  </w:style>
  <w:style w:type="paragraph" w:customStyle="1" w:styleId="35">
    <w:name w:val="列表段落2"/>
    <w:basedOn w:val="1"/>
    <w:qFormat/>
    <w:uiPriority w:val="0"/>
    <w:pPr>
      <w:ind w:firstLine="420" w:firstLineChars="200"/>
    </w:pPr>
    <w:rPr>
      <w:rFonts w:ascii="Calibri" w:hAnsi="Calibri" w:cs="Times New Roman"/>
    </w:rPr>
  </w:style>
  <w:style w:type="character" w:customStyle="1" w:styleId="36">
    <w:name w:val="正文文本 字符"/>
    <w:basedOn w:val="17"/>
    <w:link w:val="6"/>
    <w:qFormat/>
    <w:uiPriority w:val="1"/>
    <w:rPr>
      <w:rFonts w:ascii="宋体" w:hAnsi="宋体" w:cs="宋体"/>
      <w:sz w:val="18"/>
      <w:szCs w:val="18"/>
      <w:lang w:eastAsia="en-US"/>
    </w:rPr>
  </w:style>
  <w:style w:type="table" w:customStyle="1" w:styleId="37">
    <w:name w:val="Table Normal"/>
    <w:qFormat/>
    <w:uiPriority w:val="0"/>
    <w:tblPr>
      <w:tblCellMar>
        <w:top w:w="0" w:type="dxa"/>
        <w:left w:w="0" w:type="dxa"/>
        <w:bottom w:w="0" w:type="dxa"/>
        <w:right w:w="0" w:type="dxa"/>
      </w:tblCellMar>
    </w:tblPr>
  </w:style>
  <w:style w:type="character" w:customStyle="1" w:styleId="38">
    <w:name w:val="标题 1 字符"/>
    <w:link w:val="2"/>
    <w:qFormat/>
    <w:uiPriority w:val="1"/>
    <w:rPr>
      <w:rFonts w:ascii="Times New Roman" w:hAnsi="Times New Roman" w:eastAsia="微软雅黑" w:cs="黑体"/>
      <w:b/>
      <w:bCs/>
      <w:color w:val="00B050"/>
      <w:sz w:val="28"/>
      <w:szCs w:val="36"/>
      <w:lang w:eastAsia="zh-CN"/>
    </w:rPr>
  </w:style>
  <w:style w:type="paragraph" w:customStyle="1" w:styleId="39">
    <w:name w:val="qc"/>
    <w:basedOn w:val="1"/>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0">
    <w:name w:val="scopeseen"/>
    <w:basedOn w:val="1"/>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1">
    <w:name w:val="tps"/>
    <w:basedOn w:val="1"/>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2">
    <w:name w:val="font11"/>
    <w:autoRedefine/>
    <w:qFormat/>
    <w:uiPriority w:val="0"/>
    <w:rPr>
      <w:rFonts w:hint="eastAsia" w:ascii="微软雅黑" w:hAnsi="微软雅黑" w:eastAsia="微软雅黑" w:cs="微软雅黑"/>
      <w:b/>
      <w:bCs/>
      <w:color w:val="FFFFFF"/>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F0FCD33-2FD2-40CF-9CDF-F2193CE32997}">
  <ds:schemaRefs/>
</ds:datastoreItem>
</file>

<file path=docProps/app.xml><?xml version="1.0" encoding="utf-8"?>
<Properties xmlns="http://schemas.openxmlformats.org/officeDocument/2006/extended-properties" xmlns:vt="http://schemas.openxmlformats.org/officeDocument/2006/docPropsVTypes">
  <Template>Normal</Template>
  <Pages>34</Pages>
  <Words>903</Words>
  <Characters>2113</Characters>
  <Lines>1</Lines>
  <Paragraphs>1</Paragraphs>
  <TotalTime>2</TotalTime>
  <ScaleCrop>false</ScaleCrop>
  <LinksUpToDate>false</LinksUpToDate>
  <CharactersWithSpaces>2314</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levi</cp:lastModifiedBy>
  <dcterms:modified xsi:type="dcterms:W3CDTF">2025-04-30T05:17:31Z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1B179D56F2ED414CB226BBBCB8243AC0_13</vt:lpwstr>
  </property>
  <property fmtid="{D5CDD505-2E9C-101B-9397-08002B2CF9AE}" pid="4" name="KSOTemplateDocerSaveRecord">
    <vt:lpwstr>eyJoZGlkIjoiMzY0NmY5OGY3YzgxNDRlNjJjOWRlYmVlZWJkM2UxNTAiLCJ1c2VySWQiOiIxNDg1Mjc3NTQ0In0=</vt:lpwstr>
  </property>
</Properties>
</file>