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1B36E6E9">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if summaryOfRresults.type == “tissue” %}组织</w:t>
            </w:r>
            <w:r>
              <w:rPr>
                <w:rFonts w:hint="default" w:ascii="Times New Roman" w:hAnsi="Times New Roman" w:eastAsia="宋体" w:cs="Times New Roman"/>
                <w:color w:val="000000"/>
                <w:sz w:val="21"/>
                <w:szCs w:val="21"/>
                <w:lang w:val="en-US" w:eastAsia="zh-CN"/>
              </w:rPr>
              <w:t>+全血</w:t>
            </w:r>
            <w:r>
              <w:rPr>
                <w:rFonts w:hint="default" w:ascii="Times New Roman" w:hAnsi="Times New Roman" w:eastAsia="宋体" w:cs="Times New Roman"/>
                <w:color w:val="000000"/>
                <w:sz w:val="21"/>
                <w:szCs w:val="21"/>
                <w:lang w:eastAsia="zh-CN"/>
              </w:rPr>
              <w:t>{% else %}</w:t>
            </w:r>
            <w:r>
              <w:rPr>
                <w:rFonts w:hint="default" w:ascii="Times New Roman" w:hAnsi="Times New Roman" w:eastAsia="宋体" w:cs="Times New Roman"/>
                <w:color w:val="000000"/>
                <w:sz w:val="21"/>
                <w:szCs w:val="21"/>
                <w:lang w:val="en-US" w:eastAsia="zh-CN"/>
              </w:rPr>
              <w:t>全</w:t>
            </w:r>
            <w:r>
              <w:rPr>
                <w:rFonts w:hint="default" w:ascii="Times New Roman" w:hAnsi="Times New Roman" w:eastAsia="宋体" w:cs="Times New Roman"/>
                <w:color w:val="000000"/>
                <w:sz w:val="21"/>
                <w:szCs w:val="21"/>
                <w:lang w:eastAsia="zh-CN"/>
              </w:rPr>
              <w:t>血{% endif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hint="eastAsia" w:ascii="宋体" w:hAnsi="宋体" w:eastAsia="宋体" w:cs="宋体"/>
                <w:kern w:val="0"/>
                <w:sz w:val="24"/>
                <w:szCs w:val="24"/>
                <w:lang w:eastAsia="zh-Hans"/>
              </w:rPr>
              <w:t>肿瘤定制化检测中级套餐（86基因）</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val="en-US" w:eastAsia="zh-CN"/>
              </w:rPr>
              <w:t>检测</w:t>
            </w:r>
            <w:r>
              <w:rPr>
                <w:rFonts w:hint="eastAsia" w:ascii="宋体" w:hAnsi="宋体" w:eastAsia="宋体" w:cs="宋体"/>
                <w:kern w:val="0"/>
                <w:sz w:val="24"/>
                <w:szCs w:val="24"/>
                <w:lang w:eastAsia="zh-CN"/>
              </w:rPr>
              <w:t>86个基因，检测突变形式为点突变（SNV）、小片段插入缺失（INDEL）、拷贝数变异（CNV）以及融合（FUSION）。</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0E50A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33F6EC7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14CCF506">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sz w:val="21"/>
                <w:szCs w:val="21"/>
                <w:lang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B5E767">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1B074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4C1C6F1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免疫治疗相关</w:t>
            </w: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结果</w:t>
            </w:r>
          </w:p>
        </w:tc>
        <w:tc>
          <w:tcPr>
            <w:tcW w:w="3432" w:type="dxa"/>
            <w:gridSpan w:val="3"/>
            <w:tcBorders>
              <w:top w:val="single" w:color="000000" w:themeColor="text1" w:sz="4" w:space="0"/>
              <w:left w:val="nil"/>
              <w:bottom w:val="single" w:color="000000" w:themeColor="text1" w:sz="4" w:space="0"/>
              <w:right w:val="nil"/>
            </w:tcBorders>
            <w:vAlign w:val="center"/>
          </w:tcPr>
          <w:p w14:paraId="68C68AF3">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微卫星不稳定评估</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（MSI）</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229BC4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eastAsia" w:ascii="宋体" w:hAnsi="宋体" w:eastAsia="宋体" w:cs="宋体"/>
                <w:sz w:val="21"/>
                <w:szCs w:val="21"/>
                <w:lang w:eastAsia="zh-CN"/>
              </w:rPr>
              <w:t>{{summaryOfRresults.msi_status_state}}</w:t>
            </w:r>
          </w:p>
        </w:tc>
      </w:tr>
      <w:tr w14:paraId="22949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6F3C18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5B1716C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yellow"/>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错配修复</w:t>
            </w:r>
            <w:r>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t>（MMR）</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3CD6DF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b w:val="0"/>
                <w:bCs/>
                <w:kern w:val="0"/>
                <w:sz w:val="21"/>
                <w:szCs w:val="21"/>
                <w:highlight w:val="yellow"/>
                <w:lang w:val="en-US" w:eastAsia="zh-CN" w:bidi="ar-SA"/>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 xml:space="preserve">dMMRinfoSize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w:t>
            </w:r>
            <w:r>
              <w:rPr>
                <w:rFonts w:hint="eastAsia" w:ascii="宋体" w:hAnsi="宋体" w:eastAsia="宋体" w:cs="宋体"/>
                <w:sz w:val="21"/>
                <w:szCs w:val="21"/>
                <w:highlight w:val="none"/>
                <w:lang w:val="en-US" w:eastAsia="zh-CN"/>
              </w:rPr>
              <w:t>}}个{% else %}未见变异{% endif %}</w:t>
            </w:r>
          </w:p>
        </w:tc>
      </w:tr>
      <w:tr w14:paraId="4BBA0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9D33C7">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gastrointestinalStromalTumor == True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化疗药物检测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详见“化疗药物检测解析”部分</w:t>
            </w:r>
          </w:p>
        </w:tc>
      </w:tr>
      <w:tr w14:paraId="6E36D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F137C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overall_quality_assessment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5CE620F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4964A0A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00964E0A">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19"/>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default" w:ascii="Times New Roman" w:hAnsi="Times New Roman" w:eastAsia="宋体" w:cs="Times New Roman"/>
          <w:sz w:val="40"/>
          <w:szCs w:val="40"/>
          <w:lang w:val="en-US" w:eastAsia="zh-CN"/>
        </w:rPr>
      </w:pPr>
      <w:r>
        <w:rPr>
          <w:rFonts w:hint="eastAsia" w:ascii="宋体" w:hAnsi="宋体" w:eastAsia="宋体" w:cs="宋体"/>
          <w:b/>
          <w:color w:val="18CF96"/>
          <w:sz w:val="28"/>
          <w:szCs w:val="24"/>
          <w:u w:color="006CB6"/>
          <w:lang w:val="zh-Hans"/>
        </w:rPr>
        <w:t>检测结果及详细解析</w:t>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bookmarkStart w:id="0" w:name="_Toc149837259"/>
      <w:bookmarkStart w:id="1" w:name="_Toc30305"/>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8"/>
        <w:tblW w:w="4990"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00D392"/>
            <w:vAlign w:val="center"/>
          </w:tcPr>
          <w:p w14:paraId="15607CC5">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l2br w:val="nil"/>
              <w:tr2bl w:val="nil"/>
            </w:tcBorders>
            <w:shd w:val="clear" w:color="auto" w:fill="00D392"/>
            <w:vAlign w:val="center"/>
          </w:tcPr>
          <w:p w14:paraId="68AAE5F8">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eastAsia" w:ascii="Times New Roman" w:hAnsi="Times New Roman" w:eastAsia="宋体" w:cs="Times New Roman"/>
                <w:b/>
                <w:color w:val="FFFFFF" w:themeColor="background1"/>
                <w:sz w:val="18"/>
                <w:szCs w:val="18"/>
                <w:lang w:val="en-US" w:eastAsia="zh-CN"/>
                <w14:textFill>
                  <w14:solidFill>
                    <w14:schemeClr w14:val="bg1"/>
                  </w14:solidFill>
                </w14:textFill>
              </w:rPr>
              <w:t>检测</w:t>
            </w:r>
            <w:r>
              <w:rPr>
                <w:rFonts w:hint="default" w:ascii="Times New Roman" w:hAnsi="Times New Roman" w:eastAsia="宋体" w:cs="Times New Roman"/>
                <w:b/>
                <w:color w:val="FFFFFF" w:themeColor="background1"/>
                <w:sz w:val="18"/>
                <w:szCs w:val="18"/>
                <w14:textFill>
                  <w14:solidFill>
                    <w14:schemeClr w14:val="bg1"/>
                  </w14:solidFill>
                </w14:textFill>
              </w:rPr>
              <w:t>基因</w:t>
            </w:r>
          </w:p>
        </w:tc>
        <w:tc>
          <w:tcPr>
            <w:tcW w:w="815" w:type="pct"/>
            <w:tcBorders>
              <w:tl2br w:val="nil"/>
              <w:tr2bl w:val="nil"/>
            </w:tcBorders>
            <w:shd w:val="clear" w:color="auto" w:fill="00D392"/>
            <w:vAlign w:val="center"/>
          </w:tcPr>
          <w:p w14:paraId="288938A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l2br w:val="nil"/>
              <w:tr2bl w:val="nil"/>
            </w:tcBorders>
            <w:shd w:val="clear" w:color="auto" w:fill="00D392"/>
            <w:vAlign w:val="center"/>
          </w:tcPr>
          <w:p w14:paraId="26B822D5">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eastAsia="zh-CN" w:bidi="ar"/>
              </w:rPr>
            </w:pPr>
            <w:r>
              <w:rPr>
                <w:rFonts w:hint="default" w:ascii="Times New Roman" w:hAnsi="Times New Roman" w:eastAsia="宋体" w:cs="Times New Roman"/>
                <w:b/>
                <w:bCs/>
                <w:color w:val="FFFFFF"/>
                <w:sz w:val="18"/>
                <w:szCs w:val="18"/>
                <w:lang w:eastAsia="zh-CN" w:bidi="ar"/>
              </w:rPr>
              <w:t>变异丰度</w:t>
            </w:r>
          </w:p>
          <w:p w14:paraId="42142CB6">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val="en-US" w:eastAsia="zh-CN" w:bidi="ar"/>
              </w:rPr>
              <w:t>/拷贝数</w:t>
            </w:r>
          </w:p>
        </w:tc>
        <w:tc>
          <w:tcPr>
            <w:tcW w:w="1270" w:type="pct"/>
            <w:tcBorders>
              <w:tl2br w:val="nil"/>
              <w:tr2bl w:val="nil"/>
            </w:tcBorders>
            <w:shd w:val="clear" w:color="auto" w:fill="00D392"/>
            <w:vAlign w:val="center"/>
          </w:tcPr>
          <w:p w14:paraId="0A99E90E">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l2br w:val="nil"/>
              <w:tr2bl w:val="nil"/>
            </w:tcBorders>
            <w:shd w:val="clear" w:color="auto" w:fill="00D392"/>
            <w:vAlign w:val="center"/>
          </w:tcPr>
          <w:p w14:paraId="58D5CAD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6"/>
            <w:tcBorders>
              <w:tl2br w:val="nil"/>
              <w:tr2bl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5000" w:type="pct"/>
            <w:gridSpan w:val="6"/>
            <w:tcBorders>
              <w:tl2br w:val="nil"/>
              <w:tr2bl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906" w:type="dxa"/>
            <w:tcBorders>
              <w:tl2br w:val="nil"/>
              <w:tr2bl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tl2br w:val="nil"/>
              <w:tr2bl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tip.comutation1 }}</w:t>
            </w:r>
          </w:p>
        </w:tc>
        <w:tc>
          <w:tcPr>
            <w:tcW w:w="1608" w:type="dxa"/>
            <w:tcBorders>
              <w:tl2br w:val="nil"/>
              <w:tr2bl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tip.comutation }}</w:t>
            </w:r>
          </w:p>
        </w:tc>
        <w:tc>
          <w:tcPr>
            <w:tcW w:w="937" w:type="dxa"/>
            <w:tcBorders>
              <w:tl2br w:val="nil"/>
              <w:tr2bl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tl2br w:val="nil"/>
              <w:tr2bl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tl2br w:val="nil"/>
              <w:tr2bl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5000" w:type="pct"/>
            <w:gridSpan w:val="6"/>
            <w:tcBorders>
              <w:tl2br w:val="nil"/>
              <w:tr2bl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602" w:hRule="atLeast"/>
          <w:jc w:val="center"/>
        </w:trPr>
        <w:tc>
          <w:tcPr>
            <w:tcW w:w="5000" w:type="pct"/>
            <w:gridSpan w:val="6"/>
            <w:tcBorders>
              <w:tl2br w:val="nil"/>
              <w:tr2bl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459" w:type="pct"/>
            <w:tcBorders>
              <w:tl2br w:val="nil"/>
              <w:tr2bl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tl2br w:val="nil"/>
              <w:tr2bl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tl2br w:val="nil"/>
              <w:tr2bl w:val="nil"/>
            </w:tcBorders>
            <w:shd w:val="clear" w:color="auto" w:fill="auto"/>
            <w:vAlign w:val="center"/>
          </w:tcPr>
          <w:p w14:paraId="3425DC8F">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{%if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‘基因融合’ and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‘基因扩增’and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‘基因缺失’%}{{tip.Exon }}</w:t>
            </w:r>
          </w:p>
          <w:p w14:paraId="525E28BB">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A11CFB2">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3EA5BF03">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bookmarkStart w:id="33" w:name="_GoBack"/>
            <w:bookmarkEnd w:id="33"/>
          </w:p>
        </w:tc>
        <w:tc>
          <w:tcPr>
            <w:tcW w:w="475" w:type="pct"/>
            <w:tcBorders>
              <w:tl2br w:val="nil"/>
              <w:tr2bl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tl2br w:val="nil"/>
              <w:tr2bl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tl2br w:val="nil"/>
              <w:tr2bl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6"/>
            <w:tcBorders>
              <w:tl2br w:val="nil"/>
              <w:tr2bl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628" w:hRule="atLeast"/>
          <w:jc w:val="center"/>
        </w:trPr>
        <w:tc>
          <w:tcPr>
            <w:tcW w:w="5000" w:type="pct"/>
            <w:gridSpan w:val="6"/>
            <w:tcBorders>
              <w:tl2br w:val="nil"/>
              <w:tr2bl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6"/>
            <w:tcBorders>
              <w:tl2br w:val="nil"/>
              <w:tr2bl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656472D0">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3A99E7D">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2BA26F4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18AEF5E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1FED6791">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33EAE2EC">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9.多靶点循证检测结果中的符号意义：“+”表示“并且”，“/”表示“或者”，“!”表示“不满足”。{%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8"/>
        <w:tblW w:w="9864" w:type="dxa"/>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498" w:type="pct"/>
            <w:tcBorders>
              <w:tl2br w:val="nil"/>
              <w:tr2bl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l2br w:val="nil"/>
              <w:tr2bl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l2br w:val="nil"/>
              <w:tr2bl w:val="nil"/>
            </w:tcBorders>
            <w:shd w:val="clear" w:color="auto" w:fill="00D392"/>
            <w:vAlign w:val="center"/>
          </w:tcPr>
          <w:p w14:paraId="387719B0">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l2br w:val="nil"/>
              <w:tr2bl w:val="nil"/>
            </w:tcBorders>
            <w:shd w:val="clear" w:color="auto" w:fill="00D392"/>
            <w:vAlign w:val="center"/>
          </w:tcPr>
          <w:p w14:paraId="3BB43E24">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l2br w:val="nil"/>
              <w:tr2bl w:val="nil"/>
            </w:tcBorders>
            <w:shd w:val="clear" w:color="auto" w:fill="00D392"/>
            <w:vAlign w:val="center"/>
          </w:tcPr>
          <w:p w14:paraId="73CCE6A3">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l2br w:val="nil"/>
              <w:tr2bl w:val="nil"/>
            </w:tcBorders>
            <w:shd w:val="clear" w:color="auto" w:fill="00D392"/>
            <w:vAlign w:val="center"/>
          </w:tcPr>
          <w:p w14:paraId="6485F1D1">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l2br w:val="nil"/>
              <w:tr2bl w:val="nil"/>
            </w:tcBorders>
            <w:shd w:val="clear" w:color="auto" w:fill="00D392"/>
            <w:vAlign w:val="center"/>
          </w:tcPr>
          <w:p w14:paraId="29833753">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1B32D41F">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w:t>
            </w:r>
          </w:p>
        </w:tc>
      </w:tr>
      <w:tr w14:paraId="5285BA3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839" w:hRule="atLeast"/>
          <w:jc w:val="center"/>
        </w:trPr>
        <w:tc>
          <w:tcPr>
            <w:tcW w:w="498" w:type="pct"/>
            <w:tcBorders>
              <w:tl2br w:val="nil"/>
              <w:tr2bl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tl2br w:val="nil"/>
              <w:tr2bl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tl2br w:val="nil"/>
              <w:tr2bl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tl2br w:val="nil"/>
              <w:tr2bl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tl2br w:val="nil"/>
              <w:tr2bl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tl2br w:val="nil"/>
              <w:tr2bl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tl2br w:val="nil"/>
              <w:tr2bl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866" w:hRule="atLeast"/>
          <w:jc w:val="center"/>
        </w:trPr>
        <w:tc>
          <w:tcPr>
            <w:tcW w:w="5000" w:type="pct"/>
            <w:gridSpan w:val="7"/>
            <w:tcBorders>
              <w:tl2br w:val="nil"/>
              <w:tr2bl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7AF06F12">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5A01090">
      <w:pPr>
        <w:rPr>
          <w:rFonts w:hint="eastAsia" w:ascii="Times New Roman" w:hAnsi="Times New Roman" w:eastAsia="微软雅黑" w:cs="Times New Roman"/>
          <w:sz w:val="24"/>
          <w:szCs w:val="24"/>
          <w:highlight w:val="none"/>
          <w:lang w:eastAsia="zh-CN"/>
        </w:rPr>
      </w:pPr>
      <w:r>
        <w:rPr>
          <w:sz w:val="28"/>
        </w:rPr>
        <mc:AlternateContent>
          <mc:Choice Requires="wps">
            <w:drawing>
              <wp:inline distT="0" distB="0" distL="114300" distR="114300">
                <wp:extent cx="6263640" cy="372745"/>
                <wp:effectExtent l="0" t="0" r="0" b="8255"/>
                <wp:docPr id="5" name="文本框 5"/>
                <wp:cNvGraphicFramePr/>
                <a:graphic xmlns:a="http://schemas.openxmlformats.org/drawingml/2006/main">
                  <a:graphicData uri="http://schemas.microsoft.com/office/word/2010/wordprocessingShape">
                    <wps:wsp>
                      <wps:cNvSpPr txBox="1"/>
                      <wps:spPr>
                        <a:xfrm>
                          <a:off x="673100" y="1271270"/>
                          <a:ext cx="6263640" cy="372745"/>
                        </a:xfrm>
                        <a:prstGeom prst="rect">
                          <a:avLst/>
                        </a:prstGeom>
                        <a:solidFill>
                          <a:srgbClr val="18CF96"/>
                        </a:solidFill>
                        <a:ln w="6350">
                          <a:noFill/>
                        </a:ln>
                      </wps:spPr>
                      <wps:style>
                        <a:lnRef idx="0">
                          <a:schemeClr val="accent1"/>
                        </a:lnRef>
                        <a:fillRef idx="0">
                          <a:schemeClr val="accent1"/>
                        </a:fillRef>
                        <a:effectRef idx="0">
                          <a:schemeClr val="accent1"/>
                        </a:effectRef>
                        <a:fontRef idx="minor">
                          <a:schemeClr val="dk1"/>
                        </a:fontRef>
                      </wps:style>
                      <wps:txbx>
                        <w:txbxContent>
                          <w:p w14:paraId="0E3570E6">
                            <w:pPr>
                              <w:keepNext w:val="0"/>
                              <w:keepLines w:val="0"/>
                              <w:pageBreakBefore w:val="0"/>
                              <w:widowControl w:val="0"/>
                              <w:kinsoku/>
                              <w:wordWrap/>
                              <w:overflowPunct/>
                              <w:topLinePunct w:val="0"/>
                              <w:bidi w:val="0"/>
                              <w:adjustRightInd/>
                              <w:snapToGrid/>
                              <w:spacing w:before="0" w:beforeLines="30"/>
                              <w:textAlignment w:val="auto"/>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其他获批本癌种药物提示（多靶点抑制剂、单抗类、激素类药物等）</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9.35pt;width:493.2pt;" fillcolor="#18CF96" filled="t" stroked="f" coordsize="21600,21600" o:gfxdata="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cU0J&#10;FNgAAAAEAQAADwAAAAAAAAABACAAAAAiAAAAZHJzL2Rvd25yZXYueG1sUEsBAhQAFAAAAAgAh07i&#10;QP6o3vNbAgAAmgQAAA4AAAAAAAAAAQAgAAAAJwEAAGRycy9lMm9Eb2MueG1sUEsFBgAAAAAGAAYA&#10;WQEAAPQFAAAAAA==&#10;">
                <v:fill on="t" focussize="0,0"/>
                <v:stroke on="f" weight="0.5pt"/>
                <v:imagedata o:title=""/>
                <o:lock v:ext="edit" aspectratio="f"/>
                <v:textbox>
                  <w:txbxContent>
                    <w:p w14:paraId="0E3570E6">
                      <w:pPr>
                        <w:keepNext w:val="0"/>
                        <w:keepLines w:val="0"/>
                        <w:pageBreakBefore w:val="0"/>
                        <w:widowControl w:val="0"/>
                        <w:kinsoku/>
                        <w:wordWrap/>
                        <w:overflowPunct/>
                        <w:topLinePunct w:val="0"/>
                        <w:bidi w:val="0"/>
                        <w:adjustRightInd/>
                        <w:snapToGrid/>
                        <w:spacing w:before="0" w:beforeLines="30"/>
                        <w:textAlignment w:val="auto"/>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其他获批本癌种药物提示（多靶点抑制剂、单抗类、激素类药物等）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3"/>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before="63" w:beforeLines="20" w:after="72" w:afterLines="20" w:line="30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2F66FDC2">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endif %}</w:t>
      </w:r>
    </w:p>
    <w:p w14:paraId="6BD1DAC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4"/>
          <w:szCs w:val="24"/>
          <w:highlight w:val="none"/>
          <w:lang w:val="en-US"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1"/>
          <w:szCs w:val="21"/>
        </w:rPr>
      </w:pPr>
    </w:p>
    <w:tbl>
      <w:tblPr>
        <w:tblStyle w:val="12"/>
        <w:tblW w:w="9938" w:type="dxa"/>
        <w:tblInd w:w="98" w:type="dxa"/>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108" w:type="dxa"/>
          <w:bottom w:w="0" w:type="dxa"/>
          <w:right w:w="108" w:type="dxa"/>
        </w:tblCellMar>
      </w:tblPr>
      <w:tblGrid>
        <w:gridCol w:w="1338"/>
        <w:gridCol w:w="1642"/>
        <w:gridCol w:w="3209"/>
        <w:gridCol w:w="3749"/>
      </w:tblGrid>
      <w:tr w14:paraId="1740B23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510" w:hRule="atLeast"/>
        </w:trPr>
        <w:tc>
          <w:tcPr>
            <w:tcW w:w="2980" w:type="dxa"/>
            <w:gridSpan w:val="2"/>
            <w:tcBorders>
              <w:tl2br w:val="nil"/>
              <w:tr2bl w:val="nil"/>
            </w:tcBorders>
            <w:shd w:val="clear" w:color="auto" w:fill="00D392"/>
            <w:vAlign w:val="center"/>
          </w:tcPr>
          <w:p w14:paraId="7A89D678">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3209" w:type="dxa"/>
            <w:tcBorders>
              <w:tl2br w:val="nil"/>
              <w:tr2bl w:val="nil"/>
            </w:tcBorders>
            <w:shd w:val="clear" w:color="auto" w:fill="00D392"/>
            <w:vAlign w:val="center"/>
          </w:tcPr>
          <w:p w14:paraId="333AE9D8">
            <w:pPr>
              <w:widowControl/>
              <w:snapToGrid w:val="0"/>
              <w:spacing w:line="240" w:lineRule="auto"/>
              <w:jc w:val="center"/>
              <w:textAlignment w:val="center"/>
              <w:rPr>
                <w:rFonts w:hint="eastAsia" w:ascii="宋体" w:hAnsi="宋体" w:eastAsia="宋体" w:cs="宋体"/>
                <w:b/>
                <w:bCs/>
                <w:color w:val="FFFFFF"/>
                <w:sz w:val="18"/>
                <w:szCs w:val="18"/>
              </w:rPr>
            </w:pPr>
            <w:r>
              <w:rPr>
                <w:rStyle w:val="30"/>
                <w:rFonts w:hint="eastAsia" w:ascii="宋体" w:hAnsi="宋体" w:eastAsia="宋体" w:cs="宋体"/>
                <w:sz w:val="18"/>
                <w:szCs w:val="18"/>
                <w:lang w:eastAsia="zh-CN" w:bidi="ar"/>
              </w:rPr>
              <w:t>检测结果</w:t>
            </w:r>
          </w:p>
        </w:tc>
        <w:tc>
          <w:tcPr>
            <w:tcW w:w="3749" w:type="dxa"/>
            <w:tcBorders>
              <w:tl2br w:val="nil"/>
              <w:tr2bl w:val="nil"/>
            </w:tcBorders>
            <w:shd w:val="clear" w:color="auto" w:fill="00D392"/>
            <w:vAlign w:val="center"/>
          </w:tcPr>
          <w:p w14:paraId="495AA9C2">
            <w:pPr>
              <w:widowControl/>
              <w:snapToGrid w:val="0"/>
              <w:spacing w:line="240" w:lineRule="auto"/>
              <w:jc w:val="center"/>
              <w:textAlignment w:val="center"/>
              <w:rPr>
                <w:rFonts w:hint="eastAsia" w:ascii="宋体" w:hAnsi="宋体" w:eastAsia="宋体" w:cs="宋体"/>
                <w:b/>
                <w:bCs/>
                <w:color w:val="FFFFFF"/>
                <w:sz w:val="18"/>
                <w:szCs w:val="18"/>
              </w:rPr>
            </w:pPr>
            <w:r>
              <w:rPr>
                <w:rStyle w:val="30"/>
                <w:rFonts w:hint="eastAsia" w:ascii="宋体" w:hAnsi="宋体" w:eastAsia="宋体" w:cs="宋体"/>
                <w:sz w:val="18"/>
                <w:szCs w:val="18"/>
                <w:lang w:eastAsia="zh-CN" w:bidi="ar"/>
              </w:rPr>
              <w:t>检测意义</w:t>
            </w:r>
          </w:p>
        </w:tc>
      </w:tr>
      <w:tr w14:paraId="491F02F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1134" w:hRule="atLeast"/>
        </w:trPr>
        <w:tc>
          <w:tcPr>
            <w:tcW w:w="2980" w:type="dxa"/>
            <w:gridSpan w:val="2"/>
            <w:tcBorders>
              <w:tl2br w:val="nil"/>
              <w:tr2bl w:val="nil"/>
            </w:tcBorders>
            <w:shd w:val="clear" w:color="auto" w:fill="auto"/>
            <w:vAlign w:val="center"/>
          </w:tcPr>
          <w:p w14:paraId="1CE953BD">
            <w:pPr>
              <w:widowControl/>
              <w:snapToGrid w:val="0"/>
              <w:jc w:val="center"/>
              <w:textAlignment w:val="center"/>
              <w:rPr>
                <w:rFonts w:hint="eastAsia" w:ascii="宋体" w:hAnsi="宋体" w:eastAsia="宋体" w:cs="宋体"/>
                <w:b/>
                <w:bCs/>
                <w:color w:val="000000"/>
                <w:sz w:val="18"/>
                <w:szCs w:val="18"/>
                <w:lang w:eastAsia="zh-CN"/>
              </w:rPr>
            </w:pPr>
            <w:r>
              <w:rPr>
                <w:rStyle w:val="31"/>
                <w:rFonts w:hint="eastAsia" w:ascii="宋体" w:hAnsi="宋体" w:eastAsia="宋体" w:cs="宋体"/>
                <w:sz w:val="18"/>
                <w:szCs w:val="18"/>
                <w:lang w:eastAsia="zh-CN" w:bidi="ar"/>
              </w:rPr>
              <w:t>微卫星不稳定（</w:t>
            </w:r>
            <w:r>
              <w:rPr>
                <w:rStyle w:val="32"/>
                <w:rFonts w:hint="eastAsia" w:ascii="宋体" w:hAnsi="宋体" w:eastAsia="宋体" w:cs="宋体"/>
                <w:sz w:val="18"/>
                <w:szCs w:val="18"/>
                <w:lang w:eastAsia="zh-CN" w:bidi="ar"/>
              </w:rPr>
              <w:t>MSI</w:t>
            </w:r>
            <w:r>
              <w:rPr>
                <w:rStyle w:val="31"/>
                <w:rFonts w:hint="eastAsia" w:ascii="宋体" w:hAnsi="宋体" w:eastAsia="宋体" w:cs="宋体"/>
                <w:sz w:val="18"/>
                <w:szCs w:val="18"/>
                <w:lang w:eastAsia="zh-CN" w:bidi="ar"/>
              </w:rPr>
              <w:t>）</w:t>
            </w:r>
          </w:p>
        </w:tc>
        <w:tc>
          <w:tcPr>
            <w:tcW w:w="3209" w:type="dxa"/>
            <w:tcBorders>
              <w:tl2br w:val="nil"/>
              <w:tr2bl w:val="nil"/>
            </w:tcBorders>
            <w:shd w:val="clear" w:color="auto" w:fill="auto"/>
            <w:vAlign w:val="center"/>
          </w:tcPr>
          <w:p w14:paraId="7AB37A1D">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3749" w:type="dxa"/>
            <w:tcBorders>
              <w:tl2br w:val="nil"/>
              <w:tr2bl w:val="nil"/>
            </w:tcBorders>
            <w:shd w:val="clear" w:color="auto" w:fill="auto"/>
            <w:vAlign w:val="center"/>
          </w:tcPr>
          <w:p w14:paraId="3AA72373">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6"/>
                <w:rFonts w:hint="eastAsia" w:ascii="宋体" w:hAnsi="宋体" w:eastAsia="宋体" w:cs="宋体"/>
                <w:sz w:val="18"/>
                <w:szCs w:val="18"/>
                <w:lang w:eastAsia="zh-CN" w:bidi="ar"/>
              </w:rPr>
              <w:t>微卫星不稳定型（</w:t>
            </w:r>
            <w:r>
              <w:rPr>
                <w:rStyle w:val="33"/>
                <w:rFonts w:hint="eastAsia" w:ascii="宋体" w:hAnsi="宋体" w:eastAsia="宋体" w:cs="宋体"/>
                <w:sz w:val="18"/>
                <w:szCs w:val="18"/>
                <w:lang w:eastAsia="zh-CN" w:bidi="ar"/>
              </w:rPr>
              <w:t>MSI-H</w:t>
            </w:r>
            <w:r>
              <w:rPr>
                <w:rStyle w:val="36"/>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r w14:paraId="4FE0CC0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3196CAC7">
            <w:pPr>
              <w:widowControl/>
              <w:snapToGrid w:val="0"/>
              <w:spacing w:line="240" w:lineRule="atLeast"/>
              <w:jc w:val="both"/>
              <w:textAlignment w:val="center"/>
              <w:rPr>
                <w:rFonts w:hint="default" w:ascii="宋体" w:hAnsi="宋体" w:eastAsia="宋体" w:cs="宋体"/>
                <w:sz w:val="18"/>
                <w:szCs w:val="18"/>
                <w:lang w:val="en-US" w:eastAsia="zh-CN"/>
              </w:rPr>
            </w:pPr>
            <w:r>
              <w:rPr>
                <w:rFonts w:hint="eastAsia" w:ascii="宋体" w:hAnsi="宋体" w:eastAsia="宋体" w:cs="宋体"/>
                <w:sz w:val="21"/>
                <w:szCs w:val="21"/>
                <w:highlight w:val="none"/>
                <w:lang w:val="en-US" w:eastAsia="zh-CN"/>
              </w:rPr>
              <w:t xml:space="preserve">{%tr 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 =</w:t>
            </w:r>
            <w:r>
              <w:rPr>
                <w:rFonts w:hint="eastAsia" w:ascii="宋体" w:hAnsi="宋体" w:eastAsia="宋体" w:cs="宋体"/>
                <w:sz w:val="21"/>
                <w:szCs w:val="21"/>
                <w:highlight w:val="none"/>
                <w:lang w:val="en-US" w:eastAsia="zh-CN"/>
              </w:rPr>
              <w:t>= 0 %}</w:t>
            </w:r>
          </w:p>
        </w:tc>
      </w:tr>
      <w:tr w14:paraId="3F630114">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1EB45798">
            <w:pPr>
              <w:widowControl/>
              <w:snapToGrid w:val="0"/>
              <w:jc w:val="center"/>
              <w:textAlignment w:val="center"/>
              <w:rPr>
                <w:rStyle w:val="31"/>
                <w:rFonts w:hint="eastAsia" w:ascii="宋体" w:hAnsi="宋体" w:eastAsia="宋体" w:cs="宋体"/>
                <w:sz w:val="18"/>
                <w:szCs w:val="18"/>
                <w:highlight w:val="none"/>
                <w:lang w:val="en-US" w:eastAsia="zh-CN" w:bidi="ar"/>
              </w:rPr>
            </w:pPr>
            <w:r>
              <w:rPr>
                <w:rStyle w:val="31"/>
                <w:rFonts w:hint="eastAsia" w:ascii="宋体" w:hAnsi="宋体" w:eastAsia="宋体" w:cs="宋体"/>
                <w:sz w:val="18"/>
                <w:szCs w:val="18"/>
                <w:highlight w:val="none"/>
                <w:lang w:val="en-US" w:eastAsia="zh-CN" w:bidi="ar"/>
              </w:rPr>
              <w:t>错配修复（MMR）基因</w:t>
            </w:r>
          </w:p>
        </w:tc>
        <w:tc>
          <w:tcPr>
            <w:tcW w:w="4851" w:type="dxa"/>
            <w:gridSpan w:val="2"/>
            <w:tcBorders>
              <w:tl2br w:val="nil"/>
              <w:tr2bl w:val="nil"/>
            </w:tcBorders>
            <w:shd w:val="clear" w:color="auto" w:fill="auto"/>
            <w:vAlign w:val="center"/>
          </w:tcPr>
          <w:p w14:paraId="2BC65E88">
            <w:pPr>
              <w:snapToGrid w:val="0"/>
              <w:jc w:val="left"/>
              <w:rPr>
                <w:rFonts w:hint="eastAsia" w:ascii="宋体" w:hAnsi="宋体" w:eastAsia="宋体" w:cs="宋体"/>
                <w:sz w:val="18"/>
                <w:szCs w:val="18"/>
                <w:lang w:eastAsia="zh-CN"/>
              </w:rPr>
            </w:pPr>
            <w:r>
              <w:rPr>
                <w:rStyle w:val="36"/>
                <w:rFonts w:hint="eastAsia" w:ascii="宋体" w:hAnsi="宋体" w:eastAsia="宋体" w:cs="宋体"/>
                <w:sz w:val="18"/>
                <w:szCs w:val="18"/>
                <w:highlight w:val="none"/>
                <w:lang w:val="en-US" w:eastAsia="zh-CN" w:bidi="ar"/>
              </w:rPr>
              <w:t xml:space="preserve">MLH1 失活突变 </w:t>
            </w:r>
          </w:p>
        </w:tc>
        <w:tc>
          <w:tcPr>
            <w:tcW w:w="3749" w:type="dxa"/>
            <w:tcBorders>
              <w:tl2br w:val="nil"/>
              <w:tr2bl w:val="nil"/>
            </w:tcBorders>
            <w:shd w:val="clear" w:color="auto" w:fill="auto"/>
            <w:vAlign w:val="center"/>
          </w:tcPr>
          <w:p w14:paraId="1D522CA0">
            <w:pPr>
              <w:widowControl/>
              <w:snapToGrid w:val="0"/>
              <w:spacing w:line="240" w:lineRule="atLeast"/>
              <w:jc w:val="both"/>
              <w:textAlignment w:val="cente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未见变异</w:t>
            </w:r>
          </w:p>
        </w:tc>
      </w:tr>
      <w:tr w14:paraId="30F0EBD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9B308D6">
            <w:pPr>
              <w:widowControl/>
              <w:snapToGrid w:val="0"/>
              <w:jc w:val="center"/>
              <w:textAlignment w:val="center"/>
              <w:rPr>
                <w:rStyle w:val="31"/>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E086323">
            <w:pPr>
              <w:snapToGrid w:val="0"/>
              <w:jc w:val="both"/>
              <w:rPr>
                <w:rFonts w:hint="eastAsia" w:ascii="宋体" w:hAnsi="宋体" w:eastAsia="宋体" w:cs="宋体"/>
                <w:sz w:val="18"/>
                <w:szCs w:val="18"/>
                <w:lang w:eastAsia="zh-CN"/>
              </w:rPr>
            </w:pPr>
            <w:r>
              <w:rPr>
                <w:rStyle w:val="36"/>
                <w:rFonts w:hint="eastAsia" w:ascii="宋体" w:hAnsi="宋体" w:eastAsia="宋体" w:cs="宋体"/>
                <w:sz w:val="18"/>
                <w:szCs w:val="18"/>
                <w:highlight w:val="none"/>
                <w:lang w:val="en-US" w:eastAsia="zh-CN" w:bidi="ar"/>
              </w:rPr>
              <w:t>MSH2 失活突变</w:t>
            </w:r>
          </w:p>
        </w:tc>
        <w:tc>
          <w:tcPr>
            <w:tcW w:w="3749" w:type="dxa"/>
            <w:tcBorders>
              <w:tl2br w:val="nil"/>
              <w:tr2bl w:val="nil"/>
            </w:tcBorders>
            <w:shd w:val="clear" w:color="auto" w:fill="auto"/>
            <w:vAlign w:val="center"/>
          </w:tcPr>
          <w:p w14:paraId="65E706CE">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7B76B44C">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084796E">
            <w:pPr>
              <w:widowControl/>
              <w:snapToGrid w:val="0"/>
              <w:jc w:val="center"/>
              <w:textAlignment w:val="center"/>
              <w:rPr>
                <w:rStyle w:val="31"/>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51D94AAE">
            <w:pPr>
              <w:snapToGrid w:val="0"/>
              <w:jc w:val="both"/>
              <w:rPr>
                <w:rFonts w:hint="eastAsia" w:ascii="宋体" w:hAnsi="宋体" w:eastAsia="宋体" w:cs="宋体"/>
                <w:sz w:val="18"/>
                <w:szCs w:val="18"/>
                <w:lang w:eastAsia="zh-CN"/>
              </w:rPr>
            </w:pPr>
            <w:r>
              <w:rPr>
                <w:rStyle w:val="36"/>
                <w:rFonts w:hint="eastAsia" w:ascii="宋体" w:hAnsi="宋体" w:eastAsia="宋体" w:cs="宋体"/>
                <w:sz w:val="18"/>
                <w:szCs w:val="18"/>
                <w:highlight w:val="none"/>
                <w:lang w:val="en-US" w:eastAsia="zh-CN" w:bidi="ar"/>
              </w:rPr>
              <w:t>MSH6 失活突变</w:t>
            </w:r>
          </w:p>
        </w:tc>
        <w:tc>
          <w:tcPr>
            <w:tcW w:w="3749" w:type="dxa"/>
            <w:tcBorders>
              <w:tl2br w:val="nil"/>
              <w:tr2bl w:val="nil"/>
            </w:tcBorders>
            <w:shd w:val="clear" w:color="auto" w:fill="auto"/>
            <w:vAlign w:val="center"/>
          </w:tcPr>
          <w:p w14:paraId="076F3EFB">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2632530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E86D139">
            <w:pPr>
              <w:widowControl/>
              <w:snapToGrid w:val="0"/>
              <w:jc w:val="center"/>
              <w:textAlignment w:val="center"/>
              <w:rPr>
                <w:rStyle w:val="31"/>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3BA5A73">
            <w:pPr>
              <w:snapToGrid w:val="0"/>
              <w:jc w:val="both"/>
              <w:rPr>
                <w:rFonts w:hint="eastAsia" w:ascii="宋体" w:hAnsi="宋体" w:eastAsia="宋体" w:cs="宋体"/>
                <w:sz w:val="18"/>
                <w:szCs w:val="18"/>
                <w:lang w:eastAsia="zh-CN"/>
              </w:rPr>
            </w:pPr>
            <w:r>
              <w:rPr>
                <w:rStyle w:val="36"/>
                <w:rFonts w:hint="eastAsia" w:ascii="宋体" w:hAnsi="宋体" w:eastAsia="宋体" w:cs="宋体"/>
                <w:sz w:val="18"/>
                <w:szCs w:val="18"/>
                <w:highlight w:val="none"/>
                <w:lang w:val="en-US" w:eastAsia="zh-CN" w:bidi="ar"/>
              </w:rPr>
              <w:t>PMS2 失活突变</w:t>
            </w:r>
          </w:p>
        </w:tc>
        <w:tc>
          <w:tcPr>
            <w:tcW w:w="3749" w:type="dxa"/>
            <w:tcBorders>
              <w:tl2br w:val="nil"/>
              <w:tr2bl w:val="nil"/>
            </w:tcBorders>
            <w:shd w:val="clear" w:color="auto" w:fill="auto"/>
            <w:vAlign w:val="center"/>
          </w:tcPr>
          <w:p w14:paraId="493FD765">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75B3321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54E3FDD3">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4A5FEBD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76F63451">
            <w:pPr>
              <w:widowControl/>
              <w:snapToGrid w:val="0"/>
              <w:jc w:val="center"/>
              <w:textAlignment w:val="center"/>
              <w:rPr>
                <w:rStyle w:val="31"/>
                <w:rFonts w:hint="eastAsia" w:ascii="宋体" w:hAnsi="宋体" w:eastAsia="宋体" w:cs="宋体"/>
                <w:sz w:val="18"/>
                <w:szCs w:val="18"/>
                <w:highlight w:val="yellow"/>
                <w:lang w:eastAsia="zh-CN" w:bidi="ar"/>
              </w:rPr>
            </w:pPr>
            <w:r>
              <w:rPr>
                <w:rStyle w:val="31"/>
                <w:rFonts w:hint="eastAsia" w:ascii="宋体" w:hAnsi="宋体" w:eastAsia="宋体" w:cs="宋体"/>
                <w:sz w:val="18"/>
                <w:szCs w:val="18"/>
                <w:highlight w:val="none"/>
                <w:lang w:val="en-US" w:eastAsia="zh-CN" w:bidi="ar"/>
              </w:rPr>
              <w:t>错配修复（MMR）基因</w:t>
            </w:r>
          </w:p>
        </w:tc>
        <w:tc>
          <w:tcPr>
            <w:tcW w:w="1642" w:type="dxa"/>
            <w:tcBorders>
              <w:tl2br w:val="nil"/>
              <w:tr2bl w:val="nil"/>
            </w:tcBorders>
            <w:shd w:val="clear" w:color="auto" w:fill="auto"/>
            <w:vAlign w:val="center"/>
          </w:tcPr>
          <w:p w14:paraId="046DCB28">
            <w:pPr>
              <w:snapToGrid w:val="0"/>
              <w:jc w:val="left"/>
              <w:rPr>
                <w:rStyle w:val="31"/>
                <w:rFonts w:hint="eastAsia" w:ascii="宋体" w:hAnsi="宋体" w:eastAsia="宋体" w:cs="宋体"/>
                <w:sz w:val="18"/>
                <w:szCs w:val="18"/>
                <w:highlight w:val="none"/>
                <w:lang w:val="en-US" w:eastAsia="zh-CN" w:bidi="ar"/>
              </w:rPr>
            </w:pPr>
            <w:r>
              <w:rPr>
                <w:rStyle w:val="36"/>
                <w:rFonts w:hint="eastAsia" w:ascii="宋体" w:hAnsi="宋体" w:eastAsia="宋体" w:cs="宋体"/>
                <w:sz w:val="18"/>
                <w:szCs w:val="18"/>
                <w:highlight w:val="none"/>
                <w:lang w:val="en-US" w:eastAsia="zh-CN" w:bidi="ar"/>
              </w:rPr>
              <w:t xml:space="preserve">MLH1 失活突变 </w:t>
            </w:r>
          </w:p>
        </w:tc>
        <w:tc>
          <w:tcPr>
            <w:tcW w:w="3209" w:type="dxa"/>
            <w:tcBorders>
              <w:tl2br w:val="nil"/>
              <w:tr2bl w:val="nil"/>
            </w:tcBorders>
            <w:shd w:val="clear" w:color="auto" w:fill="auto"/>
            <w:vAlign w:val="center"/>
          </w:tcPr>
          <w:p w14:paraId="17C6023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dmmr.dmmrMLH1 %}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2DB6703F">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23312B8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dmmr.detectionSignificance }}</w:t>
            </w:r>
          </w:p>
        </w:tc>
      </w:tr>
      <w:tr w14:paraId="655BFD7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80D7B3F">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03C7A85">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MSH2 失活突变</w:t>
            </w:r>
          </w:p>
        </w:tc>
        <w:tc>
          <w:tcPr>
            <w:tcW w:w="3209" w:type="dxa"/>
            <w:tcBorders>
              <w:tl2br w:val="nil"/>
              <w:tr2bl w:val="nil"/>
            </w:tcBorders>
            <w:shd w:val="clear" w:color="auto" w:fill="auto"/>
            <w:vAlign w:val="center"/>
          </w:tcPr>
          <w:p w14:paraId="2E49F6F5">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3"/>
                <w:rFonts w:hint="eastAsia" w:ascii="宋体" w:hAnsi="宋体" w:eastAsia="宋体" w:cs="宋体"/>
                <w:color w:val="auto"/>
                <w:sz w:val="18"/>
                <w:szCs w:val="18"/>
                <w:lang w:eastAsia="zh-CN" w:bidi="ar"/>
              </w:rPr>
              <w:t>SH</w:t>
            </w:r>
            <w:r>
              <w:rPr>
                <w:rFonts w:hint="eastAsia" w:ascii="宋体" w:hAnsi="宋体" w:eastAsia="宋体" w:cs="宋体"/>
                <w:sz w:val="18"/>
                <w:szCs w:val="18"/>
                <w:lang w:eastAsia="zh-CN"/>
              </w:rPr>
              <w:t>2 %}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4F909114">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BF0195E">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C361D94">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1511177">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A641B6E">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MSH6 失活突变</w:t>
            </w:r>
          </w:p>
        </w:tc>
        <w:tc>
          <w:tcPr>
            <w:tcW w:w="3209" w:type="dxa"/>
            <w:tcBorders>
              <w:tl2br w:val="nil"/>
              <w:tr2bl w:val="nil"/>
            </w:tcBorders>
            <w:shd w:val="clear" w:color="auto" w:fill="auto"/>
            <w:vAlign w:val="center"/>
          </w:tcPr>
          <w:p w14:paraId="3292FAC9">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3"/>
                <w:rFonts w:hint="eastAsia" w:ascii="宋体" w:hAnsi="宋体" w:eastAsia="宋体" w:cs="宋体"/>
                <w:color w:val="auto"/>
                <w:sz w:val="18"/>
                <w:szCs w:val="18"/>
                <w:lang w:eastAsia="zh-CN" w:bidi="ar"/>
              </w:rPr>
              <w:t>SH6</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4B807DDF">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038FA34">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C5D5C9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59E41F0">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398FEC2">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PMS2 失活突变</w:t>
            </w:r>
          </w:p>
        </w:tc>
        <w:tc>
          <w:tcPr>
            <w:tcW w:w="3209" w:type="dxa"/>
            <w:tcBorders>
              <w:tl2br w:val="nil"/>
              <w:tr2bl w:val="nil"/>
            </w:tcBorders>
            <w:shd w:val="clear" w:color="auto" w:fill="auto"/>
            <w:vAlign w:val="center"/>
          </w:tcPr>
          <w:p w14:paraId="0F8836BC">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w:t>
            </w:r>
            <w:r>
              <w:rPr>
                <w:rStyle w:val="33"/>
                <w:rFonts w:hint="eastAsia" w:ascii="宋体" w:hAnsi="宋体" w:eastAsia="宋体" w:cs="宋体"/>
                <w:color w:val="auto"/>
                <w:sz w:val="18"/>
                <w:szCs w:val="18"/>
                <w:lang w:eastAsia="zh-CN" w:bidi="ar"/>
              </w:rPr>
              <w:t>PMS2</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2C245169">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2DB590E7">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143F98C">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2782B5E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6"/>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2B4389">
      <w:pPr>
        <w:pStyle w:val="6"/>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2.</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DF32DC3">
      <w:pPr>
        <w:rPr>
          <w:sz w:val="21"/>
          <w:szCs w:val="21"/>
          <w:lang w:eastAsia="zh-CN"/>
        </w:rPr>
      </w:pPr>
      <w:r>
        <w:rPr>
          <w:sz w:val="21"/>
          <w:szCs w:val="21"/>
          <w:lang w:eastAsia="zh-CN"/>
        </w:rPr>
        <w:br w:type="page"/>
      </w:r>
    </w:p>
    <w:p w14:paraId="73B67A0F">
      <w:pPr>
        <w:numPr>
          <w:ilvl w:val="0"/>
          <w:numId w:val="0"/>
        </w:numPr>
        <w:ind w:leftChars="0"/>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v:textbox>
                <w10:wrap type="none"/>
                <w10:anchorlock/>
              </v:shape>
            </w:pict>
          </mc:Fallback>
        </mc:AlternateContent>
      </w:r>
    </w:p>
    <w:bookmarkEnd w:id="0"/>
    <w:bookmarkEnd w:id="1"/>
    <w:p w14:paraId="58FA6ADC">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8"/>
        <w:tblW w:w="9844" w:type="dxa"/>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2A4E966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00D392"/>
            <w:vAlign w:val="center"/>
          </w:tcPr>
          <w:p w14:paraId="39713585">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检测基因</w:t>
            </w:r>
          </w:p>
        </w:tc>
        <w:tc>
          <w:tcPr>
            <w:tcW w:w="789" w:type="dxa"/>
            <w:tcBorders>
              <w:tl2br w:val="nil"/>
              <w:tr2bl w:val="nil"/>
            </w:tcBorders>
            <w:shd w:val="clear" w:color="auto" w:fill="00D392"/>
            <w:vAlign w:val="center"/>
          </w:tcPr>
          <w:p w14:paraId="256DDDEB">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l2br w:val="nil"/>
              <w:tr2bl w:val="nil"/>
            </w:tcBorders>
            <w:shd w:val="clear" w:color="auto" w:fill="00D392"/>
            <w:vAlign w:val="center"/>
          </w:tcPr>
          <w:p w14:paraId="7DFF37E5">
            <w:pPr>
              <w:pStyle w:val="27"/>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l2br w:val="nil"/>
              <w:tr2bl w:val="nil"/>
            </w:tcBorders>
            <w:shd w:val="clear" w:color="auto" w:fill="00D392"/>
            <w:vAlign w:val="center"/>
          </w:tcPr>
          <w:p w14:paraId="7BDB64D6">
            <w:pPr>
              <w:pStyle w:val="27"/>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l2br w:val="nil"/>
              <w:tr2bl w:val="nil"/>
            </w:tcBorders>
            <w:shd w:val="clear" w:color="auto" w:fill="00D392"/>
            <w:vAlign w:val="center"/>
          </w:tcPr>
          <w:p w14:paraId="66B1A257">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l2br w:val="nil"/>
              <w:tr2bl w:val="nil"/>
            </w:tcBorders>
            <w:shd w:val="clear" w:color="auto" w:fill="00D392"/>
            <w:vAlign w:val="center"/>
          </w:tcPr>
          <w:p w14:paraId="7632D6CE">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l2br w:val="nil"/>
              <w:tr2bl w:val="nil"/>
            </w:tcBorders>
            <w:shd w:val="clear" w:color="auto" w:fill="00D392"/>
            <w:vAlign w:val="center"/>
          </w:tcPr>
          <w:p w14:paraId="30DF5A02">
            <w:pPr>
              <w:pStyle w:val="27"/>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ABED37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5F0FF9C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2C673D8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1341B8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86553A0">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3" w:type="dxa"/>
            <w:tcBorders>
              <w:tl2br w:val="nil"/>
              <w:tr2bl w:val="nil"/>
            </w:tcBorders>
            <w:shd w:val="clear" w:color="auto" w:fill="auto"/>
            <w:vAlign w:val="center"/>
          </w:tcPr>
          <w:p w14:paraId="78786839">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tl2br w:val="nil"/>
              <w:tr2bl w:val="nil"/>
            </w:tcBorders>
            <w:shd w:val="clear" w:color="auto" w:fill="auto"/>
            <w:vAlign w:val="center"/>
          </w:tcPr>
          <w:p w14:paraId="62F77F0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tl2br w:val="nil"/>
              <w:tr2bl w:val="nil"/>
            </w:tcBorders>
            <w:shd w:val="clear" w:color="auto" w:fill="auto"/>
            <w:vAlign w:val="center"/>
          </w:tcPr>
          <w:p w14:paraId="1EF9B92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tl2br w:val="nil"/>
              <w:tr2bl w:val="nil"/>
            </w:tcBorders>
            <w:shd w:val="clear" w:color="auto" w:fill="auto"/>
            <w:vAlign w:val="center"/>
          </w:tcPr>
          <w:p w14:paraId="656D2D4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tl2br w:val="nil"/>
              <w:tr2bl w:val="nil"/>
            </w:tcBorders>
            <w:shd w:val="clear" w:color="auto" w:fill="auto"/>
            <w:vAlign w:val="center"/>
          </w:tcPr>
          <w:p w14:paraId="27EFDEF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tl2br w:val="nil"/>
              <w:tr2bl w:val="nil"/>
            </w:tcBorders>
            <w:shd w:val="clear" w:color="auto" w:fill="auto"/>
            <w:vAlign w:val="center"/>
          </w:tcPr>
          <w:p w14:paraId="7C88B20D">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tl2br w:val="nil"/>
              <w:tr2bl w:val="nil"/>
            </w:tcBorders>
            <w:shd w:val="clear" w:color="auto" w:fill="auto"/>
            <w:vAlign w:val="center"/>
          </w:tcPr>
          <w:p w14:paraId="1BCF534E">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4AA7F29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ED3952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2E22FB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23A173D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7A49DC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1AA2A93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EC8FBAF">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4A5E88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41BFFAFE">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8"/>
        <w:tblW w:w="5035"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73FE49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00D392"/>
            <w:vAlign w:val="center"/>
          </w:tcPr>
          <w:p w14:paraId="71C8F92D">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检测基因</w:t>
            </w:r>
          </w:p>
        </w:tc>
        <w:tc>
          <w:tcPr>
            <w:tcW w:w="895" w:type="pct"/>
            <w:tcBorders>
              <w:tl2br w:val="nil"/>
              <w:tr2bl w:val="nil"/>
            </w:tcBorders>
            <w:shd w:val="clear" w:color="auto" w:fill="00D392"/>
            <w:vAlign w:val="center"/>
          </w:tcPr>
          <w:p w14:paraId="3D47E0B2">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l2br w:val="nil"/>
              <w:tr2bl w:val="nil"/>
            </w:tcBorders>
            <w:shd w:val="clear" w:color="auto" w:fill="00D392"/>
            <w:vAlign w:val="center"/>
          </w:tcPr>
          <w:p w14:paraId="7B148605">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l2br w:val="nil"/>
              <w:tr2bl w:val="nil"/>
            </w:tcBorders>
            <w:shd w:val="clear" w:color="auto" w:fill="00D392"/>
            <w:vAlign w:val="center"/>
          </w:tcPr>
          <w:p w14:paraId="5E37BECE">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l2br w:val="nil"/>
              <w:tr2bl w:val="nil"/>
            </w:tcBorders>
            <w:shd w:val="clear" w:color="auto" w:fill="00D392"/>
            <w:vAlign w:val="center"/>
          </w:tcPr>
          <w:p w14:paraId="46E9E82B">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l2br w:val="nil"/>
              <w:tr2bl w:val="nil"/>
            </w:tcBorders>
            <w:shd w:val="clear" w:color="auto" w:fill="00D392"/>
            <w:vAlign w:val="center"/>
          </w:tcPr>
          <w:p w14:paraId="7CF212D7">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ADC12C5">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6A402AA1">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5993EC5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1A9D9286">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24E05A3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1286" w:type="dxa"/>
            <w:tcBorders>
              <w:tl2br w:val="nil"/>
              <w:tr2bl w:val="nil"/>
            </w:tcBorders>
            <w:shd w:val="clear" w:color="auto" w:fill="auto"/>
            <w:vAlign w:val="center"/>
          </w:tcPr>
          <w:p w14:paraId="6896D14B">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tl2br w:val="nil"/>
              <w:tr2bl w:val="nil"/>
            </w:tcBorders>
            <w:shd w:val="clear" w:color="auto" w:fill="auto"/>
            <w:vAlign w:val="center"/>
          </w:tcPr>
          <w:p w14:paraId="5853017D">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tl2br w:val="nil"/>
              <w:tr2bl w:val="nil"/>
            </w:tcBorders>
            <w:shd w:val="clear" w:color="auto" w:fill="auto"/>
            <w:vAlign w:val="center"/>
          </w:tcPr>
          <w:p w14:paraId="5350589A">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tl2br w:val="nil"/>
              <w:tr2bl w:val="nil"/>
            </w:tcBorders>
            <w:shd w:val="clear" w:color="auto" w:fill="auto"/>
            <w:vAlign w:val="center"/>
          </w:tcPr>
          <w:p w14:paraId="27210C75">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tl2br w:val="nil"/>
              <w:tr2bl w:val="nil"/>
            </w:tcBorders>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tl2br w:val="nil"/>
              <w:tr2bl w:val="nil"/>
            </w:tcBorders>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384C6CF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509A7CB9">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AAB69E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17540B4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3ECC29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4235040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77BC10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2D3C769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7630BAA6">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p>
    <w:p w14:paraId="6D9AD2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476FCC2C">
      <w:pPr>
        <w:bidi w:val="0"/>
        <w:rPr>
          <w:rFonts w:hint="eastAsia" w:ascii="宋体" w:hAnsi="宋体" w:eastAsia="宋体" w:cs="宋体"/>
          <w:b/>
          <w:sz w:val="18"/>
          <w:szCs w:val="18"/>
          <w:lang w:eastAsia="zh-CN"/>
        </w:rPr>
      </w:pP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tdd.comutation1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{{tdd.comutation}}</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0856FF4B">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4"/>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p w14:paraId="72E386DA">
      <w:pPr>
        <w:rPr>
          <w:rFonts w:hint="eastAsia" w:ascii="宋体" w:hAnsi="宋体" w:eastAsia="宋体" w:cs="宋体"/>
          <w:b/>
          <w:sz w:val="18"/>
          <w:szCs w:val="18"/>
          <w:lang w:eastAsia="zh-CN"/>
        </w:rPr>
      </w:pP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3E1D205F">
      <w:pPr>
        <w:spacing w:before="26"/>
        <w:rPr>
          <w:sz w:val="16"/>
        </w:rPr>
      </w:pPr>
      <w:r>
        <w:rPr>
          <w:sz w:val="16"/>
        </w:rPr>
        <w:br w:type="page"/>
      </w:r>
    </w:p>
    <w:p w14:paraId="306C8F62">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p w14:paraId="3CA1E8A3">
      <w:pPr>
        <w:spacing w:before="26"/>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4750" cy="297180"/>
                <wp:effectExtent l="4445" t="4445" r="19685" b="18415"/>
                <wp:docPr id="22" name="同侧圆角矩形 22"/>
                <wp:cNvGraphicFramePr/>
                <a:graphic xmlns:a="http://schemas.openxmlformats.org/drawingml/2006/main">
                  <a:graphicData uri="http://schemas.microsoft.com/office/word/2010/wordprocessingShape">
                    <wps:wsp>
                      <wps:cNvSpPr/>
                      <wps:spPr>
                        <a:xfrm>
                          <a:off x="0" y="0"/>
                          <a:ext cx="625475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5pt;v-text-anchor:middle;" fillcolor="#18CF96" filled="t" stroked="t" coordsize="6254750,297180" o:gfxdata="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CanUu1AAA&#10;AAQBAAAPAAAAAAAAAAEAIAAAACIAAABkcnMvZG93bnJldi54bWxQSwECFAAUAAAACACHTuJAF01X&#10;4pQCAAAcBQAADgAAAAAAAAABACAAAAAjAQAAZHJzL2Uyb0RvYy54bWxQSwUGAAAAAAYABgBZAQAA&#10;KQYAAAAA&#10;" path="m49530,0l6205219,0c6232574,0,6254749,22175,6254749,49530l6254750,297180,6254750,297180,0,297180,0,297180,0,49530c0,22175,22175,0,49530,0xe">
                <v:path textboxrect="0,0,6254750,297180" o:connectlocs="6254750,148590;3127375,297180;0,148590;3127375,0" o:connectangles="0,82,164,247"/>
                <v:fill on="t" focussize="0,0"/>
                <v:stroke weight="0.5pt" color="#18CF96 [3204]" miterlimit="8" joinstyle="miter"/>
                <v:imagedata o:title=""/>
                <o:lock v:ext="edit" aspectratio="f"/>
                <v:textbox inset="1mm,0mm,1mm,0mm">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tbl>
      <w:tblPr>
        <w:tblStyle w:val="12"/>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928"/>
        <w:gridCol w:w="309"/>
        <w:gridCol w:w="2042"/>
        <w:gridCol w:w="4591"/>
      </w:tblGrid>
      <w:tr w14:paraId="1B7A3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gridSpan w:val="2"/>
            <w:tcBorders>
              <w:top w:val="nil"/>
              <w:bottom w:val="single" w:color="000000" w:themeColor="text1" w:sz="4" w:space="0"/>
              <w:right w:val="nil"/>
            </w:tcBorders>
            <w:shd w:val="clear" w:color="auto" w:fill="auto"/>
            <w:vAlign w:val="center"/>
          </w:tcPr>
          <w:p w14:paraId="7689B9FD">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eastAsia="zh-CN"/>
              </w:rPr>
              <w:t>微卫星不稳定（MSI）</w:t>
            </w:r>
          </w:p>
        </w:tc>
        <w:tc>
          <w:tcPr>
            <w:tcW w:w="6633" w:type="dxa"/>
            <w:gridSpan w:val="2"/>
            <w:tcBorders>
              <w:top w:val="nil"/>
              <w:left w:val="nil"/>
              <w:bottom w:val="single" w:color="000000" w:themeColor="text1" w:sz="4" w:space="0"/>
            </w:tcBorders>
            <w:shd w:val="clear" w:color="auto" w:fill="auto"/>
            <w:vAlign w:val="center"/>
          </w:tcPr>
          <w:p w14:paraId="00E6079F">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29617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4"/>
            <w:tcBorders>
              <w:top w:val="single" w:color="000000" w:themeColor="text1" w:sz="4" w:space="0"/>
              <w:bottom w:val="single" w:color="000000" w:themeColor="text1" w:sz="4" w:space="0"/>
            </w:tcBorders>
            <w:shd w:val="clear" w:color="auto" w:fill="auto"/>
            <w:vAlign w:val="center"/>
          </w:tcPr>
          <w:p w14:paraId="078E5F8A">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369BB462">
            <w:pPr>
              <w:keepNext w:val="0"/>
              <w:keepLines w:val="0"/>
              <w:pageBreakBefore w:val="0"/>
              <w:widowControl w:val="0"/>
              <w:kinsoku/>
              <w:wordWrap/>
              <w:overflowPunct/>
              <w:topLinePunct w:val="0"/>
              <w:autoSpaceDE/>
              <w:autoSpaceDN/>
              <w:bidi w:val="0"/>
              <w:adjustRightInd/>
              <w:snapToGrid/>
              <w:spacing w:line="329"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5BD159FD">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3CA1226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20CC4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C17C23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AC23402">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7DF1594">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5E6B1B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513C2A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2343E22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A2489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D8122C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5EFC3D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F145FA1">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4C64B9FF">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r>
              <w:rPr>
                <w:rFonts w:hint="eastAsia" w:ascii="宋体" w:hAnsi="宋体" w:eastAsia="宋体" w:cs="宋体"/>
                <w:b/>
                <w:bCs/>
                <w:color w:val="000000"/>
                <w:kern w:val="0"/>
                <w:sz w:val="13"/>
                <w:szCs w:val="13"/>
                <w:lang w:val="en-US" w:eastAsia="zh-CN" w:bidi="ar"/>
              </w:rPr>
              <w:t>注：请结合其它检测结果和临床资料谨慎用药。</w:t>
            </w:r>
          </w:p>
          <w:p w14:paraId="711C3019">
            <w:pPr>
              <w:spacing w:before="13" w:line="252" w:lineRule="auto"/>
              <w:ind w:right="174"/>
              <w:jc w:val="left"/>
              <w:rPr>
                <w:rFonts w:hint="eastAsia" w:ascii="宋体" w:hAnsi="宋体" w:eastAsia="宋体" w:cs="宋体"/>
                <w:b/>
                <w:bCs/>
                <w:color w:val="000000"/>
                <w:kern w:val="0"/>
                <w:sz w:val="13"/>
                <w:szCs w:val="13"/>
                <w:lang w:val="en-US" w:eastAsia="zh-CN" w:bidi="ar"/>
              </w:rPr>
            </w:pPr>
          </w:p>
          <w:p w14:paraId="1FE35BF3">
            <w:pPr>
              <w:spacing w:before="13" w:line="252" w:lineRule="auto"/>
              <w:ind w:right="174"/>
              <w:jc w:val="left"/>
              <w:rPr>
                <w:rFonts w:hint="eastAsia" w:ascii="宋体" w:hAnsi="宋体" w:eastAsia="宋体" w:cs="宋体"/>
                <w:b/>
                <w:bCs/>
                <w:color w:val="000000"/>
                <w:kern w:val="0"/>
                <w:sz w:val="13"/>
                <w:szCs w:val="13"/>
                <w:lang w:val="en-US" w:eastAsia="zh-CN" w:bidi="ar"/>
              </w:rPr>
            </w:pPr>
          </w:p>
        </w:tc>
      </w:tr>
      <w:tr w14:paraId="3FB333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restart"/>
            <w:tcBorders>
              <w:top w:val="single" w:color="000000" w:themeColor="text1" w:sz="4" w:space="0"/>
              <w:bottom w:val="single" w:color="000000" w:themeColor="text1" w:sz="4" w:space="0"/>
              <w:right w:val="nil"/>
            </w:tcBorders>
            <w:shd w:val="clear" w:color="auto" w:fill="auto"/>
            <w:vAlign w:val="center"/>
          </w:tcPr>
          <w:p w14:paraId="68919540">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错配修复（</w:t>
            </w:r>
            <w:r>
              <w:rPr>
                <w:rFonts w:hint="default" w:ascii="宋体" w:hAnsi="宋体" w:eastAsia="宋体" w:cs="宋体"/>
                <w:b/>
                <w:bCs/>
                <w:sz w:val="18"/>
                <w:szCs w:val="18"/>
                <w:lang w:val="en-US" w:eastAsia="zh-CN"/>
              </w:rPr>
              <w:t>MMR</w:t>
            </w:r>
            <w:r>
              <w:rPr>
                <w:rFonts w:hint="eastAsia" w:ascii="宋体" w:hAnsi="宋体" w:eastAsia="宋体" w:cs="宋体"/>
                <w:b/>
                <w:bCs/>
                <w:sz w:val="18"/>
                <w:szCs w:val="18"/>
                <w:lang w:val="en-US" w:eastAsia="zh-CN"/>
              </w:rPr>
              <w:t>）</w:t>
            </w: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86D834">
            <w:pPr>
              <w:spacing w:before="13" w:line="252" w:lineRule="auto"/>
              <w:ind w:right="174"/>
              <w:jc w:val="left"/>
              <w:rPr>
                <w:rFonts w:hint="default"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MLH1 </w:t>
            </w:r>
            <w:r>
              <w:rPr>
                <w:rFonts w:hint="eastAsia" w:ascii="宋体" w:hAnsi="宋体" w:eastAsia="宋体" w:cs="宋体"/>
                <w:b w:val="0"/>
                <w:bCs w:val="0"/>
                <w:sz w:val="18"/>
                <w:szCs w:val="18"/>
                <w:lang w:val="en-US" w:eastAsia="zh-CN"/>
              </w:rPr>
              <w:t xml:space="preserve">失活突变 </w:t>
            </w:r>
          </w:p>
        </w:tc>
        <w:tc>
          <w:tcPr>
            <w:tcW w:w="4591" w:type="dxa"/>
            <w:tcBorders>
              <w:top w:val="single" w:color="000000" w:themeColor="text1" w:sz="4" w:space="0"/>
              <w:left w:val="nil"/>
              <w:bottom w:val="single" w:color="000000" w:themeColor="text1" w:sz="4" w:space="0"/>
            </w:tcBorders>
            <w:shd w:val="clear" w:color="auto" w:fill="auto"/>
            <w:vAlign w:val="center"/>
          </w:tcPr>
          <w:p w14:paraId="6EF048DA">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dmmr.dmmrMLH1 %}{% if i == ‘-’%}未见变异{%else%}{{i}}{% endif %}{%if loop.last%}{%else%}</w:t>
            </w:r>
          </w:p>
          <w:p w14:paraId="4957F7EE">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40AEC2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395AB5E8">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CB4478">
            <w:pPr>
              <w:spacing w:before="13" w:line="252" w:lineRule="auto"/>
              <w:ind w:right="174"/>
              <w:jc w:val="left"/>
              <w:rPr>
                <w:rFonts w:hint="eastAsia"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MSH2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F23AD93">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w:t>
            </w:r>
            <w:r>
              <w:rPr>
                <w:rFonts w:hint="default" w:ascii="宋体" w:hAnsi="宋体" w:eastAsia="宋体" w:cs="宋体"/>
                <w:b w:val="0"/>
                <w:bCs w:val="0"/>
                <w:sz w:val="18"/>
                <w:szCs w:val="18"/>
                <w:lang w:val="en-US" w:eastAsia="zh-CN"/>
              </w:rPr>
              <w:t>MSH2</w:t>
            </w:r>
            <w:r>
              <w:rPr>
                <w:rFonts w:hint="eastAsia" w:ascii="宋体" w:hAnsi="宋体" w:eastAsia="宋体" w:cs="宋体"/>
                <w:b w:val="0"/>
                <w:bCs w:val="0"/>
                <w:sz w:val="18"/>
                <w:szCs w:val="18"/>
                <w:lang w:val="en-US" w:eastAsia="zh-CN"/>
              </w:rPr>
              <w:t xml:space="preserve"> %}{% if i == ‘-’%}未见变异{%else%}{{i}}{% endif %}{%if loop.last%}{%else%}</w:t>
            </w:r>
          </w:p>
          <w:p w14:paraId="1ECA57C4">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3AA369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2A1C464F">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70D395AD">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MSH6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2A0910D1">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dmmr.dmmrMSH6 %}{% if i == ‘-’%}未见变异{%else%}{{i}}{% endif %}{%if loop.last%}{%else%}</w:t>
            </w:r>
          </w:p>
          <w:p w14:paraId="67738FDD">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8374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4B288C6B">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D1933B9">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PMS2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65A070E">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dmmr.dmmrPMS2 %}{% if i == ‘-’%}未见变异{%else%}{{i}}{% endif %}{%if loop.last%}{%else%}</w:t>
            </w:r>
          </w:p>
          <w:p w14:paraId="36CCE9B1">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ADE5F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70" w:hRule="atLeast"/>
          <w:jc w:val="center"/>
        </w:trPr>
        <w:tc>
          <w:tcPr>
            <w:tcW w:w="9870" w:type="dxa"/>
            <w:gridSpan w:val="4"/>
            <w:tcBorders>
              <w:top w:val="single" w:color="000000" w:themeColor="text1" w:sz="4" w:space="0"/>
              <w:bottom w:val="nil"/>
            </w:tcBorders>
            <w:shd w:val="clear" w:color="auto" w:fill="auto"/>
            <w:vAlign w:val="center"/>
          </w:tcPr>
          <w:p w14:paraId="2D447E35">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val="en-US" w:eastAsia="zh-CN"/>
              </w:rPr>
              <w:t>项目</w:t>
            </w:r>
            <w:r>
              <w:rPr>
                <w:rFonts w:hint="eastAsia" w:ascii="宋体" w:hAnsi="宋体" w:eastAsia="宋体" w:cs="宋体"/>
                <w:b/>
                <w:sz w:val="18"/>
                <w:szCs w:val="18"/>
                <w:shd w:val="clear" w:color="auto" w:fill="FFFFFF"/>
                <w:lang w:eastAsia="zh-CN"/>
              </w:rPr>
              <w:t>解析：</w:t>
            </w:r>
          </w:p>
          <w:p w14:paraId="331C7BC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val="en-US" w:eastAsia="zh-CN"/>
              </w:rPr>
              <w:t>MLH1、MSH2、MSH6 和 PMS2 胚系突变常导致林奇综合征，结直肠癌、胃癌、子宫内膜癌等多种癌症的风险增高。同时，多项回顾性研究表明，MMR 基因的体细胞突变同样可以造成 dMMR/MSI-H，与散发性结直肠癌和子宫内膜癌发生相关[PMID: 24333619; PMID: 25194673]。</w:t>
            </w:r>
          </w:p>
          <w:p w14:paraId="7C84AD11">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b/>
                <w:sz w:val="18"/>
                <w:szCs w:val="18"/>
                <w:shd w:val="clear" w:color="auto" w:fill="FFFFFF"/>
                <w:lang w:eastAsia="zh-CN"/>
              </w:rPr>
              <w:t>临床意义：</w:t>
            </w:r>
          </w:p>
          <w:p w14:paraId="2329F14A">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sz w:val="18"/>
                <w:szCs w:val="18"/>
                <w:shd w:val="clear" w:color="auto" w:fill="FFFFFF"/>
                <w:lang w:val="en-US" w:eastAsia="zh-CN"/>
              </w:rPr>
              <w:t>一项临床研究表明，帕博利珠单抗用于 dMMR/MSI-H 的结直肠癌患者的客观缓解率（ORR）为 36%，非结直肠癌患者的 ORR 为 46%[FDAReferenceID: 4389012]。基于该研究，FDA 已批准帕博利珠单抗用于 dMMR/MSI-H 的治疗进展后没有合适的替代治疗方案的儿童或者成年实体瘤患者的治疗；或者氟尿嘧啶、奥沙利铂和伊立替康治疗后进展的结直肠癌患者的治疗。CheckMate142 的临床研究结果显示，纳武利尤单抗用于 dMMR/MSI-H 的结直肠癌患者的 ORR 为 28%，包括 1 例完全缓解和 14 例部分缓解[PMID: 28734759]。基于该研究，FDA 已批准纳武利尤单抗用于 dMMR/MSI-H 的氟尿嘧啶、奥沙利铂和伊立替康为基础治疗进展后的成人和儿童（12 岁及以上）的晚期结直肠癌患者。检测 MMR 有助于：辅助临床评判 MSI-H 发生的原因；辅助临床判断受检者是否患有林奇综合症（LynchSyndrome，LS）；预测肿瘤患者能否从抗 PD-1 中获益。</w:t>
            </w:r>
          </w:p>
          <w:p w14:paraId="6D6D76E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jc w:val="left"/>
              <w:textAlignment w:val="auto"/>
              <w:rPr>
                <w:rFonts w:hint="eastAsia" w:ascii="宋体" w:hAnsi="宋体" w:eastAsia="宋体" w:cs="宋体"/>
                <w:b/>
                <w:bCs/>
                <w:sz w:val="13"/>
                <w:szCs w:val="13"/>
                <w:highlight w:val="none"/>
                <w:lang w:val="en-US" w:eastAsia="zh-CN"/>
              </w:rPr>
            </w:pPr>
            <w:r>
              <w:rPr>
                <w:rFonts w:hint="eastAsia" w:ascii="宋体" w:hAnsi="宋体" w:eastAsia="宋体" w:cs="宋体"/>
                <w:b/>
                <w:bCs/>
                <w:sz w:val="13"/>
                <w:szCs w:val="13"/>
                <w:highlight w:val="none"/>
                <w:lang w:val="en-US" w:eastAsia="zh-CN"/>
              </w:rPr>
              <w:t>注：</w:t>
            </w:r>
            <w:r>
              <w:rPr>
                <w:rFonts w:hint="default" w:ascii="宋体" w:hAnsi="宋体" w:eastAsia="宋体" w:cs="宋体"/>
                <w:b/>
                <w:bCs/>
                <w:sz w:val="13"/>
                <w:szCs w:val="13"/>
                <w:highlight w:val="none"/>
                <w:lang w:val="en-US" w:eastAsia="zh-CN"/>
              </w:rPr>
              <w:t xml:space="preserve">1. </w:t>
            </w:r>
            <w:r>
              <w:rPr>
                <w:rFonts w:hint="eastAsia" w:ascii="宋体" w:hAnsi="宋体" w:eastAsia="宋体" w:cs="宋体"/>
                <w:b/>
                <w:bCs/>
                <w:sz w:val="13"/>
                <w:szCs w:val="13"/>
                <w:highlight w:val="none"/>
                <w:lang w:val="en-US" w:eastAsia="zh-CN"/>
              </w:rPr>
              <w:t>错配修复（</w:t>
            </w:r>
            <w:r>
              <w:rPr>
                <w:rFonts w:hint="default" w:ascii="宋体" w:hAnsi="宋体" w:eastAsia="宋体" w:cs="宋体"/>
                <w:b/>
                <w:bCs/>
                <w:sz w:val="13"/>
                <w:szCs w:val="13"/>
                <w:highlight w:val="none"/>
                <w:lang w:val="en-US" w:eastAsia="zh-CN"/>
              </w:rPr>
              <w:t>MMR</w:t>
            </w:r>
            <w:r>
              <w:rPr>
                <w:rFonts w:hint="eastAsia" w:ascii="宋体" w:hAnsi="宋体" w:eastAsia="宋体" w:cs="宋体"/>
                <w:b/>
                <w:bCs/>
                <w:sz w:val="13"/>
                <w:szCs w:val="13"/>
                <w:highlight w:val="none"/>
                <w:lang w:val="en-US" w:eastAsia="zh-CN"/>
              </w:rPr>
              <w:t>）基因突变会导致错配修复缺陷（</w:t>
            </w:r>
            <w:r>
              <w:rPr>
                <w:rFonts w:hint="default" w:ascii="宋体" w:hAnsi="宋体" w:eastAsia="宋体" w:cs="宋体"/>
                <w:b/>
                <w:bCs/>
                <w:sz w:val="13"/>
                <w:szCs w:val="13"/>
                <w:highlight w:val="none"/>
                <w:lang w:val="en-US" w:eastAsia="zh-CN"/>
              </w:rPr>
              <w:t>dMMR</w:t>
            </w:r>
            <w:r>
              <w:rPr>
                <w:rFonts w:hint="eastAsia" w:ascii="宋体" w:hAnsi="宋体" w:eastAsia="宋体" w:cs="宋体"/>
                <w:b/>
                <w:bCs/>
                <w:sz w:val="13"/>
                <w:szCs w:val="13"/>
                <w:highlight w:val="none"/>
                <w:lang w:val="en-US" w:eastAsia="zh-CN"/>
              </w:rPr>
              <w:t>）；如果没有发生基因突变，则为正常（</w:t>
            </w:r>
            <w:r>
              <w:rPr>
                <w:rFonts w:hint="default" w:ascii="宋体" w:hAnsi="宋体" w:eastAsia="宋体" w:cs="宋体"/>
                <w:b/>
                <w:bCs/>
                <w:sz w:val="13"/>
                <w:szCs w:val="13"/>
                <w:highlight w:val="none"/>
                <w:lang w:val="en-US" w:eastAsia="zh-CN"/>
              </w:rPr>
              <w:t>pMMR</w:t>
            </w:r>
            <w:r>
              <w:rPr>
                <w:rFonts w:hint="eastAsia" w:ascii="宋体" w:hAnsi="宋体" w:eastAsia="宋体" w:cs="宋体"/>
                <w:b/>
                <w:bCs/>
                <w:sz w:val="13"/>
                <w:szCs w:val="13"/>
                <w:highlight w:val="none"/>
                <w:lang w:val="en-US" w:eastAsia="zh-CN"/>
              </w:rPr>
              <w:t xml:space="preserve">）。 </w:t>
            </w:r>
          </w:p>
          <w:p w14:paraId="74731BFA">
            <w:pPr>
              <w:keepNext w:val="0"/>
              <w:keepLines w:val="0"/>
              <w:pageBreakBefore w:val="0"/>
              <w:widowControl w:val="0"/>
              <w:kinsoku/>
              <w:wordWrap/>
              <w:overflowPunct/>
              <w:topLinePunct w:val="0"/>
              <w:autoSpaceDE/>
              <w:autoSpaceDN/>
              <w:bidi w:val="0"/>
              <w:adjustRightInd/>
              <w:snapToGrid/>
              <w:spacing w:before="63" w:beforeLines="20" w:line="324" w:lineRule="auto"/>
              <w:ind w:firstLine="261" w:firstLineChars="200"/>
              <w:textAlignment w:val="auto"/>
              <w:rPr>
                <w:rFonts w:hint="eastAsia" w:ascii="宋体" w:hAnsi="宋体" w:eastAsia="宋体" w:cs="宋体"/>
                <w:b/>
                <w:bCs/>
                <w:color w:val="000000"/>
                <w:kern w:val="0"/>
                <w:sz w:val="13"/>
                <w:szCs w:val="13"/>
                <w:lang w:val="en-US" w:eastAsia="zh-CN" w:bidi="ar"/>
              </w:rPr>
            </w:pPr>
            <w:r>
              <w:rPr>
                <w:rFonts w:hint="default" w:ascii="宋体" w:hAnsi="宋体" w:eastAsia="宋体" w:cs="宋体"/>
                <w:b/>
                <w:bCs/>
                <w:sz w:val="13"/>
                <w:szCs w:val="13"/>
                <w:highlight w:val="none"/>
                <w:lang w:val="en-US" w:eastAsia="zh-CN"/>
              </w:rPr>
              <w:t xml:space="preserve">2. </w:t>
            </w:r>
            <w:r>
              <w:rPr>
                <w:rFonts w:hint="eastAsia" w:ascii="宋体" w:hAnsi="宋体" w:eastAsia="宋体" w:cs="宋体"/>
                <w:b/>
                <w:bCs/>
                <w:sz w:val="13"/>
                <w:szCs w:val="13"/>
                <w:highlight w:val="none"/>
                <w:lang w:val="en-US" w:eastAsia="zh-CN"/>
              </w:rPr>
              <w:t xml:space="preserve">本项目仅限于基因水平突变检测，未进行 </w:t>
            </w:r>
            <w:r>
              <w:rPr>
                <w:rFonts w:hint="default" w:ascii="宋体" w:hAnsi="宋体" w:eastAsia="宋体" w:cs="宋体"/>
                <w:b/>
                <w:bCs/>
                <w:sz w:val="13"/>
                <w:szCs w:val="13"/>
                <w:highlight w:val="none"/>
                <w:lang w:val="en-US" w:eastAsia="zh-CN"/>
              </w:rPr>
              <w:t xml:space="preserve">IHC </w:t>
            </w:r>
            <w:r>
              <w:rPr>
                <w:rFonts w:hint="eastAsia" w:ascii="宋体" w:hAnsi="宋体" w:eastAsia="宋体" w:cs="宋体"/>
                <w:b/>
                <w:bCs/>
                <w:sz w:val="13"/>
                <w:szCs w:val="13"/>
                <w:highlight w:val="none"/>
                <w:lang w:val="en-US" w:eastAsia="zh-CN"/>
              </w:rPr>
              <w:t>表达检测，请临床结合其它检测。</w:t>
            </w:r>
          </w:p>
        </w:tc>
      </w:tr>
    </w:tbl>
    <w:p w14:paraId="361883B3">
      <w:pPr>
        <w:rPr>
          <w:rFonts w:hint="eastAsia"/>
          <w:sz w:val="30"/>
          <w:lang w:eastAsia="zh-CN"/>
        </w:rPr>
      </w:pPr>
      <w:r>
        <w:rPr>
          <w:rFonts w:hint="eastAsia"/>
          <w:sz w:val="30"/>
          <w:lang w:eastAsia="zh-CN"/>
        </w:rPr>
        <w:br w:type="page"/>
      </w:r>
    </w:p>
    <w:p w14:paraId="7AEB23FD">
      <w:pPr>
        <w:rPr>
          <w:rFonts w:hint="eastAsia"/>
          <w:sz w:val="30"/>
          <w:lang w:eastAsia="zh-CN"/>
        </w:rPr>
      </w:pPr>
      <w:r>
        <w:rPr>
          <w:rFonts w:hint="eastAsia"/>
          <w:color w:val="000000" w:themeColor="text1"/>
          <w14:textFill>
            <w14:solidFill>
              <w14:schemeClr w14:val="tx1"/>
            </w14:solidFill>
          </w14:textFill>
        </w:rPr>
        <w:t>{% if gastrointestinalStromalTumor == True %}</w:t>
      </w:r>
    </w:p>
    <w:p w14:paraId="4D74150D">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29" name="同侧圆角矩形 29"/>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Xqh9p&#10;1QAAAAQBAAAPAAAAAAAAAAEAIAAAACIAAABkcnMvZG93bnJldi54bWxQSwECFAAUAAAACACHTuJA&#10;XqvUo5YCAAAcBQAADgAAAAAAAAABACAAAAAkAQAAZHJzL2Uyb0RvYy54bWxQSwUGAAAAAAYABgBZ&#10;AQAALAY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v:textbox>
                <w10:wrap type="none"/>
                <w10:anchorlock/>
              </v:shape>
            </w:pict>
          </mc:Fallback>
        </mc:AlternateContent>
      </w:r>
    </w:p>
    <w:p w14:paraId="2C952D36">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color w:val="000000"/>
          <w:kern w:val="0"/>
          <w:sz w:val="18"/>
          <w:szCs w:val="18"/>
          <w:lang w:val="en-US" w:eastAsia="zh-CN" w:bidi="ar"/>
        </w:rPr>
        <w:t>该部分为根据受检者的单核酸多态性（SNP）突变位点结合相关数据库，得出的关于受检者化疗药物有效性和毒副作用风险的用药提示，并且化疗药物的使用与受检者身体情况、既往治疗等情况密切相关，该内容仅供参考，用药请谨遵医嘱。</w:t>
      </w:r>
    </w:p>
    <w:tbl>
      <w:tblPr>
        <w:tblStyle w:val="12"/>
        <w:tblW w:w="5008"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766"/>
        <w:gridCol w:w="2814"/>
        <w:gridCol w:w="1424"/>
        <w:gridCol w:w="1167"/>
        <w:gridCol w:w="927"/>
        <w:gridCol w:w="1200"/>
        <w:gridCol w:w="1037"/>
        <w:gridCol w:w="563"/>
      </w:tblGrid>
      <w:tr w14:paraId="22B749C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9" w:hRule="atLeast"/>
          <w:tblHeader/>
          <w:jc w:val="center"/>
        </w:trPr>
        <w:tc>
          <w:tcPr>
            <w:tcW w:w="386" w:type="pct"/>
            <w:tcBorders>
              <w:tl2br w:val="nil"/>
              <w:tr2bl w:val="nil"/>
            </w:tcBorders>
            <w:shd w:val="clear" w:color="auto" w:fill="00D392"/>
            <w:vAlign w:val="center"/>
          </w:tcPr>
          <w:p w14:paraId="243C7D9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l2br w:val="nil"/>
              <w:tr2bl w:val="nil"/>
            </w:tcBorders>
            <w:shd w:val="clear" w:color="auto" w:fill="00D392"/>
            <w:vAlign w:val="center"/>
          </w:tcPr>
          <w:p w14:paraId="02347CC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l2br w:val="nil"/>
              <w:tr2bl w:val="nil"/>
            </w:tcBorders>
            <w:shd w:val="clear" w:color="auto" w:fill="00D392"/>
            <w:vAlign w:val="center"/>
          </w:tcPr>
          <w:p w14:paraId="03FA2E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l2br w:val="nil"/>
              <w:tr2bl w:val="nil"/>
            </w:tcBorders>
            <w:shd w:val="clear" w:color="auto" w:fill="00D392"/>
            <w:vAlign w:val="center"/>
          </w:tcPr>
          <w:p w14:paraId="5166ED7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l2br w:val="nil"/>
              <w:tr2bl w:val="nil"/>
            </w:tcBorders>
            <w:shd w:val="clear" w:color="auto" w:fill="00D392"/>
            <w:vAlign w:val="center"/>
          </w:tcPr>
          <w:p w14:paraId="6923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l2br w:val="nil"/>
              <w:tr2bl w:val="nil"/>
            </w:tcBorders>
            <w:shd w:val="clear" w:color="auto" w:fill="00D392"/>
            <w:vAlign w:val="center"/>
          </w:tcPr>
          <w:p w14:paraId="7008DB3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tcBorders>
              <w:tl2br w:val="nil"/>
              <w:tr2bl w:val="nil"/>
            </w:tcBorders>
            <w:shd w:val="clear" w:color="auto" w:fill="00D392"/>
            <w:vAlign w:val="center"/>
          </w:tcPr>
          <w:p w14:paraId="1215E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l2br w:val="nil"/>
              <w:tr2bl w:val="nil"/>
            </w:tcBorders>
            <w:shd w:val="clear" w:color="auto" w:fill="00D392"/>
            <w:vAlign w:val="center"/>
          </w:tcPr>
          <w:p w14:paraId="2A6166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2D111F">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28" w:hRule="atLeast"/>
          <w:jc w:val="center"/>
        </w:trPr>
        <w:tc>
          <w:tcPr>
            <w:tcW w:w="5000" w:type="pct"/>
            <w:gridSpan w:val="8"/>
            <w:tcBorders>
              <w:tl2br w:val="nil"/>
              <w:tr2bl w:val="nil"/>
            </w:tcBorders>
            <w:shd w:val="clear" w:color="auto" w:fill="auto"/>
            <w:vAlign w:val="center"/>
          </w:tcPr>
          <w:p w14:paraId="730DA3F0">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ca in chemoAnalysis%}</w:t>
            </w:r>
          </w:p>
        </w:tc>
      </w:tr>
      <w:tr w14:paraId="35BA16B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48" w:hRule="atLeast"/>
          <w:jc w:val="center"/>
        </w:trPr>
        <w:tc>
          <w:tcPr>
            <w:tcW w:w="5000" w:type="pct"/>
            <w:gridSpan w:val="8"/>
            <w:tcBorders>
              <w:tl2br w:val="nil"/>
              <w:tr2bl w:val="nil"/>
            </w:tcBorders>
            <w:shd w:val="clear" w:color="auto" w:fill="auto"/>
            <w:vAlign w:val="center"/>
          </w:tcPr>
          <w:p w14:paraId="74CA617A">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 in ca %}</w:t>
            </w:r>
          </w:p>
        </w:tc>
      </w:tr>
      <w:tr w14:paraId="04A5307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54" w:hRule="atLeast"/>
          <w:jc w:val="center"/>
        </w:trPr>
        <w:tc>
          <w:tcPr>
            <w:tcW w:w="386" w:type="pct"/>
            <w:tcBorders>
              <w:tl2br w:val="nil"/>
              <w:tr2bl w:val="nil"/>
            </w:tcBorders>
            <w:shd w:val="clear" w:color="auto" w:fill="auto"/>
            <w:vAlign w:val="center"/>
          </w:tcPr>
          <w:p w14:paraId="03A2191E">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vm %}{{ c.drug_class }}</w:t>
            </w:r>
          </w:p>
        </w:tc>
        <w:tc>
          <w:tcPr>
            <w:tcW w:w="1421" w:type="pct"/>
            <w:tcBorders>
              <w:tl2br w:val="nil"/>
              <w:tr2bl w:val="nil"/>
            </w:tcBorders>
            <w:shd w:val="clear" w:color="auto" w:fill="auto"/>
            <w:vAlign w:val="center"/>
          </w:tcPr>
          <w:p w14:paraId="01D4B8E0">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c.drug_name_chinese }}</w:t>
            </w:r>
          </w:p>
        </w:tc>
        <w:tc>
          <w:tcPr>
            <w:tcW w:w="719" w:type="pct"/>
            <w:tcBorders>
              <w:tl2br w:val="nil"/>
              <w:tr2bl w:val="nil"/>
            </w:tcBorders>
            <w:shd w:val="clear" w:color="auto" w:fill="auto"/>
            <w:vAlign w:val="center"/>
          </w:tcPr>
          <w:p w14:paraId="68EEE3B3">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c.gene }}</w:t>
            </w:r>
          </w:p>
        </w:tc>
        <w:tc>
          <w:tcPr>
            <w:tcW w:w="589" w:type="pct"/>
            <w:tcBorders>
              <w:tl2br w:val="nil"/>
              <w:tr2bl w:val="nil"/>
            </w:tcBorders>
            <w:shd w:val="clear" w:color="auto" w:fill="auto"/>
            <w:vAlign w:val="center"/>
          </w:tcPr>
          <w:p w14:paraId="10DC07CD">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c.rs_id }}</w:t>
            </w:r>
          </w:p>
        </w:tc>
        <w:tc>
          <w:tcPr>
            <w:tcW w:w="468" w:type="pct"/>
            <w:tcBorders>
              <w:tl2br w:val="nil"/>
              <w:tr2bl w:val="nil"/>
            </w:tcBorders>
            <w:shd w:val="clear" w:color="auto" w:fill="auto"/>
            <w:vAlign w:val="center"/>
          </w:tcPr>
          <w:p w14:paraId="147EB0FB">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c.allele }}</w:t>
            </w:r>
          </w:p>
        </w:tc>
        <w:tc>
          <w:tcPr>
            <w:tcW w:w="606" w:type="pct"/>
            <w:tcBorders>
              <w:tl2br w:val="nil"/>
              <w:tr2bl w:val="nil"/>
            </w:tcBorders>
            <w:shd w:val="clear" w:color="auto" w:fill="auto"/>
            <w:vAlign w:val="center"/>
          </w:tcPr>
          <w:p w14:paraId="2F5C4AF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c.tox }}</w:t>
            </w:r>
          </w:p>
        </w:tc>
        <w:tc>
          <w:tcPr>
            <w:tcW w:w="523" w:type="pct"/>
            <w:tcBorders>
              <w:tl2br w:val="nil"/>
              <w:tr2bl w:val="nil"/>
            </w:tcBorders>
            <w:shd w:val="clear" w:color="auto" w:fill="auto"/>
            <w:vAlign w:val="center"/>
          </w:tcPr>
          <w:p w14:paraId="4306172B">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c.eff }}</w:t>
            </w:r>
          </w:p>
        </w:tc>
        <w:tc>
          <w:tcPr>
            <w:tcW w:w="284" w:type="pct"/>
            <w:tcBorders>
              <w:tl2br w:val="nil"/>
              <w:tr2bl w:val="nil"/>
            </w:tcBorders>
            <w:shd w:val="clear" w:color="auto" w:fill="auto"/>
            <w:vAlign w:val="center"/>
          </w:tcPr>
          <w:p w14:paraId="5A86C97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c.evidence }}</w:t>
            </w:r>
          </w:p>
        </w:tc>
      </w:tr>
      <w:tr w14:paraId="2F2C013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48" w:hRule="atLeast"/>
          <w:jc w:val="center"/>
        </w:trPr>
        <w:tc>
          <w:tcPr>
            <w:tcW w:w="5000" w:type="pct"/>
            <w:gridSpan w:val="8"/>
            <w:tcBorders>
              <w:tl2br w:val="nil"/>
              <w:tr2bl w:val="nil"/>
            </w:tcBorders>
            <w:shd w:val="clear" w:color="auto" w:fill="auto"/>
            <w:vAlign w:val="center"/>
          </w:tcPr>
          <w:p w14:paraId="763A1AC9">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r w14:paraId="674151E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68" w:hRule="atLeast"/>
          <w:jc w:val="center"/>
        </w:trPr>
        <w:tc>
          <w:tcPr>
            <w:tcW w:w="5000" w:type="pct"/>
            <w:gridSpan w:val="8"/>
            <w:tcBorders>
              <w:tl2br w:val="nil"/>
              <w:tr2bl w:val="nil"/>
            </w:tcBorders>
            <w:shd w:val="clear" w:color="auto" w:fill="auto"/>
            <w:vAlign w:val="center"/>
          </w:tcPr>
          <w:p w14:paraId="115F3221">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bl>
    <w:p w14:paraId="4112CAA0">
      <w:pPr>
        <w:keepNext w:val="0"/>
        <w:keepLines w:val="0"/>
        <w:pageBreakBefore w:val="0"/>
        <w:widowControl w:val="0"/>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注：1.</w:t>
      </w:r>
      <w:r>
        <w:rPr>
          <w:rFonts w:hint="default" w:ascii="宋体" w:hAnsi="宋体" w:eastAsia="宋体" w:cs="宋体"/>
          <w:sz w:val="13"/>
          <w:szCs w:val="13"/>
          <w:lang w:val="en-US" w:eastAsia="zh-CN"/>
        </w:rPr>
        <w:t xml:space="preserve"> PharmGKB </w:t>
      </w:r>
      <w:r>
        <w:rPr>
          <w:rFonts w:hint="eastAsia" w:ascii="宋体" w:hAnsi="宋体" w:eastAsia="宋体" w:cs="宋体"/>
          <w:sz w:val="13"/>
          <w:szCs w:val="13"/>
          <w:lang w:val="en-US" w:eastAsia="zh-CN"/>
        </w:rPr>
        <w:t>是美国国立卫生研究院资助的提供人类基因变异与药物反应相关关系的知识库。</w:t>
      </w:r>
    </w:p>
    <w:p w14:paraId="530D251E">
      <w:pPr>
        <w:keepNext w:val="0"/>
        <w:keepLines w:val="0"/>
        <w:pageBreakBefore w:val="0"/>
        <w:widowControl w:val="0"/>
        <w:numPr>
          <w:ilvl w:val="0"/>
          <w:numId w:val="2"/>
        </w:numPr>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临床证据等级来源于 </w:t>
      </w:r>
      <w:r>
        <w:rPr>
          <w:rFonts w:hint="default" w:ascii="宋体" w:hAnsi="宋体" w:eastAsia="宋体" w:cs="宋体"/>
          <w:sz w:val="13"/>
          <w:szCs w:val="13"/>
          <w:lang w:val="en-US" w:eastAsia="zh-CN"/>
        </w:rPr>
        <w:t>PharmGKBClinicalAnnotationLevelsofEvidence(https://www.pharmgkb.org/page/clinAnnLevels)</w:t>
      </w:r>
      <w:r>
        <w:rPr>
          <w:rFonts w:hint="eastAsia" w:ascii="宋体" w:hAnsi="宋体" w:eastAsia="宋体" w:cs="宋体"/>
          <w:sz w:val="13"/>
          <w:szCs w:val="13"/>
          <w:lang w:val="en-US" w:eastAsia="zh-CN"/>
        </w:rPr>
        <w:t xml:space="preserve">，证据等级 </w:t>
      </w: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4 </w:t>
      </w:r>
      <w:r>
        <w:rPr>
          <w:rFonts w:hint="eastAsia" w:ascii="宋体" w:hAnsi="宋体" w:eastAsia="宋体" w:cs="宋体"/>
          <w:sz w:val="13"/>
          <w:szCs w:val="13"/>
          <w:lang w:val="en-US" w:eastAsia="zh-CN"/>
        </w:rPr>
        <w:t>分别代表证据支持程度依次降低：</w:t>
      </w:r>
    </w:p>
    <w:p w14:paraId="46E62220">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：由临床药物基因组学实施联盟</w:t>
      </w:r>
      <w:r>
        <w:rPr>
          <w:rFonts w:hint="default" w:ascii="宋体" w:hAnsi="宋体" w:eastAsia="宋体" w:cs="宋体"/>
          <w:sz w:val="13"/>
          <w:szCs w:val="13"/>
          <w:lang w:val="en-US" w:eastAsia="zh-CN"/>
        </w:rPr>
        <w:t>(CPIC)</w:t>
      </w:r>
      <w:r>
        <w:rPr>
          <w:rFonts w:hint="eastAsia" w:ascii="宋体" w:hAnsi="宋体" w:eastAsia="宋体" w:cs="宋体"/>
          <w:sz w:val="13"/>
          <w:szCs w:val="13"/>
          <w:lang w:val="en-US" w:eastAsia="zh-CN"/>
        </w:rPr>
        <w:t>或遗传药理学指南认可，或在遗传药理学研究网络</w:t>
      </w:r>
      <w:r>
        <w:rPr>
          <w:rFonts w:hint="default" w:ascii="宋体" w:hAnsi="宋体" w:eastAsia="宋体" w:cs="宋体"/>
          <w:sz w:val="13"/>
          <w:szCs w:val="13"/>
          <w:lang w:val="en-US" w:eastAsia="zh-CN"/>
        </w:rPr>
        <w:t>(PGRN)</w:t>
      </w:r>
      <w:r>
        <w:rPr>
          <w:rFonts w:hint="eastAsia" w:ascii="宋体" w:hAnsi="宋体" w:eastAsia="宋体" w:cs="宋体"/>
          <w:sz w:val="13"/>
          <w:szCs w:val="13"/>
          <w:lang w:val="en-US" w:eastAsia="zh-CN"/>
        </w:rPr>
        <w:t>或某些重大卫生系统认可。</w:t>
      </w:r>
    </w:p>
    <w:p w14:paraId="295C271A">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 xml:space="preserve">：相关性基于多项有统计显著性的研究，此相关性必须在多于一个群体的研究中被重复，且显著性较强。 </w:t>
      </w:r>
    </w:p>
    <w:p w14:paraId="0306964B">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PharmGKB </w:t>
      </w:r>
      <w:r>
        <w:rPr>
          <w:rFonts w:hint="eastAsia" w:ascii="宋体" w:hAnsi="宋体" w:eastAsia="宋体" w:cs="宋体"/>
          <w:sz w:val="13"/>
          <w:szCs w:val="13"/>
          <w:lang w:val="en-US" w:eastAsia="zh-CN"/>
        </w:rPr>
        <w:t xml:space="preserve">定义的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级之上的有 </w:t>
      </w:r>
      <w:r>
        <w:rPr>
          <w:rFonts w:hint="default" w:ascii="宋体" w:hAnsi="宋体" w:eastAsia="宋体" w:cs="宋体"/>
          <w:sz w:val="13"/>
          <w:szCs w:val="13"/>
          <w:lang w:val="en-US" w:eastAsia="zh-CN"/>
        </w:rPr>
        <w:t>VIP</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VeryImportantPharmacogene</w:t>
      </w:r>
      <w:r>
        <w:rPr>
          <w:rFonts w:hint="eastAsia" w:ascii="宋体" w:hAnsi="宋体" w:eastAsia="宋体" w:cs="宋体"/>
          <w:sz w:val="13"/>
          <w:szCs w:val="13"/>
          <w:lang w:val="en-US" w:eastAsia="zh-CN"/>
        </w:rPr>
        <w:t>，非常重要的用药相关基因）的变异。</w:t>
      </w:r>
      <w:r>
        <w:rPr>
          <w:rFonts w:hint="default" w:ascii="宋体" w:hAnsi="宋体" w:eastAsia="宋体" w:cs="宋体"/>
          <w:sz w:val="13"/>
          <w:szCs w:val="13"/>
          <w:lang w:val="en-US" w:eastAsia="zh-CN"/>
        </w:rPr>
        <w:t xml:space="preserve">2A </w:t>
      </w:r>
      <w:r>
        <w:rPr>
          <w:rFonts w:hint="eastAsia" w:ascii="宋体" w:hAnsi="宋体" w:eastAsia="宋体" w:cs="宋体"/>
          <w:sz w:val="13"/>
          <w:szCs w:val="13"/>
          <w:lang w:val="en-US" w:eastAsia="zh-CN"/>
        </w:rPr>
        <w:t xml:space="preserve">级变异为已知用药相关基因，与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级相比功能相关性更显著。 </w:t>
      </w:r>
    </w:p>
    <w:p w14:paraId="3BEAEFC1">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 xml:space="preserve">：相关性基于多项重复性研究所得的中等程度证据，但其中某些研究可能缺乏统计学显著性或规模效应较小。 </w:t>
      </w:r>
    </w:p>
    <w:p w14:paraId="6B0DEA85">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 xml:space="preserve">：相关性基于单一显著性（尚无重复性）研究或多项缺乏明确证据的研究。 </w:t>
      </w:r>
    </w:p>
    <w:p w14:paraId="329F20F7">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default" w:ascii="宋体" w:hAnsi="宋体" w:eastAsia="宋体" w:cs="宋体"/>
          <w:sz w:val="13"/>
          <w:szCs w:val="13"/>
          <w:lang w:val="en-US" w:eastAsia="zh-CN"/>
        </w:rPr>
      </w:pPr>
      <w:r>
        <w:rPr>
          <w:rFonts w:hint="default" w:ascii="宋体" w:hAnsi="宋体" w:eastAsia="宋体" w:cs="宋体"/>
          <w:sz w:val="13"/>
          <w:szCs w:val="13"/>
          <w:lang w:val="en-US" w:eastAsia="zh-CN"/>
        </w:rPr>
        <w:t>●4</w:t>
      </w:r>
      <w:r>
        <w:rPr>
          <w:rFonts w:hint="eastAsia" w:ascii="宋体" w:hAnsi="宋体" w:eastAsia="宋体" w:cs="宋体"/>
          <w:sz w:val="13"/>
          <w:szCs w:val="13"/>
          <w:lang w:val="en-US" w:eastAsia="zh-CN"/>
        </w:rPr>
        <w:t xml:space="preserve">：注释仅基于少量病例、非权威研究或体外的分子功能研究。 </w:t>
      </w:r>
    </w:p>
    <w:p w14:paraId="1B9AD4CE">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3.化疗药物检测结果仅从基因角度进行分析，化疗药物的药效及毒副作用还会受到多种临床因素影响，用药上会存在个体差异，所以实际临床用药方案需临床医生综合判断。</w:t>
      </w:r>
    </w:p>
    <w:p w14:paraId="0357290C">
      <w:pPr>
        <w:rPr>
          <w:rFonts w:hint="eastAsia" w:ascii="Times New Roman" w:hAnsi="Times New Roman" w:eastAsia="微软雅黑" w:cs="Times New Roman"/>
          <w:b/>
          <w:sz w:val="24"/>
          <w:szCs w:val="24"/>
          <w:lang w:eastAsia="zh-CN"/>
        </w:rPr>
      </w:pPr>
      <w:bookmarkStart w:id="2" w:name="_Toc13196_WPSOffice_Level1"/>
      <w:bookmarkStart w:id="3" w:name="_Toc28240"/>
      <w:bookmarkStart w:id="4" w:name="_Toc27302"/>
      <w:bookmarkStart w:id="5" w:name="_Toc16594"/>
      <w:bookmarkStart w:id="6" w:name="_Toc21764_WPSOffice_Level1"/>
      <w:bookmarkStart w:id="7" w:name="_Toc12505"/>
      <w:bookmarkStart w:id="8" w:name="_Toc2409"/>
      <w:bookmarkStart w:id="9" w:name="_Toc1707_WPSOffice_Level1"/>
      <w:r>
        <w:rPr>
          <w:rFonts w:hint="eastAsia" w:ascii="Times New Roman" w:hAnsi="Times New Roman" w:eastAsia="微软雅黑" w:cs="Times New Roman"/>
          <w:b/>
          <w:sz w:val="24"/>
          <w:szCs w:val="24"/>
          <w:lang w:eastAsia="zh-CN"/>
        </w:rPr>
        <w:br w:type="page"/>
      </w:r>
    </w:p>
    <w:p w14:paraId="0E4AF6E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bookmarkEnd w:id="2"/>
    <w:bookmarkEnd w:id="3"/>
    <w:bookmarkEnd w:id="4"/>
    <w:bookmarkEnd w:id="5"/>
    <w:bookmarkEnd w:id="6"/>
    <w:bookmarkEnd w:id="7"/>
    <w:bookmarkEnd w:id="8"/>
    <w:bookmarkEnd w:id="9"/>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10" w:name="_Toc19443"/>
      <w:bookmarkStart w:id="11" w:name="_Toc149837268"/>
      <w:bookmarkStart w:id="12" w:name="_Toc30346"/>
      <w:bookmarkStart w:id="13" w:name="_Toc1140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10"/>
      <w:bookmarkEnd w:id="11"/>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p w14:paraId="7D44E385">
      <w:pPr>
        <w:rPr>
          <w:rFonts w:hint="eastAsia"/>
          <w:lang w:val="en-US" w:eastAsia="zh-CN"/>
        </w:rPr>
      </w:pPr>
    </w:p>
    <w:tbl>
      <w:tblPr>
        <w:tblStyle w:val="12"/>
        <w:tblW w:w="9810" w:type="dxa"/>
        <w:jc w:val="center"/>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right w:val="nil"/>
            </w:tcBorders>
            <w:shd w:val="clear" w:color="auto" w:fill="00D392"/>
            <w:vAlign w:val="center"/>
          </w:tcPr>
          <w:p w14:paraId="7E2CCC8F">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质控环节</w:t>
            </w:r>
          </w:p>
        </w:tc>
        <w:tc>
          <w:tcPr>
            <w:tcW w:w="2717" w:type="dxa"/>
            <w:tcBorders>
              <w:top w:val="nil"/>
              <w:left w:val="nil"/>
              <w:right w:val="nil"/>
            </w:tcBorders>
            <w:shd w:val="clear" w:color="auto" w:fill="00D392"/>
            <w:vAlign w:val="center"/>
          </w:tcPr>
          <w:p w14:paraId="03C5425E">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质控参数</w:t>
            </w:r>
          </w:p>
        </w:tc>
        <w:tc>
          <w:tcPr>
            <w:tcW w:w="2378" w:type="dxa"/>
            <w:tcBorders>
              <w:top w:val="nil"/>
              <w:left w:val="nil"/>
              <w:right w:val="nil"/>
            </w:tcBorders>
            <w:shd w:val="clear" w:color="auto" w:fill="00D392"/>
            <w:vAlign w:val="center"/>
          </w:tcPr>
          <w:p w14:paraId="55CA611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right w:val="nil"/>
            </w:tcBorders>
            <w:shd w:val="clear" w:color="auto" w:fill="00D392"/>
            <w:vAlign w:val="center"/>
          </w:tcPr>
          <w:p w14:paraId="4F19055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left w:val="nil"/>
              <w:right w:val="nil"/>
            </w:tcBorders>
            <w:shd w:val="clear" w:color="auto" w:fill="auto"/>
            <w:vAlign w:val="center"/>
          </w:tcPr>
          <w:p w14:paraId="35B9D2BA">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717" w:type="dxa"/>
            <w:tcBorders>
              <w:left w:val="nil"/>
              <w:right w:val="nil"/>
            </w:tcBorders>
            <w:shd w:val="clear" w:color="auto" w:fill="auto"/>
            <w:vAlign w:val="center"/>
          </w:tcPr>
          <w:p w14:paraId="00400AB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肿瘤细胞含量</w:t>
            </w:r>
          </w:p>
        </w:tc>
        <w:tc>
          <w:tcPr>
            <w:tcW w:w="2378" w:type="dxa"/>
            <w:tcBorders>
              <w:left w:val="nil"/>
              <w:right w:val="nil"/>
            </w:tcBorders>
            <w:shd w:val="clear" w:color="auto" w:fill="auto"/>
            <w:vAlign w:val="center"/>
          </w:tcPr>
          <w:p w14:paraId="1BF64BDA">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tcBorders>
              <w:left w:val="nil"/>
              <w:right w:val="nil"/>
            </w:tcBorders>
            <w:shd w:val="clear" w:color="auto" w:fill="auto"/>
            <w:vAlign w:val="center"/>
          </w:tcPr>
          <w:p w14:paraId="009F93D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6FF06EBC">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0C7E98C0">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717" w:type="dxa"/>
            <w:tcBorders>
              <w:left w:val="nil"/>
              <w:right w:val="nil"/>
            </w:tcBorders>
            <w:shd w:val="clear" w:color="auto" w:fill="auto"/>
            <w:vAlign w:val="center"/>
          </w:tcPr>
          <w:p w14:paraId="306C0F0C">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DNA总量（ng）</w:t>
            </w:r>
          </w:p>
        </w:tc>
        <w:tc>
          <w:tcPr>
            <w:tcW w:w="2378" w:type="dxa"/>
            <w:tcBorders>
              <w:left w:val="nil"/>
              <w:right w:val="nil"/>
            </w:tcBorders>
            <w:shd w:val="clear" w:color="auto" w:fill="auto"/>
            <w:vAlign w:val="center"/>
          </w:tcPr>
          <w:p w14:paraId="48CE6D74">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tcBorders>
              <w:left w:val="nil"/>
              <w:right w:val="nil"/>
            </w:tcBorders>
            <w:shd w:val="clear" w:color="auto" w:fill="auto"/>
            <w:vAlign w:val="center"/>
          </w:tcPr>
          <w:p w14:paraId="49A6E6D8">
            <w:pPr>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≥100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≥20</w:t>
            </w:r>
            <w:r>
              <w:rPr>
                <w:rFonts w:hint="eastAsia" w:ascii="宋体" w:hAnsi="宋体" w:eastAsia="宋体" w:cs="宋体"/>
                <w:sz w:val="18"/>
                <w:szCs w:val="18"/>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599DA20C">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6074766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预文库总量（ng）</w:t>
            </w:r>
          </w:p>
        </w:tc>
        <w:tc>
          <w:tcPr>
            <w:tcW w:w="2378" w:type="dxa"/>
            <w:tcBorders>
              <w:left w:val="nil"/>
              <w:right w:val="nil"/>
            </w:tcBorders>
            <w:shd w:val="clear" w:color="auto" w:fill="auto"/>
            <w:vAlign w:val="center"/>
          </w:tcPr>
          <w:p w14:paraId="06617952">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tcBorders>
              <w:left w:val="nil"/>
              <w:right w:val="nil"/>
            </w:tcBorders>
            <w:shd w:val="clear" w:color="auto" w:fill="auto"/>
            <w:vAlign w:val="center"/>
          </w:tcPr>
          <w:p w14:paraId="36CB4A08">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1EEA71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测序质量评估</w:t>
            </w:r>
          </w:p>
        </w:tc>
        <w:tc>
          <w:tcPr>
            <w:tcW w:w="2717" w:type="dxa"/>
            <w:tcBorders>
              <w:left w:val="nil"/>
              <w:right w:val="nil"/>
            </w:tcBorders>
            <w:shd w:val="clear" w:color="auto" w:fill="auto"/>
            <w:vAlign w:val="center"/>
          </w:tcPr>
          <w:p w14:paraId="3A0EE31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平均测序深度</w:t>
            </w:r>
          </w:p>
        </w:tc>
        <w:tc>
          <w:tcPr>
            <w:tcW w:w="2378" w:type="dxa"/>
            <w:tcBorders>
              <w:left w:val="nil"/>
              <w:right w:val="nil"/>
            </w:tcBorders>
            <w:shd w:val="clear" w:color="auto" w:fill="auto"/>
            <w:vAlign w:val="center"/>
          </w:tcPr>
          <w:p w14:paraId="33CB22B0">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tcBorders>
              <w:left w:val="nil"/>
              <w:right w:val="nil"/>
            </w:tcBorders>
            <w:shd w:val="clear" w:color="auto" w:fill="auto"/>
            <w:vAlign w:val="center"/>
          </w:tcPr>
          <w:p w14:paraId="02374D1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≥500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color w:val="000000"/>
                <w:sz w:val="18"/>
                <w:szCs w:val="18"/>
                <w:lang w:eastAsia="zh-CN"/>
              </w:rPr>
              <w:t>15</w:t>
            </w:r>
            <w:r>
              <w:rPr>
                <w:rFonts w:hint="eastAsia" w:ascii="宋体" w:hAnsi="宋体" w:eastAsia="宋体" w:cs="宋体"/>
                <w:color w:val="000000"/>
                <w:sz w:val="18"/>
                <w:szCs w:val="18"/>
              </w:rPr>
              <w:t>00</w:t>
            </w:r>
            <w:r>
              <w:rPr>
                <w:rFonts w:hint="eastAsia" w:ascii="宋体" w:hAnsi="宋体" w:eastAsia="宋体" w:cs="宋体"/>
                <w:sz w:val="18"/>
                <w:szCs w:val="18"/>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0C78DC5D">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319F1ED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覆盖均一性</w:t>
            </w:r>
          </w:p>
        </w:tc>
        <w:tc>
          <w:tcPr>
            <w:tcW w:w="2378" w:type="dxa"/>
            <w:tcBorders>
              <w:left w:val="nil"/>
              <w:right w:val="nil"/>
            </w:tcBorders>
            <w:shd w:val="clear" w:color="auto" w:fill="auto"/>
            <w:vAlign w:val="center"/>
          </w:tcPr>
          <w:p w14:paraId="5653B67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tcBorders>
              <w:left w:val="nil"/>
              <w:right w:val="nil"/>
            </w:tcBorders>
            <w:shd w:val="clear" w:color="auto" w:fill="auto"/>
            <w:vAlign w:val="center"/>
          </w:tcPr>
          <w:p w14:paraId="468CE3C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6217B9B7">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4500E10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基因组比对率</w:t>
            </w:r>
          </w:p>
        </w:tc>
        <w:tc>
          <w:tcPr>
            <w:tcW w:w="2378" w:type="dxa"/>
            <w:tcBorders>
              <w:left w:val="nil"/>
              <w:right w:val="nil"/>
            </w:tcBorders>
            <w:shd w:val="clear" w:color="auto" w:fill="auto"/>
            <w:vAlign w:val="center"/>
          </w:tcPr>
          <w:p w14:paraId="75F6EC05">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tcBorders>
              <w:left w:val="nil"/>
              <w:right w:val="nil"/>
            </w:tcBorders>
            <w:shd w:val="clear" w:color="auto" w:fill="auto"/>
            <w:vAlign w:val="center"/>
          </w:tcPr>
          <w:p w14:paraId="1EE09AD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1CEA37F6">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592F435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碱基质量Q30占比</w:t>
            </w:r>
          </w:p>
        </w:tc>
        <w:tc>
          <w:tcPr>
            <w:tcW w:w="2378" w:type="dxa"/>
            <w:tcBorders>
              <w:left w:val="nil"/>
              <w:right w:val="nil"/>
            </w:tcBorders>
            <w:shd w:val="clear" w:color="auto" w:fill="auto"/>
            <w:vAlign w:val="center"/>
          </w:tcPr>
          <w:p w14:paraId="407FCC62">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tcBorders>
              <w:left w:val="nil"/>
              <w:right w:val="nil"/>
            </w:tcBorders>
            <w:shd w:val="clear" w:color="auto" w:fill="auto"/>
            <w:vAlign w:val="center"/>
          </w:tcPr>
          <w:p w14:paraId="30740C44">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0000" w:themeColor="text1" w:sz="4" w:space="0"/>
              <w:right w:val="nil"/>
            </w:tcBorders>
            <w:shd w:val="clear" w:color="auto" w:fill="F1F1F1"/>
            <w:vAlign w:val="center"/>
          </w:tcPr>
          <w:p w14:paraId="537432B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tcBorders>
              <w:left w:val="nil"/>
              <w:bottom w:val="single" w:color="000000" w:themeColor="text1" w:sz="4" w:space="0"/>
              <w:right w:val="nil"/>
            </w:tcBorders>
            <w:shd w:val="clear" w:color="auto" w:fill="F1F1F1"/>
            <w:vAlign w:val="center"/>
          </w:tcPr>
          <w:p w14:paraId="4009FD6B">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overall_quality_assessment }}</w:t>
            </w:r>
          </w:p>
        </w:tc>
      </w:tr>
      <w:bookmarkEnd w:id="12"/>
      <w:bookmarkEnd w:id="13"/>
    </w:tbl>
    <w:p w14:paraId="5B2F596D">
      <w:pPr>
        <w:pStyle w:val="25"/>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0"/>
        </w:numPr>
        <w:wordWrap/>
        <w:topLinePunct w:val="0"/>
        <w:autoSpaceDE/>
        <w:autoSpaceDN/>
        <w:bidi w:val="0"/>
        <w:adjustRightInd w:val="0"/>
        <w:snapToGrid w:val="0"/>
        <w:spacing w:line="360" w:lineRule="auto"/>
        <w:ind w:left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1.  肿瘤细胞含量：送检样本经HE染色评估的肿瘤细胞含量。如送检样本不满足病理评估所需条件，则不进行此项评估。</w:t>
      </w:r>
    </w:p>
    <w:p w14:paraId="0B12F1AF">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2.  DNA总量：送检样本的DNA提取总量。</w:t>
      </w:r>
    </w:p>
    <w:p w14:paraId="64C31CC9">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3.  预文库总量：核酸片段经过接头连接和扩增纯化后中间产物的总量。</w:t>
      </w:r>
    </w:p>
    <w:p w14:paraId="2895251C">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4.  平均测序深度：目标区域每个碱基被测到的平均次数。</w:t>
      </w:r>
    </w:p>
    <w:p w14:paraId="2B92D2E4">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5.  覆盖均一性：测序深度达到平均测序深度20%的碱基占比。</w:t>
      </w:r>
    </w:p>
    <w:p w14:paraId="73DC48C0">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6.  基因组比对率：比对到参考基因组上的reads数目占比。</w:t>
      </w:r>
    </w:p>
    <w:p w14:paraId="6FFA45C1">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7.  碱基质量Q30占比：测序数据中碱基质量在Q30以上（即碱基识别错误率在千分之一以下）的占比。</w:t>
      </w:r>
    </w:p>
    <w:p w14:paraId="57FBF06D">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8.  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7F9011D">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p w14:paraId="0A33F9C8">
      <w:pPr>
        <w:rPr>
          <w:rFonts w:ascii="Times New Roman" w:hAnsi="Times New Roman" w:eastAsia="微软雅黑" w:cs="Times New Roman"/>
          <w:sz w:val="24"/>
          <w:szCs w:val="24"/>
          <w:lang w:eastAsia="zh-CN"/>
        </w:rPr>
      </w:pP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247"/>
        <w:gridCol w:w="1247"/>
        <w:gridCol w:w="1247"/>
        <w:gridCol w:w="1247"/>
        <w:gridCol w:w="1247"/>
        <w:gridCol w:w="1247"/>
        <w:gridCol w:w="1247"/>
      </w:tblGrid>
      <w:tr w14:paraId="50ADF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2CDDB0E0">
            <w:pPr>
              <w:widowControl/>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8</w:t>
            </w:r>
            <w:r>
              <w:rPr>
                <w:rFonts w:hint="eastAsia" w:ascii="Times New Roman" w:hAnsi="Times New Roman" w:eastAsia="微软雅黑" w:cs="Times New Roman"/>
                <w:sz w:val="18"/>
                <w:szCs w:val="18"/>
                <w:lang w:eastAsia="zh-CN"/>
              </w:rPr>
              <w:t>,18,True) %}</w:t>
            </w:r>
          </w:p>
        </w:tc>
      </w:tr>
      <w:tr w14:paraId="47C48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4EF5A0C2">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Gene[0] }}</w:t>
            </w:r>
          </w:p>
        </w:tc>
        <w:tc>
          <w:tcPr>
            <w:tcW w:w="1247" w:type="dxa"/>
            <w:vAlign w:val="center"/>
          </w:tcPr>
          <w:p w14:paraId="1D431958">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Gene[1] }}</w:t>
            </w:r>
          </w:p>
        </w:tc>
        <w:tc>
          <w:tcPr>
            <w:tcW w:w="1247" w:type="dxa"/>
            <w:vAlign w:val="center"/>
          </w:tcPr>
          <w:p w14:paraId="60DD3036">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Gene[2] }}</w:t>
            </w:r>
          </w:p>
        </w:tc>
        <w:tc>
          <w:tcPr>
            <w:tcW w:w="1247" w:type="dxa"/>
            <w:vAlign w:val="center"/>
          </w:tcPr>
          <w:p w14:paraId="5C2DA16B">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Gene[3] }}</w:t>
            </w:r>
          </w:p>
        </w:tc>
        <w:tc>
          <w:tcPr>
            <w:tcW w:w="1247" w:type="dxa"/>
            <w:vAlign w:val="center"/>
          </w:tcPr>
          <w:p w14:paraId="551DEEF1">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Gene[4] }}</w:t>
            </w:r>
          </w:p>
        </w:tc>
        <w:tc>
          <w:tcPr>
            <w:tcW w:w="1247" w:type="dxa"/>
            <w:vAlign w:val="center"/>
          </w:tcPr>
          <w:p w14:paraId="3D2AAA65">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Gene[5] }}</w:t>
            </w:r>
          </w:p>
        </w:tc>
        <w:tc>
          <w:tcPr>
            <w:tcW w:w="1247" w:type="dxa"/>
            <w:vAlign w:val="center"/>
          </w:tcPr>
          <w:p w14:paraId="4ED7C129">
            <w:pPr>
              <w:widowControl/>
              <w:jc w:val="center"/>
              <w:rPr>
                <w:rFonts w:hint="eastAsia"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w:t>
            </w:r>
            <w:r>
              <w:rPr>
                <w:rFonts w:hint="eastAsia" w:ascii="Times New Roman" w:hAnsi="Times New Roman" w:eastAsia="微软雅黑" w:cs="Times New Roman"/>
                <w:i/>
                <w:sz w:val="18"/>
                <w:szCs w:val="18"/>
                <w:lang w:val="en-US" w:eastAsia="zh-CN"/>
              </w:rPr>
              <w:t>6</w:t>
            </w:r>
            <w:r>
              <w:rPr>
                <w:rFonts w:hint="eastAsia" w:ascii="Times New Roman" w:hAnsi="Times New Roman" w:eastAsia="微软雅黑" w:cs="Times New Roman"/>
                <w:i/>
                <w:sz w:val="18"/>
                <w:szCs w:val="18"/>
                <w:lang w:eastAsia="zh-CN"/>
              </w:rPr>
              <w:t>] }}</w:t>
            </w:r>
          </w:p>
        </w:tc>
        <w:tc>
          <w:tcPr>
            <w:tcW w:w="1247" w:type="dxa"/>
            <w:vAlign w:val="center"/>
          </w:tcPr>
          <w:p w14:paraId="0B619523">
            <w:pPr>
              <w:widowControl/>
              <w:jc w:val="center"/>
              <w:rPr>
                <w:rFonts w:hint="eastAsia"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w:t>
            </w:r>
            <w:r>
              <w:rPr>
                <w:rFonts w:hint="eastAsia" w:ascii="Times New Roman" w:hAnsi="Times New Roman" w:eastAsia="微软雅黑" w:cs="Times New Roman"/>
                <w:i/>
                <w:sz w:val="18"/>
                <w:szCs w:val="18"/>
                <w:lang w:val="en-US" w:eastAsia="zh-CN"/>
              </w:rPr>
              <w:t>7</w:t>
            </w:r>
            <w:r>
              <w:rPr>
                <w:rFonts w:hint="eastAsia" w:ascii="Times New Roman" w:hAnsi="Times New Roman" w:eastAsia="微软雅黑" w:cs="Times New Roman"/>
                <w:i/>
                <w:sz w:val="18"/>
                <w:szCs w:val="18"/>
                <w:lang w:eastAsia="zh-CN"/>
              </w:rPr>
              <w:t>] }}</w:t>
            </w:r>
          </w:p>
        </w:tc>
      </w:tr>
      <w:tr w14:paraId="5D83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78F87DC7">
            <w:pPr>
              <w:spacing w:line="276" w:lineRule="auto"/>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7AAD0F9A">
      <w:pPr>
        <w:rPr>
          <w:sz w:val="30"/>
          <w:lang w:eastAsia="zh-CN"/>
        </w:rPr>
      </w:pPr>
      <w:bookmarkStart w:id="14" w:name="_Toc3409"/>
      <w:bookmarkStart w:id="15" w:name="_Toc15114"/>
      <w:bookmarkStart w:id="16" w:name="_Toc27693"/>
      <w:bookmarkStart w:id="17" w:name="_Toc31185"/>
      <w:bookmarkStart w:id="18" w:name="_Toc28454_WPSOffice_Level1"/>
      <w:bookmarkStart w:id="19" w:name="_Toc26985_WPSOffice_Level1"/>
      <w:bookmarkStart w:id="20" w:name="_Toc20924"/>
      <w:bookmarkStart w:id="21" w:name="_Toc20170_WPSOffice_Level1"/>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bookmarkEnd w:id="14"/>
    <w:bookmarkEnd w:id="15"/>
    <w:p w14:paraId="0A2C210C">
      <w:pPr>
        <w:rPr>
          <w:highlight w:val="yellow"/>
          <w:lang w:eastAsia="zh-CN"/>
        </w:rPr>
      </w:pP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2"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2"/>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2"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2"/>
                    </w:p>
                    <w:p w14:paraId="326104F4">
                      <w:pPr>
                        <w:rPr>
                          <w:rFonts w:hint="default"/>
                          <w:lang w:val="en-US" w:eastAsia="zh-CN"/>
                        </w:rPr>
                      </w:pPr>
                    </w:p>
                  </w:txbxContent>
                </v:textbox>
                <w10:wrap type="none"/>
                <w10:anchorlock/>
              </v:shape>
            </w:pict>
          </mc:Fallback>
        </mc:AlternateContent>
      </w:r>
    </w:p>
    <w:p w14:paraId="4639B6CC">
      <w:pPr>
        <w:rPr>
          <w:highlight w:val="yellow"/>
          <w:lang w:eastAsia="zh-CN"/>
        </w:rPr>
      </w:pP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7"/>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检测结果包含：点突变、短片段插入缺失突变、拷贝数变异及基因重排等变异类型；为泛实体瘤个性化精准诊疗提供靶向用药、化疗用药等参考信息。参考基因组为 GRCh37/hg19，变异命名原则参考HGVS规则。分析采用自主开发软件Novo2025_v1.0.0。</w:t>
      </w:r>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D74DEE8">
      <w:pPr>
        <w:pStyle w:val="37"/>
        <w:keepNext w:val="0"/>
        <w:keepLines w:val="0"/>
        <w:pageBreakBefore w:val="0"/>
        <w:widowControl w:val="0"/>
        <w:numPr>
          <w:ilvl w:val="0"/>
          <w:numId w:val="4"/>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lang w:val="en-US" w:eastAsia="zh-CN"/>
          <w14:textFill>
            <w14:solidFill>
              <w14:schemeClr w14:val="tx1"/>
            </w14:solidFill>
          </w14:textFill>
        </w:rPr>
      </w:pPr>
      <w:r>
        <w:rPr>
          <w:rFonts w:hint="eastAsia" w:ascii="宋体" w:hAnsi="宋体" w:eastAsia="宋体" w:cs="宋体"/>
          <w:bCs/>
          <w:sz w:val="21"/>
          <w:szCs w:val="21"/>
          <w:highlight w:val="none"/>
          <w:lang w:eastAsia="zh-CN"/>
        </w:rPr>
        <w:t>本检测报出的突变可能包括体细胞突变(非遗传性)，胚系突变(遗传性)。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16"/>
      <w:bookmarkEnd w:id="17"/>
      <w:bookmarkEnd w:id="18"/>
      <w:bookmarkEnd w:id="19"/>
      <w:bookmarkEnd w:id="20"/>
      <w:bookmarkEnd w:id="21"/>
      <w:bookmarkStart w:id="22" w:name="_Toc22623"/>
      <w:bookmarkStart w:id="23" w:name="_Toc14611_WPSOffice_Level1"/>
      <w:bookmarkStart w:id="24" w:name="_Toc19584_WPSOffice_Level1"/>
      <w:bookmarkStart w:id="25" w:name="_Toc22162_WPSOffice_Level1"/>
      <w:bookmarkStart w:id="26" w:name="_Toc17792_WPSOffice_Level2"/>
      <w:bookmarkStart w:id="27" w:name="_Toc13275"/>
    </w:p>
    <w:p w14:paraId="23DBC5C7">
      <w:pPr>
        <w:rPr>
          <w:rFonts w:hint="eastAsia" w:ascii="Times New Roman" w:hAnsi="Times New Roman" w:eastAsia="微软雅黑" w:cs="Times New Roman"/>
          <w:bCs/>
          <w:sz w:val="21"/>
          <w:szCs w:val="21"/>
          <w:lang w:val="en-US" w:eastAsia="zh-CN"/>
        </w:rPr>
      </w:pPr>
      <w:bookmarkStart w:id="28" w:name="_Toc21361"/>
      <w:bookmarkStart w:id="29" w:name="_Toc24849"/>
      <w:bookmarkStart w:id="30" w:name="_Toc22967"/>
      <w:bookmarkStart w:id="31" w:name="_Toc23906"/>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28"/>
      <w:bookmarkEnd w:id="29"/>
      <w:bookmarkEnd w:id="30"/>
      <w:bookmarkEnd w:id="31"/>
    </w:p>
    <w:p w14:paraId="1D6EF290">
      <w:pPr>
        <w:rPr>
          <w:rFonts w:hint="eastAsia" w:ascii="Times New Roman" w:hAnsi="Times New Roman" w:eastAsia="微软雅黑" w:cs="Times New Roman"/>
          <w:bCs/>
          <w:sz w:val="21"/>
          <w:szCs w:val="21"/>
          <w:lang w:val="en-US" w:eastAsia="zh-CN"/>
        </w:rPr>
      </w:pPr>
    </w:p>
    <w:bookmarkEnd w:id="22"/>
    <w:bookmarkEnd w:id="23"/>
    <w:bookmarkEnd w:id="24"/>
    <w:bookmarkEnd w:id="25"/>
    <w:bookmarkEnd w:id="26"/>
    <w:bookmarkEnd w:id="27"/>
    <w:p w14:paraId="1B63E10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Shaw AT, Bauer TM, de Marinis F, et al. First-line lorlatinib or crizotinib in advanced ALK-positive lung cancer. N Engl J Med. 2020;383(21):2018-2029. [PMID: 33207094]</w:t>
      </w:r>
    </w:p>
    <w:p w14:paraId="5AD936E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1E16B34A">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7A5F3A73">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6DFDAC7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Kopetz S, Grothey A, Yaeger R, et al. Encorafenib, binimetinib, and cetuximab in BRAF V600E-mutated colorectal cancer. N Engl J Med. 2019;381(17):1632-1643. [PMID: 31566309]</w:t>
      </w:r>
    </w:p>
    <w:p w14:paraId="2CE12CD0">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15F85E0E">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Nakagawa K, Garon EB, Seto T, et al. Ramucirumab plus erlotinib in patients with untreated, EGFR-mutated, advanced non-small-cell lung cancer (RELAY): a randomised, double-blind, placebo-controlled, phase 3 trial. Lancet Oncol. 2019;20(12):1655-1669. [PMID: 31591063]</w:t>
      </w:r>
    </w:p>
    <w:p w14:paraId="781D9DE7">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Yang JCH, Camidge DR, Yang CT, et al. Safety, efficacy, and pharmacokinetics of almonertinib (HS-10296) in pretreated patients with EGFR-mutated advanced NSCLC: A multicenter, open-label, phase 1 trial. J Thorac Oncol. 2020;15(12):1907-1918. [PMID: 32916310]</w:t>
      </w:r>
    </w:p>
    <w:p w14:paraId="5D3A03C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Shi Y, Hu X, Zhang S, et al. Efficacy and safety of alflutinib (AST2818) in patients with T790M mutation-positive NSCLC: A phase IIb multicenter single-arm study. J Clin Oncol. 2020;38(suppl 15): abstr 9602.</w:t>
      </w:r>
    </w:p>
    <w:p w14:paraId="31F790C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Yun J, Lee SH, Kim SY, et al. Antitumor Activity of Amivantamab (JNJ-61186372), an EGFR-MET Bispecific Antibody, in Diverse Models of EGFR Exon 20 Insertion-Driven NSCLC[J]. Cancer Discov. 2020, 10(8):1194-1209. [PMID: 32414908]</w:t>
      </w:r>
    </w:p>
    <w:p w14:paraId="30A71BB5">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Abou-Alfa GK, Sahai V, Hollebecque A, et al. Pemigatinib for previously treated, locally advanced or metastatic cholangiocarcinoma: a multicentre, open-label, phase 2 study. Lancet Oncol. 2020;21(5):671-684. [PMID: 32203698]</w:t>
      </w:r>
    </w:p>
    <w:p w14:paraId="316BA7F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Loriot Y, Necchi A, Park SH, et al. Erdafitinib in locally advanced or metastatic urothelial carcinoma. N Engl J Med. 2019;381(4):338-348. [PMID: 31340094]</w:t>
      </w:r>
    </w:p>
    <w:p w14:paraId="5E6C41A5">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Smit EF, Nakagawa K, Nagasaka M, et al. Trastuzumab deruxtecan (T-DXd; DS-8201) in patients with HER2-mutated metastatic non-small cell lung cancer (NSCLC): Interim results of DESTINY-Lung01. J Clin Oncol. 2020;38(suppl 15): abstr 9504.</w:t>
      </w:r>
    </w:p>
    <w:p w14:paraId="239E4CF6">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Chung HC, et al. First-line pembrolizumab/placebo plus trastuzumab and chemotherapy in HER2-positive advanced gastric cancer: KEYNOTE-811. Future Oncol 2021 Feb;17(5):491-501. [PMID: 33167735]</w:t>
      </w:r>
    </w:p>
    <w:p w14:paraId="4D5DE07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"https://pubmed.ncbi.nlm.nih.gov/?term=Lee+HW&amp;cauthor_id=32636318"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Lee</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HW, </w:t>
      </w: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"https://pubmed.ncbi.nlm.nih.gov/?term=Sa+JK&amp;cauthor_id=32636318"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Sa</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JK, </w:t>
      </w: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"https://pubmed.ncbi.nlm.nih.gov/?term=Gualberto+A&amp;cauthor_id=32636318"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Gualberto</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A, et al. A phase II trial of tipifarnib for patients with previously treated, metastatic urothelial carcinoma harboring HRAS mutations. Clin Cancer Res. 2020; 26(19): 5113-5119. [PMID: 32636318]</w:t>
      </w:r>
    </w:p>
    <w:p w14:paraId="2032D9A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Hong DS, Fakih MG, Strickler JH, et al. KRAS G12C Inhibition with Sotorasib in Advanced Solid Tumors[J]. N Engl J Med. 2020, 24;383(13):1207-1217. [PMID: 32955176]</w:t>
      </w:r>
    </w:p>
    <w:p w14:paraId="699642F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Wolf J, Seto T, Han JY, Reguart N, et al. Capmatinib in MET exon 14-mutated or MET-amplified non-small-cell lung cancer. N Engl J Med. 2020;383(10):944-957. [PMID: 32877583]</w:t>
      </w:r>
    </w:p>
    <w:p w14:paraId="1B8ADFF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xml:space="preserve">Lu S et al., Phase II study of savolitinib in patients with pulmonary sarcomatoid carcinoma and other types of non-small cell lung cancer harboring MET exon 14 skipping mutations. J Clin Oncol. 2020;38(suppl 15): abstr 9519. </w:t>
      </w:r>
    </w:p>
    <w:p w14:paraId="7175FA9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Drilon A, Clark JW, Weiss J, Ou SI, et al. Antitumor activity of crizotinib in lung cancers harboring a MET exon 14 alteration. Nat Med. 2020;26(1):47-51. [PMID: 31932802]</w:t>
      </w:r>
    </w:p>
    <w:p w14:paraId="56DF74F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Paik PK, Felip E, Veillon R, et al. Tepotinib in non-small-cell lung cancer with MET exon 14 skipping mutations. N Engl J Med. 2020;383(10):931-943. [PMID: 32469185]</w:t>
      </w:r>
    </w:p>
    <w:p w14:paraId="4204880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Doebele RC, Drilon A, Paz-Ares L, et al. Entrectinib in patients with advanced or metastatic NTRK fusion-positive solid tumours: integrated analysis of three phase 1-2 trials. Lancet Oncol. 2020;21(2):271-282. [PMID: 31838007]</w:t>
      </w:r>
    </w:p>
    <w:p w14:paraId="76BD2E22">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Hong DS, DuBois SG, Kummar S, et al. Larotrectinib in patients with TRK fusion-positive solid tumours: a pooled analysis of three phase 1/2 clinical trials. Lancet Oncol. 2020;21(4):531-540. [PMID: 32105622]</w:t>
      </w:r>
    </w:p>
    <w:p w14:paraId="1C2F8141">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Jones RL, Serrano C, von Mehren M, et al. Avapritinib in unresectable or metastatic PDGFRA D842V-mutant gastrointestinal stromal tumours: Long-term efficacy and safety data from the NAVIGATOR phase I trial. Eur J Cancer. 2021;145:132-142. [PMID: 33465704]</w:t>
      </w:r>
    </w:p>
    <w:p w14:paraId="035CF03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Bradford D, Larkins E, Mushti SL, et al. FDA approval summary: Selpercatinib for the treatment of lung and thyroid cancers with RET gene mutations or fusions. Clin Cancer Res. 2021;27(8):2130-2135. [PMID: 33239432]</w:t>
      </w:r>
    </w:p>
    <w:p w14:paraId="50F5DA96">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Drusbosky LM, Rodriguez E, Dawar R, et al. Therapeutic strategies in RET gene rearranged non-small cell lung cancer. J Hematol Oncol. 2021;14(1):50. [PMID: 33771190]</w:t>
      </w:r>
    </w:p>
    <w:p w14:paraId="21153A9E">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Drilon A, Siena S, Dziadziuszko R, et al. Entrectinib in ROS1 fusion-positive non-small-cell lung cancer: integrated analysis of three phase 1-2 trials. Lancet Oncol. 2020;21(2):261-270. [PMID: 31838015]</w:t>
      </w:r>
    </w:p>
    <w:p w14:paraId="2F21156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7C3CAB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Zhao H, Yao W, Min X, et al. Apatinib Plus Gefitinib as First-Line Treatment in Advanced EGFR-Mutant NSCLC: The Phase III ACTIVE Study (CTONG1706). J Thorac Oncol. 2021;16(9):1533-1546. [PMID: 34033974]</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Segoe Print">
    <w:panose1 w:val="02000600000000000000"/>
    <w:charset w:val="00"/>
    <w:family w:val="auto"/>
    <w:pitch w:val="default"/>
    <w:sig w:usb0="0000028F" w:usb1="00000000" w:usb2="00000000" w:usb3="00000000" w:csb0="2000009F" w:csb1="47010000"/>
  </w:font>
  <w:font w:name="Malgun Gothic Semilight">
    <w:panose1 w:val="020B0502040204020203"/>
    <w:charset w:val="86"/>
    <w:family w:val="auto"/>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pacing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pacing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rPr>
        <w:rFonts w:ascii="楷体" w:hAnsi="楷体" w:eastAsia="楷体" w:cs="楷体"/>
        <w:b/>
        <w:bCs/>
        <w:sz w:val="24"/>
        <w:szCs w:val="24"/>
      </w:rPr>
    </w:pPr>
    <w:r>
      <w:rPr>
        <w:rFonts w:hint="eastAsia" w:ascii="楷体" w:hAnsi="楷体" w:eastAsia="楷体" w:cs="楷体"/>
        <w:b/>
        <w:bCs/>
        <w:sz w:val="24"/>
        <w:szCs w:val="24"/>
      </w:rPr>
      <w:drawing>
        <wp:anchor distT="0" distB="0" distL="114300" distR="114300" simplePos="0" relativeHeight="251662336" behindDoc="1" locked="0" layoutInCell="1" allowOverlap="1">
          <wp:simplePos x="0" y="0"/>
          <wp:positionH relativeFrom="column">
            <wp:posOffset>5067300</wp:posOffset>
          </wp:positionH>
          <wp:positionV relativeFrom="paragraph">
            <wp:posOffset>-17145</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4384"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2" name="图片 2"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rPr>
        <w:rFonts w:ascii="楷体" w:hAnsi="楷体" w:eastAsia="楷体" w:cs="楷体"/>
        <w:b/>
        <w:bCs/>
        <w:sz w:val="24"/>
        <w:szCs w:val="24"/>
      </w:rPr>
    </w:pP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5101590</wp:posOffset>
          </wp:positionH>
          <wp:positionV relativeFrom="paragraph">
            <wp:posOffset>-16510</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11" name="图片 11"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p w14:paraId="18876ED0">
    <w:pPr>
      <w:spacing w:before="60" w:line="268" w:lineRule="exac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1">
    <w:nsid w:val="288179BD"/>
    <w:multiLevelType w:val="singleLevel"/>
    <w:tmpl w:val="288179BD"/>
    <w:lvl w:ilvl="0" w:tentative="0">
      <w:start w:val="2"/>
      <w:numFmt w:val="decimal"/>
      <w:lvlText w:val="%1."/>
      <w:lvlJc w:val="left"/>
      <w:pPr>
        <w:tabs>
          <w:tab w:val="left" w:pos="312"/>
        </w:tabs>
      </w:p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abstractNum w:abstractNumId="4">
    <w:nsid w:val="7B09C697"/>
    <w:multiLevelType w:val="singleLevel"/>
    <w:tmpl w:val="7B09C697"/>
    <w:lvl w:ilvl="0" w:tentative="0">
      <w:start w:val="1"/>
      <w:numFmt w:val="decimal"/>
      <w:lvlText w:val="%1."/>
      <w:lvlJc w:val="left"/>
      <w:pPr>
        <w:ind w:left="425" w:hanging="425"/>
      </w:pPr>
      <w:rPr>
        <w:rFonts w:hint="default"/>
      </w:rPr>
    </w:lvl>
  </w:abstractNum>
  <w:num w:numId="1">
    <w:abstractNumId w:val="2"/>
  </w:num>
  <w:num w:numId="2">
    <w:abstractNumId w:val="1"/>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86E99"/>
    <w:rsid w:val="015A6147"/>
    <w:rsid w:val="01992715"/>
    <w:rsid w:val="01C0331C"/>
    <w:rsid w:val="01D658DA"/>
    <w:rsid w:val="02517CBA"/>
    <w:rsid w:val="03701E50"/>
    <w:rsid w:val="03E06E1F"/>
    <w:rsid w:val="03E57C61"/>
    <w:rsid w:val="05191617"/>
    <w:rsid w:val="057335C1"/>
    <w:rsid w:val="05E13009"/>
    <w:rsid w:val="061C48FA"/>
    <w:rsid w:val="06622FDE"/>
    <w:rsid w:val="06862B05"/>
    <w:rsid w:val="071D3FAB"/>
    <w:rsid w:val="09812E93"/>
    <w:rsid w:val="099E5147"/>
    <w:rsid w:val="09B6050D"/>
    <w:rsid w:val="0ABB4F52"/>
    <w:rsid w:val="0CFF1530"/>
    <w:rsid w:val="0D404FEF"/>
    <w:rsid w:val="0D4E2FA5"/>
    <w:rsid w:val="0D5C636E"/>
    <w:rsid w:val="0D60450C"/>
    <w:rsid w:val="0DD71E98"/>
    <w:rsid w:val="0DFA7935"/>
    <w:rsid w:val="0E24538F"/>
    <w:rsid w:val="0ED57440"/>
    <w:rsid w:val="0F320836"/>
    <w:rsid w:val="0F5117D6"/>
    <w:rsid w:val="0FAC466A"/>
    <w:rsid w:val="10393FAE"/>
    <w:rsid w:val="109D2528"/>
    <w:rsid w:val="11F748B7"/>
    <w:rsid w:val="124A1047"/>
    <w:rsid w:val="12AF5735"/>
    <w:rsid w:val="12C34799"/>
    <w:rsid w:val="13B121FA"/>
    <w:rsid w:val="14206CB7"/>
    <w:rsid w:val="1443232E"/>
    <w:rsid w:val="144D6060"/>
    <w:rsid w:val="14720225"/>
    <w:rsid w:val="14D412B4"/>
    <w:rsid w:val="16192126"/>
    <w:rsid w:val="167D2018"/>
    <w:rsid w:val="16891F33"/>
    <w:rsid w:val="176123B1"/>
    <w:rsid w:val="17713378"/>
    <w:rsid w:val="18452030"/>
    <w:rsid w:val="19066A98"/>
    <w:rsid w:val="199F74A2"/>
    <w:rsid w:val="1A4A453E"/>
    <w:rsid w:val="1A6807FE"/>
    <w:rsid w:val="1A712159"/>
    <w:rsid w:val="1B6509D4"/>
    <w:rsid w:val="1B9C1403"/>
    <w:rsid w:val="1C170A7F"/>
    <w:rsid w:val="1CA01EAA"/>
    <w:rsid w:val="1CD24EBC"/>
    <w:rsid w:val="1D5664B6"/>
    <w:rsid w:val="1D647A6D"/>
    <w:rsid w:val="1DF84375"/>
    <w:rsid w:val="1EB4180B"/>
    <w:rsid w:val="1FCB32AB"/>
    <w:rsid w:val="1FFE0153"/>
    <w:rsid w:val="20343022"/>
    <w:rsid w:val="21E40288"/>
    <w:rsid w:val="22BD432B"/>
    <w:rsid w:val="23AE14CB"/>
    <w:rsid w:val="23D03057"/>
    <w:rsid w:val="23EF6974"/>
    <w:rsid w:val="24285550"/>
    <w:rsid w:val="2533755C"/>
    <w:rsid w:val="259424BE"/>
    <w:rsid w:val="263042A2"/>
    <w:rsid w:val="26803FD4"/>
    <w:rsid w:val="26822E97"/>
    <w:rsid w:val="26AB38BE"/>
    <w:rsid w:val="27935073"/>
    <w:rsid w:val="27C11992"/>
    <w:rsid w:val="280F13FD"/>
    <w:rsid w:val="28C56D3D"/>
    <w:rsid w:val="28F66353"/>
    <w:rsid w:val="291D29FD"/>
    <w:rsid w:val="29A9011D"/>
    <w:rsid w:val="29CC4423"/>
    <w:rsid w:val="2A4C184E"/>
    <w:rsid w:val="2A581813"/>
    <w:rsid w:val="2AA669D3"/>
    <w:rsid w:val="2B307889"/>
    <w:rsid w:val="2B76648E"/>
    <w:rsid w:val="2C1B47E9"/>
    <w:rsid w:val="2CB80E38"/>
    <w:rsid w:val="2CF27CFD"/>
    <w:rsid w:val="2D035FCE"/>
    <w:rsid w:val="2D391923"/>
    <w:rsid w:val="2D945258"/>
    <w:rsid w:val="2E0E7081"/>
    <w:rsid w:val="2EA15E7F"/>
    <w:rsid w:val="2EE45D6B"/>
    <w:rsid w:val="2FEC6956"/>
    <w:rsid w:val="301F1E4C"/>
    <w:rsid w:val="30354AD0"/>
    <w:rsid w:val="30BF439A"/>
    <w:rsid w:val="33775400"/>
    <w:rsid w:val="346800E7"/>
    <w:rsid w:val="346C7CD4"/>
    <w:rsid w:val="356502F1"/>
    <w:rsid w:val="3571067D"/>
    <w:rsid w:val="35A5383E"/>
    <w:rsid w:val="35A81922"/>
    <w:rsid w:val="35D70F26"/>
    <w:rsid w:val="37982968"/>
    <w:rsid w:val="37A61E10"/>
    <w:rsid w:val="39170258"/>
    <w:rsid w:val="39DE55F3"/>
    <w:rsid w:val="39FD7AC0"/>
    <w:rsid w:val="3A103993"/>
    <w:rsid w:val="3A1846D0"/>
    <w:rsid w:val="3A43603C"/>
    <w:rsid w:val="3A8B7AF3"/>
    <w:rsid w:val="3B2F045B"/>
    <w:rsid w:val="3C181440"/>
    <w:rsid w:val="3C4147FD"/>
    <w:rsid w:val="3C53013A"/>
    <w:rsid w:val="3C6A5F3E"/>
    <w:rsid w:val="3C942B48"/>
    <w:rsid w:val="3C9B7773"/>
    <w:rsid w:val="3E784CAF"/>
    <w:rsid w:val="42784497"/>
    <w:rsid w:val="43776D56"/>
    <w:rsid w:val="43F76D91"/>
    <w:rsid w:val="45013EA7"/>
    <w:rsid w:val="45093545"/>
    <w:rsid w:val="45BF5ADC"/>
    <w:rsid w:val="45F51780"/>
    <w:rsid w:val="47D71662"/>
    <w:rsid w:val="47FB1302"/>
    <w:rsid w:val="488D0130"/>
    <w:rsid w:val="48EC02BF"/>
    <w:rsid w:val="49A62559"/>
    <w:rsid w:val="49C35028"/>
    <w:rsid w:val="4B5C190B"/>
    <w:rsid w:val="4B6E01D6"/>
    <w:rsid w:val="4B8B3BFC"/>
    <w:rsid w:val="4C093628"/>
    <w:rsid w:val="4CC21042"/>
    <w:rsid w:val="4D626381"/>
    <w:rsid w:val="4D903FFE"/>
    <w:rsid w:val="4DCE524B"/>
    <w:rsid w:val="4ECE7922"/>
    <w:rsid w:val="4ED37AFB"/>
    <w:rsid w:val="4F0348E3"/>
    <w:rsid w:val="4F964A55"/>
    <w:rsid w:val="4FF5558B"/>
    <w:rsid w:val="5011275F"/>
    <w:rsid w:val="50136F8F"/>
    <w:rsid w:val="505E1082"/>
    <w:rsid w:val="51B34B08"/>
    <w:rsid w:val="51D81308"/>
    <w:rsid w:val="52AF1549"/>
    <w:rsid w:val="53272682"/>
    <w:rsid w:val="53723B8B"/>
    <w:rsid w:val="53D17DBD"/>
    <w:rsid w:val="55B464AB"/>
    <w:rsid w:val="56731990"/>
    <w:rsid w:val="5692566B"/>
    <w:rsid w:val="56E32460"/>
    <w:rsid w:val="571C1C97"/>
    <w:rsid w:val="574D1079"/>
    <w:rsid w:val="57911F10"/>
    <w:rsid w:val="57E91301"/>
    <w:rsid w:val="580D1911"/>
    <w:rsid w:val="582A2734"/>
    <w:rsid w:val="58554097"/>
    <w:rsid w:val="5A160C1F"/>
    <w:rsid w:val="5A1E1DD0"/>
    <w:rsid w:val="5A9015FB"/>
    <w:rsid w:val="5ADA39FB"/>
    <w:rsid w:val="5B710073"/>
    <w:rsid w:val="5BC1147D"/>
    <w:rsid w:val="5CB54D70"/>
    <w:rsid w:val="5CD251BD"/>
    <w:rsid w:val="5D940211"/>
    <w:rsid w:val="5ED317F6"/>
    <w:rsid w:val="5F4210D0"/>
    <w:rsid w:val="5FA1715B"/>
    <w:rsid w:val="5FBA5715"/>
    <w:rsid w:val="608163B8"/>
    <w:rsid w:val="608F09B2"/>
    <w:rsid w:val="60F168FC"/>
    <w:rsid w:val="61AF16FF"/>
    <w:rsid w:val="624E41CF"/>
    <w:rsid w:val="628232F6"/>
    <w:rsid w:val="62B44FFF"/>
    <w:rsid w:val="62E00B42"/>
    <w:rsid w:val="6321538F"/>
    <w:rsid w:val="6321796C"/>
    <w:rsid w:val="64065861"/>
    <w:rsid w:val="64967EC8"/>
    <w:rsid w:val="64AA1754"/>
    <w:rsid w:val="66064CBA"/>
    <w:rsid w:val="67AB72BD"/>
    <w:rsid w:val="67C80D34"/>
    <w:rsid w:val="68CD2E71"/>
    <w:rsid w:val="695D3A47"/>
    <w:rsid w:val="6AFF0A3C"/>
    <w:rsid w:val="6B230036"/>
    <w:rsid w:val="6B7519B8"/>
    <w:rsid w:val="6B8E6F9E"/>
    <w:rsid w:val="6BAA4AB8"/>
    <w:rsid w:val="6BCC3834"/>
    <w:rsid w:val="6D2A25C0"/>
    <w:rsid w:val="6D60320B"/>
    <w:rsid w:val="6DD54C21"/>
    <w:rsid w:val="6E297E68"/>
    <w:rsid w:val="6E7C73C6"/>
    <w:rsid w:val="6E87371E"/>
    <w:rsid w:val="6EDD18B4"/>
    <w:rsid w:val="6EEA7031"/>
    <w:rsid w:val="6F0C162D"/>
    <w:rsid w:val="6F2B4B68"/>
    <w:rsid w:val="6F4D4E57"/>
    <w:rsid w:val="6F6254D4"/>
    <w:rsid w:val="6FE70C3C"/>
    <w:rsid w:val="707E0E37"/>
    <w:rsid w:val="723B53D9"/>
    <w:rsid w:val="7261482B"/>
    <w:rsid w:val="72750781"/>
    <w:rsid w:val="72B74712"/>
    <w:rsid w:val="734B0AAB"/>
    <w:rsid w:val="74BF0FAF"/>
    <w:rsid w:val="760342F6"/>
    <w:rsid w:val="76CECDB4"/>
    <w:rsid w:val="76F27584"/>
    <w:rsid w:val="77106CCA"/>
    <w:rsid w:val="777546A8"/>
    <w:rsid w:val="77804029"/>
    <w:rsid w:val="782F3180"/>
    <w:rsid w:val="784A5363"/>
    <w:rsid w:val="78DC32F4"/>
    <w:rsid w:val="7A15284A"/>
    <w:rsid w:val="7B582304"/>
    <w:rsid w:val="7B99466E"/>
    <w:rsid w:val="7BD35584"/>
    <w:rsid w:val="7BDF0250"/>
    <w:rsid w:val="7C1120EB"/>
    <w:rsid w:val="7D275E6F"/>
    <w:rsid w:val="7D3B6123"/>
    <w:rsid w:val="7D806106"/>
    <w:rsid w:val="7E0B4B47"/>
    <w:rsid w:val="7E826381"/>
    <w:rsid w:val="7E8F43E6"/>
    <w:rsid w:val="7F174DD0"/>
    <w:rsid w:val="7F381071"/>
    <w:rsid w:val="7FAD56B6"/>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8"/>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0"/>
    <w:semiHidden/>
    <w:unhideWhenUsed/>
    <w:qFormat/>
    <w:uiPriority w:val="99"/>
    <w:pPr>
      <w:jc w:val="left"/>
    </w:pPr>
  </w:style>
  <w:style w:type="paragraph" w:styleId="6">
    <w:name w:val="Body Text"/>
    <w:basedOn w:val="1"/>
    <w:link w:val="23"/>
    <w:qFormat/>
    <w:uiPriority w:val="1"/>
    <w:rPr>
      <w:sz w:val="18"/>
      <w:szCs w:val="18"/>
    </w:rPr>
  </w:style>
  <w:style w:type="paragraph" w:styleId="7">
    <w:name w:val="Balloon Text"/>
    <w:basedOn w:val="1"/>
    <w:link w:val="22"/>
    <w:semiHidden/>
    <w:unhideWhenUsed/>
    <w:qFormat/>
    <w:uiPriority w:val="99"/>
    <w:rPr>
      <w:sz w:val="18"/>
      <w:szCs w:val="18"/>
    </w:rPr>
  </w:style>
  <w:style w:type="paragraph" w:styleId="8">
    <w:name w:val="footer"/>
    <w:basedOn w:val="1"/>
    <w:link w:val="17"/>
    <w:unhideWhenUsed/>
    <w:qFormat/>
    <w:uiPriority w:val="99"/>
    <w:pPr>
      <w:tabs>
        <w:tab w:val="center" w:pos="4153"/>
        <w:tab w:val="right" w:pos="8306"/>
      </w:tabs>
      <w:snapToGrid w:val="0"/>
      <w:jc w:val="left"/>
    </w:pPr>
    <w:rPr>
      <w:sz w:val="18"/>
      <w:szCs w:val="18"/>
    </w:rPr>
  </w:style>
  <w:style w:type="paragraph" w:styleId="9">
    <w:name w:val="header"/>
    <w:basedOn w:val="1"/>
    <w:link w:val="16"/>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1"/>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annotation reference"/>
    <w:basedOn w:val="14"/>
    <w:semiHidden/>
    <w:unhideWhenUsed/>
    <w:qFormat/>
    <w:uiPriority w:val="99"/>
    <w:rPr>
      <w:sz w:val="21"/>
      <w:szCs w:val="21"/>
    </w:rPr>
  </w:style>
  <w:style w:type="character" w:customStyle="1" w:styleId="16">
    <w:name w:val="页眉 字符"/>
    <w:basedOn w:val="14"/>
    <w:link w:val="9"/>
    <w:qFormat/>
    <w:uiPriority w:val="99"/>
    <w:rPr>
      <w:sz w:val="18"/>
      <w:szCs w:val="18"/>
    </w:rPr>
  </w:style>
  <w:style w:type="character" w:customStyle="1" w:styleId="17">
    <w:name w:val="页脚 字符"/>
    <w:basedOn w:val="14"/>
    <w:link w:val="8"/>
    <w:qFormat/>
    <w:uiPriority w:val="99"/>
    <w:rPr>
      <w:sz w:val="18"/>
      <w:szCs w:val="18"/>
    </w:rPr>
  </w:style>
  <w:style w:type="character" w:customStyle="1" w:styleId="18">
    <w:name w:val="标题 2 字符"/>
    <w:basedOn w:val="14"/>
    <w:link w:val="3"/>
    <w:qFormat/>
    <w:uiPriority w:val="9"/>
    <w:rPr>
      <w:rFonts w:asciiTheme="majorHAnsi" w:hAnsiTheme="majorHAnsi" w:eastAsiaTheme="majorEastAsia" w:cstheme="majorBidi"/>
      <w:b/>
      <w:bCs/>
      <w:sz w:val="32"/>
      <w:szCs w:val="32"/>
    </w:rPr>
  </w:style>
  <w:style w:type="paragraph" w:styleId="19">
    <w:name w:val="List Paragraph"/>
    <w:basedOn w:val="1"/>
    <w:qFormat/>
    <w:uiPriority w:val="34"/>
    <w:pPr>
      <w:ind w:firstLine="420" w:firstLineChars="200"/>
    </w:pPr>
  </w:style>
  <w:style w:type="character" w:customStyle="1" w:styleId="20">
    <w:name w:val="批注文字 字符"/>
    <w:basedOn w:val="14"/>
    <w:link w:val="5"/>
    <w:semiHidden/>
    <w:qFormat/>
    <w:uiPriority w:val="99"/>
  </w:style>
  <w:style w:type="character" w:customStyle="1" w:styleId="21">
    <w:name w:val="批注主题 字符"/>
    <w:basedOn w:val="20"/>
    <w:link w:val="11"/>
    <w:semiHidden/>
    <w:qFormat/>
    <w:uiPriority w:val="99"/>
    <w:rPr>
      <w:b/>
      <w:bCs/>
    </w:rPr>
  </w:style>
  <w:style w:type="character" w:customStyle="1" w:styleId="22">
    <w:name w:val="批注框文本 字符"/>
    <w:basedOn w:val="14"/>
    <w:link w:val="7"/>
    <w:semiHidden/>
    <w:qFormat/>
    <w:uiPriority w:val="99"/>
    <w:rPr>
      <w:sz w:val="18"/>
      <w:szCs w:val="18"/>
    </w:rPr>
  </w:style>
  <w:style w:type="character" w:customStyle="1" w:styleId="23">
    <w:name w:val="正文文本 字符"/>
    <w:basedOn w:val="14"/>
    <w:link w:val="6"/>
    <w:qFormat/>
    <w:uiPriority w:val="1"/>
    <w:rPr>
      <w:kern w:val="2"/>
      <w:sz w:val="18"/>
      <w:szCs w:val="18"/>
    </w:rPr>
  </w:style>
  <w:style w:type="table" w:customStyle="1" w:styleId="24">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5">
    <w:name w:val="列出段落1"/>
    <w:basedOn w:val="1"/>
    <w:qFormat/>
    <w:uiPriority w:val="34"/>
    <w:pPr>
      <w:ind w:firstLine="420" w:firstLineChars="200"/>
    </w:pPr>
  </w:style>
  <w:style w:type="paragraph" w:customStyle="1" w:styleId="26">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7">
    <w:name w:val="Table Paragraph"/>
    <w:basedOn w:val="1"/>
    <w:autoRedefine/>
    <w:qFormat/>
    <w:uiPriority w:val="1"/>
  </w:style>
  <w:style w:type="table" w:customStyle="1" w:styleId="28">
    <w:name w:val="Table Normal1"/>
    <w:autoRedefine/>
    <w:unhideWhenUsed/>
    <w:qFormat/>
    <w:uiPriority w:val="2"/>
    <w:tblPr>
      <w:tblCellMar>
        <w:top w:w="0" w:type="dxa"/>
        <w:left w:w="0" w:type="dxa"/>
        <w:bottom w:w="0" w:type="dxa"/>
        <w:right w:w="0" w:type="dxa"/>
      </w:tblCellMar>
    </w:tblPr>
  </w:style>
  <w:style w:type="paragraph" w:customStyle="1" w:styleId="29">
    <w:name w:val="List Paragraph1"/>
    <w:basedOn w:val="1"/>
    <w:autoRedefine/>
    <w:qFormat/>
    <w:uiPriority w:val="34"/>
    <w:rPr>
      <w:rFonts w:asciiTheme="minorHAnsi" w:hAnsiTheme="minorHAnsi" w:eastAsiaTheme="minorEastAsia" w:cstheme="minorBidi"/>
    </w:rPr>
  </w:style>
  <w:style w:type="character" w:customStyle="1" w:styleId="30">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1">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2">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3">
    <w:name w:val="font61"/>
    <w:basedOn w:val="14"/>
    <w:autoRedefine/>
    <w:qFormat/>
    <w:uiPriority w:val="0"/>
    <w:rPr>
      <w:rFonts w:hint="default" w:ascii="Times New Roman" w:hAnsi="Times New Roman" w:cs="Times New Roman"/>
      <w:color w:val="000000"/>
      <w:sz w:val="21"/>
      <w:szCs w:val="21"/>
      <w:u w:val="none"/>
    </w:rPr>
  </w:style>
  <w:style w:type="paragraph" w:customStyle="1" w:styleId="34">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6">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7">
    <w:name w:val="列出段落2"/>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21</Pages>
  <Words>6146</Words>
  <Characters>13231</Characters>
  <Lines>37</Lines>
  <Paragraphs>10</Paragraphs>
  <TotalTime>0</TotalTime>
  <ScaleCrop>false</ScaleCrop>
  <LinksUpToDate>false</LinksUpToDate>
  <CharactersWithSpaces>14279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levi</cp:lastModifiedBy>
  <dcterms:modified xsi:type="dcterms:W3CDTF">2026-01-18T05:48:49Z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E4E2259273A4070124FA5C68029D99C2_43</vt:lpwstr>
  </property>
  <property fmtid="{D5CDD505-2E9C-101B-9397-08002B2CF9AE}" pid="4" name="KSOTemplateDocerSaveRecord">
    <vt:lpwstr>eyJoZGlkIjoiY2Y2NjU5MGIzZGFmM2M5NTIxMmI2NjdmNGQ0NDdjMDUiLCJ1c2VySWQiOiI2MjE3NDUxNTQifQ==</vt:lpwstr>
  </property>
</Properties>
</file>