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检测报告{% else %}子宫内膜癌</w:t>
      </w:r>
      <w:r>
        <w:rPr>
          <w:rFonts w:hint="eastAsia" w:ascii="微软雅黑" w:eastAsia="微软雅黑" w:cs="宋体"/>
          <w:b/>
          <w:sz w:val="48"/>
          <w:szCs w:val="48"/>
          <w:lang w:val="en-US" w:eastAsia="zh-CN" w:bidi="ar-SA"/>
        </w:rPr>
        <w:t>36基因</w:t>
      </w:r>
      <w:bookmarkStart w:id="148" w:name="_GoBack"/>
      <w:bookmarkEnd w:id="148"/>
      <w:r>
        <w:rPr>
          <w:rFonts w:hint="eastAsia" w:ascii="微软雅黑" w:hAnsi="宋体" w:eastAsia="微软雅黑" w:cs="宋体"/>
          <w:b/>
          <w:sz w:val="48"/>
          <w:szCs w:val="48"/>
          <w:lang w:val="en-US" w:eastAsia="zh-CN" w:bidi="ar-SA"/>
        </w:rPr>
        <w:t>+PD-L1检测报告{%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9F2A749">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39B800B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_Toc20655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_Toc20655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D486240">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_Toc1527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_Toc1527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60FDAA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_Toc2120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_Toc2120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B2280A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_Toc14411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_Toc14411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CDCB6C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_Toc27407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_Toc27407 \h </w:instrText>
      </w:r>
      <w:r>
        <w:rPr>
          <w:rFonts w:hint="eastAsia"/>
        </w:rPr>
        <w:fldChar w:fldCharType="separate"/>
      </w:r>
      <w:r>
        <w:rPr>
          <w:rFonts w:hint="eastAsia"/>
        </w:rPr>
        <w:t>2</w:t>
      </w:r>
      <w:r>
        <w:rPr>
          <w:rFonts w:hint="eastAsia"/>
        </w:rPr>
        <w:fldChar w:fldCharType="end"/>
      </w:r>
      <w:r>
        <w:rPr>
          <w:rFonts w:hint="default"/>
          <w:lang w:eastAsia="zh-CN"/>
        </w:rPr>
        <w:fldChar w:fldCharType="end"/>
      </w:r>
    </w:p>
    <w:p w14:paraId="697DB6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_Toc4937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_Toc4937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A58D5B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_Toc32309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_Toc32309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DE2C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_Toc25367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_Toc25367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F3A022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_Toc4661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_Toc4661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4233F2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_Toc16252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_Toc16252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39CBFC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_Toc19438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_Toc19438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8738E0F">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_Toc23862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_Toc23862 \h </w:instrText>
      </w:r>
      <w:r>
        <w:rPr>
          <w:rFonts w:hint="eastAsia"/>
        </w:rPr>
        <w:fldChar w:fldCharType="separate"/>
      </w:r>
      <w:r>
        <w:rPr>
          <w:rFonts w:hint="eastAsia"/>
        </w:rPr>
        <w:t>12</w:t>
      </w:r>
      <w:r>
        <w:rPr>
          <w:rFonts w:hint="eastAsia"/>
        </w:rPr>
        <w:fldChar w:fldCharType="end"/>
      </w:r>
      <w:r>
        <w:rPr>
          <w:rFonts w:hint="default"/>
          <w:lang w:eastAsia="zh-CN"/>
        </w:rPr>
        <w:fldChar w:fldCharType="end"/>
      </w:r>
    </w:p>
    <w:p w14:paraId="101EBCF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_Toc27445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_Toc27445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6A59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_Toc2724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_Toc2724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5AAD53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_Toc25412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_Toc25412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16</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805CB3">
      <w:pPr>
        <w:pStyle w:val="13"/>
        <w:tabs>
          <w:tab w:val="right" w:leader="dot" w:pos="9870"/>
        </w:tabs>
        <w:rPr>
          <w:szCs w:val="21"/>
          <w:lang w:eastAsia="zh-CN"/>
        </w:rPr>
      </w:pPr>
      <w:r>
        <w:rPr>
          <w:rFonts w:hint="default"/>
          <w:szCs w:val="21"/>
          <w:lang w:eastAsia="zh-CN"/>
        </w:rPr>
        <w:fldChar w:fldCharType="begin"/>
      </w:r>
      <w:r>
        <w:rPr>
          <w:rFonts w:hint="default"/>
          <w:szCs w:val="21"/>
          <w:lang w:eastAsia="zh-CN"/>
        </w:rPr>
        <w:instrText xml:space="preserve"> HYPERLINK \l _Toc15113 </w:instrText>
      </w:r>
      <w:r>
        <w:rPr>
          <w:rFonts w:hint="default"/>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_Toc15113 \h </w:instrText>
      </w:r>
      <w:r>
        <w:rPr>
          <w:szCs w:val="21"/>
          <w:lang w:eastAsia="zh-CN"/>
        </w:rPr>
        <w:fldChar w:fldCharType="separate"/>
      </w:r>
      <w:r>
        <w:rPr>
          <w:szCs w:val="21"/>
          <w:lang w:eastAsia="zh-CN"/>
        </w:rPr>
        <w:t>18</w:t>
      </w:r>
      <w:r>
        <w:rPr>
          <w:szCs w:val="21"/>
          <w:lang w:eastAsia="zh-CN"/>
        </w:rPr>
        <w:fldChar w:fldCharType="end"/>
      </w:r>
      <w:r>
        <w:rPr>
          <w:rFonts w:hint="default"/>
          <w:szCs w:val="21"/>
          <w:lang w:eastAsia="zh-CN"/>
        </w:rPr>
        <w:fldChar w:fldCharType="end"/>
      </w:r>
    </w:p>
    <w:p w14:paraId="285DD12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_Toc15231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95009B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_Toc23741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_Toc23741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6BC5EC5">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_Toc9047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_Toc9047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E44DD2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_Toc23038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_Toc23038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AD730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_Toc14936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_Toc14936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73B072C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7500"/>
      <w:bookmarkStart w:id="2" w:name="_Toc20655"/>
      <w:bookmarkStart w:id="3" w:name="_Toc21669"/>
      <w:bookmarkStart w:id="4" w:name="_Toc32054"/>
      <w:bookmarkStart w:id="5" w:name="_Toc24397"/>
      <w:bookmarkStart w:id="6" w:name="_Toc13806"/>
      <w:bookmarkStart w:id="7" w:name="_Toc106294392"/>
      <w:bookmarkStart w:id="8" w:name="_Toc11269"/>
      <w:bookmarkStart w:id="9" w:name="_Toc21009_WPSOffice_Level1"/>
      <w:bookmarkStart w:id="10"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518"/>
      <w:bookmarkStart w:id="12" w:name="_Toc106294393"/>
      <w:bookmarkStart w:id="13" w:name="_Toc18062_WPSOffice_Level1"/>
      <w:bookmarkStart w:id="14" w:name="_Toc11465"/>
      <w:bookmarkStart w:id="15" w:name="_Toc7021_WPSOffice_Level1"/>
      <w:bookmarkStart w:id="16" w:name="_Toc1527"/>
      <w:bookmarkStart w:id="17" w:name="_Toc11015_WPSOffice_Level1"/>
      <w:bookmarkStart w:id="18" w:name="_Toc21469"/>
      <w:bookmarkStart w:id="19" w:name="_Toc19594"/>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4088"/>
      <w:bookmarkStart w:id="25" w:name="_Toc6221_WPSOffice_Level1"/>
      <w:bookmarkStart w:id="26" w:name="_Toc18058"/>
      <w:bookmarkStart w:id="27" w:name="_Toc25920"/>
      <w:bookmarkStart w:id="28" w:name="_Toc106294395"/>
      <w:bookmarkStart w:id="29" w:name="_Toc23369_WPSOffice_Level1"/>
      <w:bookmarkStart w:id="30" w:name="_Toc1410"/>
      <w:bookmarkStart w:id="31" w:name="_Toc2120"/>
      <w:bookmarkStart w:id="32" w:name="_Toc320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11"/>
      <w:bookmarkStart w:id="34" w:name="_Toc1061"/>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27407"/>
      <w:bookmarkStart w:id="37" w:name="_Toc106294396"/>
      <w:bookmarkStart w:id="38" w:name="_Toc30953"/>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493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06294398"/>
      <w:bookmarkStart w:id="43" w:name="_Toc15285"/>
      <w:bookmarkStart w:id="44" w:name="_Toc32309"/>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Hlk516758315"/>
            <w:bookmarkStart w:id="49" w:name="_Toc13489_WPSOffice_Level2"/>
            <w:bookmarkStart w:id="50" w:name="_Toc106294400"/>
            <w:bookmarkStart w:id="51" w:name="_Toc27804"/>
            <w:bookmarkStart w:id="52" w:name="_Toc25727"/>
            <w:bookmarkStart w:id="53" w:name="_Toc19898_WPSOffice_Level2"/>
            <w:bookmarkStart w:id="54" w:name="_Toc23846_WPSOffice_Level1"/>
            <w:bookmarkStart w:id="55" w:name="_Toc28194"/>
            <w:bookmarkStart w:id="56" w:name="_Toc13107"/>
            <w:bookmarkStart w:id="57" w:name="_Toc29093"/>
            <w:bookmarkStart w:id="58" w:name="_Toc23903"/>
            <w:bookmarkStart w:id="59" w:name="_Toc32661"/>
            <w:bookmarkStart w:id="60" w:name="_Toc10743"/>
            <w:bookmarkStart w:id="61" w:name="_Toc27731"/>
            <w:bookmarkStart w:id="62" w:name="_Toc4331_WPSOffice_Level1"/>
            <w:bookmarkStart w:id="63" w:name="_Toc32443_WPSOffice_Level1"/>
            <w:bookmarkStart w:id="64" w:name="_Toc5598"/>
            <w:bookmarkStart w:id="65" w:name="_Toc24038"/>
            <w:bookmarkStart w:id="66" w:name="_Toc30343"/>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7"/>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bookmarkStart w:id="67" w:name="_Toc25367"/>
      <w:r>
        <w:rPr>
          <w:rFonts w:hint="eastAsia"/>
          <w:color w:val="auto"/>
          <w:sz w:val="30"/>
          <w:lang w:eastAsia="zh-CN"/>
        </w:rPr>
        <w:t>体细胞变异分级提示</w:t>
      </w:r>
      <w:bookmarkEnd w:id="46"/>
      <w:bookmarkEnd w:id="47"/>
      <w:bookmarkEnd w:id="67"/>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24065"/>
      <w:bookmarkStart w:id="69" w:name="_Toc149837259"/>
      <w:bookmarkStart w:id="70" w:name="_Toc4661"/>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149837260"/>
      <w:bookmarkStart w:id="72" w:name="_Toc25231"/>
      <w:bookmarkStart w:id="73" w:name="_Toc16252"/>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44D61F07">
      <w:pPr>
        <w:pStyle w:val="3"/>
        <w:numPr>
          <w:ilvl w:val="255"/>
          <w:numId w:val="0"/>
        </w:numPr>
        <w:jc w:val="left"/>
        <w:rPr>
          <w:color w:val="auto"/>
          <w:sz w:val="30"/>
          <w:lang w:eastAsia="zh-CN"/>
        </w:rPr>
      </w:pPr>
      <w:bookmarkStart w:id="74" w:name="_Toc19438"/>
      <w:bookmarkStart w:id="75" w:name="_Toc149837262"/>
      <w:bookmarkStart w:id="76" w:name="_Toc20034"/>
      <w:bookmarkStart w:id="77" w:name="_Toc23431"/>
      <w:bookmarkStart w:id="78" w:name="_Toc106719764"/>
      <w:bookmarkStart w:id="79" w:name="_Toc10223"/>
      <w:bookmarkStart w:id="80" w:name="_Toc26583"/>
      <w:bookmarkStart w:id="81" w:name="_Toc106294401"/>
      <w:bookmarkStart w:id="82" w:name="_Toc28240"/>
      <w:bookmarkStart w:id="83" w:name="_Toc13196_WPSOffice_Level1"/>
      <w:bookmarkStart w:id="84" w:name="_Toc2409"/>
      <w:bookmarkStart w:id="85" w:name="_Toc16594"/>
      <w:bookmarkStart w:id="86" w:name="_Toc1707_WPSOffice_Level1"/>
      <w:bookmarkStart w:id="87" w:name="_Toc21764_WPSOffice_Level1"/>
      <w:bookmarkStart w:id="88" w:name="_Toc12505"/>
      <w:bookmarkStart w:id="89" w:name="_Toc27302"/>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23862"/>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21309"/>
      <w:bookmarkStart w:id="95" w:name="_Toc27445"/>
      <w:bookmarkStart w:id="96" w:name="_Toc16200"/>
      <w:bookmarkStart w:id="97" w:name="_Toc106294402"/>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23606"/>
      <w:bookmarkStart w:id="102" w:name="_Toc4331_WPSOffice_Level2"/>
      <w:bookmarkStart w:id="103" w:name="_Toc32302"/>
      <w:bookmarkStart w:id="104" w:name="_Toc32443_WPSOffice_Level2"/>
      <w:bookmarkStart w:id="105" w:name="_Toc2724"/>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25412"/>
      <w:bookmarkStart w:id="109" w:name="_Toc18929"/>
      <w:bookmarkStart w:id="110" w:name="_Toc149837265"/>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5113"/>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4168"/>
      <w:bookmarkStart w:id="114" w:name="_Toc106294406"/>
      <w:bookmarkStart w:id="115" w:name="_Toc11369"/>
      <w:bookmarkStart w:id="116" w:name="_Toc31490"/>
      <w:bookmarkStart w:id="117" w:name="_Toc27075"/>
      <w:bookmarkStart w:id="118" w:name="_Toc14255_WPSOffice_Level1"/>
      <w:bookmarkStart w:id="119" w:name="_Toc15231"/>
      <w:bookmarkStart w:id="120" w:name="_Toc24085_WPSOffice_Level1"/>
      <w:bookmarkStart w:id="121" w:name="_Toc15840_WPSOffice_Level1"/>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23741"/>
      <w:bookmarkStart w:id="123" w:name="_Toc7597"/>
      <w:bookmarkStart w:id="124" w:name="_Toc11446"/>
      <w:bookmarkStart w:id="125" w:name="_Toc106294408"/>
      <w:bookmarkStart w:id="126" w:name="_Toc149837270"/>
      <w:bookmarkStart w:id="127" w:name="_Toc3454"/>
      <w:bookmarkStart w:id="128" w:name="_Toc17216"/>
      <w:bookmarkStart w:id="129" w:name="_Toc11901"/>
      <w:bookmarkStart w:id="130" w:name="_Toc106294410"/>
      <w:bookmarkStart w:id="131" w:name="_Toc27809"/>
      <w:bookmarkStart w:id="132" w:name="_Toc4503"/>
      <w:bookmarkStart w:id="133" w:name="_Toc22623"/>
      <w:bookmarkStart w:id="134" w:name="_Toc19584_WPSOffice_Level1"/>
      <w:bookmarkStart w:id="135" w:name="_Toc17792_WPSOffice_Level2"/>
      <w:bookmarkStart w:id="136" w:name="_Toc13275"/>
      <w:bookmarkStart w:id="137" w:name="_Toc22162_WPSOffice_Level1"/>
      <w:bookmarkStart w:id="138" w:name="_Toc14611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32674"/>
      <w:bookmarkStart w:id="140" w:name="_Toc9047"/>
      <w:bookmarkStart w:id="141" w:name="_Toc4976"/>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48C07A94">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FB0617">
      <w:pPr>
        <w:widowControl/>
        <w:rPr>
          <w:rFonts w:hint="eastAsia" w:ascii="Times New Roman" w:hAnsi="Times New Roman" w:eastAsia="微软雅黑" w:cs="Times New Roman"/>
          <w:sz w:val="18"/>
          <w:szCs w:val="18"/>
          <w:highlight w:val="none"/>
          <w:lang w:eastAsia="zh-CN"/>
        </w:rPr>
      </w:pPr>
    </w:p>
    <w:p w14:paraId="6BF887E0">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融合形式</w:t>
            </w:r>
          </w:p>
        </w:tc>
      </w:tr>
      <w:tr w14:paraId="683C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5B359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D9C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6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c.717_720del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A2C5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p.G240Pfs*122</w:t>
            </w:r>
          </w:p>
        </w:tc>
      </w:tr>
      <w:tr w14:paraId="716A0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AD3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B013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6B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c.936dup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D6D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p.G313Rfs*87</w:t>
            </w:r>
          </w:p>
        </w:tc>
      </w:tr>
      <w:tr w14:paraId="66D3A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A8D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23B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B6D9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c.1001C&gt;A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2D3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p.S334*</w:t>
            </w:r>
          </w:p>
        </w:tc>
      </w:tr>
      <w:tr w14:paraId="4D3B3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886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CD94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D69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c.1113del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008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p.Q372Sfs*19</w:t>
            </w:r>
          </w:p>
        </w:tc>
      </w:tr>
      <w:tr w14:paraId="27362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0416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95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4E2A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c.1741C&gt;T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0B53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p.Q581*</w:t>
            </w:r>
          </w:p>
        </w:tc>
      </w:tr>
      <w:tr w14:paraId="337F0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187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5E1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AF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c.2368C&gt;T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B3FF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p.Q790*</w:t>
            </w:r>
          </w:p>
        </w:tc>
      </w:tr>
      <w:tr w14:paraId="1B12D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9C8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B7F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3820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c.3219G&gt;A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1B89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p.W1073*</w:t>
            </w:r>
          </w:p>
        </w:tc>
      </w:tr>
      <w:tr w14:paraId="40BE4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AAB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01C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DDE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c.3254C&gt;G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7060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p.S1085*</w:t>
            </w:r>
          </w:p>
        </w:tc>
      </w:tr>
      <w:tr w14:paraId="006E8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9691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DE16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98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c.3889G&gt;T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69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p.E1297*</w:t>
            </w:r>
          </w:p>
        </w:tc>
      </w:tr>
      <w:tr w14:paraId="76F24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EA4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5C1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A538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c.3910del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C6F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p.A1304Pfs*177</w:t>
            </w:r>
          </w:p>
        </w:tc>
      </w:tr>
      <w:tr w14:paraId="0AF0D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A89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672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E2A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c.4000C&gt;T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737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p.Q1334*</w:t>
            </w:r>
          </w:p>
        </w:tc>
      </w:tr>
      <w:tr w14:paraId="1C8B6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16A8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6685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549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c.4270C&gt;T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8C4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p.Q1424*</w:t>
            </w:r>
          </w:p>
        </w:tc>
      </w:tr>
      <w:tr w14:paraId="387D5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2D533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5A8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C4E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c.4468G&gt;T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C6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p.E1490*</w:t>
            </w:r>
          </w:p>
        </w:tc>
      </w:tr>
      <w:tr w14:paraId="3BFA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4978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8F1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4B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c.4591G&gt;T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04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p.E1531*</w:t>
            </w:r>
          </w:p>
        </w:tc>
      </w:tr>
      <w:tr w14:paraId="108C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62B4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DF1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C920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c.4891C&gt;T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308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p.Q1631*</w:t>
            </w:r>
          </w:p>
        </w:tc>
      </w:tr>
      <w:tr w14:paraId="72281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512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429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0D4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c.5548del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41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p.D1850Tfs*33</w:t>
            </w:r>
          </w:p>
        </w:tc>
      </w:tr>
      <w:tr w14:paraId="135C1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62FE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675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FF3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c.5890G&gt;T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F2F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p.E1964*</w:t>
            </w:r>
          </w:p>
        </w:tc>
      </w:tr>
      <w:tr w14:paraId="387AD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C5D2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DE19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5BD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c.5965C&gt;T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442E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p.R1989*</w:t>
            </w:r>
          </w:p>
        </w:tc>
      </w:tr>
      <w:tr w14:paraId="2F47D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94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7ED4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9B5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c.6259G&gt;A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EC7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p.G2087R</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1E0FA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305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94BE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236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68FC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p.S12*</w:t>
            </w:r>
          </w:p>
        </w:tc>
      </w:tr>
      <w:tr w14:paraId="35946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C0697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EE6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731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554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p.G23Vfs*3</w:t>
            </w:r>
          </w:p>
        </w:tc>
      </w:tr>
      <w:tr w14:paraId="180E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599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0E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5FA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694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p.E33*</w:t>
            </w:r>
          </w:p>
        </w:tc>
      </w:tr>
      <w:tr w14:paraId="14B6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02114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3B3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BAB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4EF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p.R58*</w:t>
            </w:r>
          </w:p>
        </w:tc>
      </w:tr>
      <w:tr w14:paraId="4A2E9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C4C4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50A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A42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790C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p.H83Y</w:t>
            </w:r>
          </w:p>
        </w:tc>
      </w:tr>
      <w:tr w14:paraId="34B9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8302B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F528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E4F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BF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p.W110*</w:t>
            </w:r>
          </w:p>
        </w:tc>
      </w:tr>
      <w:tr w14:paraId="2497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4A0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0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85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52D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p.D153Y</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bl>
    <w:p w14:paraId="568543E4">
      <w:pPr>
        <w:widowControl/>
        <w:rPr>
          <w:rFonts w:ascii="Times New Roman" w:hAnsi="Times New Roman" w:eastAsia="微软雅黑" w:cs="Times New Roman"/>
          <w:b/>
          <w:bCs/>
          <w:color w:val="00B050"/>
          <w:sz w:val="28"/>
          <w:szCs w:val="36"/>
          <w:lang w:eastAsia="zh-CN"/>
        </w:rPr>
      </w:pP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6450"/>
      <w:bookmarkStart w:id="145" w:name="_Toc23038"/>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18C4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969C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422E3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7ECC59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1F142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7BC9C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1F9E6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D2CCB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79D9A78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0EAE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9692B7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4936"/>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18A4D9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1AF0D780">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4BA6E470">
      <w:pPr>
        <w:pStyle w:val="15"/>
        <w:widowControl/>
        <w:rPr>
          <w:rFonts w:ascii="Times New Roman" w:hAnsi="Times New Roman" w:eastAsia="等线"/>
          <w:sz w:val="22"/>
        </w:rPr>
      </w:pPr>
    </w:p>
    <w:p w14:paraId="72D5B9D6">
      <w:pPr>
        <w:pStyle w:val="15"/>
        <w:widowControl/>
        <w:rPr>
          <w:rFonts w:ascii="Times New Roman" w:hAnsi="Times New Roman" w:eastAsia="等线"/>
          <w:sz w:val="22"/>
        </w:rPr>
      </w:pPr>
    </w:p>
    <w:p w14:paraId="6A45DD81">
      <w:pPr>
        <w:pStyle w:val="15"/>
        <w:widowControl/>
        <w:rPr>
          <w:rFonts w:ascii="Times New Roman" w:hAnsi="Times New Roman" w:eastAsia="等线"/>
          <w:sz w:val="22"/>
        </w:rPr>
      </w:pPr>
    </w:p>
    <w:p w14:paraId="2FCF153D">
      <w:pPr>
        <w:pStyle w:val="15"/>
        <w:widowControl/>
        <w:rPr>
          <w:rFonts w:ascii="Times New Roman" w:hAnsi="Times New Roman" w:eastAsia="等线"/>
          <w:sz w:val="22"/>
        </w:rPr>
      </w:pPr>
    </w:p>
    <w:p w14:paraId="3507C431">
      <w:pPr>
        <w:pStyle w:val="15"/>
        <w:widowControl/>
        <w:rPr>
          <w:rFonts w:ascii="Times New Roman" w:hAnsi="Times New Roman" w:eastAsia="等线"/>
          <w:sz w:val="22"/>
        </w:rPr>
      </w:pPr>
    </w:p>
    <w:p w14:paraId="4E5731AC">
      <w:pPr>
        <w:pStyle w:val="15"/>
        <w:widowControl/>
        <w:rPr>
          <w:rFonts w:ascii="Times New Roman" w:hAnsi="Times New Roman" w:eastAsia="等线"/>
          <w:sz w:val="22"/>
        </w:rPr>
      </w:pPr>
    </w:p>
    <w:p w14:paraId="1B82AF4C">
      <w:pPr>
        <w:pStyle w:val="15"/>
        <w:widowControl/>
        <w:rPr>
          <w:rFonts w:ascii="Times New Roman" w:hAnsi="Times New Roman" w:eastAsia="等线"/>
          <w:sz w:val="22"/>
        </w:rPr>
      </w:pPr>
    </w:p>
    <w:p w14:paraId="65167B83">
      <w:pPr>
        <w:pStyle w:val="15"/>
        <w:widowControl/>
        <w:rPr>
          <w:rFonts w:ascii="Times New Roman" w:hAnsi="Times New Roman" w:eastAsia="等线"/>
          <w:sz w:val="22"/>
        </w:rPr>
      </w:pPr>
    </w:p>
    <w:p w14:paraId="2E5FD3B5">
      <w:pPr>
        <w:pStyle w:val="15"/>
        <w:widowControl/>
        <w:rPr>
          <w:rFonts w:ascii="Times New Roman" w:hAnsi="Times New Roman" w:eastAsia="等线"/>
          <w:sz w:val="22"/>
        </w:rPr>
      </w:pPr>
    </w:p>
    <w:p w14:paraId="2FA46021">
      <w:pPr>
        <w:pStyle w:val="15"/>
        <w:widowControl/>
        <w:rPr>
          <w:rFonts w:ascii="Times New Roman" w:hAnsi="Times New Roman" w:eastAsia="等线"/>
          <w:sz w:val="22"/>
        </w:rPr>
      </w:pPr>
    </w:p>
    <w:p w14:paraId="219B0B3B">
      <w:pPr>
        <w:pStyle w:val="15"/>
        <w:widowControl/>
        <w:rPr>
          <w:rFonts w:ascii="Times New Roman" w:hAnsi="Times New Roman" w:eastAsia="等线"/>
          <w:sz w:val="22"/>
        </w:rPr>
      </w:pPr>
    </w:p>
    <w:p w14:paraId="1873C7BA">
      <w:pPr>
        <w:pStyle w:val="15"/>
        <w:widowControl/>
        <w:rPr>
          <w:rFonts w:ascii="Times New Roman" w:hAnsi="Times New Roman" w:eastAsia="等线"/>
          <w:sz w:val="22"/>
        </w:rPr>
      </w:pPr>
    </w:p>
    <w:p w14:paraId="725AF887">
      <w:pPr>
        <w:pStyle w:val="15"/>
        <w:widowControl/>
        <w:rPr>
          <w:rFonts w:ascii="Times New Roman" w:hAnsi="Times New Roman" w:eastAsia="等线"/>
          <w:sz w:val="22"/>
        </w:rPr>
      </w:pPr>
    </w:p>
    <w:p w14:paraId="56CC0A80">
      <w:pPr>
        <w:pStyle w:val="15"/>
        <w:widowControl/>
        <w:rPr>
          <w:rFonts w:ascii="Times New Roman" w:hAnsi="Times New Roman" w:eastAsia="等线"/>
          <w:sz w:val="22"/>
        </w:rPr>
      </w:pPr>
    </w:p>
    <w:p w14:paraId="5EECF106">
      <w:pPr>
        <w:pStyle w:val="15"/>
        <w:widowControl/>
        <w:rPr>
          <w:rFonts w:ascii="Times New Roman" w:hAnsi="Times New Roman" w:eastAsia="等线"/>
          <w:sz w:val="22"/>
        </w:rPr>
      </w:pPr>
    </w:p>
    <w:p w14:paraId="301200E4">
      <w:pPr>
        <w:pStyle w:val="15"/>
        <w:widowControl/>
        <w:rPr>
          <w:rFonts w:ascii="Times New Roman" w:hAnsi="Times New Roman" w:eastAsia="等线"/>
          <w:sz w:val="22"/>
        </w:rPr>
      </w:pPr>
    </w:p>
    <w:p w14:paraId="084E6DBC">
      <w:pPr>
        <w:pStyle w:val="15"/>
        <w:widowControl/>
        <w:rPr>
          <w:rFonts w:ascii="Times New Roman" w:hAnsi="Times New Roman" w:eastAsia="等线"/>
          <w:sz w:val="22"/>
        </w:rPr>
      </w:pPr>
    </w:p>
    <w:p w14:paraId="15210997">
      <w:pPr>
        <w:pStyle w:val="15"/>
        <w:widowControl/>
        <w:rPr>
          <w:rFonts w:ascii="Times New Roman" w:hAnsi="Times New Roman" w:eastAsia="等线"/>
          <w:sz w:val="22"/>
        </w:rPr>
      </w:pPr>
    </w:p>
    <w:p w14:paraId="7D5337C2">
      <w:pPr>
        <w:pStyle w:val="15"/>
        <w:widowControl/>
        <w:rPr>
          <w:rFonts w:ascii="Times New Roman" w:hAnsi="Times New Roman" w:eastAsia="等线"/>
          <w:sz w:val="22"/>
        </w:rPr>
      </w:pPr>
    </w:p>
    <w:p w14:paraId="7B19D21B">
      <w:pPr>
        <w:pStyle w:val="15"/>
        <w:widowControl/>
        <w:rPr>
          <w:rFonts w:ascii="Times New Roman" w:hAnsi="Times New Roman" w:eastAsia="等线"/>
          <w:sz w:val="22"/>
        </w:rPr>
      </w:pPr>
    </w:p>
    <w:p w14:paraId="76F236B3">
      <w:pPr>
        <w:pStyle w:val="15"/>
        <w:widowControl/>
        <w:rPr>
          <w:rFonts w:ascii="Times New Roman" w:hAnsi="Times New Roman" w:eastAsia="等线"/>
          <w:sz w:val="22"/>
        </w:rPr>
      </w:pPr>
    </w:p>
    <w:p w14:paraId="03515F47">
      <w:pPr>
        <w:pStyle w:val="15"/>
        <w:widowControl/>
        <w:rPr>
          <w:rFonts w:ascii="Times New Roman" w:hAnsi="Times New Roman" w:eastAsia="等线"/>
          <w:sz w:val="22"/>
        </w:rPr>
      </w:pPr>
    </w:p>
    <w:p w14:paraId="53965072">
      <w:pPr>
        <w:pStyle w:val="15"/>
        <w:widowControl/>
        <w:rPr>
          <w:rFonts w:ascii="Times New Roman" w:hAnsi="Times New Roman" w:eastAsia="等线"/>
          <w:sz w:val="22"/>
        </w:rPr>
      </w:pPr>
    </w:p>
    <w:p w14:paraId="4578E222">
      <w:pPr>
        <w:pStyle w:val="15"/>
        <w:widowControl/>
        <w:rPr>
          <w:rFonts w:ascii="Times New Roman" w:hAnsi="Times New Roman" w:eastAsia="等线"/>
          <w:sz w:val="22"/>
        </w:rPr>
      </w:pPr>
    </w:p>
    <w:p w14:paraId="09A801FD">
      <w:pPr>
        <w:pStyle w:val="15"/>
        <w:widowControl/>
        <w:rPr>
          <w:rFonts w:ascii="Times New Roman" w:hAnsi="Times New Roman" w:eastAsia="等线"/>
          <w:sz w:val="22"/>
        </w:rPr>
      </w:pPr>
    </w:p>
    <w:p w14:paraId="7BAD4BF6">
      <w:pPr>
        <w:pStyle w:val="15"/>
        <w:widowControl/>
        <w:rPr>
          <w:rFonts w:ascii="Times New Roman" w:hAnsi="Times New Roman" w:eastAsia="等线"/>
          <w:sz w:val="22"/>
        </w:rPr>
      </w:pPr>
    </w:p>
    <w:p w14:paraId="151D674A">
      <w:pPr>
        <w:pStyle w:val="15"/>
        <w:widowControl/>
        <w:rPr>
          <w:rFonts w:ascii="Times New Roman" w:hAnsi="Times New Roman" w:eastAsia="等线"/>
          <w:sz w:val="22"/>
        </w:rPr>
      </w:pPr>
    </w:p>
    <w:p w14:paraId="0F238184">
      <w:pPr>
        <w:pStyle w:val="15"/>
        <w:widowControl/>
        <w:rPr>
          <w:rFonts w:ascii="Times New Roman" w:hAnsi="Times New Roman" w:eastAsia="等线"/>
          <w:sz w:val="22"/>
        </w:rPr>
      </w:pPr>
    </w:p>
    <w:p w14:paraId="24FA5DDE">
      <w:pPr>
        <w:pStyle w:val="15"/>
        <w:widowControl/>
        <w:rPr>
          <w:rFonts w:ascii="Times New Roman" w:hAnsi="Times New Roman" w:eastAsia="等线"/>
          <w:sz w:val="22"/>
        </w:rPr>
      </w:pPr>
    </w:p>
    <w:p w14:paraId="6E94DFA0">
      <w:pPr>
        <w:pStyle w:val="15"/>
        <w:widowControl/>
        <w:rPr>
          <w:rFonts w:ascii="Times New Roman" w:hAnsi="Times New Roman" w:eastAsia="等线"/>
          <w:sz w:val="22"/>
        </w:rPr>
      </w:pPr>
    </w:p>
    <w:p w14:paraId="52133E46">
      <w:pPr>
        <w:pStyle w:val="34"/>
        <w:widowControl/>
        <w:adjustRightInd w:val="0"/>
        <w:snapToGrid w:val="0"/>
        <w:ind w:firstLine="0" w:firstLineChars="0"/>
        <w:jc w:val="both"/>
        <w:rPr>
          <w:rFonts w:hint="default" w:ascii="Times New Roman" w:hAnsi="Times New Roman" w:eastAsia="微软雅黑" w:cs="Times New Roman"/>
          <w:spacing w:val="-1"/>
          <w:sz w:val="15"/>
          <w:szCs w:val="15"/>
          <w:lang w:eastAsia="zh-CN"/>
        </w:rPr>
      </w:pPr>
    </w:p>
    <w:p w14:paraId="7B24460F">
      <w:pPr>
        <w:ind w:left="563" w:leftChars="156" w:hanging="220" w:hangingChars="100"/>
        <w:rPr>
          <w:rFonts w:ascii="Times New Roman" w:hAnsi="Times New Roman" w:eastAsia="微软雅黑" w:cs="Times New Roman"/>
          <w:b/>
          <w:color w:val="00B050"/>
          <w:sz w:val="28"/>
          <w:szCs w:val="28"/>
          <w:lang w:eastAsia="zh-CN"/>
        </w:rPr>
      </w:pPr>
      <w:r>
        <w:rPr>
          <w:lang w:eastAsia="zh-CN"/>
        </w:rPr>
        <w:drawing>
          <wp:anchor distT="0" distB="0" distL="114300" distR="114300" simplePos="0" relativeHeight="251661312" behindDoc="0" locked="0" layoutInCell="1" allowOverlap="1">
            <wp:simplePos x="0" y="0"/>
            <wp:positionH relativeFrom="column">
              <wp:posOffset>-35560</wp:posOffset>
            </wp:positionH>
            <wp:positionV relativeFrom="paragraph">
              <wp:posOffset>66040</wp:posOffset>
            </wp:positionV>
            <wp:extent cx="197485" cy="197485"/>
            <wp:effectExtent l="0" t="0" r="635" b="635"/>
            <wp:wrapNone/>
            <wp:docPr id="2" name="图片 6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62" descr="1"/>
                    <pic:cNvPicPr>
                      <a:picLocks noChangeAspect="1"/>
                    </pic:cNvPicPr>
                  </pic:nvPicPr>
                  <pic:blipFill>
                    <a:blip r:embed="rId10"/>
                    <a:stretch>
                      <a:fillRect/>
                    </a:stretch>
                  </pic:blipFill>
                  <pic:spPr>
                    <a:xfrm>
                      <a:off x="0" y="0"/>
                      <a:ext cx="197485" cy="197485"/>
                    </a:xfrm>
                    <a:prstGeom prst="rect">
                      <a:avLst/>
                    </a:prstGeom>
                    <a:noFill/>
                    <a:ln>
                      <a:noFill/>
                    </a:ln>
                  </pic:spPr>
                </pic:pic>
              </a:graphicData>
            </a:graphic>
          </wp:anchor>
        </w:drawing>
      </w:r>
      <w:r>
        <w:rPr>
          <w:rFonts w:ascii="Times New Roman" w:hAnsi="Times New Roman" w:eastAsia="微软雅黑" w:cs="Times New Roman"/>
          <w:b/>
          <w:color w:val="00B050"/>
          <w:sz w:val="28"/>
          <w:szCs w:val="28"/>
          <w:lang w:eastAsia="zh-CN"/>
        </w:rPr>
        <w:t>说明</w:t>
      </w:r>
    </w:p>
    <w:p w14:paraId="76BE8551">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本报告为基因检测结果，基因、药物等信息列举未按照重要性排序。</w:t>
      </w:r>
    </w:p>
    <w:p w14:paraId="067571FF">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检测结果仅供科学研究和临床用药参考，具体治疗方案请咨询主治医生。</w:t>
      </w:r>
    </w:p>
    <w:p w14:paraId="452AB7ED">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ascii="Times New Roman" w:hAnsi="Times New Roman" w:eastAsia="微软雅黑" w:cs="Times New Roman"/>
          <w:b/>
          <w:sz w:val="21"/>
          <w:szCs w:val="21"/>
          <w:lang w:eastAsia="zh-CN"/>
        </w:rPr>
        <w:t>。</w:t>
      </w:r>
    </w:p>
    <w:p w14:paraId="6E801A62">
      <w:pPr>
        <w:widowControl/>
        <w:rPr>
          <w:rFonts w:ascii="Times New Roman" w:hAnsi="Times New Roman" w:eastAsia="微软雅黑" w:cs="Times New Roman"/>
          <w:b/>
          <w:bCs/>
          <w:lang w:eastAsia="zh-CN"/>
        </w:rPr>
      </w:pPr>
    </w:p>
    <w:tbl>
      <w:tblPr>
        <w:tblStyle w:val="16"/>
        <w:tblW w:w="10296" w:type="dxa"/>
        <w:tblInd w:w="0"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678"/>
        <w:gridCol w:w="5618"/>
      </w:tblGrid>
      <w:tr w14:paraId="4591EF6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678" w:type="dxa"/>
            <w:tcBorders>
              <w:top w:val="single" w:color="auto" w:sz="12" w:space="0"/>
            </w:tcBorders>
          </w:tcPr>
          <w:p w14:paraId="7CD46B3B">
            <w:pPr>
              <w:snapToGrid w:val="0"/>
              <w:spacing w:before="120" w:beforeLines="50"/>
              <w:rPr>
                <w:b/>
                <w:szCs w:val="21"/>
                <w:lang w:eastAsia="zh-CN"/>
              </w:rPr>
            </w:pPr>
            <w:r>
              <w:rPr>
                <w:rFonts w:hint="eastAsia"/>
                <w:b/>
                <w:lang w:eastAsia="zh-CN"/>
              </w:rPr>
              <w:t>样本处理与分析：</w:t>
            </w:r>
          </w:p>
        </w:tc>
        <w:tc>
          <w:tcPr>
            <w:tcW w:w="5618" w:type="dxa"/>
            <w:tcBorders>
              <w:top w:val="single" w:color="auto" w:sz="12" w:space="0"/>
            </w:tcBorders>
          </w:tcPr>
          <w:p w14:paraId="36EAE9D4">
            <w:pPr>
              <w:snapToGrid w:val="0"/>
              <w:spacing w:before="120" w:beforeLines="50"/>
              <w:rPr>
                <w:b/>
                <w:lang w:eastAsia="zh-CN"/>
              </w:rPr>
            </w:pPr>
            <w:r>
              <w:rPr>
                <w:rFonts w:hint="eastAsia"/>
                <w:b/>
              </w:rPr>
              <w:t>复核：</w:t>
            </w:r>
            <w:r>
              <w:rPr>
                <w:rFonts w:hint="eastAsia"/>
                <w:b/>
                <w:lang w:eastAsia="zh-CN"/>
              </w:rPr>
              <w:t xml:space="preserve"> </w:t>
            </w:r>
            <w:r>
              <w:rPr>
                <w:b/>
                <w:lang w:eastAsia="zh-CN"/>
              </w:rPr>
              <w:t xml:space="preserve">         </w:t>
            </w:r>
            <w:r>
              <w:rPr>
                <w:rFonts w:hint="eastAsia"/>
                <w:b/>
                <w:lang w:eastAsia="zh-CN"/>
              </w:rPr>
              <w:t>报告时间：</w:t>
            </w:r>
            <w:r>
              <w:rPr>
                <w:rFonts w:hint="eastAsia" w:ascii="宋体" w:hAnsi="宋体" w:eastAsia="宋体" w:cs="宋体"/>
                <w:b/>
                <w:lang w:eastAsia="zh-CN"/>
              </w:rPr>
              <w:t>{{ reportdate }}</w:t>
            </w:r>
          </w:p>
        </w:tc>
      </w:tr>
    </w:tbl>
    <w:p w14:paraId="079F609A">
      <w:pPr>
        <w:pStyle w:val="34"/>
        <w:widowControl/>
        <w:adjustRightInd w:val="0"/>
        <w:snapToGrid w:val="0"/>
        <w:ind w:firstLine="0" w:firstLineChars="0"/>
        <w:jc w:val="both"/>
        <w:rPr>
          <w:rFonts w:hint="default" w:ascii="Times New Roman" w:hAnsi="Times New Roman" w:eastAsia="微软雅黑"/>
          <w:sz w:val="15"/>
          <w:szCs w:val="15"/>
          <w:lang w:eastAsia="zh-CN"/>
        </w:rPr>
      </w:pPr>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%}子宫内膜癌36基因检测{% else %}子宫内膜癌36基因+PD-L1检测{%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5"/>
  </w:num>
  <w:num w:numId="7">
    <w:abstractNumId w:val="8"/>
  </w:num>
  <w:num w:numId="8">
    <w:abstractNumId w:val="7"/>
  </w:num>
  <w:num w:numId="9">
    <w:abstractNumId w:val="3"/>
  </w:num>
  <w:num w:numId="10">
    <w:abstractNumId w:val="10"/>
  </w:num>
  <w:num w:numId="11">
    <w:abstractNumId w:val="2"/>
  </w:num>
  <w:num w:numId="12">
    <w:abstractNumId w:val="0"/>
  </w:num>
  <w:num w:numId="13">
    <w:abstractNumId w:val="15"/>
  </w:num>
  <w:num w:numId="14">
    <w:abstractNumId w:val="11"/>
  </w:num>
  <w:num w:numId="15">
    <w:abstractNumId w:val="13"/>
  </w:num>
  <w:num w:numId="16">
    <w:abstractNumId w:val="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E11445D"/>
    <w:rsid w:val="0E372F34"/>
    <w:rsid w:val="0E3966AF"/>
    <w:rsid w:val="0E542351"/>
    <w:rsid w:val="0E632099"/>
    <w:rsid w:val="0EBF2A43"/>
    <w:rsid w:val="0EC91129"/>
    <w:rsid w:val="0ED843CC"/>
    <w:rsid w:val="0EF32D57"/>
    <w:rsid w:val="0EFE7A7F"/>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427F2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C51137"/>
    <w:rsid w:val="30DA24F1"/>
    <w:rsid w:val="310959FE"/>
    <w:rsid w:val="3109732A"/>
    <w:rsid w:val="31104BF6"/>
    <w:rsid w:val="311455AD"/>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4D34ACE"/>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1617DE"/>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3E4CDE"/>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BB67BC0"/>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9059</Words>
  <Characters>20616</Characters>
  <Lines>874</Lines>
  <Paragraphs>246</Paragraphs>
  <TotalTime>1</TotalTime>
  <ScaleCrop>false</ScaleCrop>
  <LinksUpToDate>false</LinksUpToDate>
  <CharactersWithSpaces>22156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2025-05-22T03:34:09Z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