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7520305</wp:posOffset>
                </wp:positionV>
                <wp:extent cx="6962140" cy="234315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43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592.15pt;height:184.5pt;width:548.2pt;z-index:251660288;mso-width-relative:page;mso-height-relative:page;" filled="f" stroked="f" coordsize="21600,21600" o:gfxdata="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T6d4d0AAAANAQAADwAAAAAAAAABACAAAAAiAAAA&#10;ZHJzL2Rvd25yZXYueG1sUEsBAhQAFAAAAAgAh07iQKVlfMM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12FC9111">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0400046">
      <w:pPr>
        <w:jc w:val="cente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0" w:name="_Toc30143_WPSOffice_Level1"/>
      <w:bookmarkStart w:id="1" w:name="_Toc21669"/>
      <w:bookmarkStart w:id="2" w:name="_Toc13806"/>
      <w:bookmarkStart w:id="3" w:name="_Toc21009_WPSOffice_Level1"/>
      <w:bookmarkStart w:id="4" w:name="_Toc3619"/>
      <w:bookmarkStart w:id="5" w:name="_Toc24178_WPSOffice_Level1"/>
      <w: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615D3334">
      <w:pPr>
        <w:rPr>
          <w:rFonts w:hint="default" w:ascii="Times New Roman" w:hAnsi="Times New Roman" w:eastAsia="微软雅黑" w:cs="Times New Roman"/>
        </w:rPr>
      </w:pPr>
    </w:p>
    <w:p w14:paraId="3B7966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_Toc14140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样本信息</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_Toc14140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3B900AF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_Toc2448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检测项目</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_Toc2448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6E329A5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_Toc4411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检测结果总览</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_Toc4411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2</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24B9648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_Toc13748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_Toc13748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5CC8E7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_Toc12170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{{note.cancerTitle}}</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_Toc12170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9F6DB0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_Toc32567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检测结果及用药提示</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_Toc32567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6</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eastAsia="zh-CN"/>
        </w:rPr>
        <w:t xml:space="preserve">{% if </w:t>
      </w:r>
      <w:r>
        <w:rPr>
          <w:rFonts w:hint="default" w:ascii="Times New Roman" w:hAnsi="Times New Roman" w:eastAsia="微软雅黑" w:cs="Times New Roman"/>
          <w:b/>
          <w:color w:val="62B541"/>
          <w:sz w:val="18"/>
          <w:szCs w:val="18"/>
          <w:lang w:val="en-US" w:eastAsia="zh-CN"/>
        </w:rPr>
        <w:t>reportInfo.conf.endometrialCarcinomaTyping</w:t>
      </w:r>
      <w:r>
        <w:rPr>
          <w:rFonts w:hint="eastAsia" w:ascii="Times New Roman" w:hAnsi="Times New Roman" w:eastAsia="微软雅黑" w:cs="Times New Roman"/>
          <w:b/>
          <w:color w:val="62B541"/>
          <w:sz w:val="18"/>
          <w:szCs w:val="18"/>
          <w:lang w:val="en-US" w:eastAsia="zh-CN"/>
        </w:rPr>
        <w:t xml:space="preserve"> and </w:t>
      </w:r>
      <w:r>
        <w:rPr>
          <w:rFonts w:hint="default" w:ascii="Times New Roman" w:hAnsi="Times New Roman" w:eastAsia="微软雅黑" w:cs="Times New Roman"/>
          <w:b/>
          <w:color w:val="62B541"/>
          <w:sz w:val="18"/>
          <w:szCs w:val="18"/>
          <w:lang w:eastAsia="zh-CN"/>
        </w:rPr>
        <w:t>endometrialCarcinoma</w:t>
      </w:r>
      <w:r>
        <w:rPr>
          <w:rFonts w:hint="default" w:ascii="Times New Roman" w:hAnsi="Times New Roman" w:eastAsia="微软雅黑" w:cs="Times New Roman"/>
          <w:b/>
          <w:color w:val="62B541"/>
          <w:sz w:val="18"/>
          <w:szCs w:val="18"/>
          <w:lang w:val="en-US" w:eastAsia="zh-CN"/>
        </w:rPr>
        <w:t xml:space="preserve"> </w:t>
      </w:r>
      <w:r>
        <w:rPr>
          <w:rFonts w:hint="default" w:ascii="Times New Roman" w:hAnsi="Times New Roman" w:eastAsia="微软雅黑" w:cs="Times New Roman"/>
          <w:b/>
          <w:color w:val="62B541"/>
          <w:sz w:val="18"/>
          <w:szCs w:val="18"/>
          <w:lang w:eastAsia="zh-CN"/>
        </w:rPr>
        <w:t>%}</w:t>
      </w:r>
    </w:p>
    <w:p w14:paraId="4BEF266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_Toc16338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_Toc16338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09BFC43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_Toc31121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肉瘤辅助诊断提示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_Toc31121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reportInfo.conf.thyroidCancerHotSpotResult%}</w:t>
      </w:r>
    </w:p>
    <w:p w14:paraId="3507EFE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_Toc31313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甲状腺癌热点基因检测结果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_Toc31313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537090F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_Toc19461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_Toc19461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7E2760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128B5F3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_Toc12294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_Toc12294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7A650D1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_Toc4103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_Toc4103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226EF54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_Toc25574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内分泌相关</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_Toc25574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%}{%if reportInfo.conf.thyroidCancerPrognosis %}</w:t>
      </w:r>
    </w:p>
    <w:p w14:paraId="48DB78D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_Toc8656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预后评估</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_Toc8656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03026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_Toc15346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_Toc15346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2F74723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_Toc12443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_Toc12443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34E6795D">
      <w:pPr>
        <w:pStyle w:val="11"/>
        <w:tabs>
          <w:tab w:val="right" w:leader="dot" w:pos="9870"/>
        </w:tabs>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_Toc3425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基因检测结果解析</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_Toc3425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26</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val="en-US" w:eastAsia="zh-CN" w:bidi="ar-SA"/>
        </w:rPr>
        <w:t>{% if reportInfo.conf.hrdStateAnal and type == "tissue" %}</w:t>
      </w:r>
    </w:p>
    <w:p w14:paraId="4909E37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_Toc31487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_Toc31487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0A47757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_Toc18879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_Toc18879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4243241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_Toc27746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_Toc27746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reportInfo.conf.thyroidIymphomaDrugAnal and prognosticEvaluation %}</w:t>
      </w:r>
    </w:p>
    <w:p w14:paraId="103CEC0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_Toc5824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预后评估结果解析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_Toc5824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1AE4CBB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_Toc25601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_Toc25601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EC64C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_Toc19872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预后相关基因检测结果及解析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_Toc19872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429DB6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_Toc14676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_Toc14676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6D63CF6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_Toc26226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全外显子基因突变结果</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_Toc26226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49</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val="en-US" w:eastAsia="zh-CN" w:bidi="ar-SA"/>
        </w:rPr>
        <w:t>{% endif %}</w:t>
      </w:r>
    </w:p>
    <w:p w14:paraId="5C0C0DE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_Toc4248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附录</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_Toc4248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50</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3490A87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_Toc14102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_Toc14102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284B038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_Toc26744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_Toc26744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4CCBCA5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_Toc27309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常见肉瘤分型相关基因变异</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_Toc27309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 if reportInfo.conf.hrr45Brca45HrdGenebgIntro %}</w:t>
      </w:r>
    </w:p>
    <w:p w14:paraId="6AC5BAD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_Toc21039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BRCA1&amp;BRCA2基因背景介绍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_Toc21039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A13607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_Toc32185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基因组不稳定性介绍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_Toc32185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47565E5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_Toc3997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同源重组缺陷（HRD）与肿瘤的精准治疗</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_Toc3997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5"/>
          <w:szCs w:val="15"/>
          <w:lang w:val="en-US" w:eastAsia="zh-CN"/>
        </w:rPr>
        <w:t>{% endif %}{% if reportInfo.conf.hrr45Brca45GeneIntro %}</w:t>
      </w:r>
    </w:p>
    <w:p w14:paraId="06500C4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_Toc11352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HRR及其它相关基因说明</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_Toc11352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6359072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_Toc28453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易感人群特征</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_Toc28453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6ECEF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_Toc27445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_Toc27445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5B77723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_Toc15179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 if "wesplus" in panel%}</w:t>
      </w:r>
      <w:r>
        <w:rPr>
          <w:rStyle w:val="19"/>
          <w:rFonts w:hint="eastAsia" w:ascii="Times New Roman" w:hAnsi="Times New Roman" w:eastAsia="微软雅黑" w:cs="Times New Roman"/>
          <w:sz w:val="28"/>
          <w:lang w:eastAsia="zh-CN"/>
        </w:rPr>
        <w:t>癌症相关重要</w:t>
      </w:r>
      <w:r>
        <w:rPr>
          <w:rStyle w:val="19"/>
          <w:rFonts w:hint="eastAsia" w:ascii="Times New Roman" w:hAnsi="Times New Roman" w:eastAsia="微软雅黑" w:cs="Times New Roman"/>
          <w:sz w:val="28"/>
          <w:lang w:val="en-US" w:eastAsia="zh-CN"/>
        </w:rPr>
        <w:t>{% else%}</w:t>
      </w:r>
      <w:r>
        <w:rPr>
          <w:rStyle w:val="19"/>
          <w:rFonts w:hint="default" w:ascii="Times New Roman" w:hAnsi="Times New Roman" w:eastAsia="微软雅黑" w:cs="Times New Roman"/>
          <w:sz w:val="28"/>
          <w:lang w:eastAsia="zh-CN"/>
        </w:rPr>
        <w:t>检测</w:t>
      </w:r>
      <w:r>
        <w:rPr>
          <w:rStyle w:val="19"/>
          <w:rFonts w:hint="eastAsia" w:ascii="Times New Roman" w:hAnsi="Times New Roman" w:eastAsia="微软雅黑" w:cs="Times New Roman"/>
          <w:sz w:val="28"/>
          <w:lang w:val="en-US" w:eastAsia="zh-CN"/>
        </w:rPr>
        <w:t>{% endif %}</w:t>
      </w:r>
      <w:r>
        <w:rPr>
          <w:rStyle w:val="19"/>
          <w:rFonts w:hint="default" w:ascii="Times New Roman" w:hAnsi="Times New Roman" w:eastAsia="微软雅黑" w:cs="Times New Roman"/>
          <w:sz w:val="28"/>
          <w:lang w:eastAsia="zh-CN"/>
        </w:rPr>
        <w:t>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_Toc15179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0F73837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_Toc2343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_Toc2343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C33B8E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_Toc1129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_Toc1129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22548BB">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6" w:name="_Toc14140"/>
      <w:bookmarkStart w:id="7" w:name="_Toc982"/>
      <w:bookmarkStart w:id="8" w:name="_Toc6008"/>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62BC41" w:sz="24" w:space="0"/>
              <w:tl2br w:val="nil"/>
              <w:tr2bl w:val="nil"/>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62BC41" w:sz="24" w:space="0"/>
              <w:tl2br w:val="nil"/>
              <w:tr2bl w:val="nil"/>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tcBorders>
              <w:tl2br w:val="nil"/>
              <w:tr2bl w:val="nil"/>
            </w:tcBorders>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tcBorders>
              <w:tl2br w:val="nil"/>
              <w:tr2bl w:val="nil"/>
            </w:tcBorders>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tcBorders>
              <w:tl2br w:val="nil"/>
              <w:tr2bl w:val="nil"/>
            </w:tcBorders>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tcBorders>
              <w:tl2br w:val="nil"/>
              <w:tr2bl w:val="nil"/>
            </w:tcBorders>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tcBorders>
              <w:tl2br w:val="nil"/>
              <w:tr2bl w:val="nil"/>
            </w:tcBorders>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tcBorders>
              <w:tl2br w:val="nil"/>
              <w:tr2bl w:val="nil"/>
            </w:tcBorders>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送检时间：{{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23" w:type="dxa"/>
            <w:tcBorders>
              <w:tl2br w:val="nil"/>
              <w:tr2bl w:val="nil"/>
            </w:tcBorders>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bl>
    <w:p w14:paraId="3162C00C">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11015_WPSOffice_Level1"/>
      <w:bookmarkStart w:id="10" w:name="_Toc20068"/>
      <w:bookmarkStart w:id="11" w:name="_Toc27031"/>
      <w:bookmarkStart w:id="12" w:name="_Toc17451"/>
      <w:bookmarkStart w:id="13" w:name="_Toc18062_WPSOffice_Level1"/>
      <w:bookmarkStart w:id="14" w:name="_Toc7021_WPSOffice_Level1"/>
      <w:bookmarkStart w:id="15" w:name="_Toc2448"/>
      <w:bookmarkStart w:id="16" w:name="_Toc26731"/>
      <w:bookmarkStart w:id="17" w:name="_Toc38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8"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2038BFDC">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9" w:name="_Toc6221_WPSOffice_Level1"/>
      <w:bookmarkStart w:id="20" w:name="_Toc25920"/>
      <w:bookmarkStart w:id="21" w:name="_Toc18058"/>
      <w:bookmarkStart w:id="22" w:name="_Toc23369_WPSOffice_Level1"/>
      <w:bookmarkStart w:id="23" w:name="_Toc16576"/>
      <w:bookmarkStart w:id="24" w:name="_Toc10258"/>
      <w:bookmarkStart w:id="25" w:name="_Toc4411"/>
      <w:bookmarkStart w:id="26" w:name="_Toc1043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检测结果</w:t>
      </w:r>
      <w:bookmarkEnd w:id="19"/>
      <w:bookmarkEnd w:id="20"/>
      <w:bookmarkEnd w:id="21"/>
      <w:bookmarkEnd w:id="22"/>
      <w:bookmarkEnd w:id="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总览</w:t>
      </w:r>
      <w:bookmarkEnd w:id="24"/>
      <w:bookmarkEnd w:id="25"/>
      <w:bookmarkEnd w:id="26"/>
    </w:p>
    <w:p w14:paraId="5255E7EA">
      <w:pPr>
        <w:pStyle w:val="3"/>
        <w:numPr>
          <w:ilvl w:val="255"/>
          <w:numId w:val="0"/>
        </w:numPr>
        <w:jc w:val="left"/>
        <w:rPr>
          <w:rFonts w:hint="default" w:ascii="Times New Roman" w:hAnsi="Times New Roman" w:eastAsia="微软雅黑" w:cs="Times New Roman"/>
          <w:color w:val="auto"/>
          <w:sz w:val="30"/>
          <w:lang w:eastAsia="zh-CN"/>
        </w:rPr>
      </w:pPr>
      <w:bookmarkStart w:id="27" w:name="_Toc2947"/>
      <w:bookmarkStart w:id="28" w:name="_Toc149837254"/>
      <w:bookmarkStart w:id="29" w:name="_Toc8457"/>
      <w:bookmarkStart w:id="30" w:name="_Toc13748"/>
      <w:r>
        <w:rPr>
          <w:rFonts w:hint="default" w:ascii="Times New Roman" w:hAnsi="Times New Roman" w:eastAsia="微软雅黑" w:cs="Times New Roman"/>
          <w:color w:val="auto"/>
          <w:sz w:val="30"/>
          <w:lang w:eastAsia="zh-CN"/>
        </w:rPr>
        <w:t>检测结果小结</w:t>
      </w:r>
      <w:bookmarkEnd w:id="27"/>
      <w:bookmarkEnd w:id="28"/>
      <w:bookmarkEnd w:id="29"/>
      <w:bookmarkEnd w:id="3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62BC4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62BC4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子宫内膜癌TCGA分子分型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 xml:space="preserve">同源重组缺陷状态 </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before="100" w:line="187"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else</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DA5BE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61CE74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Times New Roman" w:hAnsi="Times New Roman" w:eastAsia="微软雅黑" w:cs="Times New Roman"/>
                <w:b/>
                <w:bCs/>
                <w:sz w:val="21"/>
                <w:szCs w:val="21"/>
              </w:rPr>
              <w:t>肿瘤遗传风险检测</w:t>
            </w:r>
          </w:p>
        </w:tc>
        <w:tc>
          <w:tcPr>
            <w:tcW w:w="5343" w:type="dxa"/>
            <w:vAlign w:val="center"/>
          </w:tcPr>
          <w:p w14:paraId="400637D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color w:val="auto"/>
                <w:sz w:val="21"/>
                <w:szCs w:val="21"/>
                <w:lang w:eastAsia="zh-CN" w:bidi="ar"/>
              </w:rPr>
              <w:t>{{</w:t>
            </w:r>
            <w:r>
              <w:rPr>
                <w:rFonts w:ascii="Times New Roman" w:hAnsi="Times New Roman" w:eastAsia="微软雅黑" w:cs="Times New Roman"/>
                <w:color w:val="auto"/>
                <w:sz w:val="21"/>
                <w:szCs w:val="21"/>
                <w:lang w:eastAsia="zh-CN" w:bidi="ar"/>
              </w:rPr>
              <w:t>crCheckDrugStr</w:t>
            </w:r>
            <w:r>
              <w:rPr>
                <w:rFonts w:hint="eastAsia" w:ascii="Times New Roman" w:hAnsi="Times New Roman" w:eastAsia="微软雅黑" w:cs="Times New Roman"/>
                <w:color w:val="auto"/>
                <w:sz w:val="21"/>
                <w:szCs w:val="21"/>
                <w:lang w:eastAsia="zh-CN" w:bidi="ar"/>
              </w:rPr>
              <w:t>}}</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overall_quality_assessment }}</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31" w:name="_Toc21059"/>
      <w:bookmarkStart w:id="32" w:name="_Toc149837255"/>
      <w:bookmarkStart w:id="33" w:name="_Toc28125"/>
    </w:p>
    <w:p w14:paraId="4E390C04">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note.testResultSummaryNoteList %}{{n}}</w:t>
      </w:r>
    </w:p>
    <w:p w14:paraId="73E977CB">
      <w:pPr>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31"/>
      <w:bookmarkStart w:id="3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3"/>
        <w:numPr>
          <w:ilvl w:val="255"/>
          <w:numId w:val="0"/>
        </w:numPr>
        <w:jc w:val="left"/>
        <w:rPr>
          <w:rFonts w:hint="default" w:ascii="Times New Roman" w:hAnsi="Times New Roman" w:eastAsia="微软雅黑" w:cs="Times New Roman"/>
          <w:color w:val="auto"/>
          <w:sz w:val="30"/>
          <w:lang w:eastAsia="zh-CN"/>
        </w:rPr>
      </w:pPr>
      <w:bookmarkStart w:id="35" w:name="_Toc12170"/>
      <w:r>
        <w:rPr>
          <w:rFonts w:hint="default" w:ascii="Times New Roman" w:hAnsi="Times New Roman" w:eastAsia="微软雅黑" w:cs="Times New Roman"/>
          <w:color w:val="auto"/>
          <w:sz w:val="30"/>
          <w:lang w:val="en-US" w:eastAsia="zh-CN"/>
        </w:rPr>
        <w:t>{{note.cancerTitle}}</w:t>
      </w:r>
      <w:bookmarkEnd w:id="32"/>
      <w:bookmarkEnd w:id="33"/>
      <w:bookmarkEnd w:id="34"/>
      <w:bookmarkEnd w:id="3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1F0A3522">
      <w:pP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AE006B8">
      <w:pPr>
        <w:numPr>
          <w:ilvl w:val="0"/>
          <w:numId w:val="0"/>
        </w:numPr>
        <w:spacing w:line="216" w:lineRule="auto"/>
        <w:ind w:leftChars="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note.importantTargetedGeneSummaryNoteList %}{{n}}</w:t>
      </w:r>
    </w:p>
    <w:p w14:paraId="5EBFB217">
      <w:pPr>
        <w:numPr>
          <w:ilvl w:val="0"/>
          <w:numId w:val="0"/>
        </w:numPr>
        <w:spacing w:line="216" w:lineRule="auto"/>
        <w:ind w:leftChars="0"/>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lang w:eastAsia="zh-CN"/>
        </w:rPr>
        <w:br w:type="page"/>
      </w:r>
      <w:bookmarkStart w:id="36" w:name="_Toc18013"/>
      <w:bookmarkStart w:id="37" w:name="_Toc20136_WPSOffice_Level1"/>
      <w:bookmarkStart w:id="38" w:name="_Toc2781"/>
      <w:bookmarkStart w:id="39" w:name="_Toc19898_WPSOffice_Level1"/>
      <w:bookmarkStart w:id="40" w:name="_Toc24235"/>
      <w:bookmarkStart w:id="41" w:name="_Toc22132"/>
      <w:r>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 endif %}</w:t>
      </w:r>
    </w:p>
    <w:p w14:paraId="22382165">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42" w:name="_Toc3948"/>
      <w:bookmarkStart w:id="43" w:name="_Toc32567"/>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检测结果及用药提示</w:t>
      </w:r>
      <w:bookmarkEnd w:id="18"/>
      <w:bookmarkEnd w:id="36"/>
      <w:bookmarkEnd w:id="37"/>
      <w:bookmarkEnd w:id="38"/>
      <w:bookmarkEnd w:id="39"/>
      <w:bookmarkEnd w:id="40"/>
      <w:bookmarkEnd w:id="41"/>
      <w:bookmarkEnd w:id="42"/>
      <w:bookmarkEnd w:id="43"/>
    </w:p>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44" w:name="_Toc149837257"/>
      <w:bookmarkStart w:id="45" w:name="_Toc15507"/>
      <w:bookmarkStart w:id="46" w:name="_Toc8165"/>
      <w:bookmarkStart w:id="47" w:name="_Toc23375"/>
      <w:bookmarkStart w:id="48" w:name="_Toc11015_WPSOffice_Level2"/>
      <w:bookmarkStart w:id="49" w:name="_Toc15063"/>
      <w:bookmarkStart w:id="50" w:name="_Toc18062_WPSOffice_Level2"/>
      <w:bookmarkStart w:id="51" w:name="_Toc9088"/>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49"/>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3"/>
        <w:numPr>
          <w:ilvl w:val="255"/>
          <w:numId w:val="0"/>
        </w:numPr>
        <w:jc w:val="left"/>
        <w:rPr>
          <w:rFonts w:hint="default" w:ascii="Times New Roman" w:hAnsi="Times New Roman" w:eastAsia="微软雅黑" w:cs="Times New Roman"/>
          <w:color w:val="auto"/>
          <w:sz w:val="30"/>
          <w:lang w:eastAsia="zh-CN"/>
        </w:rPr>
      </w:pPr>
      <w:bookmarkStart w:id="52" w:name="_Toc16338"/>
      <w:r>
        <w:rPr>
          <w:rFonts w:hint="default" w:ascii="Times New Roman" w:hAnsi="Times New Roman" w:eastAsia="微软雅黑" w:cs="Times New Roman"/>
          <w:color w:val="auto"/>
          <w:sz w:val="30"/>
          <w:lang w:eastAsia="zh-CN"/>
        </w:rPr>
        <w:t>子宫内膜癌TCGA分子分型检测结果</w:t>
      </w:r>
      <w:bookmarkEnd w:id="44"/>
      <w:bookmarkEnd w:id="45"/>
      <w:bookmarkEnd w:id="46"/>
      <w:bookmarkEnd w:id="52"/>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61761F2B">
      <w:pPr>
        <w:spacing w:before="47"/>
        <w:rPr>
          <w:rFonts w:hint="default" w:ascii="Times New Roman" w:hAnsi="Times New Roman" w:eastAsia="微软雅黑" w:cs="Times New Roman"/>
          <w:sz w:val="18"/>
          <w:szCs w:val="18"/>
          <w:highlight w:val="yellow"/>
          <w:lang w:eastAsia="zh-CN"/>
        </w:rPr>
      </w:pPr>
      <w:r>
        <w:rPr>
          <w:rFonts w:hint="default" w:ascii="Times New Roman" w:hAnsi="Times New Roman" w:eastAsia="微软雅黑" w:cs="Times New Roman"/>
          <w:b/>
          <w:bCs/>
          <w:sz w:val="18"/>
          <w:szCs w:val="18"/>
          <w:lang w:eastAsia="zh-CN"/>
        </w:rPr>
        <w:t>注：</w:t>
      </w:r>
    </w:p>
    <w:p w14:paraId="313FE311">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2013年，癌症基因组图谱（The Cancer Geenome Atlas，TCGA）多组学研究全面揭示了子宫内膜癌的分子遗传图谱，提出新的分子分型策略，依据多组学特征和预后的关联性分为4个亚型：POLE突变型、微卫星不稳定型（MSI-H）、高拷贝型（CN-H）和低拷贝型（CN-L），用于子宫内膜癌患者预后和复发风险评估。当前，该分子分型策略已被纳入NCCN、ESGO等多个指南中，分型规则如下：</w:t>
      </w:r>
    </w:p>
    <w:p w14:paraId="472B7927">
      <w:pPr>
        <w:widowControl/>
        <w:jc w:val="cente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047522FC">
      <w:pPr>
        <w:widowControl/>
        <w:rPr>
          <w:rFonts w:hint="default" w:ascii="Times New Roman" w:hAnsi="Times New Roman" w:eastAsia="微软雅黑" w:cs="Times New Roman"/>
          <w:lang w:eastAsia="zh-CN"/>
        </w:rPr>
      </w:pPr>
    </w:p>
    <w:p w14:paraId="3B3417D0">
      <w:pPr>
        <w:widowControl/>
        <w:jc w:val="cente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图：子宫内膜癌分子分型规则（参考自</w:t>
      </w:r>
      <w:r>
        <w:rPr>
          <w:rFonts w:hint="default" w:ascii="Times New Roman" w:hAnsi="Times New Roman" w:eastAsia="微软雅黑" w:cs="Times New Roman"/>
          <w:color w:val="000000"/>
          <w:sz w:val="20"/>
          <w:szCs w:val="20"/>
          <w:lang w:eastAsia="zh-CN" w:bidi="ar"/>
        </w:rPr>
        <w:t>NCCN《子宫肿瘤临床实践指南》Version2.2022</w:t>
      </w:r>
      <w:r>
        <w:rPr>
          <w:rFonts w:hint="default" w:ascii="Times New Roman" w:hAnsi="Times New Roman" w:eastAsia="微软雅黑" w:cs="Times New Roman"/>
          <w:sz w:val="20"/>
          <w:szCs w:val="20"/>
          <w:lang w:eastAsia="zh-CN"/>
        </w:rPr>
        <w:t>）</w:t>
      </w:r>
    </w:p>
    <w:p w14:paraId="057AF400">
      <w:pPr>
        <w:rPr>
          <w:rFonts w:hint="default" w:ascii="Times New Roman" w:hAnsi="Times New Roman" w:eastAsia="微软雅黑" w:cs="Times New Roman"/>
          <w:sz w:val="18"/>
          <w:lang w:eastAsia="zh-CN"/>
        </w:rPr>
      </w:pPr>
    </w:p>
    <w:p w14:paraId="2FBB46C0">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根据TCGA分子分型可以对患者的预后进行预测，其中POLE突变型患者预后最好，微卫星不稳定型和低拷贝数型患者预后中等，高拷贝数型患者预后最差。</w:t>
      </w:r>
    </w:p>
    <w:p w14:paraId="53CB529F">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目前针对TCGA分子分型指导子宫内膜癌辅助治疗的临床应用尚缺乏前瞻性研究结果，但欧洲妇科肿瘤学会（ESGO）、欧洲放射治疗和肿瘤学会（ESTRO）、欧洲病理学家协会（ESP）联合制定的</w:t>
      </w:r>
      <w:r>
        <w:rPr>
          <w:rFonts w:hint="default" w:ascii="Times New Roman" w:hAnsi="Times New Roman" w:eastAsia="微软雅黑" w:cs="Times New Roman"/>
          <w:sz w:val="18"/>
          <w:szCs w:val="18"/>
          <w:lang w:eastAsia="zh-CN"/>
        </w:rPr>
        <w:t>《ESGO/ESTRO/ESP指南：子宫内膜癌患者的管理（2020版）》</w:t>
      </w:r>
      <w:r>
        <w:rPr>
          <w:rFonts w:hint="default" w:ascii="Times New Roman" w:hAnsi="Times New Roman" w:eastAsia="微软雅黑" w:cs="Times New Roman"/>
          <w:sz w:val="18"/>
          <w:lang w:eastAsia="zh-CN"/>
        </w:rPr>
        <w:t>，推荐将分子分型结果与临床、病理特征进行整合，对患者的复发风险进行分层，用于指导辅助治疗。该风险分层和辅助治疗建议进一步被中国抗癌协会妇科肿瘤专业委员会制定的《子宫内膜癌诊断与治疗指南（2021版）》所引用和推荐。复发风险分层和辅助治疗建议见附录[子宫内膜癌分子分型与预后的相关性]，具体治疗策略还需结合临床及病理特征综合判断，请遵医嘱。</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47"/>
      <w:bookmarkEnd w:id="48"/>
      <w:bookmarkEnd w:id="49"/>
      <w:bookmarkEnd w:id="50"/>
      <w:bookmarkEnd w:id="51"/>
      <w:bookmarkStart w:id="53" w:name="_Toc16898"/>
      <w:bookmarkStart w:id="54" w:name="_Toc26035"/>
      <w:bookmarkStart w:id="55" w:name="_Toc1313"/>
      <w:bookmarkStart w:id="56"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outlineLvl w:val="1"/>
        <w:rPr>
          <w:rFonts w:hint="default" w:ascii="Times New Roman" w:hAnsi="Times New Roman" w:eastAsia="微软雅黑" w:cs="Times New Roman"/>
          <w:color w:val="auto"/>
          <w:sz w:val="30"/>
          <w:lang w:eastAsia="zh-CN"/>
        </w:rPr>
      </w:pPr>
      <w:bookmarkStart w:id="57" w:name="_Toc16842"/>
      <w:bookmarkStart w:id="58" w:name="_Toc31121"/>
      <w:r>
        <w:rPr>
          <w:rFonts w:hint="default" w:ascii="Times New Roman" w:hAnsi="Times New Roman" w:eastAsia="微软雅黑" w:cs="Times New Roman"/>
          <w:b/>
          <w:bCs/>
          <w:color w:val="auto"/>
          <w:sz w:val="30"/>
          <w:szCs w:val="30"/>
          <w:lang w:val="en-US" w:eastAsia="zh-CN" w:bidi="ar-SA"/>
        </w:rPr>
        <w:t>肉瘤辅助诊断提示</w:t>
      </w:r>
      <w:bookmarkEnd w:id="53"/>
      <w:bookmarkEnd w:id="54"/>
      <w:bookmarkEnd w:id="57"/>
      <w:bookmarkEnd w:id="58"/>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62BC41"/>
            <w:vAlign w:val="center"/>
          </w:tcPr>
          <w:p w14:paraId="5C48CFA1">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14:paraId="7A044723">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if readsFlag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438" w:type="dxa"/>
            <w:tcBorders>
              <w:top w:val="nil"/>
              <w:left w:val="single" w:color="FFFFFF" w:sz="18" w:space="0"/>
              <w:bottom w:val="nil"/>
              <w:right w:val="single" w:color="FFFFFF" w:sz="18" w:space="0"/>
            </w:tcBorders>
            <w:shd w:val="clear" w:color="auto" w:fill="62BC41"/>
            <w:vAlign w:val="center"/>
          </w:tcPr>
          <w:p w14:paraId="702ADEB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88BAA0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numPr>
          <w:ilvl w:val="0"/>
          <w:numId w:val="7"/>
        </w:numPr>
        <w:ind w:left="425" w:leftChars="0" w:hanging="425" w:firstLineChars="0"/>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59"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59"/>
      <w:bookmarkStart w:id="60" w:name="_Toc3740"/>
      <w:bookmarkStart w:id="61" w:name="_Toc17140"/>
      <w:r>
        <w:rPr>
          <w:rFonts w:hint="default" w:ascii="Times New Roman" w:hAnsi="Times New Roman" w:eastAsia="微软雅黑" w:cs="Times New Roman"/>
          <w:b w:val="0"/>
          <w:bCs w:val="0"/>
          <w:color w:val="auto"/>
          <w:sz w:val="24"/>
          <w:szCs w:val="24"/>
          <w:lang w:val="en-US" w:eastAsia="zh-CN" w:bidi="ar-SA"/>
        </w:rPr>
        <w:t>{% if reportInfo.conf.thyroidCancerHotSpotResult%}</w:t>
      </w:r>
    </w:p>
    <w:p w14:paraId="5DD51A82">
      <w:pPr>
        <w:pStyle w:val="3"/>
        <w:numPr>
          <w:ilvl w:val="255"/>
          <w:numId w:val="0"/>
        </w:numPr>
        <w:jc w:val="left"/>
        <w:rPr>
          <w:color w:val="auto"/>
          <w:sz w:val="30"/>
          <w:lang w:eastAsia="zh-CN"/>
        </w:rPr>
      </w:pPr>
      <w:bookmarkStart w:id="62" w:name="_Toc31313"/>
      <w:r>
        <w:rPr>
          <w:rFonts w:hint="eastAsia"/>
          <w:color w:val="auto"/>
          <w:sz w:val="30"/>
          <w:lang w:eastAsia="zh-CN"/>
        </w:rPr>
        <w:t>甲状腺癌热点基因检测结果</w:t>
      </w:r>
      <w:bookmarkEnd w:id="60"/>
      <w:bookmarkEnd w:id="61"/>
      <w:bookmarkEnd w:id="6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63"/>
        <w:gridCol w:w="2181"/>
        <w:gridCol w:w="283"/>
        <w:gridCol w:w="2464"/>
        <w:gridCol w:w="178"/>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401" w:type="dxa"/>
            <w:tcBorders>
              <w:top w:val="nil"/>
              <w:bottom w:val="nil"/>
              <w:right w:val="single" w:color="FFFFFF" w:sz="18" w:space="0"/>
            </w:tcBorders>
            <w:shd w:val="clear" w:color="auto" w:fill="62BC41"/>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gridSpan w:val="2"/>
            <w:tcBorders>
              <w:top w:val="nil"/>
              <w:left w:val="single" w:color="FFFFFF" w:sz="18" w:space="0"/>
              <w:bottom w:val="nil"/>
              <w:right w:val="single" w:color="FFFFFF" w:sz="18" w:space="0"/>
            </w:tcBorders>
            <w:shd w:val="clear" w:color="auto" w:fill="62BC41"/>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gridSpan w:val="3"/>
            <w:tcBorders>
              <w:top w:val="nil"/>
              <w:left w:val="single" w:color="FFFFFF" w:sz="18" w:space="0"/>
              <w:bottom w:val="nil"/>
              <w:right w:val="single" w:color="FFFFFF" w:sz="18" w:space="0"/>
            </w:tcBorders>
            <w:shd w:val="clear" w:color="auto" w:fill="62BC41"/>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7"/>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gridSpan w:val="2"/>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gridSpan w:val="3"/>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7"/>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7"/>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64" w:type="dxa"/>
            <w:gridSpan w:val="2"/>
            <w:tcBorders>
              <w:top w:val="single" w:color="A4A4A4" w:sz="4" w:space="0"/>
              <w:bottom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464" w:type="dxa"/>
            <w:gridSpan w:val="2"/>
            <w:tcBorders>
              <w:top w:val="single" w:color="A4A4A4" w:sz="4" w:space="0"/>
              <w:bottom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464" w:type="dxa"/>
            <w:tcBorders>
              <w:top w:val="single" w:color="A4A4A4" w:sz="4" w:space="0"/>
              <w:bottom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464" w:type="dxa"/>
            <w:gridSpan w:val="2"/>
            <w:tcBorders>
              <w:top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bookmarkStart w:id="245" w:name="_GoBack"/>
            <w:bookmarkEnd w:id="245"/>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7"/>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535F0E6C">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3"/>
        <w:numPr>
          <w:ilvl w:val="255"/>
          <w:numId w:val="0"/>
        </w:numPr>
        <w:jc w:val="left"/>
        <w:rPr>
          <w:rFonts w:hint="default" w:ascii="Times New Roman" w:hAnsi="Times New Roman" w:eastAsia="微软雅黑" w:cs="Times New Roman"/>
          <w:color w:val="auto"/>
          <w:sz w:val="30"/>
          <w:lang w:eastAsia="zh-CN"/>
        </w:rPr>
      </w:pPr>
      <w:bookmarkStart w:id="63" w:name="_Toc19461"/>
      <w:bookmarkStart w:id="64" w:name="_Toc4688"/>
      <w:bookmarkStart w:id="65" w:name="_Toc5483"/>
      <w:bookmarkStart w:id="66" w:name="_Toc11689"/>
      <w:bookmarkStart w:id="67" w:name="_Toc318"/>
      <w:r>
        <w:rPr>
          <w:rFonts w:hint="default" w:ascii="Times New Roman" w:hAnsi="Times New Roman" w:eastAsia="微软雅黑" w:cs="Times New Roman"/>
          <w:color w:val="auto"/>
          <w:sz w:val="30"/>
          <w:lang w:eastAsia="zh-CN"/>
        </w:rPr>
        <w:t>同源重组缺陷状态提示</w:t>
      </w:r>
      <w:bookmarkEnd w:id="63"/>
      <w:bookmarkEnd w:id="64"/>
      <w:bookmarkEnd w:id="65"/>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62BC41"/>
            <w:vAlign w:val="center"/>
          </w:tcPr>
          <w:p w14:paraId="50D0863D">
            <w:pPr>
              <w:pStyle w:val="21"/>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5AFD4310">
            <w:pPr>
              <w:pStyle w:val="21"/>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1"/>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1"/>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1"/>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1"/>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1"/>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1"/>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1"/>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1"/>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3"/>
        <w:numPr>
          <w:ilvl w:val="255"/>
          <w:numId w:val="0"/>
        </w:numPr>
        <w:jc w:val="left"/>
        <w:rPr>
          <w:rFonts w:hint="default" w:ascii="Times New Roman" w:hAnsi="Times New Roman" w:eastAsia="微软雅黑" w:cs="Times New Roman"/>
          <w:color w:val="auto"/>
          <w:sz w:val="30"/>
          <w:lang w:eastAsia="zh-CN"/>
        </w:rPr>
      </w:pPr>
      <w:r>
        <w:rPr>
          <w:rFonts w:hint="default" w:ascii="Times New Roman" w:hAnsi="Times New Roman" w:eastAsia="微软雅黑" w:cs="Times New Roman"/>
          <w:color w:val="auto"/>
          <w:sz w:val="30"/>
          <w:lang w:eastAsia="zh-CN"/>
        </w:rPr>
        <w:t>体细胞变异分级提示</w:t>
      </w:r>
      <w:bookmarkEnd w:id="55"/>
      <w:bookmarkEnd w:id="56"/>
      <w:bookmarkEnd w:id="66"/>
      <w:bookmarkEnd w:id="67"/>
    </w:p>
    <w:p w14:paraId="06144E6A">
      <w:pPr>
        <w:pStyle w:val="14"/>
        <w:keepNext w:val="0"/>
        <w:keepLines w:val="0"/>
        <w:widowControl/>
        <w:suppressLineNumbers w:val="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6E506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66EBA92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7EBED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CF4C1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7DFBE9F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6060D4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16460A3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712F254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0"/>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3"/>
        <w:numPr>
          <w:ilvl w:val="255"/>
          <w:numId w:val="0"/>
        </w:numPr>
        <w:jc w:val="left"/>
        <w:rPr>
          <w:rFonts w:hint="default" w:ascii="Times New Roman" w:hAnsi="Times New Roman" w:eastAsia="微软雅黑" w:cs="Times New Roman"/>
        </w:rPr>
      </w:pPr>
      <w:bookmarkStart w:id="68" w:name="_Toc27793"/>
      <w:bookmarkStart w:id="69" w:name="_Toc28455"/>
      <w:bookmarkStart w:id="70" w:name="_Toc149837259"/>
      <w:bookmarkStart w:id="71" w:name="_Toc12294"/>
      <w:r>
        <w:rPr>
          <w:rFonts w:hint="default" w:ascii="Times New Roman" w:hAnsi="Times New Roman" w:eastAsia="微软雅黑" w:cs="Times New Roman"/>
          <w:color w:val="auto"/>
          <w:sz w:val="30"/>
          <w:lang w:eastAsia="zh-CN"/>
        </w:rPr>
        <w:t>胚系变异结果提示</w:t>
      </w:r>
      <w:bookmarkEnd w:id="68"/>
      <w:bookmarkEnd w:id="69"/>
      <w:bookmarkEnd w:id="70"/>
      <w:bookmarkEnd w:id="71"/>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 }}</w:t>
            </w:r>
          </w:p>
        </w:tc>
        <w:tc>
          <w:tcPr>
            <w:tcW w:w="1146" w:type="dxa"/>
            <w:tcBorders>
              <w:top w:val="nil"/>
            </w:tcBorders>
            <w:shd w:val="clear" w:color="auto" w:fill="auto"/>
            <w:vAlign w:val="center"/>
          </w:tcPr>
          <w:p w14:paraId="33D9BBA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0A656E9">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3"/>
        <w:numPr>
          <w:ilvl w:val="255"/>
          <w:numId w:val="0"/>
        </w:numPr>
        <w:jc w:val="left"/>
        <w:rPr>
          <w:rFonts w:hint="default" w:ascii="Times New Roman" w:hAnsi="Times New Roman" w:eastAsia="微软雅黑" w:cs="Times New Roman"/>
          <w:lang w:eastAsia="zh-CN"/>
        </w:rPr>
      </w:pPr>
      <w:bookmarkStart w:id="72" w:name="_Toc22104"/>
      <w:bookmarkStart w:id="73" w:name="_Toc5618"/>
      <w:bookmarkStart w:id="74" w:name="_Toc4103"/>
      <w:bookmarkStart w:id="75" w:name="_Toc149837260"/>
      <w:bookmarkStart w:id="76" w:name="_Toc17526"/>
      <w:bookmarkStart w:id="77" w:name="_Toc6221_WPSOffice_Level2"/>
      <w:bookmarkStart w:id="78" w:name="_Toc4339"/>
      <w:bookmarkStart w:id="79" w:name="_Toc7551_WPSOffice_Level2"/>
      <w:bookmarkStart w:id="80" w:name="_Toc25737"/>
      <w:r>
        <w:rPr>
          <w:rFonts w:hint="default" w:ascii="Times New Roman" w:hAnsi="Times New Roman" w:eastAsia="微软雅黑" w:cs="Times New Roman"/>
          <w:color w:val="auto"/>
          <w:sz w:val="30"/>
          <w:lang w:eastAsia="zh-CN"/>
        </w:rPr>
        <w:t>本癌种FDA/NMPA获批的其他可选靶向药物</w:t>
      </w:r>
      <w:bookmarkEnd w:id="72"/>
      <w:bookmarkEnd w:id="73"/>
      <w:bookmarkEnd w:id="74"/>
      <w:bookmarkEnd w:id="75"/>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81" w:name="_Toc20137"/>
      <w:bookmarkStart w:id="82" w:name="_Toc26758"/>
      <w:r>
        <w:rPr>
          <w:rFonts w:hint="default" w:ascii="Times New Roman" w:hAnsi="Times New Roman" w:eastAsia="微软雅黑" w:cs="Times New Roman"/>
          <w:sz w:val="24"/>
          <w:szCs w:val="24"/>
          <w:lang w:eastAsia="zh-CN"/>
        </w:rPr>
        <w:t>{%if prostateCancerFlag == True %}</w:t>
      </w:r>
    </w:p>
    <w:bookmarkEnd w:id="81"/>
    <w:bookmarkEnd w:id="82"/>
    <w:p w14:paraId="18769D60">
      <w:pPr>
        <w:pStyle w:val="3"/>
        <w:numPr>
          <w:ilvl w:val="255"/>
          <w:numId w:val="0"/>
        </w:numPr>
        <w:jc w:val="left"/>
        <w:rPr>
          <w:rFonts w:hint="default" w:ascii="Times New Roman" w:hAnsi="Times New Roman" w:eastAsia="微软雅黑" w:cs="Times New Roman"/>
          <w:color w:val="auto"/>
          <w:sz w:val="30"/>
          <w:lang w:eastAsia="zh-CN"/>
        </w:rPr>
      </w:pPr>
      <w:bookmarkStart w:id="83" w:name="_Toc23725"/>
      <w:bookmarkStart w:id="84" w:name="_Toc14639"/>
      <w:bookmarkStart w:id="85" w:name="_Toc22042"/>
      <w:bookmarkStart w:id="86" w:name="_Toc25574"/>
      <w:bookmarkStart w:id="87" w:name="_Toc6573"/>
      <w:r>
        <w:rPr>
          <w:rFonts w:hint="default" w:ascii="Times New Roman" w:hAnsi="Times New Roman" w:eastAsia="微软雅黑" w:cs="Times New Roman"/>
          <w:color w:val="auto"/>
          <w:sz w:val="30"/>
          <w:lang w:eastAsia="zh-CN"/>
        </w:rPr>
        <w:t>内分泌相关</w:t>
      </w:r>
      <w:bookmarkEnd w:id="83"/>
      <w:bookmarkEnd w:id="84"/>
      <w:bookmarkEnd w:id="85"/>
      <w:bookmarkEnd w:id="86"/>
      <w:bookmarkEnd w:id="87"/>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eastAsia="微软雅黑" w:cs="Times New Roman"/>
                <w:lang w:eastAsia="zh-CN" w:bidi="ar"/>
              </w:rPr>
            </w:pPr>
            <w:r>
              <w:rPr>
                <w:rStyle w:val="40"/>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1"/>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1"/>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eastAsia="微软雅黑" w:cs="Times New Roman"/>
                <w:lang w:eastAsia="zh-CN" w:bidi="ar"/>
              </w:rPr>
            </w:pPr>
            <w:r>
              <w:rPr>
                <w:rStyle w:val="40"/>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lang w:eastAsia="zh-CN" w:bidi="ar"/>
              </w:rPr>
              <w:t>RB1</w:t>
            </w:r>
            <w:r>
              <w:rPr>
                <w:rStyle w:val="43"/>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bookmarkStart w:id="88" w:name="_Toc27364"/>
      <w:r>
        <w:rPr>
          <w:rFonts w:hint="default" w:ascii="Times New Roman" w:hAnsi="Times New Roman" w:eastAsia="微软雅黑" w:cs="Times New Roman"/>
          <w:sz w:val="24"/>
          <w:szCs w:val="24"/>
          <w:lang w:eastAsia="zh-CN"/>
        </w:rPr>
        <w:t>{%if reportInfo.conf.thyroidCancerPrognosis %}</w:t>
      </w:r>
    </w:p>
    <w:p w14:paraId="13F554C2">
      <w:pPr>
        <w:pStyle w:val="3"/>
        <w:numPr>
          <w:ilvl w:val="255"/>
          <w:numId w:val="0"/>
        </w:numPr>
        <w:jc w:val="left"/>
        <w:rPr>
          <w:color w:val="auto"/>
          <w:sz w:val="30"/>
          <w:lang w:eastAsia="zh-CN"/>
        </w:rPr>
      </w:pPr>
      <w:bookmarkStart w:id="89" w:name="_Toc17242"/>
      <w:bookmarkStart w:id="90" w:name="_Toc8577"/>
      <w:bookmarkStart w:id="91" w:name="_Toc8656"/>
      <w:r>
        <w:rPr>
          <w:rFonts w:hint="eastAsia"/>
          <w:color w:val="auto"/>
          <w:sz w:val="30"/>
          <w:lang w:eastAsia="zh-CN"/>
        </w:rPr>
        <w:t>预后评估</w:t>
      </w:r>
      <w:bookmarkEnd w:id="89"/>
      <w:bookmarkEnd w:id="90"/>
      <w:bookmarkEnd w:id="91"/>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3"/>
        <w:numPr>
          <w:ilvl w:val="255"/>
          <w:numId w:val="0"/>
        </w:numPr>
        <w:jc w:val="left"/>
        <w:rPr>
          <w:rFonts w:hint="default" w:ascii="Times New Roman" w:hAnsi="Times New Roman" w:eastAsia="微软雅黑" w:cs="Times New Roman"/>
          <w:color w:val="auto"/>
          <w:sz w:val="30"/>
          <w:lang w:eastAsia="zh-CN"/>
        </w:rPr>
      </w:pPr>
      <w:bookmarkStart w:id="92" w:name="_Toc8278"/>
      <w:bookmarkStart w:id="93" w:name="_Toc15346"/>
      <w:r>
        <w:rPr>
          <w:rFonts w:hint="default" w:ascii="Times New Roman" w:hAnsi="Times New Roman" w:eastAsia="微软雅黑" w:cs="Times New Roman"/>
          <w:color w:val="auto"/>
          <w:sz w:val="30"/>
          <w:lang w:val="en-US" w:eastAsia="zh-CN"/>
        </w:rPr>
        <w:t>免疫药物用药提示</w:t>
      </w:r>
      <w:bookmarkEnd w:id="76"/>
      <w:bookmarkEnd w:id="77"/>
      <w:bookmarkEnd w:id="78"/>
      <w:bookmarkEnd w:id="79"/>
      <w:bookmarkEnd w:id="80"/>
      <w:bookmarkEnd w:id="88"/>
      <w:bookmarkEnd w:id="92"/>
      <w:bookmarkEnd w:id="93"/>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94" w:name="_Toc13489_WPSOffice_Level2"/>
      <w:bookmarkStart w:id="95" w:name="_Toc24038"/>
      <w:bookmarkStart w:id="96" w:name="_Toc19810"/>
      <w:bookmarkStart w:id="97" w:name="_Toc10743"/>
      <w:bookmarkStart w:id="98" w:name="_Hlk516758315"/>
      <w:bookmarkStart w:id="99"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2B541"/>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2B541"/>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2B541"/>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2"/>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2"/>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2"/>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2"/>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3"/>
                <w:rFonts w:hint="default" w:ascii="Times New Roman" w:hAnsi="Times New Roman" w:eastAsia="微软雅黑" w:cs="Times New Roman"/>
                <w:lang w:eastAsia="zh-CN" w:bidi="ar"/>
              </w:rPr>
              <w:t>错配修复（</w:t>
            </w:r>
            <w:r>
              <w:rPr>
                <w:rStyle w:val="41"/>
                <w:rFonts w:hint="default" w:ascii="Times New Roman" w:hAnsi="Times New Roman" w:eastAsia="微软雅黑" w:cs="Times New Roman"/>
                <w:lang w:eastAsia="zh-CN" w:bidi="ar"/>
              </w:rPr>
              <w:t>MMR</w:t>
            </w:r>
            <w:r>
              <w:rPr>
                <w:rStyle w:val="43"/>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4"/>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4"/>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4"/>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both"/>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both"/>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both"/>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3"/>
        <w:numPr>
          <w:ilvl w:val="255"/>
          <w:numId w:val="0"/>
        </w:numPr>
        <w:jc w:val="left"/>
        <w:rPr>
          <w:rFonts w:hint="default" w:ascii="Times New Roman" w:hAnsi="Times New Roman" w:eastAsia="微软雅黑" w:cs="Times New Roman"/>
          <w:color w:val="auto"/>
          <w:sz w:val="30"/>
          <w:lang w:eastAsia="zh-CN"/>
        </w:rPr>
      </w:pPr>
      <w:bookmarkStart w:id="100" w:name="_Toc21453"/>
      <w:bookmarkStart w:id="101" w:name="_Toc149837262"/>
      <w:bookmarkStart w:id="102" w:name="_Toc106719764"/>
      <w:bookmarkStart w:id="103" w:name="_Toc11395"/>
      <w:bookmarkStart w:id="104" w:name="_Toc20034"/>
      <w:bookmarkStart w:id="105" w:name="_Toc12443"/>
      <w:r>
        <w:rPr>
          <w:rFonts w:hint="default" w:ascii="Times New Roman" w:hAnsi="Times New Roman" w:eastAsia="微软雅黑" w:cs="Times New Roman"/>
          <w:color w:val="auto"/>
          <w:sz w:val="30"/>
          <w:lang w:eastAsia="zh-CN"/>
        </w:rPr>
        <w:t>PD-L1检测结果</w:t>
      </w:r>
      <w:bookmarkEnd w:id="100"/>
      <w:bookmarkEnd w:id="101"/>
      <w:bookmarkEnd w:id="102"/>
      <w:bookmarkEnd w:id="103"/>
      <w:bookmarkEnd w:id="104"/>
      <w:bookmarkEnd w:id="105"/>
    </w:p>
    <w:p w14:paraId="23974D1F">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33F86"/>
          <w:sz w:val="24"/>
          <w:szCs w:val="30"/>
          <w:lang w:eastAsia="zh-CN"/>
        </w:rPr>
      </w:pPr>
      <w:r>
        <w:rPr>
          <w:rFonts w:hint="default" w:ascii="Times New Roman" w:hAnsi="Times New Roman" w:eastAsia="微软雅黑" w:cs="Times New Roman"/>
          <w:b/>
          <w:bCs/>
          <w:color w:val="62B541"/>
          <w:sz w:val="24"/>
          <w:szCs w:val="30"/>
          <w:lang w:eastAsia="zh-CN"/>
        </w:rPr>
        <w:t>检测图谱：</w:t>
      </w:r>
      <w:r>
        <w:rPr>
          <w:rFonts w:hint="default" w:ascii="Times New Roman" w:hAnsi="Times New Roman" w:eastAsia="微软雅黑" w:cs="Times New Roman"/>
          <w:b/>
          <w:bCs/>
          <w:color w:val="033F86"/>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if reportInfo.conf.approvedImmunityDrug%}{% if summaryOfRresults.template_name == ‘泌尿系统肿瘤99基因检测报告’%}</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2D3FC71">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94"/>
      <w:bookmarkEnd w:id="95"/>
      <w:bookmarkEnd w:id="96"/>
      <w:bookmarkEnd w:id="97"/>
      <w:bookmarkEnd w:id="98"/>
      <w:bookmarkEnd w:id="99"/>
      <w:bookmarkStart w:id="106" w:name="_Toc149837263"/>
      <w:bookmarkStart w:id="107" w:name="_Toc14550"/>
      <w:r>
        <w:rPr>
          <w:rFonts w:hint="default" w:ascii="Times New Roman" w:hAnsi="Times New Roman" w:eastAsia="微软雅黑" w:cs="Times New Roman"/>
          <w:sz w:val="24"/>
          <w:szCs w:val="24"/>
          <w:lang w:val="en-US" w:eastAsia="zh-CN"/>
        </w:rPr>
        <w:t>{% endif %}{% endif %}</w:t>
      </w:r>
      <w:r>
        <w:rPr>
          <w:rFonts w:hint="eastAsia" w:ascii="Times New Roman" w:hAnsi="Times New Roman" w:eastAsia="微软雅黑" w:cs="Times New Roman"/>
          <w:sz w:val="24"/>
          <w:szCs w:val="24"/>
          <w:lang w:val="en-US" w:eastAsia="zh-CN"/>
        </w:rPr>
        <w:t>{% if reportInfo.show_anal %}</w:t>
      </w:r>
    </w:p>
    <w:p w14:paraId="5763E878">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108" w:name="_Toc3425"/>
      <w:bookmarkStart w:id="109" w:name="_Toc26225"/>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106"/>
      <w:bookmarkEnd w:id="107"/>
      <w:bookmarkEnd w:id="108"/>
      <w:bookmarkEnd w:id="109"/>
    </w:p>
    <w:p w14:paraId="57E3F9A3">
      <w:pPr>
        <w:pStyle w:val="26"/>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10" w:name="_Toc31495"/>
    </w:p>
    <w:p w14:paraId="7647E78D">
      <w:pPr>
        <w:pStyle w:val="26"/>
        <w:outlineLvl w:val="1"/>
        <w:rPr>
          <w:rFonts w:hint="default" w:ascii="Times New Roman" w:hAnsi="Times New Roman" w:eastAsia="微软雅黑" w:cs="Times New Roman"/>
          <w:color w:val="auto"/>
          <w:sz w:val="30"/>
          <w:lang w:eastAsia="zh-CN"/>
        </w:rPr>
      </w:pPr>
      <w:bookmarkStart w:id="111" w:name="_Toc12657"/>
      <w:bookmarkStart w:id="112" w:name="_Toc31487"/>
      <w:r>
        <w:rPr>
          <w:rFonts w:hint="default" w:ascii="Times New Roman" w:hAnsi="Times New Roman" w:eastAsia="微软雅黑" w:cs="Times New Roman"/>
          <w:color w:val="auto"/>
          <w:sz w:val="30"/>
          <w:lang w:eastAsia="zh-CN"/>
        </w:rPr>
        <w:t>同源重组缺陷状态解析</w:t>
      </w:r>
      <w:bookmarkEnd w:id="110"/>
      <w:bookmarkEnd w:id="111"/>
      <w:bookmarkEnd w:id="112"/>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62BC41"/>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3"/>
        <w:numPr>
          <w:ilvl w:val="255"/>
          <w:numId w:val="0"/>
        </w:numPr>
        <w:jc w:val="left"/>
        <w:rPr>
          <w:rFonts w:hint="default" w:ascii="Times New Roman" w:hAnsi="Times New Roman" w:eastAsia="微软雅黑" w:cs="Times New Roman"/>
          <w:color w:val="auto"/>
          <w:sz w:val="30"/>
          <w:lang w:eastAsia="zh-CN"/>
        </w:rPr>
      </w:pPr>
      <w:bookmarkStart w:id="113" w:name="_Toc18879"/>
      <w:bookmarkStart w:id="114" w:name="_Toc18974"/>
      <w:bookmarkStart w:id="115" w:name="_Toc27011"/>
      <w:bookmarkStart w:id="116" w:name="_Toc149837264"/>
      <w:r>
        <w:rPr>
          <w:rFonts w:hint="default" w:ascii="Times New Roman" w:hAnsi="Times New Roman" w:eastAsia="微软雅黑" w:cs="Times New Roman"/>
          <w:color w:val="auto"/>
          <w:sz w:val="30"/>
          <w:lang w:eastAsia="zh-CN"/>
        </w:rPr>
        <w:t>体细胞变异结果解析</w:t>
      </w:r>
      <w:bookmarkEnd w:id="113"/>
      <w:bookmarkEnd w:id="114"/>
      <w:bookmarkEnd w:id="115"/>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bookmarkEnd w:id="116"/>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8952105">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5D6B55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E71504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CF56C5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6683EE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785ED1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B71B63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718272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24A4D6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rFonts w:hint="default" w:ascii="Times New Roman" w:hAnsi="Times New Roman" w:eastAsia="微软雅黑" w:cs="Times New Roman"/>
          <w:color w:val="auto"/>
          <w:sz w:val="30"/>
          <w:lang w:eastAsia="zh-CN"/>
        </w:rPr>
      </w:pPr>
      <w:bookmarkStart w:id="117" w:name="_Toc27746"/>
      <w:bookmarkStart w:id="118" w:name="_Toc13837"/>
      <w:bookmarkStart w:id="119" w:name="_Toc11208"/>
      <w:bookmarkStart w:id="120" w:name="_Toc149837265"/>
      <w:r>
        <w:rPr>
          <w:rFonts w:hint="default" w:ascii="Times New Roman" w:hAnsi="Times New Roman" w:eastAsia="微软雅黑" w:cs="Times New Roman"/>
          <w:color w:val="auto"/>
          <w:sz w:val="30"/>
          <w:lang w:eastAsia="zh-CN"/>
        </w:rPr>
        <w:t>胚系变异结果解析</w:t>
      </w:r>
      <w:bookmarkEnd w:id="117"/>
      <w:bookmarkEnd w:id="118"/>
      <w:bookmarkEnd w:id="119"/>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20"/>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 reportInfo.conf.thyroidIymphomaDrugAnal %}</w:t>
      </w:r>
    </w:p>
    <w:p w14:paraId="612F9A94">
      <w:pPr>
        <w:pStyle w:val="3"/>
        <w:numPr>
          <w:ilvl w:val="255"/>
          <w:numId w:val="0"/>
        </w:numPr>
        <w:jc w:val="left"/>
        <w:rPr>
          <w:color w:val="auto"/>
          <w:sz w:val="30"/>
          <w:lang w:eastAsia="zh-CN"/>
        </w:rPr>
      </w:pPr>
      <w:bookmarkStart w:id="121" w:name="_Toc29942"/>
      <w:bookmarkStart w:id="122" w:name="_Toc5824"/>
      <w:bookmarkStart w:id="123" w:name="_Toc32694"/>
      <w:r>
        <w:rPr>
          <w:rFonts w:hint="eastAsia"/>
          <w:color w:val="auto"/>
          <w:sz w:val="30"/>
          <w:lang w:eastAsia="zh-CN"/>
        </w:rPr>
        <w:t>预后评估结果解析</w:t>
      </w:r>
      <w:bookmarkEnd w:id="121"/>
      <w:bookmarkEnd w:id="122"/>
      <w:bookmarkEnd w:id="123"/>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3"/>
        <w:numPr>
          <w:ilvl w:val="255"/>
          <w:numId w:val="0"/>
        </w:numPr>
        <w:jc w:val="left"/>
        <w:rPr>
          <w:rFonts w:hint="default" w:ascii="Times New Roman" w:hAnsi="Times New Roman" w:eastAsia="微软雅黑" w:cs="Times New Roman"/>
          <w:color w:val="auto"/>
          <w:sz w:val="30"/>
          <w:lang w:eastAsia="zh-CN"/>
        </w:rPr>
      </w:pPr>
      <w:bookmarkStart w:id="124" w:name="_Toc149837266"/>
      <w:bookmarkStart w:id="125" w:name="_Toc17529"/>
      <w:bookmarkStart w:id="126" w:name="_Toc12317"/>
      <w:bookmarkStart w:id="127" w:name="_Toc25601"/>
      <w:r>
        <w:rPr>
          <w:rFonts w:hint="default" w:ascii="Times New Roman" w:hAnsi="Times New Roman" w:eastAsia="微软雅黑" w:cs="Times New Roman"/>
          <w:color w:val="auto"/>
          <w:sz w:val="30"/>
          <w:lang w:eastAsia="zh-CN"/>
        </w:rPr>
        <w:t>免疫检测结果解析</w:t>
      </w:r>
      <w:bookmarkEnd w:id="124"/>
      <w:bookmarkEnd w:id="125"/>
      <w:bookmarkEnd w:id="126"/>
      <w:bookmarkEnd w:id="127"/>
    </w:p>
    <w:p w14:paraId="1053CBAD">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if reportInfo.conf.tmb %}</w:t>
      </w:r>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hint="default" w:ascii="Times New Roman" w:hAnsi="Times New Roman" w:eastAsia="微软雅黑" w:cs="Times New Roman"/>
                <w:sz w:val="11"/>
                <w:szCs w:val="16"/>
                <w:shd w:val="clear" w:color="auto" w:fill="FFFFFF"/>
                <w:lang w:eastAsia="zh-CN"/>
              </w:rPr>
            </w:pPr>
          </w:p>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p>
          <w:p w14:paraId="550ADC8B">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for n in note.TMB3NoteList %}{{n}}</w:t>
            </w:r>
          </w:p>
          <w:p w14:paraId="1BAB39A9">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4B3EFA0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 for n in note.MMR3NoteList %}{{n}}</w:t>
            </w:r>
          </w:p>
          <w:p w14:paraId="0B472035">
            <w:pPr>
              <w:ind w:firstLine="360" w:firstLineChars="20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8" w:name="_Toc21630"/>
      <w:bookmarkStart w:id="129" w:name="_Toc16133"/>
      <w:r>
        <w:rPr>
          <w:rFonts w:hint="default" w:ascii="Times New Roman" w:hAnsi="Times New Roman" w:eastAsia="微软雅黑" w:cs="Times New Roman"/>
          <w:b/>
          <w:sz w:val="24"/>
          <w:szCs w:val="24"/>
          <w:lang w:eastAsia="zh-CN"/>
        </w:rPr>
        <w:t>人类白细胞抗原杂合性缺失（HLA-LOH）检测结果解析</w:t>
      </w:r>
      <w:bookmarkEnd w:id="128"/>
      <w:bookmarkEnd w:id="129"/>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30" w:name="_Toc3741"/>
      <w:bookmarkStart w:id="131"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30"/>
      <w:bookmarkEnd w:id="131"/>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62BC41"/>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62BC41"/>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2"/>
              <w:numPr>
                <w:ilvl w:val="0"/>
                <w:numId w:val="13"/>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2"/>
              <w:numPr>
                <w:ilvl w:val="0"/>
                <w:numId w:val="13"/>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5"/>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6"/>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5"/>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3"/>
        <w:numPr>
          <w:ilvl w:val="255"/>
          <w:numId w:val="0"/>
        </w:numPr>
        <w:jc w:val="both"/>
        <w:rPr>
          <w:rFonts w:hint="default" w:ascii="Times New Roman" w:hAnsi="Times New Roman" w:eastAsia="微软雅黑" w:cs="Times New Roman"/>
          <w:color w:val="auto"/>
          <w:sz w:val="30"/>
          <w:lang w:eastAsia="zh-CN"/>
        </w:rPr>
      </w:pPr>
      <w:bookmarkStart w:id="132" w:name="_Toc25534"/>
      <w:bookmarkStart w:id="133" w:name="_Toc19872"/>
      <w:bookmarkStart w:id="134" w:name="_Toc28864"/>
      <w:bookmarkStart w:id="135" w:name="_Toc16154"/>
      <w:r>
        <w:rPr>
          <w:rFonts w:hint="default" w:ascii="Times New Roman" w:hAnsi="Times New Roman" w:eastAsia="微软雅黑" w:cs="Times New Roman"/>
          <w:color w:val="auto"/>
          <w:sz w:val="30"/>
          <w:lang w:eastAsia="zh-CN"/>
        </w:rPr>
        <w:t>预后相关基因检测结果及解析</w:t>
      </w:r>
      <w:bookmarkEnd w:id="132"/>
      <w:bookmarkEnd w:id="133"/>
      <w:bookmarkEnd w:id="134"/>
      <w:bookmarkEnd w:id="135"/>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5"/>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5"/>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3"/>
        <w:numPr>
          <w:ilvl w:val="255"/>
          <w:numId w:val="0"/>
        </w:numPr>
        <w:jc w:val="both"/>
        <w:rPr>
          <w:rFonts w:hint="default" w:ascii="Times New Roman" w:hAnsi="Times New Roman" w:eastAsia="微软雅黑" w:cs="Times New Roman"/>
          <w:color w:val="auto"/>
          <w:sz w:val="30"/>
        </w:rPr>
      </w:pPr>
      <w:bookmarkStart w:id="136" w:name="_Toc1707_WPSOffice_Level2"/>
      <w:bookmarkStart w:id="137" w:name="_Toc21764_WPSOffice_Level2"/>
      <w:bookmarkStart w:id="138" w:name="_Toc10515"/>
      <w:bookmarkStart w:id="139" w:name="_Toc14676"/>
      <w:bookmarkStart w:id="140" w:name="_Toc6029"/>
      <w:bookmarkStart w:id="141" w:name="_Toc16347"/>
      <w:bookmarkStart w:id="142" w:name="_Toc26649"/>
      <w:bookmarkStart w:id="143" w:name="_Toc14132"/>
      <w:r>
        <w:rPr>
          <w:rFonts w:hint="default" w:ascii="Times New Roman" w:hAnsi="Times New Roman" w:eastAsia="微软雅黑" w:cs="Times New Roman"/>
          <w:color w:val="auto"/>
          <w:sz w:val="30"/>
        </w:rPr>
        <w:t>化疗药物检测解析</w:t>
      </w:r>
      <w:bookmarkEnd w:id="136"/>
      <w:bookmarkEnd w:id="137"/>
      <w:bookmarkEnd w:id="138"/>
      <w:bookmarkEnd w:id="139"/>
      <w:bookmarkEnd w:id="140"/>
      <w:bookmarkEnd w:id="141"/>
      <w:bookmarkEnd w:id="142"/>
      <w:bookmarkEnd w:id="143"/>
    </w:p>
    <w:p w14:paraId="435C1A13">
      <w:pPr>
        <w:spacing w:before="26" w:after="120" w:afterLines="50"/>
        <w:rPr>
          <w:rFonts w:hint="default" w:ascii="Times New Roman" w:hAnsi="Times New Roman" w:eastAsia="微软雅黑" w:cs="Times New Roman"/>
        </w:rPr>
      </w:pPr>
      <w:bookmarkStart w:id="144" w:name="_Toc13698"/>
      <w:bookmarkStart w:id="145" w:name="_Toc1707_WPSOffice_Level1"/>
      <w:bookmarkStart w:id="146" w:name="_Toc13196_WPSOffice_Level1"/>
      <w:bookmarkStart w:id="147" w:name="_Toc21764_WPSOffice_Level1"/>
      <w:bookmarkStart w:id="148" w:name="_Toc27302"/>
      <w:bookmarkStart w:id="149"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5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numPr>
          <w:ilvl w:val="255"/>
          <w:numId w:val="0"/>
        </w:numPr>
        <w:jc w:val="both"/>
        <w:outlineLvl w:val="0"/>
        <w:rPr>
          <w:rStyle w:val="46"/>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pPr>
      <w:bookmarkStart w:id="151" w:name="_Toc12766"/>
      <w:bookmarkStart w:id="152" w:name="_Toc26226"/>
      <w:r>
        <w:rPr>
          <w:rStyle w:val="46"/>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t>全外显子基因突变结果</w:t>
      </w:r>
      <w:bookmarkEnd w:id="150"/>
      <w:bookmarkEnd w:id="151"/>
      <w:bookmarkEnd w:id="152"/>
    </w:p>
    <w:p w14:paraId="2C452F1B">
      <w:pPr>
        <w:widowControl/>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全外显子基因突变列表</w:t>
      </w:r>
    </w:p>
    <w:tbl>
      <w:tblPr>
        <w:tblStyle w:val="45"/>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B46E96E">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157C178D">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5A680DAC">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619EED94">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289455A3">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3BF46D49">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3A043BDB">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3407CF18">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53" w:name="_Toc15707"/>
    </w:p>
    <w:p w14:paraId="4D8C4C8D">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54" w:name="_Toc4248"/>
      <w:bookmarkStart w:id="155" w:name="_Toc1686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附录</w:t>
      </w:r>
      <w:bookmarkEnd w:id="144"/>
      <w:bookmarkEnd w:id="145"/>
      <w:bookmarkEnd w:id="146"/>
      <w:bookmarkEnd w:id="147"/>
      <w:bookmarkEnd w:id="148"/>
      <w:bookmarkEnd w:id="149"/>
      <w:bookmarkEnd w:id="154"/>
      <w:bookmarkEnd w:id="155"/>
    </w:p>
    <w:bookmarkEnd w:id="153"/>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56" w:name="_Toc15840_WPSOffice_Level1"/>
      <w:bookmarkStart w:id="157" w:name="_Toc24085_WPSOffice_Level1"/>
      <w:bookmarkStart w:id="158" w:name="_Toc1262"/>
      <w:bookmarkStart w:id="159" w:name="_Toc14102"/>
      <w:bookmarkStart w:id="160" w:name="_Toc14255_WPSOffice_Level1"/>
      <w:bookmarkStart w:id="161" w:name="_Toc22324"/>
      <w:bookmarkStart w:id="162" w:name="_Toc3674"/>
      <w:r>
        <w:rPr>
          <w:rFonts w:hint="default" w:ascii="Times New Roman" w:hAnsi="Times New Roman" w:eastAsia="微软雅黑" w:cs="Times New Roman"/>
          <w:color w:val="auto"/>
          <w:sz w:val="30"/>
          <w:lang w:eastAsia="zh-CN"/>
        </w:rPr>
        <w:t>样本质控情况</w:t>
      </w:r>
      <w:bookmarkEnd w:id="156"/>
      <w:bookmarkEnd w:id="157"/>
      <w:bookmarkEnd w:id="158"/>
      <w:bookmarkEnd w:id="159"/>
      <w:bookmarkEnd w:id="160"/>
      <w:bookmarkEnd w:id="161"/>
      <w:bookmarkEnd w:id="162"/>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overall_quality_assessment }}</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63" w:name="_Toc18564"/>
      <w:bookmarkStart w:id="164" w:name="_Toc106294407"/>
      <w:bookmarkStart w:id="165" w:name="_Toc12133"/>
      <w:bookmarkStart w:id="166" w:name="_Toc11193_WPSOffice_Level1"/>
      <w:bookmarkStart w:id="167" w:name="_Toc28810_WPSOffice_Level1"/>
      <w:bookmarkStart w:id="168" w:name="_Toc11896_WPSOffice_Level1"/>
      <w:bookmarkStart w:id="169" w:name="_Toc7549"/>
      <w:bookmarkStart w:id="170" w:name="_Toc19099"/>
      <w:bookmarkStart w:id="171" w:name="_Toc22484_WPSOffice_Level1"/>
      <w:bookmarkStart w:id="172" w:name="_Toc16368_WPSOffice_Level1"/>
      <w:bookmarkStart w:id="173" w:name="_Toc11722"/>
      <w:bookmarkStart w:id="174" w:name="_Toc28910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49"/>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63"/>
    <w:bookmarkEnd w:id="164"/>
    <w:bookmarkEnd w:id="165"/>
    <w:p w14:paraId="5142219E">
      <w:pPr>
        <w:pStyle w:val="3"/>
        <w:numPr>
          <w:ilvl w:val="255"/>
          <w:numId w:val="0"/>
        </w:numPr>
        <w:jc w:val="left"/>
        <w:rPr>
          <w:rFonts w:hint="default" w:ascii="Times New Roman" w:hAnsi="Times New Roman" w:eastAsia="微软雅黑" w:cs="Times New Roman"/>
          <w:color w:val="auto"/>
          <w:sz w:val="30"/>
        </w:rPr>
      </w:pPr>
      <w:bookmarkStart w:id="175" w:name="_Toc149837270"/>
      <w:bookmarkStart w:id="176" w:name="_Toc106294408"/>
      <w:bookmarkStart w:id="177" w:name="_Toc17216"/>
      <w:bookmarkStart w:id="178" w:name="_Toc11446"/>
      <w:bookmarkStart w:id="179" w:name="_Toc11362"/>
      <w:bookmarkStart w:id="180" w:name="_Toc3454"/>
      <w:bookmarkStart w:id="181" w:name="_Toc24734"/>
      <w:bookmarkStart w:id="182" w:name="_Toc26744"/>
      <w:r>
        <w:rPr>
          <w:rFonts w:hint="default" w:ascii="Times New Roman" w:hAnsi="Times New Roman" w:eastAsia="微软雅黑" w:cs="Times New Roman"/>
          <w:color w:val="auto"/>
          <w:sz w:val="30"/>
        </w:rPr>
        <w:t>子宫内膜癌分子分型与预后的相关性</w:t>
      </w:r>
      <w:bookmarkEnd w:id="175"/>
      <w:bookmarkEnd w:id="176"/>
      <w:bookmarkEnd w:id="177"/>
      <w:bookmarkEnd w:id="178"/>
      <w:bookmarkEnd w:id="179"/>
      <w:bookmarkEnd w:id="180"/>
      <w:bookmarkEnd w:id="181"/>
      <w:bookmarkEnd w:id="182"/>
    </w:p>
    <w:p w14:paraId="0A86C0DC">
      <w:pPr>
        <w:spacing w:after="120" w:afterLines="50" w:line="440" w:lineRule="exact"/>
        <w:ind w:firstLine="440" w:firstLineChars="200"/>
        <w:jc w:val="both"/>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Ⅰ~Ⅱ期，</w:t>
            </w:r>
            <w:r>
              <w:rPr>
                <w:rFonts w:hint="default" w:ascii="Times New Roman" w:hAnsi="Times New Roman" w:eastAsia="微软雅黑" w:cs="Times New Roman"/>
                <w:b/>
                <w:bCs/>
                <w:i/>
                <w:iCs/>
                <w:sz w:val="16"/>
                <w:szCs w:val="16"/>
                <w:lang w:eastAsia="zh-CN"/>
              </w:rPr>
              <w:t>POLE</w:t>
            </w:r>
            <w:r>
              <w:rPr>
                <w:rFonts w:hint="default" w:ascii="Times New Roman" w:hAnsi="Times New Roman" w:eastAsia="微软雅黑" w:cs="Times New Roman"/>
                <w:b/>
                <w:bCs/>
                <w:sz w:val="16"/>
                <w:szCs w:val="16"/>
                <w:lang w:eastAsia="zh-CN"/>
              </w:rPr>
              <w:t xml:space="preserve"> mut</w:t>
            </w:r>
            <w:r>
              <w:rPr>
                <w:rFonts w:hint="default" w:ascii="Times New Roman" w:hAnsi="Times New Roman" w:eastAsia="微软雅黑" w:cs="Times New Roman"/>
                <w:sz w:val="16"/>
                <w:szCs w:val="16"/>
                <w:lang w:eastAsia="zh-CN"/>
              </w:rPr>
              <w:t>内膜样癌，无残留病灶</w:t>
            </w:r>
          </w:p>
          <w:p w14:paraId="66D9559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3711B799">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73EAF93C">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29133F3F">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024C05FE">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Ⅰ期内膜样癌+弥漫LVSI，无论级别与浸润深度 </w:t>
            </w:r>
          </w:p>
          <w:p w14:paraId="665781F6">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48077D1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18E72224">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淋巴结分期为pN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未进行淋巴结分期手术（cN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/pN</w:t>
            </w:r>
            <w:r>
              <w:rPr>
                <w:rFonts w:hint="default" w:ascii="Times New Roman" w:hAnsi="Times New Roman" w:eastAsia="微软雅黑" w:cs="Times New Roman"/>
                <w:sz w:val="16"/>
                <w:szCs w:val="16"/>
                <w:vertAlign w:val="subscript"/>
                <w:lang w:eastAsia="zh-CN"/>
              </w:rPr>
              <w:t>x</w:t>
            </w:r>
            <w:r>
              <w:rPr>
                <w:rFonts w:hint="default"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Ⅲ~ⅣA期，无残留病灶 </w:t>
            </w:r>
          </w:p>
          <w:p w14:paraId="1C4C8168">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hint="default"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内膜样癌无残留病灶 </w:t>
            </w:r>
          </w:p>
          <w:p w14:paraId="786FCE57">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 xml:space="preserve">内膜样癌伴肌层浸润，无残留病灶 </w:t>
            </w:r>
          </w:p>
          <w:p w14:paraId="48995DF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 </w:t>
            </w:r>
          </w:p>
          <w:p w14:paraId="23A81EBB">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Ⅲ~ⅣA期，伴残留病灶，任何分子分型 </w:t>
            </w:r>
          </w:p>
          <w:p w14:paraId="42457182">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5BDFA53C">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p53-mutant</w:t>
            </w:r>
          </w:p>
        </w:tc>
      </w:tr>
    </w:tbl>
    <w:p w14:paraId="626CDE23">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hint="default" w:ascii="Times New Roman" w:hAnsi="Times New Roman" w:eastAsia="微软雅黑" w:cs="Times New Roman"/>
          <w:sz w:val="20"/>
          <w:szCs w:val="20"/>
          <w:lang w:eastAsia="zh-CN"/>
        </w:rPr>
      </w:pPr>
    </w:p>
    <w:p w14:paraId="6E65900C">
      <w:pP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参考文献：</w:t>
      </w:r>
    </w:p>
    <w:p w14:paraId="56FBCA3A">
      <w:pPr>
        <w:numPr>
          <w:ilvl w:val="0"/>
          <w:numId w:val="8"/>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《ESGO／ESTRO／ESP指南：子宫内膜癌患者的管理（2020版）》；</w:t>
      </w:r>
    </w:p>
    <w:p w14:paraId="13AC2603">
      <w:pPr>
        <w:numPr>
          <w:ilvl w:val="0"/>
          <w:numId w:val="8"/>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《子宫内膜癌诊断与治疗指南（2021版）》；</w:t>
      </w:r>
    </w:p>
    <w:p w14:paraId="391A1F67">
      <w:pPr>
        <w:numPr>
          <w:ilvl w:val="0"/>
          <w:numId w:val="8"/>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《子宫内膜癌分子检测中国专家共识（2021版）》。</w:t>
      </w:r>
    </w:p>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83" w:name="_Toc22833"/>
      <w:bookmarkStart w:id="184"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3"/>
        <w:numPr>
          <w:ilvl w:val="255"/>
          <w:numId w:val="0"/>
        </w:numPr>
        <w:jc w:val="left"/>
        <w:outlineLvl w:val="1"/>
        <w:rPr>
          <w:rFonts w:hint="default" w:ascii="Times New Roman" w:hAnsi="Times New Roman" w:eastAsia="微软雅黑" w:cs="Times New Roman"/>
          <w:color w:val="auto"/>
          <w:sz w:val="30"/>
          <w:lang w:eastAsia="zh-CN"/>
        </w:rPr>
      </w:pPr>
      <w:bookmarkStart w:id="185" w:name="_Toc27309"/>
      <w:bookmarkStart w:id="186" w:name="_Toc23508"/>
      <w:bookmarkStart w:id="187" w:name="_Toc18342"/>
      <w:r>
        <w:rPr>
          <w:rFonts w:hint="default" w:ascii="Times New Roman" w:hAnsi="Times New Roman" w:eastAsia="微软雅黑" w:cs="Times New Roman"/>
          <w:color w:val="auto"/>
          <w:sz w:val="30"/>
          <w:lang w:eastAsia="zh-CN"/>
        </w:rPr>
        <w:t>常见肉瘤分型相关基因变异</w:t>
      </w:r>
      <w:bookmarkEnd w:id="185"/>
      <w:bookmarkEnd w:id="186"/>
      <w:bookmarkEnd w:id="187"/>
    </w:p>
    <w:p w14:paraId="447ADB77">
      <w:pPr>
        <w:numPr>
          <w:ilvl w:val="0"/>
          <w:numId w:val="17"/>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17"/>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NCCN Guidelines Version 2.202</w:t>
      </w:r>
      <w:r>
        <w:rPr>
          <w:rFonts w:hint="default" w:ascii="Times New Roman" w:hAnsi="Times New Roman" w:eastAsia="微软雅黑" w:cs="Times New Roman"/>
          <w:sz w:val="18"/>
          <w:szCs w:val="18"/>
          <w:lang w:eastAsia="zh-CN"/>
        </w:rPr>
        <w:t>2</w:t>
      </w:r>
      <w:r>
        <w:rPr>
          <w:rFonts w:hint="default" w:ascii="Times New Roman" w:hAnsi="Times New Roman" w:eastAsia="微软雅黑" w:cs="Times New Roman"/>
          <w:sz w:val="18"/>
          <w:szCs w:val="18"/>
          <w:lang w:eastAsia="zh-Hans"/>
        </w:rPr>
        <w:t xml:space="preserve"> Soft Tissue Sarcoma</w:t>
      </w:r>
    </w:p>
    <w:p w14:paraId="442977D6">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Bone Cancer</w:t>
      </w:r>
    </w:p>
    <w:p w14:paraId="3DEF69C0">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Gastrointestinal Stromal Tumors (GISTs)</w:t>
      </w:r>
    </w:p>
    <w:p w14:paraId="0CDBA8B2">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Uterine Neoplasms</w:t>
      </w:r>
    </w:p>
    <w:p w14:paraId="75003555">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中国临床肿瘤学会（CSCO）软组织肉瘤诊疗指南2021</w:t>
      </w:r>
    </w:p>
    <w:p w14:paraId="6400A5DF">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中国临床肿瘤学会（CSCO）骨巨细胞瘤诊疗指南202</w:t>
      </w:r>
      <w:r>
        <w:rPr>
          <w:rFonts w:hint="default" w:ascii="Times New Roman" w:hAnsi="Times New Roman" w:eastAsia="微软雅黑" w:cs="Times New Roman"/>
          <w:sz w:val="18"/>
          <w:szCs w:val="18"/>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1"/>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88" w:name="_Toc2243"/>
      <w:r>
        <w:rPr>
          <w:rFonts w:hint="default" w:ascii="Times New Roman" w:hAnsi="Times New Roman" w:eastAsia="微软雅黑" w:cs="Times New Roman"/>
          <w:lang w:val="en-US" w:eastAsia="zh-CN"/>
        </w:rPr>
        <w:t>{% endif %}</w:t>
      </w:r>
      <w:bookmarkStart w:id="189" w:name="_Toc5564"/>
      <w:bookmarkStart w:id="190" w:name="_Toc3640"/>
      <w:bookmarkStart w:id="191" w:name="_Toc26427"/>
      <w:bookmarkStart w:id="192" w:name="_Toc5425"/>
      <w:r>
        <w:rPr>
          <w:rFonts w:hint="eastAsia" w:ascii="Times New Roman" w:hAnsi="Times New Roman" w:eastAsia="微软雅黑" w:cs="Times New Roman"/>
          <w:lang w:val="en-US" w:eastAsia="zh-CN"/>
        </w:rPr>
        <w:t>{% if reportInfo.conf.hrr45Brca45HrdGenebgIntro %}</w:t>
      </w:r>
    </w:p>
    <w:p w14:paraId="3A709338">
      <w:pPr>
        <w:pStyle w:val="3"/>
        <w:numPr>
          <w:ilvl w:val="255"/>
          <w:numId w:val="0"/>
        </w:numPr>
        <w:jc w:val="left"/>
        <w:rPr>
          <w:rFonts w:hint="default" w:ascii="Times New Roman" w:hAnsi="Times New Roman" w:eastAsia="微软雅黑" w:cs="Times New Roman"/>
          <w:color w:val="auto"/>
          <w:sz w:val="30"/>
          <w:lang w:eastAsia="zh-CN"/>
        </w:rPr>
      </w:pPr>
      <w:bookmarkStart w:id="193" w:name="_Toc21039"/>
      <w:r>
        <w:rPr>
          <w:rFonts w:hint="eastAsia" w:ascii="Times New Roman" w:hAnsi="Times New Roman" w:eastAsia="微软雅黑" w:cs="Times New Roman"/>
          <w:color w:val="auto"/>
          <w:sz w:val="30"/>
          <w:lang w:eastAsia="zh-CN"/>
        </w:rPr>
        <w:t>BRCA1&amp;BRCA2基因背景介绍</w:t>
      </w:r>
      <w:bookmarkEnd w:id="189"/>
      <w:bookmarkEnd w:id="190"/>
      <w:bookmarkEnd w:id="193"/>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94" w:name="_Hlk33179213"/>
    </w:p>
    <w:bookmarkEnd w:id="194"/>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62BC41"/>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62BC41"/>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2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2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22"/>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7"/>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3"/>
        <w:numPr>
          <w:ilvl w:val="255"/>
          <w:numId w:val="0"/>
        </w:numPr>
        <w:jc w:val="left"/>
        <w:rPr>
          <w:rFonts w:hint="default" w:ascii="Times New Roman" w:hAnsi="Times New Roman" w:eastAsia="微软雅黑" w:cs="Times New Roman"/>
          <w:color w:val="auto"/>
          <w:sz w:val="30"/>
          <w:lang w:eastAsia="zh-CN"/>
        </w:rPr>
      </w:pPr>
      <w:bookmarkStart w:id="195" w:name="_Toc32185"/>
      <w:r>
        <w:rPr>
          <w:rFonts w:hint="default" w:ascii="Times New Roman" w:hAnsi="Times New Roman" w:eastAsia="微软雅黑" w:cs="Times New Roman"/>
          <w:color w:val="auto"/>
          <w:sz w:val="30"/>
          <w:lang w:eastAsia="zh-CN"/>
        </w:rPr>
        <w:t>基因组不稳定性介绍</w:t>
      </w:r>
      <w:bookmarkEnd w:id="195"/>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96" w:name="_Toc107825566"/>
      <w:bookmarkStart w:id="197" w:name="_Toc13936"/>
      <w:bookmarkStart w:id="198" w:name="_Toc22197"/>
      <w:bookmarkStart w:id="199" w:name="_Toc6003"/>
      <w:r>
        <w:rPr>
          <w:rFonts w:hint="default" w:ascii="Times New Roman" w:hAnsi="Times New Roman" w:eastAsia="微软雅黑" w:cs="Times New Roman"/>
          <w:lang w:val="en-US" w:eastAsia="zh-CN"/>
        </w:rPr>
        <w:t>{% endif %}{% if reportInfo.conf.hrdAndTumorTherapy %}</w:t>
      </w:r>
    </w:p>
    <w:p w14:paraId="3AFE4E0C">
      <w:pPr>
        <w:pStyle w:val="3"/>
        <w:numPr>
          <w:ilvl w:val="255"/>
          <w:numId w:val="0"/>
        </w:numPr>
        <w:jc w:val="left"/>
        <w:rPr>
          <w:rFonts w:hint="default" w:ascii="Times New Roman" w:hAnsi="Times New Roman" w:eastAsia="微软雅黑" w:cs="Times New Roman"/>
          <w:color w:val="auto"/>
          <w:sz w:val="30"/>
          <w:lang w:eastAsia="zh-CN"/>
        </w:rPr>
      </w:pPr>
      <w:bookmarkStart w:id="200" w:name="_Toc3997"/>
      <w:r>
        <w:rPr>
          <w:rFonts w:hint="default" w:ascii="Times New Roman" w:hAnsi="Times New Roman" w:eastAsia="微软雅黑" w:cs="Times New Roman"/>
          <w:color w:val="auto"/>
          <w:sz w:val="30"/>
          <w:lang w:eastAsia="zh-CN"/>
        </w:rPr>
        <w:t>同源重组缺陷（HRD）</w:t>
      </w:r>
      <w:bookmarkEnd w:id="196"/>
      <w:r>
        <w:rPr>
          <w:rFonts w:hint="default" w:ascii="Times New Roman" w:hAnsi="Times New Roman" w:eastAsia="微软雅黑" w:cs="Times New Roman"/>
          <w:color w:val="auto"/>
          <w:sz w:val="30"/>
          <w:lang w:eastAsia="zh-CN"/>
        </w:rPr>
        <w:t>与肿瘤的精准治疗</w:t>
      </w:r>
      <w:bookmarkEnd w:id="197"/>
      <w:bookmarkEnd w:id="198"/>
      <w:bookmarkEnd w:id="199"/>
      <w:bookmarkEnd w:id="200"/>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201" w:name="_Toc31498"/>
      <w:bookmarkStart w:id="202" w:name="_Toc107825567"/>
      <w:bookmarkStart w:id="203" w:name="_Toc21130"/>
      <w:bookmarkStart w:id="204" w:name="_Toc29676"/>
      <w:bookmarkStart w:id="205" w:name="_Toc7858"/>
      <w:r>
        <w:rPr>
          <w:rFonts w:hint="default" w:ascii="Times New Roman" w:hAnsi="Times New Roman" w:cs="Times New Roman"/>
          <w:color w:val="auto"/>
          <w:lang w:val="en-US" w:eastAsia="zh-CN"/>
        </w:rPr>
        <w:t>{% if reportInfo.conf.hrr45Brca45GeneIntro %}</w:t>
      </w:r>
    </w:p>
    <w:p w14:paraId="68A99B75">
      <w:pPr>
        <w:pStyle w:val="3"/>
        <w:numPr>
          <w:ilvl w:val="255"/>
          <w:numId w:val="0"/>
        </w:numPr>
        <w:jc w:val="left"/>
        <w:rPr>
          <w:rFonts w:hint="eastAsia"/>
          <w:color w:val="auto"/>
          <w:sz w:val="30"/>
          <w:lang w:eastAsia="zh-CN"/>
        </w:rPr>
      </w:pPr>
      <w:bookmarkStart w:id="206" w:name="_Toc11352"/>
      <w:r>
        <w:rPr>
          <w:rFonts w:hint="eastAsia"/>
          <w:color w:val="auto"/>
          <w:sz w:val="30"/>
          <w:lang w:eastAsia="zh-CN"/>
        </w:rPr>
        <w:t>HRR及其它相关基因说明</w:t>
      </w:r>
      <w:bookmarkEnd w:id="201"/>
      <w:bookmarkEnd w:id="202"/>
      <w:bookmarkEnd w:id="203"/>
      <w:bookmarkEnd w:id="204"/>
      <w:bookmarkEnd w:id="205"/>
      <w:bookmarkEnd w:id="206"/>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3"/>
        <w:numPr>
          <w:ilvl w:val="255"/>
          <w:numId w:val="0"/>
        </w:numPr>
        <w:jc w:val="left"/>
        <w:rPr>
          <w:rFonts w:hint="default" w:ascii="Times New Roman" w:hAnsi="Times New Roman" w:eastAsia="微软雅黑" w:cs="Times New Roman"/>
          <w:color w:val="auto"/>
          <w:sz w:val="30"/>
          <w:lang w:eastAsia="zh-CN"/>
        </w:rPr>
      </w:pPr>
      <w:bookmarkStart w:id="207" w:name="_Toc28453"/>
      <w:r>
        <w:rPr>
          <w:rFonts w:hint="default" w:ascii="Times New Roman" w:hAnsi="Times New Roman" w:eastAsia="微软雅黑" w:cs="Times New Roman"/>
          <w:color w:val="auto"/>
          <w:sz w:val="30"/>
          <w:lang w:eastAsia="zh-CN"/>
        </w:rPr>
        <w:t>易感人群特征</w:t>
      </w:r>
      <w:bookmarkEnd w:id="188"/>
      <w:bookmarkEnd w:id="191"/>
      <w:bookmarkEnd w:id="192"/>
      <w:bookmarkEnd w:id="207"/>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23"/>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208" w:name="_Toc5400"/>
      <w:bookmarkStart w:id="209" w:name="_Toc3846"/>
      <w:bookmarkStart w:id="210" w:name="_Toc2622"/>
      <w:r>
        <w:rPr>
          <w:rFonts w:hint="default" w:ascii="Times New Roman" w:hAnsi="Times New Roman" w:eastAsia="微软雅黑" w:cs="Times New Roman"/>
          <w:lang w:eastAsia="zh-CN"/>
        </w:rPr>
        <w:t>1 40岁以上，同时伴有≥1项下述者</w:t>
      </w:r>
      <w:bookmarkEnd w:id="208"/>
      <w:bookmarkEnd w:id="209"/>
      <w:bookmarkEnd w:id="210"/>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11" w:name="_Toc126"/>
      <w:bookmarkStart w:id="212" w:name="_Toc10299"/>
      <w:bookmarkStart w:id="213" w:name="_Toc7995"/>
      <w:r>
        <w:rPr>
          <w:rFonts w:hint="default" w:ascii="Times New Roman" w:hAnsi="Times New Roman" w:eastAsia="微软雅黑" w:cs="Times New Roman"/>
          <w:lang w:eastAsia="zh-CN"/>
        </w:rPr>
        <w:t>2 有胰腺癌家族史、糖尿病史</w:t>
      </w:r>
      <w:bookmarkEnd w:id="211"/>
      <w:bookmarkEnd w:id="212"/>
      <w:bookmarkEnd w:id="213"/>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14" w:name="_Toc14191"/>
      <w:r>
        <w:rPr>
          <w:rFonts w:hint="default" w:ascii="Times New Roman" w:hAnsi="Times New Roman" w:eastAsia="微软雅黑" w:cs="Times New Roman"/>
          <w:color w:val="auto"/>
          <w:sz w:val="21"/>
          <w:szCs w:val="21"/>
          <w:lang w:val="en-US" w:eastAsia="zh-CN"/>
        </w:rPr>
        <w:t>{% endif %}</w:t>
      </w:r>
      <w:bookmarkEnd w:id="214"/>
      <w:bookmarkStart w:id="215"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3"/>
        <w:numPr>
          <w:ilvl w:val="255"/>
          <w:numId w:val="0"/>
        </w:numPr>
        <w:jc w:val="left"/>
        <w:rPr>
          <w:rFonts w:hint="default" w:ascii="Times New Roman" w:hAnsi="Times New Roman" w:eastAsia="微软雅黑" w:cs="Times New Roman"/>
          <w:color w:val="auto"/>
          <w:sz w:val="30"/>
          <w:lang w:eastAsia="zh-CN"/>
        </w:rPr>
      </w:pPr>
      <w:bookmarkStart w:id="216" w:name="_Toc27445"/>
      <w:r>
        <w:rPr>
          <w:rFonts w:hint="default" w:ascii="Times New Roman" w:hAnsi="Times New Roman" w:eastAsia="微软雅黑" w:cs="Times New Roman"/>
          <w:color w:val="auto"/>
          <w:sz w:val="30"/>
          <w:lang w:eastAsia="zh-CN"/>
        </w:rPr>
        <w:t>常见靶向药物相关基因检测列表</w:t>
      </w:r>
      <w:bookmarkEnd w:id="166"/>
      <w:bookmarkEnd w:id="167"/>
      <w:bookmarkEnd w:id="168"/>
      <w:bookmarkEnd w:id="183"/>
      <w:bookmarkEnd w:id="184"/>
      <w:bookmarkEnd w:id="215"/>
      <w:bookmarkEnd w:id="216"/>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17" w:name="_Toc20524"/>
      <w:bookmarkStart w:id="218" w:name="_Toc5747"/>
      <w:r>
        <w:rPr>
          <w:rFonts w:hint="eastAsia" w:ascii="Times New Roman" w:hAnsi="Times New Roman" w:eastAsia="微软雅黑" w:cs="Times New Roman"/>
          <w:lang w:val="en-US" w:eastAsia="zh-CN"/>
        </w:rPr>
        <w:t>{% endif %}{% if reportInfo.conf.cancerImprotantGene %}</w:t>
      </w:r>
    </w:p>
    <w:p w14:paraId="721577C9">
      <w:pPr>
        <w:pStyle w:val="3"/>
        <w:numPr>
          <w:ilvl w:val="255"/>
          <w:numId w:val="0"/>
        </w:numPr>
        <w:jc w:val="left"/>
        <w:rPr>
          <w:rFonts w:hint="default" w:ascii="Times New Roman" w:hAnsi="Times New Roman" w:eastAsia="微软雅黑" w:cs="Times New Roman"/>
          <w:color w:val="auto"/>
          <w:sz w:val="30"/>
          <w:lang w:eastAsia="zh-CN"/>
        </w:rPr>
      </w:pPr>
      <w:bookmarkStart w:id="219" w:name="_Toc15179"/>
      <w:r>
        <w:rPr>
          <w:rFonts w:hint="eastAsia" w:ascii="Times New Roman" w:hAnsi="Times New Roman" w:eastAsia="微软雅黑" w:cs="Times New Roman"/>
          <w:color w:val="auto"/>
          <w:sz w:val="30"/>
          <w:lang w:val="en-US" w:eastAsia="zh-CN"/>
        </w:rPr>
        <w:t>{% if "wesplus" in panel%}</w:t>
      </w:r>
      <w:r>
        <w:rPr>
          <w:rFonts w:hint="default" w:ascii="Times New Roman" w:hAnsi="Times New Roman" w:eastAsia="微软雅黑" w:cs="Times New Roman"/>
          <w:color w:val="auto"/>
          <w:sz w:val="30"/>
          <w:lang w:eastAsia="zh-CN"/>
        </w:rPr>
        <w:fldChar w:fldCharType="begin"/>
      </w:r>
      <w:r>
        <w:rPr>
          <w:rFonts w:hint="default" w:ascii="Times New Roman" w:hAnsi="Times New Roman" w:eastAsia="微软雅黑" w:cs="Times New Roman"/>
          <w:color w:val="auto"/>
          <w:sz w:val="30"/>
          <w:lang w:eastAsia="zh-CN"/>
        </w:rPr>
        <w:instrText xml:space="preserve"> HYPERLINK \l _Toc2027 </w:instrText>
      </w:r>
      <w:r>
        <w:rPr>
          <w:rFonts w:hint="default" w:ascii="Times New Roman" w:hAnsi="Times New Roman" w:eastAsia="微软雅黑" w:cs="Times New Roman"/>
          <w:color w:val="auto"/>
          <w:sz w:val="30"/>
          <w:lang w:eastAsia="zh-CN"/>
        </w:rPr>
        <w:fldChar w:fldCharType="separate"/>
      </w:r>
      <w:r>
        <w:rPr>
          <w:rFonts w:hint="eastAsia" w:ascii="Times New Roman" w:hAnsi="Times New Roman" w:eastAsia="微软雅黑" w:cs="Times New Roman"/>
          <w:color w:val="auto"/>
          <w:sz w:val="30"/>
          <w:lang w:eastAsia="zh-CN"/>
        </w:rPr>
        <w:t>癌症相关重要</w:t>
      </w:r>
      <w:r>
        <w:rPr>
          <w:rFonts w:hint="eastAsia" w:ascii="Times New Roman" w:hAnsi="Times New Roman" w:eastAsia="微软雅黑" w:cs="Times New Roman"/>
          <w:color w:val="auto"/>
          <w:sz w:val="30"/>
          <w:lang w:val="en-US" w:eastAsia="zh-CN"/>
        </w:rPr>
        <w:t>{% else%}</w:t>
      </w:r>
      <w:r>
        <w:rPr>
          <w:rFonts w:hint="default" w:ascii="Times New Roman" w:hAnsi="Times New Roman" w:eastAsia="微软雅黑" w:cs="Times New Roman"/>
          <w:color w:val="auto"/>
          <w:sz w:val="30"/>
          <w:lang w:eastAsia="zh-CN"/>
        </w:rPr>
        <w:t>检测</w:t>
      </w:r>
      <w:r>
        <w:rPr>
          <w:rFonts w:hint="eastAsia" w:ascii="Times New Roman" w:hAnsi="Times New Roman" w:eastAsia="微软雅黑" w:cs="Times New Roman"/>
          <w:color w:val="auto"/>
          <w:sz w:val="30"/>
          <w:lang w:val="en-US" w:eastAsia="zh-CN"/>
        </w:rPr>
        <w:t>{% endif %}</w:t>
      </w:r>
      <w:r>
        <w:rPr>
          <w:rFonts w:hint="default" w:ascii="Times New Roman" w:hAnsi="Times New Roman" w:eastAsia="微软雅黑" w:cs="Times New Roman"/>
          <w:color w:val="auto"/>
          <w:sz w:val="30"/>
          <w:lang w:eastAsia="zh-CN"/>
        </w:rPr>
        <w:fldChar w:fldCharType="end"/>
      </w:r>
      <w:r>
        <w:rPr>
          <w:rFonts w:hint="default" w:ascii="Times New Roman" w:hAnsi="Times New Roman" w:eastAsia="微软雅黑" w:cs="Times New Roman"/>
          <w:color w:val="auto"/>
          <w:sz w:val="30"/>
          <w:lang w:eastAsia="zh-CN"/>
        </w:rPr>
        <w:t>基因列表</w:t>
      </w:r>
      <w:bookmarkEnd w:id="169"/>
      <w:bookmarkEnd w:id="170"/>
      <w:bookmarkEnd w:id="171"/>
      <w:bookmarkEnd w:id="172"/>
      <w:bookmarkEnd w:id="173"/>
      <w:bookmarkEnd w:id="174"/>
      <w:bookmarkEnd w:id="217"/>
      <w:bookmarkEnd w:id="218"/>
      <w:bookmarkEnd w:id="219"/>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20" w:name="_Toc3488_WPSOffice_Level2"/>
      <w:bookmarkStart w:id="221" w:name="_Toc31515_WPSOffice_Level2"/>
      <w:bookmarkStart w:id="222" w:name="_Toc6931_WPSOffice_Level2"/>
      <w:bookmarkStart w:id="223" w:name="_Toc6304_WPSOffice_Level2"/>
      <w:bookmarkStart w:id="224" w:name="_Toc11193_WPSOffice_Level2"/>
      <w:bookmarkStart w:id="225" w:name="_Toc17111_WPSOffice_Level2"/>
      <w:bookmarkStart w:id="226" w:name="_Toc19280_WPSOffice_Level2"/>
      <w:bookmarkStart w:id="227" w:name="_Toc20170_WPSOffice_Level1"/>
      <w:bookmarkStart w:id="228" w:name="_Toc26985_WPSOffice_Level1"/>
      <w:bookmarkStart w:id="229" w:name="_Toc5476"/>
      <w:bookmarkStart w:id="230"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20"/>
      <w:bookmarkEnd w:id="221"/>
      <w:bookmarkEnd w:id="222"/>
      <w:bookmarkEnd w:id="223"/>
      <w:bookmarkEnd w:id="224"/>
      <w:bookmarkEnd w:id="225"/>
      <w:bookmarkEnd w:id="226"/>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Layout w:type="fixed"/>
        <w:tblCellMar>
          <w:top w:w="0" w:type="dxa"/>
          <w:left w:w="0" w:type="dxa"/>
          <w:bottom w:w="0" w:type="dxa"/>
          <w:right w:w="0" w:type="dxa"/>
        </w:tblCellMar>
      </w:tblPr>
      <w:tblGrid>
        <w:gridCol w:w="3288"/>
        <w:gridCol w:w="3288"/>
        <w:gridCol w:w="3288"/>
      </w:tblGrid>
      <w:tr w14:paraId="7E62639E">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CellMar>
            <w:top w:w="0" w:type="dxa"/>
            <w:left w:w="0" w:type="dxa"/>
            <w:bottom w:w="0" w:type="dxa"/>
            <w:right w:w="0" w:type="dxa"/>
          </w:tblCellMar>
        </w:tblPrEx>
        <w:trPr>
          <w:trHeight w:val="227" w:hRule="atLeast"/>
          <w:jc w:val="center"/>
        </w:trPr>
        <w:tc>
          <w:tcPr>
            <w:tcW w:w="3288" w:type="dxa"/>
            <w:tcBorders>
              <w:top w:val="single" w:color="000000" w:sz="2" w:space="0"/>
              <w:left w:val="single" w:color="000000" w:sz="2" w:space="0"/>
              <w:bottom w:val="single" w:color="000000" w:sz="2" w:space="0"/>
              <w:right w:val="single" w:color="000000" w:sz="2"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000000" w:sz="2" w:space="0"/>
              <w:left w:val="single" w:color="000000" w:sz="2" w:space="0"/>
              <w:bottom w:val="single" w:color="000000" w:sz="2" w:space="0"/>
              <w:right w:val="single" w:color="000000" w:sz="2"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tcBorders>
              <w:top w:val="single" w:color="000000" w:sz="2" w:space="0"/>
              <w:left w:val="single" w:color="000000" w:sz="2" w:space="0"/>
              <w:bottom w:val="single" w:color="000000" w:sz="2" w:space="0"/>
              <w:right w:val="single" w:color="000000" w:sz="2"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default" w:ascii="Times New Roman" w:hAnsi="Times New Roman" w:eastAsia="微软雅黑" w:cs="Times New Roman"/>
          <w:lang w:eastAsia="zh-CN"/>
        </w:rPr>
        <w:br w:type="page"/>
      </w:r>
    </w:p>
    <w:p w14:paraId="14F33EF5">
      <w:pPr>
        <w:bidi w:val="0"/>
        <w:rPr>
          <w:rFonts w:hint="default"/>
          <w:lang w:eastAsia="zh-CN"/>
        </w:rPr>
      </w:pPr>
      <w:bookmarkStart w:id="231" w:name="_Toc26868"/>
      <w:bookmarkStart w:id="232" w:name="_Toc15114"/>
      <w:bookmarkStart w:id="233" w:name="_Toc32304"/>
      <w:r>
        <w:rPr>
          <w:rFonts w:hint="eastAsia" w:ascii="Times New Roman" w:hAnsi="Times New Roman" w:eastAsia="微软雅黑" w:cs="Times New Roman"/>
          <w:lang w:val="en-US" w:eastAsia="zh-CN"/>
        </w:rPr>
        <w:t>{% endif %}</w:t>
      </w:r>
    </w:p>
    <w:p w14:paraId="281A48CD">
      <w:pPr>
        <w:pStyle w:val="3"/>
        <w:numPr>
          <w:ilvl w:val="255"/>
          <w:numId w:val="0"/>
        </w:numPr>
        <w:jc w:val="left"/>
        <w:rPr>
          <w:rFonts w:hint="default" w:ascii="Times New Roman" w:hAnsi="Times New Roman" w:eastAsia="微软雅黑" w:cs="Times New Roman"/>
          <w:color w:val="auto"/>
          <w:sz w:val="30"/>
          <w:lang w:eastAsia="zh-CN"/>
        </w:rPr>
      </w:pPr>
      <w:bookmarkStart w:id="234" w:name="_Toc2343"/>
      <w:r>
        <w:rPr>
          <w:rFonts w:hint="default" w:ascii="Times New Roman" w:hAnsi="Times New Roman" w:eastAsia="微软雅黑" w:cs="Times New Roman"/>
          <w:color w:val="auto"/>
          <w:sz w:val="30"/>
          <w:lang w:eastAsia="zh-CN"/>
        </w:rPr>
        <w:t>检测方法与局限性</w:t>
      </w:r>
      <w:bookmarkEnd w:id="231"/>
      <w:bookmarkEnd w:id="232"/>
      <w:bookmarkEnd w:id="233"/>
      <w:bookmarkEnd w:id="234"/>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27"/>
    <w:bookmarkEnd w:id="228"/>
    <w:bookmarkEnd w:id="229"/>
    <w:bookmarkEnd w:id="230"/>
    <w:p w14:paraId="7C84B706">
      <w:pPr>
        <w:pStyle w:val="3"/>
        <w:numPr>
          <w:ilvl w:val="255"/>
          <w:numId w:val="0"/>
        </w:numPr>
        <w:jc w:val="left"/>
        <w:rPr>
          <w:rFonts w:hint="default" w:ascii="Times New Roman" w:hAnsi="Times New Roman" w:eastAsia="微软雅黑" w:cs="Times New Roman"/>
          <w:color w:val="auto"/>
          <w:sz w:val="30"/>
          <w:lang w:eastAsia="zh-CN"/>
        </w:rPr>
      </w:pPr>
      <w:bookmarkStart w:id="235" w:name="_Toc21361"/>
      <w:bookmarkStart w:id="236" w:name="_Toc22967"/>
      <w:bookmarkStart w:id="237" w:name="_Toc23906"/>
      <w:bookmarkStart w:id="238" w:name="_Toc1129"/>
      <w:bookmarkStart w:id="239" w:name="_Toc13275"/>
      <w:bookmarkStart w:id="240" w:name="_Toc19584_WPSOffice_Level1"/>
      <w:bookmarkStart w:id="241" w:name="_Toc22623"/>
      <w:bookmarkStart w:id="242" w:name="_Toc22162_WPSOffice_Level1"/>
      <w:bookmarkStart w:id="243" w:name="_Toc14611_WPSOffice_Level1"/>
      <w:bookmarkStart w:id="244" w:name="_Toc17792_WPSOffice_Level2"/>
      <w:r>
        <w:rPr>
          <w:rFonts w:hint="default" w:ascii="Times New Roman" w:hAnsi="Times New Roman" w:eastAsia="微软雅黑" w:cs="Times New Roman"/>
          <w:color w:val="auto"/>
          <w:sz w:val="30"/>
          <w:lang w:eastAsia="zh-CN"/>
        </w:rPr>
        <w:t>参考文献</w:t>
      </w:r>
      <w:bookmarkEnd w:id="235"/>
      <w:bookmarkEnd w:id="236"/>
      <w:bookmarkEnd w:id="237"/>
      <w:bookmarkEnd w:id="238"/>
    </w:p>
    <w:bookmarkEnd w:id="239"/>
    <w:bookmarkEnd w:id="240"/>
    <w:bookmarkEnd w:id="241"/>
    <w:bookmarkEnd w:id="242"/>
    <w:bookmarkEnd w:id="243"/>
    <w:bookmarkEnd w:id="244"/>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6BB79674">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61964C"/>
          <w:sz w:val="20"/>
          <w:szCs w:val="20"/>
          <w:lang w:val="en-US" w:eastAsia="zh-CN" w:bidi="ar-SA"/>
        </w:rPr>
        <w:t>诺禾医学   诺禾在线   扫码认证</w:t>
      </w:r>
    </w:p>
    <w:p w14:paraId="13EEA419">
      <w:pPr>
        <w:widowControl/>
        <w:rPr>
          <w:rFonts w:ascii="Times New Roman" w:hAnsi="Times New Roman" w:eastAsia="等线" w:cs="宋体"/>
          <w:sz w:val="24"/>
          <w:szCs w:val="22"/>
          <w:lang w:val="en-US" w:eastAsia="zh-CN" w:bidi="ar-SA"/>
        </w:rPr>
      </w:pPr>
      <w:r>
        <w:rPr>
          <w:rFonts w:ascii="Times New Roman" w:hAnsi="Times New Roman" w:eastAsia="等线" w:cs="宋体"/>
          <w:b/>
          <w:bCs/>
          <w:color w:val="61964C"/>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2336"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2336;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8">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4727A939"/>
    <w:multiLevelType w:val="singleLevel"/>
    <w:tmpl w:val="4727A939"/>
    <w:lvl w:ilvl="0" w:tentative="0">
      <w:start w:val="1"/>
      <w:numFmt w:val="decimal"/>
      <w:lvlText w:val="%1."/>
      <w:lvlJc w:val="left"/>
      <w:pPr>
        <w:tabs>
          <w:tab w:val="left" w:pos="312"/>
        </w:tabs>
      </w:pPr>
    </w:lvl>
  </w:abstractNum>
  <w:abstractNum w:abstractNumId="14">
    <w:nsid w:val="4C0A1103"/>
    <w:multiLevelType w:val="singleLevel"/>
    <w:tmpl w:val="4C0A1103"/>
    <w:lvl w:ilvl="0" w:tentative="0">
      <w:start w:val="1"/>
      <w:numFmt w:val="decimal"/>
      <w:lvlText w:val="%1."/>
      <w:lvlJc w:val="left"/>
      <w:pPr>
        <w:ind w:left="425" w:hanging="425"/>
      </w:pPr>
      <w:rPr>
        <w:rFonts w:hint="default"/>
      </w:rPr>
    </w:lvl>
  </w:abstractNum>
  <w:abstractNum w:abstractNumId="15">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677DE7E0"/>
    <w:multiLevelType w:val="singleLevel"/>
    <w:tmpl w:val="677DE7E0"/>
    <w:lvl w:ilvl="0" w:tentative="0">
      <w:start w:val="1"/>
      <w:numFmt w:val="decimal"/>
      <w:lvlText w:val="%1."/>
      <w:lvlJc w:val="left"/>
      <w:pPr>
        <w:ind w:left="425" w:hanging="425"/>
      </w:pPr>
      <w:rPr>
        <w:rFonts w:hint="default"/>
        <w:sz w:val="18"/>
        <w:szCs w:val="18"/>
      </w:rPr>
    </w:lvl>
  </w:abstractNum>
  <w:abstractNum w:abstractNumId="21">
    <w:nsid w:val="6BAC6FD5"/>
    <w:multiLevelType w:val="singleLevel"/>
    <w:tmpl w:val="6BAC6FD5"/>
    <w:lvl w:ilvl="0" w:tentative="0">
      <w:start w:val="1"/>
      <w:numFmt w:val="decimal"/>
      <w:suff w:val="space"/>
      <w:lvlText w:val="(%1)"/>
      <w:lvlJc w:val="left"/>
    </w:lvl>
  </w:abstractNum>
  <w:abstractNum w:abstractNumId="22">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19"/>
  </w:num>
  <w:num w:numId="3">
    <w:abstractNumId w:val="17"/>
  </w:num>
  <w:num w:numId="4">
    <w:abstractNumId w:val="8"/>
  </w:num>
  <w:num w:numId="5">
    <w:abstractNumId w:val="11"/>
  </w:num>
  <w:num w:numId="6">
    <w:abstractNumId w:val="10"/>
  </w:num>
  <w:num w:numId="7">
    <w:abstractNumId w:val="20"/>
  </w:num>
  <w:num w:numId="8">
    <w:abstractNumId w:val="4"/>
  </w:num>
  <w:num w:numId="9">
    <w:abstractNumId w:val="22"/>
  </w:num>
  <w:num w:numId="10">
    <w:abstractNumId w:val="14"/>
  </w:num>
  <w:num w:numId="11">
    <w:abstractNumId w:val="5"/>
  </w:num>
  <w:num w:numId="12">
    <w:abstractNumId w:val="2"/>
  </w:num>
  <w:num w:numId="13">
    <w:abstractNumId w:val="12"/>
  </w:num>
  <w:num w:numId="14">
    <w:abstractNumId w:val="15"/>
  </w:num>
  <w:num w:numId="15">
    <w:abstractNumId w:val="9"/>
  </w:num>
  <w:num w:numId="16">
    <w:abstractNumId w:val="18"/>
  </w:num>
  <w:num w:numId="17">
    <w:abstractNumId w:val="1"/>
  </w:num>
  <w:num w:numId="18">
    <w:abstractNumId w:val="13"/>
  </w:num>
  <w:num w:numId="19">
    <w:abstractNumId w:val="7"/>
  </w:num>
  <w:num w:numId="20">
    <w:abstractNumId w:val="0"/>
  </w:num>
  <w:num w:numId="21">
    <w:abstractNumId w:val="3"/>
  </w:num>
  <w:num w:numId="22">
    <w:abstractNumId w:val="6"/>
  </w:num>
  <w:num w:numId="2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95B23"/>
    <w:rsid w:val="01A0337A"/>
    <w:rsid w:val="01A40259"/>
    <w:rsid w:val="01A62EED"/>
    <w:rsid w:val="01B81CE2"/>
    <w:rsid w:val="01F64392"/>
    <w:rsid w:val="01FF74C5"/>
    <w:rsid w:val="020914C8"/>
    <w:rsid w:val="02181129"/>
    <w:rsid w:val="022D1058"/>
    <w:rsid w:val="02552857"/>
    <w:rsid w:val="026B4868"/>
    <w:rsid w:val="027029E7"/>
    <w:rsid w:val="027F4C8A"/>
    <w:rsid w:val="028B3505"/>
    <w:rsid w:val="028E6956"/>
    <w:rsid w:val="02B12E0A"/>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CC37A4"/>
    <w:rsid w:val="07D36A00"/>
    <w:rsid w:val="07DB59EB"/>
    <w:rsid w:val="080A5D88"/>
    <w:rsid w:val="080F4A9B"/>
    <w:rsid w:val="083F50A2"/>
    <w:rsid w:val="084E1401"/>
    <w:rsid w:val="084F6F27"/>
    <w:rsid w:val="085D5612"/>
    <w:rsid w:val="08600680"/>
    <w:rsid w:val="086B222F"/>
    <w:rsid w:val="08730E67"/>
    <w:rsid w:val="088D7FF0"/>
    <w:rsid w:val="08A13045"/>
    <w:rsid w:val="09007C20"/>
    <w:rsid w:val="09705B33"/>
    <w:rsid w:val="099E0D73"/>
    <w:rsid w:val="09C32B8C"/>
    <w:rsid w:val="09C80D0A"/>
    <w:rsid w:val="0A043ABA"/>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E77114"/>
    <w:rsid w:val="0BEA7418"/>
    <w:rsid w:val="0BF46565"/>
    <w:rsid w:val="0C070863"/>
    <w:rsid w:val="0C1768CC"/>
    <w:rsid w:val="0C3A0C95"/>
    <w:rsid w:val="0C3E5385"/>
    <w:rsid w:val="0C4867F4"/>
    <w:rsid w:val="0C4A5FA2"/>
    <w:rsid w:val="0C741501"/>
    <w:rsid w:val="0C96240B"/>
    <w:rsid w:val="0CC26BD0"/>
    <w:rsid w:val="0CC95508"/>
    <w:rsid w:val="0CCE1990"/>
    <w:rsid w:val="0CE41DC8"/>
    <w:rsid w:val="0D023796"/>
    <w:rsid w:val="0D055CE8"/>
    <w:rsid w:val="0D1505EF"/>
    <w:rsid w:val="0D156991"/>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856228"/>
    <w:rsid w:val="108C793F"/>
    <w:rsid w:val="108F6A5A"/>
    <w:rsid w:val="10925E15"/>
    <w:rsid w:val="10945D79"/>
    <w:rsid w:val="109B6966"/>
    <w:rsid w:val="10A3403E"/>
    <w:rsid w:val="10A519AE"/>
    <w:rsid w:val="110D3F98"/>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BF2DF3"/>
    <w:rsid w:val="12EC02E4"/>
    <w:rsid w:val="12F372F0"/>
    <w:rsid w:val="13157F6A"/>
    <w:rsid w:val="132612E4"/>
    <w:rsid w:val="137432F1"/>
    <w:rsid w:val="13897526"/>
    <w:rsid w:val="138A5A29"/>
    <w:rsid w:val="13A93AAC"/>
    <w:rsid w:val="13AB527B"/>
    <w:rsid w:val="13AC6242"/>
    <w:rsid w:val="13BF5A76"/>
    <w:rsid w:val="13CA5773"/>
    <w:rsid w:val="140C37B9"/>
    <w:rsid w:val="144235AD"/>
    <w:rsid w:val="145511F1"/>
    <w:rsid w:val="14574A42"/>
    <w:rsid w:val="14872247"/>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76087A"/>
    <w:rsid w:val="15C119DB"/>
    <w:rsid w:val="15D35CDD"/>
    <w:rsid w:val="15D73C77"/>
    <w:rsid w:val="15E24476"/>
    <w:rsid w:val="15F74D89"/>
    <w:rsid w:val="160475A2"/>
    <w:rsid w:val="161625EC"/>
    <w:rsid w:val="161872CC"/>
    <w:rsid w:val="16337C56"/>
    <w:rsid w:val="163A21F8"/>
    <w:rsid w:val="16486587"/>
    <w:rsid w:val="165063E4"/>
    <w:rsid w:val="165B5A92"/>
    <w:rsid w:val="167138E8"/>
    <w:rsid w:val="16922324"/>
    <w:rsid w:val="169C67B6"/>
    <w:rsid w:val="16A90098"/>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9350678"/>
    <w:rsid w:val="19391F6F"/>
    <w:rsid w:val="19437087"/>
    <w:rsid w:val="1948436C"/>
    <w:rsid w:val="19600F94"/>
    <w:rsid w:val="196446FE"/>
    <w:rsid w:val="19644EBC"/>
    <w:rsid w:val="19930475"/>
    <w:rsid w:val="199369D8"/>
    <w:rsid w:val="19956FF2"/>
    <w:rsid w:val="19BE53E3"/>
    <w:rsid w:val="1A001FE9"/>
    <w:rsid w:val="1A0652E5"/>
    <w:rsid w:val="1A2D39A9"/>
    <w:rsid w:val="1A330456"/>
    <w:rsid w:val="1AD308B3"/>
    <w:rsid w:val="1B28649B"/>
    <w:rsid w:val="1B570F0A"/>
    <w:rsid w:val="1B602BF9"/>
    <w:rsid w:val="1B6C474D"/>
    <w:rsid w:val="1B8B2D9F"/>
    <w:rsid w:val="1B967850"/>
    <w:rsid w:val="1BA36B7F"/>
    <w:rsid w:val="1BAD3E87"/>
    <w:rsid w:val="1BF77ED5"/>
    <w:rsid w:val="1C0F6D26"/>
    <w:rsid w:val="1C1452FA"/>
    <w:rsid w:val="1C1D3A89"/>
    <w:rsid w:val="1C2900C3"/>
    <w:rsid w:val="1C3F13E3"/>
    <w:rsid w:val="1C5D3A88"/>
    <w:rsid w:val="1C7A05D0"/>
    <w:rsid w:val="1C98707F"/>
    <w:rsid w:val="1CAA47D2"/>
    <w:rsid w:val="1CAC68FF"/>
    <w:rsid w:val="1CCD19AC"/>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225D0"/>
    <w:rsid w:val="1E4A0C65"/>
    <w:rsid w:val="1E6F5D7F"/>
    <w:rsid w:val="1E750919"/>
    <w:rsid w:val="1E8455BB"/>
    <w:rsid w:val="1EAB0C6A"/>
    <w:rsid w:val="1EAF2912"/>
    <w:rsid w:val="1EBB7039"/>
    <w:rsid w:val="1EC7790F"/>
    <w:rsid w:val="1ED11BB0"/>
    <w:rsid w:val="1EEB2832"/>
    <w:rsid w:val="1F2B2044"/>
    <w:rsid w:val="1F2B7CAE"/>
    <w:rsid w:val="1F304E0C"/>
    <w:rsid w:val="1F68534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10202B6"/>
    <w:rsid w:val="2156503C"/>
    <w:rsid w:val="216F18A9"/>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FF1819"/>
    <w:rsid w:val="241254D0"/>
    <w:rsid w:val="245E0E58"/>
    <w:rsid w:val="24654EF2"/>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777C"/>
    <w:rsid w:val="29BA4906"/>
    <w:rsid w:val="29DC4E43"/>
    <w:rsid w:val="29DE0525"/>
    <w:rsid w:val="29EF70C8"/>
    <w:rsid w:val="2A164FAB"/>
    <w:rsid w:val="2A221D03"/>
    <w:rsid w:val="2A3716AB"/>
    <w:rsid w:val="2A390B59"/>
    <w:rsid w:val="2A3C3ED6"/>
    <w:rsid w:val="2A4E4E38"/>
    <w:rsid w:val="2AA937FF"/>
    <w:rsid w:val="2AB30D88"/>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F93CF0"/>
    <w:rsid w:val="2D3A09C2"/>
    <w:rsid w:val="2D4F5EF1"/>
    <w:rsid w:val="2D5F1F73"/>
    <w:rsid w:val="2DAA2FAB"/>
    <w:rsid w:val="2DAD2E9F"/>
    <w:rsid w:val="2DE454E3"/>
    <w:rsid w:val="2E041312"/>
    <w:rsid w:val="2E0C0EE9"/>
    <w:rsid w:val="2E2C177E"/>
    <w:rsid w:val="2E337F5F"/>
    <w:rsid w:val="2E3D6CA4"/>
    <w:rsid w:val="2E7C3545"/>
    <w:rsid w:val="2E7C6BFF"/>
    <w:rsid w:val="2E8E49CE"/>
    <w:rsid w:val="2EB35A8A"/>
    <w:rsid w:val="2ED85A84"/>
    <w:rsid w:val="2EDA0A8D"/>
    <w:rsid w:val="2EDB3C25"/>
    <w:rsid w:val="2EF446C8"/>
    <w:rsid w:val="2F053CC0"/>
    <w:rsid w:val="2F28730D"/>
    <w:rsid w:val="2F570EAC"/>
    <w:rsid w:val="2F6B50D0"/>
    <w:rsid w:val="2F8266DB"/>
    <w:rsid w:val="2F8D7DD7"/>
    <w:rsid w:val="2FA54B8E"/>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3223C9B"/>
    <w:rsid w:val="332546A1"/>
    <w:rsid w:val="33323300"/>
    <w:rsid w:val="334B63B9"/>
    <w:rsid w:val="33715D71"/>
    <w:rsid w:val="33757A8B"/>
    <w:rsid w:val="338527AA"/>
    <w:rsid w:val="33894E5B"/>
    <w:rsid w:val="339E298D"/>
    <w:rsid w:val="33A83053"/>
    <w:rsid w:val="33AE0711"/>
    <w:rsid w:val="34777EA9"/>
    <w:rsid w:val="348573AD"/>
    <w:rsid w:val="34A47F83"/>
    <w:rsid w:val="34AD7267"/>
    <w:rsid w:val="34B6636C"/>
    <w:rsid w:val="34F24730"/>
    <w:rsid w:val="354220CE"/>
    <w:rsid w:val="354C0922"/>
    <w:rsid w:val="357E5409"/>
    <w:rsid w:val="35945D5F"/>
    <w:rsid w:val="35AD288F"/>
    <w:rsid w:val="35B3556B"/>
    <w:rsid w:val="35BC634B"/>
    <w:rsid w:val="35C30C57"/>
    <w:rsid w:val="35EE0279"/>
    <w:rsid w:val="35F5325E"/>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6425B"/>
    <w:rsid w:val="395D47DD"/>
    <w:rsid w:val="3960395C"/>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B40CE9"/>
    <w:rsid w:val="3DBB6197"/>
    <w:rsid w:val="3DD81385"/>
    <w:rsid w:val="3DF60D58"/>
    <w:rsid w:val="3DF7305F"/>
    <w:rsid w:val="3DF92A28"/>
    <w:rsid w:val="3E0063C6"/>
    <w:rsid w:val="3E3924A4"/>
    <w:rsid w:val="3E3B4E73"/>
    <w:rsid w:val="3E6B3DB3"/>
    <w:rsid w:val="3E7B3881"/>
    <w:rsid w:val="3E900150"/>
    <w:rsid w:val="3EAA2F03"/>
    <w:rsid w:val="3EC70EA5"/>
    <w:rsid w:val="3EC949BD"/>
    <w:rsid w:val="3EE47CDB"/>
    <w:rsid w:val="3F0C1354"/>
    <w:rsid w:val="3F0E6DD8"/>
    <w:rsid w:val="3F1D1FAD"/>
    <w:rsid w:val="3F2106C0"/>
    <w:rsid w:val="3F3A23A7"/>
    <w:rsid w:val="3F453F96"/>
    <w:rsid w:val="3F6B74EC"/>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B83ECB"/>
    <w:rsid w:val="44D3139A"/>
    <w:rsid w:val="45052DCE"/>
    <w:rsid w:val="450A2699"/>
    <w:rsid w:val="450D34CE"/>
    <w:rsid w:val="452112A4"/>
    <w:rsid w:val="454022A4"/>
    <w:rsid w:val="454A2BAB"/>
    <w:rsid w:val="45726C0C"/>
    <w:rsid w:val="458060A2"/>
    <w:rsid w:val="459308E1"/>
    <w:rsid w:val="459D425B"/>
    <w:rsid w:val="45A93012"/>
    <w:rsid w:val="45D4644E"/>
    <w:rsid w:val="45EA1973"/>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B56EA9"/>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D24E8A"/>
    <w:rsid w:val="4ED54FF5"/>
    <w:rsid w:val="4ED75229"/>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1103F6"/>
    <w:rsid w:val="51122051"/>
    <w:rsid w:val="512D6C02"/>
    <w:rsid w:val="5147524A"/>
    <w:rsid w:val="51517578"/>
    <w:rsid w:val="51741E18"/>
    <w:rsid w:val="518F39BC"/>
    <w:rsid w:val="519B28E7"/>
    <w:rsid w:val="51D51D50"/>
    <w:rsid w:val="51DA0248"/>
    <w:rsid w:val="51F86E77"/>
    <w:rsid w:val="520619D1"/>
    <w:rsid w:val="52075749"/>
    <w:rsid w:val="52171A71"/>
    <w:rsid w:val="521E692B"/>
    <w:rsid w:val="521F4D42"/>
    <w:rsid w:val="523310B4"/>
    <w:rsid w:val="523B60E7"/>
    <w:rsid w:val="52761FB3"/>
    <w:rsid w:val="52832C8D"/>
    <w:rsid w:val="52C640CA"/>
    <w:rsid w:val="52DB3A4A"/>
    <w:rsid w:val="52E57CC3"/>
    <w:rsid w:val="5312550A"/>
    <w:rsid w:val="531E0296"/>
    <w:rsid w:val="532C5467"/>
    <w:rsid w:val="533F25FE"/>
    <w:rsid w:val="534A725B"/>
    <w:rsid w:val="535D2659"/>
    <w:rsid w:val="53732CCA"/>
    <w:rsid w:val="53B97AA6"/>
    <w:rsid w:val="53C16B47"/>
    <w:rsid w:val="53DE69BF"/>
    <w:rsid w:val="541E45C6"/>
    <w:rsid w:val="542A552E"/>
    <w:rsid w:val="5491788F"/>
    <w:rsid w:val="549C3736"/>
    <w:rsid w:val="54BC6C04"/>
    <w:rsid w:val="54BF0B57"/>
    <w:rsid w:val="54C31D87"/>
    <w:rsid w:val="54D723E8"/>
    <w:rsid w:val="550721D5"/>
    <w:rsid w:val="5508674D"/>
    <w:rsid w:val="551D0BF2"/>
    <w:rsid w:val="55422537"/>
    <w:rsid w:val="55716DA6"/>
    <w:rsid w:val="55A47060"/>
    <w:rsid w:val="55AC636A"/>
    <w:rsid w:val="55C15CC7"/>
    <w:rsid w:val="55D553DE"/>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D10401"/>
    <w:rsid w:val="58DE21CC"/>
    <w:rsid w:val="58EE4B98"/>
    <w:rsid w:val="59090B79"/>
    <w:rsid w:val="5927169E"/>
    <w:rsid w:val="592B5CCD"/>
    <w:rsid w:val="59605D1D"/>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90FC9"/>
    <w:rsid w:val="5D201AFA"/>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F184544"/>
    <w:rsid w:val="5F1921D5"/>
    <w:rsid w:val="5F4B3AE6"/>
    <w:rsid w:val="5F4F6A72"/>
    <w:rsid w:val="5F663BE7"/>
    <w:rsid w:val="5F7224DB"/>
    <w:rsid w:val="5F787A5F"/>
    <w:rsid w:val="5F9A366E"/>
    <w:rsid w:val="5FA2526B"/>
    <w:rsid w:val="5FAA3C47"/>
    <w:rsid w:val="5FAE2523"/>
    <w:rsid w:val="5FB867FE"/>
    <w:rsid w:val="5FC11647"/>
    <w:rsid w:val="5FD9297E"/>
    <w:rsid w:val="5FF61953"/>
    <w:rsid w:val="5FFD0B6C"/>
    <w:rsid w:val="60001698"/>
    <w:rsid w:val="60085E78"/>
    <w:rsid w:val="600E54F4"/>
    <w:rsid w:val="6032784E"/>
    <w:rsid w:val="604157B4"/>
    <w:rsid w:val="60486FFC"/>
    <w:rsid w:val="60723E07"/>
    <w:rsid w:val="607B75C7"/>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DC3982"/>
    <w:rsid w:val="61E534F2"/>
    <w:rsid w:val="61EC5559"/>
    <w:rsid w:val="62093D72"/>
    <w:rsid w:val="622C78BF"/>
    <w:rsid w:val="624F0E95"/>
    <w:rsid w:val="626A0523"/>
    <w:rsid w:val="6283774C"/>
    <w:rsid w:val="62847EA7"/>
    <w:rsid w:val="628978A3"/>
    <w:rsid w:val="629C6B63"/>
    <w:rsid w:val="62A74B0A"/>
    <w:rsid w:val="62AD0C68"/>
    <w:rsid w:val="62B80F1D"/>
    <w:rsid w:val="62DB637F"/>
    <w:rsid w:val="62FA10BA"/>
    <w:rsid w:val="62FD5017"/>
    <w:rsid w:val="6311599C"/>
    <w:rsid w:val="631C6F72"/>
    <w:rsid w:val="63296CF6"/>
    <w:rsid w:val="63532130"/>
    <w:rsid w:val="635F5259"/>
    <w:rsid w:val="63897589"/>
    <w:rsid w:val="638B5C0F"/>
    <w:rsid w:val="63B6253E"/>
    <w:rsid w:val="63D615FE"/>
    <w:rsid w:val="63FE23D2"/>
    <w:rsid w:val="640B7333"/>
    <w:rsid w:val="64130AF2"/>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C366A8"/>
    <w:rsid w:val="65F916BF"/>
    <w:rsid w:val="6622535F"/>
    <w:rsid w:val="66303957"/>
    <w:rsid w:val="66565CBE"/>
    <w:rsid w:val="6660394E"/>
    <w:rsid w:val="66694F7C"/>
    <w:rsid w:val="666A0E45"/>
    <w:rsid w:val="66A12CC1"/>
    <w:rsid w:val="66D045C0"/>
    <w:rsid w:val="66F25116"/>
    <w:rsid w:val="67056E4D"/>
    <w:rsid w:val="670D325C"/>
    <w:rsid w:val="670E76D1"/>
    <w:rsid w:val="6721754C"/>
    <w:rsid w:val="67384B93"/>
    <w:rsid w:val="675608AD"/>
    <w:rsid w:val="67574E33"/>
    <w:rsid w:val="67630CEF"/>
    <w:rsid w:val="67673A4D"/>
    <w:rsid w:val="67745B77"/>
    <w:rsid w:val="6779791F"/>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543567"/>
    <w:rsid w:val="695F0DE2"/>
    <w:rsid w:val="69BE7BAE"/>
    <w:rsid w:val="69C0334B"/>
    <w:rsid w:val="69E74116"/>
    <w:rsid w:val="69EE2558"/>
    <w:rsid w:val="6A180980"/>
    <w:rsid w:val="6A4120F3"/>
    <w:rsid w:val="6A595F4B"/>
    <w:rsid w:val="6A6D318E"/>
    <w:rsid w:val="6A7A5B75"/>
    <w:rsid w:val="6A8C296E"/>
    <w:rsid w:val="6A90444F"/>
    <w:rsid w:val="6A930078"/>
    <w:rsid w:val="6A98140E"/>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C10654D"/>
    <w:rsid w:val="6C114BD8"/>
    <w:rsid w:val="6C203A9A"/>
    <w:rsid w:val="6C27567D"/>
    <w:rsid w:val="6C385BB0"/>
    <w:rsid w:val="6C4D3B26"/>
    <w:rsid w:val="6C5D2B9F"/>
    <w:rsid w:val="6C5F1620"/>
    <w:rsid w:val="6C6805AA"/>
    <w:rsid w:val="6C7A4CD0"/>
    <w:rsid w:val="6CA6506C"/>
    <w:rsid w:val="6CB467A2"/>
    <w:rsid w:val="6CB75CCD"/>
    <w:rsid w:val="6D2C16A8"/>
    <w:rsid w:val="6D2D26D4"/>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33DA"/>
    <w:rsid w:val="749E6E40"/>
    <w:rsid w:val="74AB534E"/>
    <w:rsid w:val="74BC7F66"/>
    <w:rsid w:val="74DD127A"/>
    <w:rsid w:val="74E57755"/>
    <w:rsid w:val="75294697"/>
    <w:rsid w:val="754B1A74"/>
    <w:rsid w:val="75686B98"/>
    <w:rsid w:val="75854310"/>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C5B9F"/>
    <w:rsid w:val="77440BD8"/>
    <w:rsid w:val="7745495D"/>
    <w:rsid w:val="77752853"/>
    <w:rsid w:val="777C1537"/>
    <w:rsid w:val="777C6E56"/>
    <w:rsid w:val="77872B92"/>
    <w:rsid w:val="77A33591"/>
    <w:rsid w:val="77B85326"/>
    <w:rsid w:val="77BF426F"/>
    <w:rsid w:val="77D16924"/>
    <w:rsid w:val="77E10AC5"/>
    <w:rsid w:val="781C162F"/>
    <w:rsid w:val="781F33C9"/>
    <w:rsid w:val="782C2784"/>
    <w:rsid w:val="78326601"/>
    <w:rsid w:val="783A3050"/>
    <w:rsid w:val="784D7C43"/>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172D7D"/>
    <w:rsid w:val="7A2114BD"/>
    <w:rsid w:val="7A2D36EF"/>
    <w:rsid w:val="7A992CC0"/>
    <w:rsid w:val="7A9E4A38"/>
    <w:rsid w:val="7AA821A1"/>
    <w:rsid w:val="7AB102C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A51A9"/>
    <w:rsid w:val="7C01614C"/>
    <w:rsid w:val="7C211BE0"/>
    <w:rsid w:val="7C3403C9"/>
    <w:rsid w:val="7C420603"/>
    <w:rsid w:val="7C440773"/>
    <w:rsid w:val="7C7A152A"/>
    <w:rsid w:val="7C8714ED"/>
    <w:rsid w:val="7CDC2679"/>
    <w:rsid w:val="7CE53EAD"/>
    <w:rsid w:val="7CE64909"/>
    <w:rsid w:val="7CEC2445"/>
    <w:rsid w:val="7D377C37"/>
    <w:rsid w:val="7D4E0C16"/>
    <w:rsid w:val="7D5D6B3A"/>
    <w:rsid w:val="7D6F1FA9"/>
    <w:rsid w:val="7D793C28"/>
    <w:rsid w:val="7D8C0F6F"/>
    <w:rsid w:val="7D913F95"/>
    <w:rsid w:val="7DBC24E6"/>
    <w:rsid w:val="7DC6402A"/>
    <w:rsid w:val="7DD60F10"/>
    <w:rsid w:val="7DE42847"/>
    <w:rsid w:val="7DF94A59"/>
    <w:rsid w:val="7E096CA7"/>
    <w:rsid w:val="7E3077B5"/>
    <w:rsid w:val="7E6009A4"/>
    <w:rsid w:val="7E976F36"/>
    <w:rsid w:val="7EA55CBC"/>
    <w:rsid w:val="7ED4655D"/>
    <w:rsid w:val="7EFC4C5B"/>
    <w:rsid w:val="7F170670"/>
    <w:rsid w:val="7F35244A"/>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73</Pages>
  <Words>6655</Words>
  <Characters>18211</Characters>
  <Lines>1</Lines>
  <Paragraphs>1</Paragraphs>
  <TotalTime>1</TotalTime>
  <ScaleCrop>false</ScaleCrop>
  <LinksUpToDate>false</LinksUpToDate>
  <CharactersWithSpaces>19695</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2025-05-19T08:18:55Z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