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0BFF">
      <w:pPr>
        <w:pStyle w:val="12"/>
        <w:rPr>
          <w:rFonts w:ascii="Times New Roman" w:hAnsi="Times New Roman" w:cs="Times New Roman"/>
          <w:sz w:val="20"/>
        </w:rPr>
      </w:pP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-676275</wp:posOffset>
            </wp:positionH>
            <wp:positionV relativeFrom="paragraph">
              <wp:posOffset>-976630</wp:posOffset>
            </wp:positionV>
            <wp:extent cx="7956550" cy="10721975"/>
            <wp:effectExtent l="0" t="0" r="13970" b="6985"/>
            <wp:wrapNone/>
            <wp:docPr id="1001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34067">
      <w:pPr>
        <w:pStyle w:val="12"/>
        <w:rPr>
          <w:rFonts w:ascii="Times New Roman" w:hAnsi="Times New Roman" w:cs="Times New Roman"/>
          <w:sz w:val="48"/>
        </w:rPr>
      </w:pPr>
    </w:p>
    <w:p w14:paraId="253782D3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14BB6889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7C9B76D6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263098"/>
      <w:bookmarkStart w:id="1" w:name="_Toc500164193"/>
      <w:bookmarkStart w:id="2" w:name="_Toc500163468"/>
    </w:p>
    <w:p w14:paraId="254C7FC9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550A3956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01B261B5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27D56425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40362C2C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6176E337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5403210F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3" w:name="_Hlk91082646"/>
      <w:bookmarkEnd w:id="3"/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-307340</wp:posOffset>
                </wp:positionV>
                <wp:extent cx="6316980" cy="2331085"/>
                <wp:effectExtent l="0" t="0" r="0" b="0"/>
                <wp:wrapNone/>
                <wp:docPr id="100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叶酸受体α（FRα）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6.45pt;margin-top:-24.2pt;height:183.55pt;width:497.4pt;z-index:251667456;v-text-anchor:middle;mso-width-relative:page;mso-height-relative:page;" filled="f" stroked="f" coordsize="21600,21600" o:gfxdata="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1yvTbbAAAACwEAAA8AAAAAAAAAAQAgAAAAIgAA&#10;AGRycy9kb3ducmV2LnhtbFBLAQIUABQAAAAIAIdO4kCnvOvpPgIAAGw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叶酸受体α（FRα）</w:t>
                      </w: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4155440</wp:posOffset>
                </wp:positionV>
                <wp:extent cx="4082415" cy="957580"/>
                <wp:effectExtent l="0" t="0" r="0" b="0"/>
                <wp:wrapNone/>
                <wp:docPr id="100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CA83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left"/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等线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{{ summaryOfRresults.binary | ci(</w:t>
                            </w:r>
                            <w:r>
                              <w:rPr>
                                <w:rFonts w:hint="default" w:ascii="Times New Roman" w:hAnsi="Times New Roman" w:eastAsia="等线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35.4</w:t>
                            </w:r>
                            <w:r>
                              <w:rPr>
                                <w:rFonts w:hint="default" w:ascii="Times New Roman" w:hAnsi="Times New Roman" w:eastAsia="等线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Times New Roman" w:hAnsi="Times New Roman" w:eastAsia="等线" w:cs="Times New Roma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35.4</w:t>
                            </w:r>
                            <w:r>
                              <w:rPr>
                                <w:rFonts w:hint="default" w:ascii="Times New Roman" w:hAnsi="Times New Roman" w:eastAsia="等线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widowControl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17.15pt;margin-top:327.2pt;height:75.4pt;width:321.45pt;z-index:251668480;mso-width-relative:page;mso-height-relative:page;" filled="f" stroked="f" coordsize="21600,21600" o:gfxdata="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TqNT3AAAAAsBAAAPAAAAAAAAAAEAIAAAACIA&#10;AABkcnMvZG93bnJldi54bWxQSwECFAAUAAAACACHTuJAmfzAIT4CAABq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ECA83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left"/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default" w:ascii="Times New Roman" w:hAnsi="Times New Roman" w:eastAsia="等线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{{ summaryOfRresults.binary | ci(</w:t>
                      </w:r>
                      <w:r>
                        <w:rPr>
                          <w:rFonts w:hint="default" w:ascii="Times New Roman" w:hAnsi="Times New Roman" w:eastAsia="等线" w:cs="Times New Roma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35.4</w:t>
                      </w:r>
                      <w:r>
                        <w:rPr>
                          <w:rFonts w:hint="default" w:ascii="Times New Roman" w:hAnsi="Times New Roman" w:eastAsia="等线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Times New Roman" w:hAnsi="Times New Roman" w:eastAsia="等线" w:cs="Times New Roma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35.4</w:t>
                      </w:r>
                      <w:r>
                        <w:rPr>
                          <w:rFonts w:hint="default" w:ascii="Times New Roman" w:hAnsi="Times New Roman" w:eastAsia="等线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) }}</w:t>
                      </w:r>
                    </w:p>
                    <w:p w14:paraId="1841ACA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widowControl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</w:p>
    <w:p w14:paraId="019BD6FD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BAE3425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7218F913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0083C3" w:sz="4" w:space="0"/>
            </w:tcBorders>
            <w:vAlign w:val="center"/>
          </w:tcPr>
          <w:p w14:paraId="687015F7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0083C3" w:sz="4" w:space="0"/>
            </w:tcBorders>
            <w:vAlign w:val="center"/>
          </w:tcPr>
          <w:p w14:paraId="36C725F0">
            <w:pPr>
              <w:pStyle w:val="214"/>
              <w:rPr>
                <w:rFonts w:hint="eastAsia" w:eastAsia="微软雅黑"/>
                <w:lang w:eastAsia="zh-CN"/>
              </w:rPr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0083C3" w:sz="4" w:space="0"/>
            </w:tcBorders>
            <w:vAlign w:val="center"/>
          </w:tcPr>
          <w:p w14:paraId="752B1DAC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0083C3" w:sz="4" w:space="0"/>
            </w:tcBorders>
            <w:vAlign w:val="center"/>
          </w:tcPr>
          <w:p w14:paraId="6B0D9E38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3864C846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63CE738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54E55036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2320A4BF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094D551D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79D8CC4B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0083C3" w:sz="4" w:space="0"/>
            </w:tcBorders>
            <w:vAlign w:val="center"/>
          </w:tcPr>
          <w:p w14:paraId="046CD22E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0083C3" w:sz="4" w:space="0"/>
            </w:tcBorders>
            <w:vAlign w:val="center"/>
          </w:tcPr>
          <w:p w14:paraId="6407950D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566E8D19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0083C3" w:sz="12" w:space="0"/>
          <w:left w:val="none" w:color="auto" w:sz="0" w:space="0"/>
          <w:bottom w:val="single" w:color="0083C3" w:sz="12" w:space="0"/>
          <w:right w:val="none" w:color="auto" w:sz="0" w:space="0"/>
          <w:insideH w:val="single" w:color="0083C3" w:sz="4" w:space="0"/>
          <w:insideV w:val="single" w:color="0083C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44254366">
        <w:tblPrEx>
          <w:tblBorders>
            <w:top w:val="single" w:color="0083C3" w:sz="12" w:space="0"/>
            <w:left w:val="none" w:color="auto" w:sz="0" w:space="0"/>
            <w:bottom w:val="single" w:color="0083C3" w:sz="12" w:space="0"/>
            <w:right w:val="none" w:color="auto" w:sz="0" w:space="0"/>
            <w:insideH w:val="single" w:color="0083C3" w:sz="4" w:space="0"/>
            <w:insideV w:val="single" w:color="0083C3" w:sz="4" w:space="0"/>
          </w:tblBorders>
        </w:tblPrEx>
        <w:trPr>
          <w:jc w:val="center"/>
        </w:trPr>
        <w:tc>
          <w:tcPr>
            <w:tcW w:w="3431" w:type="dxa"/>
            <w:vAlign w:val="center"/>
          </w:tcPr>
          <w:p w14:paraId="702D1314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6EA9DAE8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48C3AE9C">
        <w:tblPrEx>
          <w:tblBorders>
            <w:top w:val="single" w:color="0083C3" w:sz="12" w:space="0"/>
            <w:left w:val="none" w:color="auto" w:sz="0" w:space="0"/>
            <w:bottom w:val="single" w:color="0083C3" w:sz="12" w:space="0"/>
            <w:right w:val="none" w:color="auto" w:sz="0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9C0ED97">
            <w:pPr>
              <w:pStyle w:val="228"/>
              <w:rPr>
                <w:rFonts w:hint="default" w:eastAsia="微软雅黑"/>
                <w:highlight w:val="none"/>
                <w:lang w:val="en-US" w:eastAsia="zh-CN"/>
              </w:rPr>
            </w:pPr>
            <w:r>
              <w:rPr>
                <w:highlight w:val="none"/>
              </w:rPr>
              <w:t>镜下描述：</w:t>
            </w:r>
            <w:r>
              <w:rPr>
                <w:rFonts w:hint="eastAsia"/>
                <w:highlight w:val="none"/>
                <w:lang w:val="en-US" w:eastAsia="zh-CN"/>
              </w:rPr>
              <w:t>{{PDInfo.Seen_microscopically}}</w:t>
            </w:r>
          </w:p>
        </w:tc>
      </w:tr>
    </w:tbl>
    <w:p w14:paraId="5E186C04">
      <w:pPr>
        <w:jc w:val="center"/>
        <w:rPr>
          <w:rFonts w:ascii="Times New Roman" w:hAnsi="Times New Roman" w:eastAsia="微软雅黑" w:cs="Times New Roman"/>
          <w:b/>
          <w:szCs w:val="21"/>
        </w:rPr>
      </w:pPr>
    </w:p>
    <w:p w14:paraId="31CE9E22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 %}</w:t>
      </w:r>
    </w:p>
    <w:p w14:paraId="5783077E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CDF8917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435C66E7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339" w:type="dxa"/>
        <w:jc w:val="center"/>
        <w:tblBorders>
          <w:top w:val="single" w:color="0083C3" w:sz="12" w:space="0"/>
          <w:left w:val="single" w:color="0083C3" w:sz="12" w:space="0"/>
          <w:bottom w:val="single" w:color="0083C3" w:sz="12" w:space="0"/>
          <w:right w:val="single" w:color="0083C3" w:sz="12" w:space="0"/>
          <w:insideH w:val="single" w:color="0083C3" w:sz="12" w:space="0"/>
          <w:insideV w:val="single" w:color="0083C3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17"/>
        <w:gridCol w:w="3123"/>
        <w:gridCol w:w="2490"/>
        <w:gridCol w:w="1513"/>
      </w:tblGrid>
      <w:tr w14:paraId="23806428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</w:tblPrEx>
        <w:trPr>
          <w:trHeight w:val="377" w:hRule="exac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7A907C3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3A0A42E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477A49E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6D784DBF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肿瘤细胞中度至强膜染色比例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1B9C11E5">
            <w:pPr>
              <w:jc w:val="center"/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A5FA315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896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425F285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 w:val="0"/>
                <w:bCs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317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6E6203E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 w:val="0"/>
                <w:bCs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123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729735A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 w:val="0"/>
                <w:bCs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490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170CB3CD">
            <w:pPr>
              <w:pStyle w:val="217"/>
              <w:jc w:val="center"/>
              <w:rPr>
                <w:rFonts w:hint="default" w:ascii="Times New Roman" w:hAnsi="Times New Roman" w:cs="Times New Roman"/>
                <w:b w:val="0"/>
                <w:bCs/>
                <w:color w:val="FF0000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positive_2_3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}}</w:t>
            </w:r>
          </w:p>
        </w:tc>
        <w:tc>
          <w:tcPr>
            <w:tcW w:w="1513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2FEBEE0C">
            <w:pPr>
              <w:pStyle w:val="217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FF000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  <w:t>{% if PDInfo.test_results ==</w:t>
            </w:r>
            <w:r>
              <w:rPr>
                <w:rFonts w:hint="default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  <w:t>阳性</w:t>
            </w:r>
            <w:r>
              <w:rPr>
                <w:rFonts w:hint="default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  <w:t>%}阳性{% else%}</w:t>
            </w:r>
            <w:r>
              <w:rPr>
                <w:rFonts w:hint="eastAsia" w:ascii="Times New Roman" w:hAnsi="Times New Roman" w:cs="Times New Roman"/>
                <w:b/>
                <w:bCs/>
                <w:color w:val="00B050"/>
                <w:highlight w:val="none"/>
                <w:lang w:val="en-US" w:eastAsia="zh-CN"/>
              </w:rPr>
              <w:t>阴性{% endif%}</w:t>
            </w:r>
          </w:p>
        </w:tc>
      </w:tr>
      <w:tr w14:paraId="2D68B5DB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0339" w:type="dxa"/>
            <w:gridSpan w:val="5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40E0CE93">
            <w:pPr>
              <w:pStyle w:val="217"/>
              <w:jc w:val="left"/>
              <w:rPr>
                <w:rFonts w:hint="eastAsia" w:ascii="Times New Roman" w:hAnsi="Times New Roman" w:cs="Times New Roman"/>
                <w:b/>
                <w:bCs/>
                <w:color w:val="FF000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highlight w:val="none"/>
                <w:lang w:val="en-US" w:eastAsia="zh-CN"/>
              </w:rPr>
              <w:t>阳性阈值：肿瘤细胞显示中度至强的 FRα膜染色≥75%</w:t>
            </w:r>
          </w:p>
        </w:tc>
      </w:tr>
    </w:tbl>
    <w:p w14:paraId="28AC0AF1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925E427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004ED6F6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7106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0D80CF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50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3118" w:type="dxa"/>
            <w:vAlign w:val="center"/>
          </w:tcPr>
          <w:p w14:paraId="7540F98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150,95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3118" w:type="dxa"/>
            <w:vAlign w:val="center"/>
          </w:tcPr>
          <w:p w14:paraId="60BAF89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fra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fra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150,95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  <w:tr w14:paraId="4EFA6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F37E1D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</w:rPr>
              <w:t>FRα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</w:rPr>
              <w:t>阳性对照 200X</w:t>
            </w:r>
          </w:p>
        </w:tc>
        <w:tc>
          <w:tcPr>
            <w:tcW w:w="3118" w:type="dxa"/>
            <w:vAlign w:val="center"/>
          </w:tcPr>
          <w:p w14:paraId="69C48F3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</w:rPr>
              <w:t>FRα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</w:rPr>
              <w:t>阴性对照 200X</w:t>
            </w:r>
          </w:p>
        </w:tc>
        <w:tc>
          <w:tcPr>
            <w:tcW w:w="3118" w:type="dxa"/>
            <w:vAlign w:val="center"/>
          </w:tcPr>
          <w:p w14:paraId="72720BA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</w:rPr>
              <w:t>FRα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  <w:t>200X</w:t>
            </w:r>
          </w:p>
        </w:tc>
      </w:tr>
    </w:tbl>
    <w:p w14:paraId="6BDDCA1D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8"/>
        <w:gridCol w:w="2561"/>
        <w:gridCol w:w="3118"/>
      </w:tblGrid>
      <w:tr w14:paraId="72F4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139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6CB25327">
            <w:pPr>
              <w:adjustRightInd w:val="0"/>
              <w:rPr>
                <w:rFonts w:hint="default" w:ascii="微软雅黑" w:hAnsi="微软雅黑" w:eastAsia="微软雅黑" w:cs="Arial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88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34812AA0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561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67209CD5">
            <w:pPr>
              <w:jc w:val="left"/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{{"ty_tianjin2"|sign(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39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,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)}}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0AD10F14">
            <w:pPr>
              <w:pStyle w:val="231"/>
              <w:framePr w:hSpace="0" w:wrap="auto" w:vAnchor="margin" w:hAnchor="text" w:xAlign="left" w:yAlign="inline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报告日期：{{reportdate2}}</w:t>
            </w:r>
          </w:p>
        </w:tc>
      </w:tr>
      <w:tr w14:paraId="6A7FC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left w:val="nil"/>
              <w:bottom w:val="nil"/>
              <w:right w:val="nil"/>
            </w:tcBorders>
          </w:tcPr>
          <w:p w14:paraId="73CB27BE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42E6BA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131EFFD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5847D5E6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5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4984750</wp:posOffset>
            </wp:positionH>
            <wp:positionV relativeFrom="page">
              <wp:posOffset>9065895</wp:posOffset>
            </wp:positionV>
            <wp:extent cx="1443355" cy="1443355"/>
            <wp:effectExtent l="0" t="0" r="4445" b="4445"/>
            <wp:wrapNone/>
            <wp:docPr id="10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00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0083C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0"/>
      </w:tblGrid>
      <w:tr w14:paraId="7DF4BAB8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0083C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527A1BD7">
            <w:pPr>
              <w:keepNext w:val="0"/>
              <w:keepLines w:val="0"/>
              <w:pageBreakBefore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50" w:after="0" w:afterLines="50"/>
              <w:textAlignment w:val="auto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:highlight w:val="none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954ED69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40" w:lineRule="exact"/>
        <w:ind w:left="431" w:right="210" w:rightChars="100" w:hanging="431"/>
        <w:jc w:val="left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83C3"/>
          <w:sz w:val="24"/>
          <w:szCs w:val="24"/>
        </w:rPr>
        <w:t>关于FRα</w:t>
      </w:r>
    </w:p>
    <w:p w14:paraId="08A05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FRα由FOLR1编码，是分子量38-40KD的细胞表面糖蛋白，最初发现是作为叶酸结合蛋白，1991年被作为肿瘤相关抗原被克隆。FRα是高亲和力FRs家族的一个成员，FRs家族还包括FRβ、FRγ和FRδ，它们分别由FOLR2、FOLR3和FOLR4编码。FRα对还原叶酸（如5-甲基四氢叶酸和四氢叶酸）和叶酸有很高的亲和力。</w:t>
      </w:r>
    </w:p>
    <w:p w14:paraId="40F68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在正常组织中，FRα表达较少；但在大部分间皮细胞瘤（72-100%）、TNBC（35-68%）、NSCLC（14-74%）、卵巢癌（76-89%）、子宫内膜癌（20-50%）等实体瘤中，FRα过度表达。FRα虽然在胚胎发育阶段发挥了重要作用，但在胚胎形成后的正常组织中发挥的生理作用很小，而且相比于其他叶酸转运蛋白，FRα对非生理底物（如叶酸）的亲和力更高，这使得开发叶酸结合物药物成为可能（如ADC）。此外，FRα可以影响癌细胞的分裂和迁移，抑制该受体可提供一定程度的直接抗癌活性。因而，FRα被认为是癌症治疗中一个高度相关且潜在可利用的靶点。</w:t>
      </w:r>
    </w:p>
    <w:p w14:paraId="64344A45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40" w:lineRule="exact"/>
        <w:ind w:left="431" w:right="210" w:rightChars="100" w:hanging="431"/>
        <w:jc w:val="left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83C3"/>
          <w:sz w:val="24"/>
          <w:szCs w:val="24"/>
        </w:rPr>
        <w:t>FRα</w:t>
      </w:r>
      <w:r>
        <w:rPr>
          <w:rFonts w:hint="default" w:ascii="Times New Roman" w:hAnsi="Times New Roman" w:eastAsia="微软雅黑" w:cs="Times New Roman"/>
          <w:color w:val="0083C3"/>
          <w:sz w:val="24"/>
          <w:szCs w:val="24"/>
          <w:lang w:val="en-US" w:eastAsia="zh-CN"/>
        </w:rPr>
        <w:t>已获批药物</w:t>
      </w:r>
    </w:p>
    <w:p w14:paraId="4F2C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FRα在恶性肿瘤的特异性表达，使之成为一个良好的抗肿瘤药物开发靶点。因而小分子药物、抗体药物、双特异性抗体、CAR-T、ADC、叶酸-细胞毒性药物偶联药物等不同形式的药物都有开发。</w:t>
      </w:r>
    </w:p>
    <w:p w14:paraId="27329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2022年11月，美国食品和药物管理局（FDA）批准了Elahere（mirvetuximab soravtansine，索米妥昔单抗）：作为一种单药疗法，用于治疗先前已接受过1-3种全身治疗方案、叶酸受体α（FRα）阳性、铂耐药的上皮性卵巢癌、输卵管癌、原发性腹膜癌成人患者。ELAHERE</w:t>
      </w: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vertAlign w:val="superscript"/>
          <w:lang w:val="en-US" w:eastAsia="zh-CN"/>
        </w:rPr>
        <w:t>™</w:t>
      </w: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的加速批准基于关键性SORAYA试验的客观缓解率（ORR）和缓解持续时间（DOR）数据。SORAYA试验是一项单臂研究，入组106名铂耐药卵巢癌患者，患者入选标准是FRα高表达、先前已接受过1-3线治疗方案且至少接受过一线含Avastin</w:t>
      </w: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vertAlign w:val="superscript"/>
          <w:lang w:val="en-US" w:eastAsia="zh-CN"/>
        </w:rPr>
        <w:t>®</w:t>
      </w: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（贝伐珠单抗）治疗的铂耐药卵巢癌患者。该研究的主要终点为经研究者评估的ORR，关键次要终点为DOR。研究者评估的ORR为31.7%（95%置信区间[CI]：22.9，41.6），包括5例完全缓解（CR）。研究者评估的中位DOR为6.9个月（95%CI：5.6，9.7）。</w:t>
      </w:r>
    </w:p>
    <w:p w14:paraId="18CE3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2024年11月，NMPA批准索米妥昔单抗适用于既往接受过1-3线系统性治疗的叶酸受体α（FRα）阳性的铂类耐药的上皮性卵巢癌、输卵管癌或原发性腹膜癌成年患者。此次获批主要基于美国关键单臂SORAYA研究和中国单臂桥接临床研究（IMGN853-301研究）的临床研究结果，中国301临床研究结果显示，索米妥昔单抗在中国患者中疗效可靠，经BIRC和研究者评估的中位无进展生存期（PFS）分别达6.2个月和7.0个月，与美国SORAYA研究数据基本一致，且中国患者中疾病稳定（SD）的比例相比国际同类数据更高。</w:t>
      </w:r>
    </w:p>
    <w:p w14:paraId="36B1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8"/>
          <w:szCs w:val="18"/>
          <w:lang w:val="en-US" w:eastAsia="zh-CN"/>
        </w:rPr>
        <w:t>目前，FDA和NMPA批准了Roche诊断开发的Ventana MedicalSystems，VENTANA FOLR1 (FOLR-2.1) RxDx Assay作为靶向叶酸受体α（FRα）的抗体偶联药物 Elahere伴随诊断试剂用于筛选FRα阳性的患者。</w:t>
      </w:r>
    </w:p>
    <w:p w14:paraId="3C45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</w:p>
    <w:tbl>
      <w:tblPr>
        <w:tblStyle w:val="17"/>
        <w:tblW w:w="10118" w:type="dxa"/>
        <w:jc w:val="center"/>
        <w:tblBorders>
          <w:top w:val="single" w:color="0083C3" w:sz="12" w:space="0"/>
          <w:left w:val="single" w:color="0083C3" w:sz="12" w:space="0"/>
          <w:bottom w:val="single" w:color="0083C3" w:sz="12" w:space="0"/>
          <w:right w:val="single" w:color="0083C3" w:sz="12" w:space="0"/>
          <w:insideH w:val="single" w:color="0083C3" w:sz="12" w:space="0"/>
          <w:insideV w:val="single" w:color="0083C3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942"/>
        <w:gridCol w:w="4987"/>
      </w:tblGrid>
      <w:tr w14:paraId="29BBE30D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75A0C60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4EF9F49E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判读标准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7B74FCF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5FFA2ED5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2189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69DC27C0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  <w:t>上皮性卵巢癌、</w:t>
            </w:r>
          </w:p>
          <w:p w14:paraId="28FA2CD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  <w:t>输卵管癌、</w:t>
            </w:r>
          </w:p>
          <w:p w14:paraId="10F62F54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  <w:t>原发性腹膜癌成人患者</w:t>
            </w:r>
          </w:p>
        </w:tc>
        <w:tc>
          <w:tcPr>
            <w:tcW w:w="2942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4521A39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254" w:rightChars="121" w:firstLine="219" w:firstLineChars="122"/>
              <w:jc w:val="center"/>
              <w:textAlignment w:val="auto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  <w:t>肿瘤细胞显示中度至强的叶酸受体α（FOLR1）膜染色≥75%</w:t>
            </w:r>
          </w:p>
        </w:tc>
        <w:tc>
          <w:tcPr>
            <w:tcW w:w="4987" w:type="dxa"/>
            <w:tcBorders>
              <w:top w:val="nil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3415B123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</w:rPr>
              <w:t>NMPA批准索米妥昔单抗用于叶酸受体α（FOLR1）蛋白阳性的上皮性卵巢癌、输卵管癌或原发性腹膜癌的治疗。</w:t>
            </w:r>
          </w:p>
        </w:tc>
      </w:tr>
    </w:tbl>
    <w:p w14:paraId="50AE13A9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40" w:lineRule="exact"/>
        <w:ind w:left="431" w:right="210" w:rightChars="100" w:hanging="431"/>
        <w:jc w:val="left"/>
        <w:textAlignment w:val="auto"/>
        <w:rPr>
          <w:rFonts w:hint="eastAsia" w:eastAsia="微软雅黑"/>
          <w:color w:val="0083C3"/>
          <w:sz w:val="24"/>
          <w:szCs w:val="24"/>
        </w:rPr>
      </w:pPr>
      <w:r>
        <w:rPr>
          <w:rFonts w:hint="eastAsia" w:eastAsia="微软雅黑"/>
          <w:color w:val="0083C3"/>
          <w:sz w:val="24"/>
          <w:szCs w:val="24"/>
        </w:rPr>
        <w:t>结果声明</w:t>
      </w:r>
    </w:p>
    <w:p w14:paraId="3458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本报告仅对本次送检的样本负责，结果仅供临床参考。</w:t>
      </w:r>
    </w:p>
    <w:p w14:paraId="51C14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未严格按照本实验室要求采集和送检样本，将可能导致不准确的检测结果。</w:t>
      </w:r>
    </w:p>
    <w:p w14:paraId="50AB7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36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如对本报告有异议，请于7个工作日内与我们联系。</w:t>
      </w:r>
    </w:p>
    <w:p w14:paraId="36258A4E">
      <w:pPr>
        <w:widowControl/>
        <w:jc w:val="left"/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sectPr>
          <w:headerReference r:id="rId6" w:type="default"/>
          <w:footerReference r:id="rId7" w:type="default"/>
          <w:pgSz w:w="11906" w:h="16838"/>
          <w:pgMar w:top="981" w:right="850" w:bottom="850" w:left="1020" w:header="851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34D066F1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广州诺禾医学检验实验室</w:t>
      </w:r>
    </w:p>
    <w:p w14:paraId="44F5728B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广州市黄埔区开源大道11号C6栋702室</w:t>
      </w:r>
    </w:p>
    <w:p w14:paraId="1E997229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0525E737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上海诺禾医学检验实验室</w:t>
      </w:r>
    </w:p>
    <w:p w14:paraId="50BA11AB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上海市闵行区绿洲环路396弄9号201室</w:t>
      </w:r>
    </w:p>
    <w:p w14:paraId="1CF1D0BF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63D48481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天津诺禾医学检验实验室</w:t>
      </w:r>
    </w:p>
    <w:p w14:paraId="6111049A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天津市武清区创业总部基地B07</w:t>
      </w:r>
    </w:p>
    <w:p w14:paraId="58A17A8B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01AA0FA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551A1EA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AF2D955">
      <w:pPr>
        <w:widowControl/>
        <w:jc w:val="left"/>
        <w:rPr>
          <w:rFonts w:ascii="Times New Roman" w:hAnsi="Times New Roman" w:eastAsia="等线" w:cs="宋体"/>
          <w:b/>
          <w:bCs/>
          <w:color w:val="61964C"/>
          <w:kern w:val="0"/>
          <w:sz w:val="28"/>
          <w:szCs w:val="28"/>
          <w:lang w:eastAsia="en-US"/>
        </w:rPr>
      </w:pPr>
    </w:p>
    <w:p w14:paraId="54FA1AF1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0689E21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3B9E5867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039DD503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C8278B5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5AFCEF5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72917A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6741FF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3BD1EC5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72D01C3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849623C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3F17A60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4C310A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463392D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5A0A9C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7440B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eastAsia="en-US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01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4"/>
          <w:szCs w:val="24"/>
          <w:lang w:eastAsia="en-US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10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 xml:space="preserve"> </w:t>
      </w:r>
    </w:p>
    <w:p w14:paraId="7162C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</w:p>
    <w:p w14:paraId="7350E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</w:p>
    <w:p w14:paraId="56A54D07">
      <w:pPr>
        <w:widowControl/>
        <w:jc w:val="left"/>
        <w:rPr>
          <w:rFonts w:ascii="微软雅黑" w:hAnsi="微软雅黑" w:eastAsia="微软雅黑" w:cs="微软雅黑"/>
          <w:b/>
          <w:bCs/>
          <w:color w:val="0083C3"/>
          <w:kern w:val="0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kern w:val="0"/>
          <w:sz w:val="20"/>
          <w:szCs w:val="20"/>
          <w:lang w:eastAsia="zh-CN"/>
        </w:rPr>
        <w:t>诺禾医学   诺禾在线</w:t>
      </w:r>
    </w:p>
    <w:p w14:paraId="3D69332B">
      <w:pPr>
        <w:widowControl/>
        <w:jc w:val="left"/>
        <w:rPr>
          <w:rFonts w:ascii="Times New Roman" w:hAnsi="Times New Roman" w:eastAsia="等线" w:cs="宋体"/>
          <w:color w:val="0083C3"/>
          <w:kern w:val="0"/>
          <w:sz w:val="24"/>
          <w:lang w:eastAsia="zh-CN"/>
        </w:rPr>
      </w:pPr>
      <w:r>
        <w:rPr>
          <w:rFonts w:ascii="Times New Roman" w:hAnsi="Times New Roman" w:eastAsia="等线" w:cs="宋体"/>
          <w:b/>
          <w:bCs/>
          <w:color w:val="0083C3"/>
          <w:kern w:val="0"/>
          <w:sz w:val="28"/>
          <w:szCs w:val="28"/>
          <w:lang w:eastAsia="en-US"/>
        </w:rPr>
        <w:t>www.novogene.com</w:t>
      </w:r>
    </w:p>
    <w:p w14:paraId="2E97867F">
      <w:pPr>
        <w:widowControl/>
        <w:jc w:val="left"/>
        <w:rPr>
          <w:rFonts w:ascii="微软雅黑" w:hAnsi="微软雅黑" w:eastAsia="微软雅黑" w:cs="微软雅黑"/>
          <w:b/>
          <w:bCs/>
          <w:kern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kern w:val="0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015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CN"/>
        </w:rPr>
        <w:t>中国 · 美国 · 英国 · 新加坡 · 荷兰 · 日本</w:t>
      </w:r>
    </w:p>
    <w:p w14:paraId="38F59258">
      <w:pPr>
        <w:widowControl/>
        <w:jc w:val="left"/>
        <w:rPr>
          <w:rFonts w:ascii="Times New Roman" w:hAnsi="Times New Roman" w:eastAsia="等线" w:cs="宋体"/>
          <w:kern w:val="0"/>
          <w:sz w:val="22"/>
          <w:lang w:val="en-US" w:eastAsia="zh-CN"/>
        </w:rPr>
      </w:pPr>
      <w:r>
        <w:rPr>
          <w:rFonts w:ascii="Times New Roman" w:hAnsi="Times New Roman" w:eastAsia="等线" w:cs="宋体"/>
          <w:kern w:val="0"/>
          <w:sz w:val="22"/>
          <w:lang w:eastAsia="en-US"/>
        </w:rPr>
        <w:t>China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USA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UK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Singapore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Netherlands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>J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apan</w:t>
      </w:r>
    </w:p>
    <w:sectPr>
      <w:footerReference r:id="rId8" w:type="default"/>
      <w:pgSz w:w="11906" w:h="16838"/>
      <w:pgMar w:top="981" w:right="850" w:bottom="850" w:left="10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F0FF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F3482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F3482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36C3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E203C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0E203C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35C87">
    <w:pPr>
      <w:snapToGrid w:val="0"/>
      <w:jc w:val="left"/>
      <w:rPr>
        <w:rFonts w:ascii="宋体" w:hAnsi="宋体" w:eastAsia="宋体" w:cs="宋体"/>
        <w:kern w:val="0"/>
        <w:sz w:val="18"/>
        <w:szCs w:val="18"/>
        <w:lang w:eastAsia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0881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90881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4E54D">
    <w:pPr>
      <w:snapToGrid w:val="0"/>
      <w:jc w:val="left"/>
      <w:rPr>
        <w:rFonts w:ascii="宋体" w:hAnsi="宋体" w:eastAsia="宋体" w:cs="宋体"/>
        <w:kern w:val="0"/>
        <w:sz w:val="18"/>
        <w:szCs w:val="18"/>
        <w:lang w:eastAsia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69641">
    <w:pPr>
      <w:pStyle w:val="15"/>
      <w:pBdr>
        <w:bottom w:val="none" w:color="auto" w:sz="0" w:space="1"/>
      </w:pBdr>
    </w:pPr>
    <w:r>
      <w:rPr>
        <w:sz w:val="18"/>
      </w:rPr>
      <w:pict>
        <v:shape id="PowerPlusWaterMarkObject291817" o:spid="_x0000_s2052" o:spt="136" type="#_x0000_t136" style="position:absolute;left:0pt;height:48.3pt;width:166.5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8130E"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napToGrid w:val="0"/>
      <w:jc w:val="right"/>
      <w:rPr>
        <w:rFonts w:ascii="宋体" w:hAnsi="宋体" w:eastAsia="宋体" w:cs="宋体"/>
        <w:kern w:val="0"/>
        <w:sz w:val="18"/>
        <w:lang w:eastAsia="zh-CN"/>
      </w:rPr>
    </w:pPr>
    <w:r>
      <w:rPr>
        <w:sz w:val="18"/>
      </w:rPr>
      <w:pict>
        <v:shape id="_x0000_s2053" o:spid="_x0000_s2053" o:spt="136" type="#_x0000_t136" style="position:absolute;left:0pt;margin-left:167pt;margin-top:355.4pt;height:48.3pt;width:166.5pt;mso-position-horizontal-relative:margin;mso-position-vertical-relative:margin;rotation:-2949120f;z-index:-25164697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abstractNum w:abstractNumId="1">
    <w:nsid w:val="63367B46"/>
    <w:multiLevelType w:val="singleLevel"/>
    <w:tmpl w:val="63367B46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3406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975DE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87D63"/>
    <w:rsid w:val="023F2FCD"/>
    <w:rsid w:val="030751D2"/>
    <w:rsid w:val="03396E57"/>
    <w:rsid w:val="04BD2354"/>
    <w:rsid w:val="05AA59FA"/>
    <w:rsid w:val="05E66B04"/>
    <w:rsid w:val="06167A1A"/>
    <w:rsid w:val="06B07EC2"/>
    <w:rsid w:val="06B95F1C"/>
    <w:rsid w:val="083C2C62"/>
    <w:rsid w:val="084474C9"/>
    <w:rsid w:val="08930944"/>
    <w:rsid w:val="090C2073"/>
    <w:rsid w:val="09C0015A"/>
    <w:rsid w:val="0A0D36A8"/>
    <w:rsid w:val="0A2437B8"/>
    <w:rsid w:val="0A4A2B91"/>
    <w:rsid w:val="0C67656B"/>
    <w:rsid w:val="0DD91B05"/>
    <w:rsid w:val="0E861BE0"/>
    <w:rsid w:val="0EB01530"/>
    <w:rsid w:val="0F1210BD"/>
    <w:rsid w:val="0F8C6CB2"/>
    <w:rsid w:val="10AE4203"/>
    <w:rsid w:val="118B2886"/>
    <w:rsid w:val="11995E12"/>
    <w:rsid w:val="11F34D10"/>
    <w:rsid w:val="123B1E49"/>
    <w:rsid w:val="14382B73"/>
    <w:rsid w:val="14FD4F9E"/>
    <w:rsid w:val="153B7DDE"/>
    <w:rsid w:val="15E2762C"/>
    <w:rsid w:val="167B7EF6"/>
    <w:rsid w:val="17F63E2B"/>
    <w:rsid w:val="183925C8"/>
    <w:rsid w:val="19B037E4"/>
    <w:rsid w:val="1B3F79EC"/>
    <w:rsid w:val="1BCA7492"/>
    <w:rsid w:val="1BF62280"/>
    <w:rsid w:val="1C00230A"/>
    <w:rsid w:val="1C1E4D01"/>
    <w:rsid w:val="1C8837B9"/>
    <w:rsid w:val="1D055280"/>
    <w:rsid w:val="1D424E3A"/>
    <w:rsid w:val="1DF24781"/>
    <w:rsid w:val="20072E2E"/>
    <w:rsid w:val="20A25C57"/>
    <w:rsid w:val="20B10406"/>
    <w:rsid w:val="21664596"/>
    <w:rsid w:val="21AE23B4"/>
    <w:rsid w:val="229554F7"/>
    <w:rsid w:val="22E055F1"/>
    <w:rsid w:val="23185A9F"/>
    <w:rsid w:val="23477536"/>
    <w:rsid w:val="238050C2"/>
    <w:rsid w:val="24C53D9C"/>
    <w:rsid w:val="260E47A1"/>
    <w:rsid w:val="264F0DFC"/>
    <w:rsid w:val="274D4143"/>
    <w:rsid w:val="282F27CF"/>
    <w:rsid w:val="284C3883"/>
    <w:rsid w:val="29275637"/>
    <w:rsid w:val="2B552724"/>
    <w:rsid w:val="2B632564"/>
    <w:rsid w:val="2BBC70E0"/>
    <w:rsid w:val="2BFA0DD4"/>
    <w:rsid w:val="2C4A3FCC"/>
    <w:rsid w:val="2DC11BD4"/>
    <w:rsid w:val="2E9B3D4A"/>
    <w:rsid w:val="3073428B"/>
    <w:rsid w:val="30A050C2"/>
    <w:rsid w:val="313B4368"/>
    <w:rsid w:val="31D114A6"/>
    <w:rsid w:val="31E96827"/>
    <w:rsid w:val="33284289"/>
    <w:rsid w:val="33B169E4"/>
    <w:rsid w:val="34144701"/>
    <w:rsid w:val="34207846"/>
    <w:rsid w:val="35AA0C3E"/>
    <w:rsid w:val="36AB2CAC"/>
    <w:rsid w:val="37660105"/>
    <w:rsid w:val="377E2797"/>
    <w:rsid w:val="37E07932"/>
    <w:rsid w:val="38BD4B76"/>
    <w:rsid w:val="39F56D79"/>
    <w:rsid w:val="3AE01EFC"/>
    <w:rsid w:val="3BE80838"/>
    <w:rsid w:val="3BFC4E31"/>
    <w:rsid w:val="3C821B58"/>
    <w:rsid w:val="3D7D23D6"/>
    <w:rsid w:val="3DAE7CA0"/>
    <w:rsid w:val="3E3143E8"/>
    <w:rsid w:val="3EA37093"/>
    <w:rsid w:val="3F317A64"/>
    <w:rsid w:val="3FA15AA1"/>
    <w:rsid w:val="402B45BC"/>
    <w:rsid w:val="409918AF"/>
    <w:rsid w:val="41540D13"/>
    <w:rsid w:val="417F39F8"/>
    <w:rsid w:val="41856871"/>
    <w:rsid w:val="424934FB"/>
    <w:rsid w:val="43765A46"/>
    <w:rsid w:val="43A97A82"/>
    <w:rsid w:val="441B49DA"/>
    <w:rsid w:val="44314922"/>
    <w:rsid w:val="44684853"/>
    <w:rsid w:val="44DC1298"/>
    <w:rsid w:val="44E61B51"/>
    <w:rsid w:val="45F536D4"/>
    <w:rsid w:val="461E3CF3"/>
    <w:rsid w:val="4684341D"/>
    <w:rsid w:val="47424B6B"/>
    <w:rsid w:val="49753D38"/>
    <w:rsid w:val="4B256B58"/>
    <w:rsid w:val="4B2600EC"/>
    <w:rsid w:val="4C302981"/>
    <w:rsid w:val="4DF03C41"/>
    <w:rsid w:val="4E48731A"/>
    <w:rsid w:val="4E4E1D31"/>
    <w:rsid w:val="4E5A559D"/>
    <w:rsid w:val="4EA968C7"/>
    <w:rsid w:val="4F067FC3"/>
    <w:rsid w:val="4F084D32"/>
    <w:rsid w:val="4FAD1624"/>
    <w:rsid w:val="4FC77094"/>
    <w:rsid w:val="502C64EB"/>
    <w:rsid w:val="50310D19"/>
    <w:rsid w:val="50BD6410"/>
    <w:rsid w:val="52683E0F"/>
    <w:rsid w:val="527C7EE5"/>
    <w:rsid w:val="52BA2B2A"/>
    <w:rsid w:val="52F34943"/>
    <w:rsid w:val="5371798E"/>
    <w:rsid w:val="537204BE"/>
    <w:rsid w:val="53DB1569"/>
    <w:rsid w:val="54E265E6"/>
    <w:rsid w:val="54E26CD8"/>
    <w:rsid w:val="56A71D97"/>
    <w:rsid w:val="57403D19"/>
    <w:rsid w:val="57C239BE"/>
    <w:rsid w:val="584E1957"/>
    <w:rsid w:val="598C133C"/>
    <w:rsid w:val="5A0529AB"/>
    <w:rsid w:val="5A557999"/>
    <w:rsid w:val="5E980981"/>
    <w:rsid w:val="5F4C6664"/>
    <w:rsid w:val="5F544FA6"/>
    <w:rsid w:val="5FE51CFE"/>
    <w:rsid w:val="606F5146"/>
    <w:rsid w:val="608C5C16"/>
    <w:rsid w:val="614C2A7D"/>
    <w:rsid w:val="61A0399A"/>
    <w:rsid w:val="62500C24"/>
    <w:rsid w:val="62970C98"/>
    <w:rsid w:val="644A17F5"/>
    <w:rsid w:val="648B756B"/>
    <w:rsid w:val="64CB26DD"/>
    <w:rsid w:val="64FD140A"/>
    <w:rsid w:val="650914F8"/>
    <w:rsid w:val="65333C46"/>
    <w:rsid w:val="655C5A01"/>
    <w:rsid w:val="657F00A2"/>
    <w:rsid w:val="65CA756B"/>
    <w:rsid w:val="66B678B0"/>
    <w:rsid w:val="67D656FB"/>
    <w:rsid w:val="6920585F"/>
    <w:rsid w:val="69780D73"/>
    <w:rsid w:val="69F6601D"/>
    <w:rsid w:val="6A4C0E1D"/>
    <w:rsid w:val="6AAC538C"/>
    <w:rsid w:val="6B1C587A"/>
    <w:rsid w:val="6BBF0373"/>
    <w:rsid w:val="6D034223"/>
    <w:rsid w:val="6D080D91"/>
    <w:rsid w:val="6D8E33A2"/>
    <w:rsid w:val="6DD33DC7"/>
    <w:rsid w:val="6E0C5C8A"/>
    <w:rsid w:val="6E3949E5"/>
    <w:rsid w:val="6E6B0AC4"/>
    <w:rsid w:val="6E9048CA"/>
    <w:rsid w:val="6F75580C"/>
    <w:rsid w:val="6F916EE8"/>
    <w:rsid w:val="6FC76DC8"/>
    <w:rsid w:val="701D465E"/>
    <w:rsid w:val="70292300"/>
    <w:rsid w:val="71C76F4C"/>
    <w:rsid w:val="745D7ABB"/>
    <w:rsid w:val="748425BE"/>
    <w:rsid w:val="75555C41"/>
    <w:rsid w:val="75E82768"/>
    <w:rsid w:val="763065E7"/>
    <w:rsid w:val="777B77B7"/>
    <w:rsid w:val="779C230C"/>
    <w:rsid w:val="7B4643E1"/>
    <w:rsid w:val="7C4B60AF"/>
    <w:rsid w:val="7CA9597C"/>
    <w:rsid w:val="7E694F74"/>
    <w:rsid w:val="7E925766"/>
    <w:rsid w:val="7F426BBB"/>
    <w:rsid w:val="7FB55A3B"/>
    <w:rsid w:val="7FF97842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  <w:style w:type="table" w:customStyle="1" w:styleId="234">
    <w:name w:val="网格表 4 - 着色 51"/>
    <w:basedOn w:val="17"/>
    <w:qFormat/>
    <w:uiPriority w:val="4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2"/>
    <customShpInfo spid="_x0000_s1026" textRotate="1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1640</Words>
  <Characters>2614</Characters>
  <Lines>1</Lines>
  <Paragraphs>1</Paragraphs>
  <TotalTime>0</TotalTime>
  <ScaleCrop>false</ScaleCrop>
  <LinksUpToDate>false</LinksUpToDate>
  <CharactersWithSpaces>2725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levi</cp:lastModifiedBy>
  <cp:lastPrinted>2018-09-27T05:01:00Z</cp:lastPrinted>
  <dcterms:modified xsi:type="dcterms:W3CDTF">2026-06-10T02:25:32Z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2B4564F28AEB498882F1352BB0F86961</vt:lpwstr>
  </property>
  <property fmtid="{D5CDD505-2E9C-101B-9397-08002B2CF9AE}" pid="4" name="KSOTemplateDocerSaveRecord">
    <vt:lpwstr>eyJoZGlkIjoiZWYwY2UzN2JlOGI1MThkZDAzZjRhZWIwZWZiMGMwNmYiLCJ1c2VySWQiOiIzMTAxODgzOTQifQ==</vt:lpwstr>
  </property>
</Properties>
</file>