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C5F6A">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4036CE8D">
      <w:pPr>
        <w:rPr>
          <w:rFonts w:ascii="Times New Roman" w:hAnsi="Times New Roman" w:eastAsia="微软雅黑" w:cs="Times New Roman"/>
        </w:rPr>
      </w:pPr>
    </w:p>
    <w:p w14:paraId="29A5B208">
      <w:pPr>
        <w:rPr>
          <w:rFonts w:ascii="Times New Roman" w:hAnsi="Times New Roman" w:eastAsia="微软雅黑" w:cs="Times New Roman"/>
        </w:rPr>
      </w:pPr>
    </w:p>
    <w:p w14:paraId="2F90E2F6">
      <w:pPr>
        <w:rPr>
          <w:rFonts w:ascii="Times New Roman" w:hAnsi="Times New Roman" w:eastAsia="微软雅黑" w:cs="Times New Roman"/>
        </w:rPr>
      </w:pPr>
    </w:p>
    <w:p w14:paraId="4D76B076">
      <w:pPr>
        <w:rPr>
          <w:rFonts w:ascii="Times New Roman" w:hAnsi="Times New Roman" w:eastAsia="微软雅黑" w:cs="Times New Roman"/>
        </w:rPr>
      </w:pPr>
    </w:p>
    <w:p w14:paraId="05A3CD35">
      <w:pPr>
        <w:rPr>
          <w:rFonts w:ascii="Times New Roman" w:hAnsi="Times New Roman" w:eastAsia="微软雅黑" w:cs="Times New Roman"/>
        </w:rPr>
      </w:pPr>
    </w:p>
    <w:p w14:paraId="02F00433">
      <w:pPr>
        <w:rPr>
          <w:rFonts w:ascii="Times New Roman" w:hAnsi="Times New Roman" w:eastAsia="微软雅黑" w:cs="Times New Roman"/>
        </w:rPr>
      </w:pPr>
    </w:p>
    <w:p w14:paraId="5C1FA753">
      <w:pPr>
        <w:rPr>
          <w:rFonts w:ascii="Times New Roman" w:hAnsi="Times New Roman" w:eastAsia="微软雅黑" w:cs="Times New Roman"/>
        </w:rPr>
      </w:pPr>
    </w:p>
    <w:p w14:paraId="0BD66866">
      <w:pPr>
        <w:rPr>
          <w:rFonts w:ascii="Times New Roman" w:hAnsi="Times New Roman" w:eastAsia="微软雅黑" w:cs="Times New Roman"/>
        </w:rPr>
      </w:pPr>
    </w:p>
    <w:p w14:paraId="5E1B002B">
      <w:pPr>
        <w:rPr>
          <w:rFonts w:ascii="Times New Roman" w:hAnsi="Times New Roman" w:eastAsia="微软雅黑" w:cs="Times New Roman"/>
        </w:rPr>
      </w:pPr>
    </w:p>
    <w:p w14:paraId="52540492">
      <w:pPr>
        <w:rPr>
          <w:rFonts w:ascii="Times New Roman" w:hAnsi="Times New Roman" w:eastAsia="微软雅黑" w:cs="Times New Roman"/>
        </w:rPr>
      </w:pPr>
    </w:p>
    <w:p w14:paraId="69CCB2DA">
      <w:pPr>
        <w:jc w:val="center"/>
        <w:rPr>
          <w:rFonts w:ascii="Times New Roman" w:hAnsi="Times New Roman" w:eastAsia="微软雅黑" w:cs="Times New Roman"/>
        </w:rPr>
      </w:pPr>
    </w:p>
    <w:p w14:paraId="4E4D1870">
      <w:pPr>
        <w:rPr>
          <w:rFonts w:ascii="Times New Roman" w:hAnsi="Times New Roman" w:eastAsia="微软雅黑" w:cs="Times New Roman"/>
        </w:rPr>
      </w:pPr>
    </w:p>
    <w:p w14:paraId="2E5591F7">
      <w:pPr>
        <w:rPr>
          <w:rFonts w:ascii="Times New Roman" w:hAnsi="Times New Roman" w:eastAsia="微软雅黑" w:cs="Times New Roman"/>
        </w:rPr>
      </w:pPr>
    </w:p>
    <w:p w14:paraId="05093085">
      <w:pPr>
        <w:rPr>
          <w:rFonts w:ascii="Times New Roman" w:hAnsi="Times New Roman" w:eastAsia="微软雅黑" w:cs="Times New Roman"/>
        </w:rPr>
      </w:pPr>
    </w:p>
    <w:p w14:paraId="64682888">
      <w:pPr>
        <w:rPr>
          <w:rFonts w:ascii="Times New Roman" w:hAnsi="Times New Roman" w:eastAsia="微软雅黑" w:cs="Times New Roman"/>
        </w:rPr>
      </w:pPr>
    </w:p>
    <w:p w14:paraId="525E12D5">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2E1E78A4">
      <w:pPr>
        <w:jc w:val="center"/>
        <w:rPr>
          <w:rFonts w:ascii="Times New Roman" w:hAnsi="Times New Roman" w:eastAsia="微软雅黑" w:cs="Times New Roman"/>
          <w:b/>
          <w:sz w:val="48"/>
          <w:szCs w:val="48"/>
        </w:rPr>
      </w:pPr>
    </w:p>
    <w:p w14:paraId="29028368">
      <w:pPr>
        <w:jc w:val="center"/>
        <w:rPr>
          <w:rFonts w:ascii="Times New Roman" w:hAnsi="Times New Roman" w:eastAsia="微软雅黑" w:cs="Times New Roman"/>
          <w:b/>
          <w:sz w:val="48"/>
          <w:szCs w:val="48"/>
        </w:rPr>
      </w:pPr>
    </w:p>
    <w:p w14:paraId="3A08D522">
      <w:pPr>
        <w:jc w:val="center"/>
        <w:rPr>
          <w:rFonts w:ascii="Times New Roman" w:hAnsi="Times New Roman" w:eastAsia="微软雅黑" w:cs="Times New Roman"/>
          <w:b/>
          <w:sz w:val="48"/>
          <w:szCs w:val="48"/>
        </w:rPr>
      </w:pPr>
    </w:p>
    <w:p w14:paraId="56B2524B">
      <w:pPr>
        <w:jc w:val="center"/>
        <w:rPr>
          <w:rFonts w:ascii="Times New Roman" w:hAnsi="Times New Roman" w:eastAsia="微软雅黑" w:cs="Times New Roman"/>
          <w:b/>
          <w:sz w:val="48"/>
          <w:szCs w:val="48"/>
        </w:rPr>
      </w:pPr>
    </w:p>
    <w:p w14:paraId="4D74B48D">
      <w:pPr>
        <w:jc w:val="center"/>
        <w:rPr>
          <w:rFonts w:ascii="Times New Roman" w:hAnsi="Times New Roman" w:eastAsia="微软雅黑" w:cs="Times New Roman"/>
          <w:b/>
          <w:color w:val="1F497D"/>
          <w:sz w:val="36"/>
          <w:szCs w:val="36"/>
        </w:rPr>
      </w:pPr>
    </w:p>
    <w:p w14:paraId="1EEEFA8D">
      <w:pPr>
        <w:jc w:val="center"/>
        <w:rPr>
          <w:rFonts w:ascii="Times New Roman" w:hAnsi="Times New Roman" w:eastAsia="微软雅黑" w:cs="Times New Roman"/>
          <w:b/>
          <w:bCs/>
          <w:color w:val="1F497D"/>
          <w:sz w:val="36"/>
          <w:szCs w:val="36"/>
        </w:rPr>
      </w:pPr>
    </w:p>
    <w:p w14:paraId="4841F35B">
      <w:pPr>
        <w:jc w:val="center"/>
        <w:rPr>
          <w:rFonts w:ascii="Times New Roman" w:hAnsi="Times New Roman" w:eastAsia="微软雅黑" w:cs="Times New Roman"/>
          <w:b/>
          <w:bCs/>
          <w:color w:val="1F497D"/>
          <w:sz w:val="36"/>
          <w:szCs w:val="36"/>
        </w:rPr>
      </w:pPr>
    </w:p>
    <w:p w14:paraId="1F557D9F">
      <w:pPr>
        <w:jc w:val="center"/>
        <w:rPr>
          <w:rFonts w:ascii="Times New Roman" w:hAnsi="Times New Roman" w:eastAsia="微软雅黑" w:cs="Times New Roman"/>
          <w:b/>
          <w:bCs/>
          <w:color w:val="1F497D"/>
          <w:sz w:val="36"/>
          <w:szCs w:val="36"/>
        </w:rPr>
      </w:pPr>
    </w:p>
    <w:p w14:paraId="3E914E3B">
      <w:pPr>
        <w:jc w:val="center"/>
        <w:rPr>
          <w:rFonts w:ascii="Times New Roman" w:hAnsi="Times New Roman" w:eastAsia="微软雅黑" w:cs="Times New Roman"/>
          <w:b/>
          <w:bCs/>
          <w:color w:val="1F497D"/>
          <w:sz w:val="36"/>
          <w:szCs w:val="36"/>
        </w:rPr>
      </w:pPr>
    </w:p>
    <w:p w14:paraId="3A0C6ACA">
      <w:pPr>
        <w:jc w:val="center"/>
        <w:rPr>
          <w:rFonts w:ascii="Times New Roman" w:hAnsi="Times New Roman" w:eastAsia="微软雅黑" w:cs="Times New Roman"/>
          <w:b/>
          <w:bCs/>
          <w:color w:val="1F497D"/>
          <w:sz w:val="36"/>
          <w:szCs w:val="36"/>
        </w:rPr>
      </w:pPr>
    </w:p>
    <w:p w14:paraId="66229506">
      <w:pPr>
        <w:jc w:val="center"/>
        <w:rPr>
          <w:rFonts w:ascii="Times New Roman" w:hAnsi="Times New Roman" w:eastAsia="微软雅黑" w:cs="Times New Roman"/>
          <w:b/>
          <w:bCs/>
          <w:color w:val="1F497D"/>
          <w:sz w:val="36"/>
          <w:szCs w:val="36"/>
        </w:rPr>
      </w:pPr>
    </w:p>
    <w:p w14:paraId="4CA9C617">
      <w:pPr>
        <w:jc w:val="center"/>
        <w:rPr>
          <w:rFonts w:ascii="Times New Roman" w:hAnsi="Times New Roman" w:eastAsia="微软雅黑" w:cs="Times New Roman"/>
          <w:b/>
          <w:bCs/>
          <w:color w:val="1F497D"/>
          <w:sz w:val="36"/>
          <w:szCs w:val="36"/>
        </w:rPr>
      </w:pPr>
    </w:p>
    <w:p w14:paraId="7C0D996E">
      <w:pPr>
        <w:jc w:val="center"/>
        <w:rPr>
          <w:rFonts w:ascii="黑体" w:hAnsi="黑体" w:eastAsia="黑体" w:cs="黑体"/>
          <w:b/>
          <w:bCs/>
          <w:color w:val="1F497D"/>
          <w:sz w:val="36"/>
          <w:szCs w:val="36"/>
        </w:rPr>
      </w:pPr>
      <w:r>
        <w:rPr>
          <w:rFonts w:hint="eastAsia" w:ascii="黑体" w:hAnsi="黑体" w:eastAsia="黑体" w:cs="黑体"/>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ascii="黑体" w:hAnsi="黑体" w:eastAsia="黑体" w:cs="黑体"/>
          <w:b/>
          <w:bCs/>
          <w:color w:val="1F497D"/>
          <w:sz w:val="36"/>
          <w:szCs w:val="36"/>
        </w:rPr>
        <w:t>重庆大学附属肿瘤医院 重庆市肿瘤医院 病理科</w:t>
      </w:r>
    </w:p>
    <w:p w14:paraId="6ADE766D">
      <w:pPr>
        <w:keepNext w:val="0"/>
        <w:keepLines w:val="0"/>
        <w:pageBreakBefore w:val="0"/>
        <w:widowControl w:val="0"/>
        <w:kinsoku/>
        <w:wordWrap/>
        <w:overflowPunct/>
        <w:topLinePunct w:val="0"/>
        <w:autoSpaceDE/>
        <w:autoSpaceDN/>
        <w:bidi w:val="0"/>
        <w:adjustRightInd/>
        <w:snapToGrid/>
        <w:ind w:firstLine="1988" w:firstLineChars="550"/>
        <w:jc w:val="both"/>
        <w:textAlignment w:val="auto"/>
        <w:rPr>
          <w:rFonts w:ascii="Times New Roman" w:hAnsi="Times New Roman" w:eastAsia="微软雅黑" w:cs="Times New Roman"/>
          <w:b/>
          <w:color w:val="1F497D"/>
          <w:sz w:val="36"/>
          <w:szCs w:val="36"/>
          <w:highlight w:val="none"/>
        </w:rPr>
      </w:pPr>
      <w:r>
        <w:rPr>
          <w:rFonts w:hint="eastAsia" w:ascii="黑体" w:hAnsi="黑体" w:eastAsia="黑体" w:cs="黑体"/>
          <w:b/>
          <w:bCs/>
          <w:color w:val="1F497D"/>
          <w:sz w:val="36"/>
          <w:szCs w:val="36"/>
          <w:highlight w:val="none"/>
          <w:lang w:val="en-US" w:eastAsia="zh-CN"/>
        </w:rPr>
        <w:t>60基因测序</w:t>
      </w:r>
      <w:r>
        <w:rPr>
          <w:rFonts w:ascii="黑体" w:hAnsi="黑体" w:eastAsia="黑体" w:cs="黑体"/>
          <w:b/>
          <w:bCs/>
          <w:color w:val="1F497D"/>
          <w:sz w:val="36"/>
          <w:szCs w:val="36"/>
          <w:highlight w:val="none"/>
        </w:rPr>
        <w:t>检测报告</w:t>
      </w:r>
    </w:p>
    <w:p w14:paraId="1B185928">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07847675">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4EC7199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8E19FD">
            <w:pPr>
              <w:widowControl/>
              <w:jc w:val="center"/>
              <w:textAlignment w:val="center"/>
              <w:rPr>
                <w:b/>
                <w:color w:val="000000"/>
                <w:sz w:val="21"/>
                <w:szCs w:val="21"/>
                <w:lang w:bidi="ar"/>
              </w:rPr>
            </w:pPr>
            <w:r>
              <w:rPr>
                <w:rFonts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FE7ABF">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7A2C3A4">
            <w:pPr>
              <w:widowControl/>
              <w:jc w:val="center"/>
              <w:textAlignment w:val="center"/>
              <w:rPr>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7B7280E">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259DCE">
            <w:pPr>
              <w:widowControl/>
              <w:jc w:val="center"/>
              <w:textAlignment w:val="center"/>
              <w:rPr>
                <w:b/>
                <w:color w:val="000000"/>
                <w:sz w:val="21"/>
                <w:szCs w:val="21"/>
                <w:lang w:bidi="ar"/>
              </w:rPr>
            </w:pPr>
            <w:r>
              <w:rPr>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969B3A9">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62EC468">
            <w:pPr>
              <w:widowControl/>
              <w:jc w:val="center"/>
              <w:textAlignment w:val="center"/>
              <w:rPr>
                <w:rFonts w:ascii="Times New Roman" w:hAnsi="Times New Roman" w:cs="Times New Roman"/>
                <w:b/>
                <w:bCs/>
                <w:kern w:val="2"/>
              </w:rPr>
            </w:pPr>
          </w:p>
        </w:tc>
      </w:tr>
      <w:tr w14:paraId="1075FECD">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84A740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057B7D2">
            <w:pPr>
              <w:widowControl/>
              <w:jc w:val="center"/>
              <w:textAlignment w:val="center"/>
              <w:rPr>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F70E9A7">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10833FD">
            <w:pPr>
              <w:jc w:val="center"/>
              <w:rPr>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23B93E">
            <w:pPr>
              <w:widowControl/>
              <w:jc w:val="center"/>
              <w:textAlignment w:val="center"/>
              <w:rPr>
                <w:b/>
                <w:color w:val="000000"/>
                <w:sz w:val="21"/>
                <w:szCs w:val="21"/>
                <w:lang w:bidi="ar"/>
              </w:rPr>
            </w:pPr>
            <w:r>
              <w:rPr>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2495FF87">
            <w:pPr>
              <w:widowControl/>
              <w:jc w:val="center"/>
              <w:textAlignment w:val="center"/>
              <w:rPr>
                <w:b/>
                <w:color w:val="000000"/>
                <w:sz w:val="21"/>
                <w:szCs w:val="21"/>
                <w:lang w:bidi="ar"/>
              </w:rPr>
            </w:pPr>
          </w:p>
        </w:tc>
      </w:tr>
      <w:tr w14:paraId="6FF5DC23">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2ECFBF5">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28B07A5">
            <w:pPr>
              <w:widowControl/>
              <w:jc w:val="center"/>
              <w:textAlignment w:val="center"/>
              <w:rPr>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B10B050">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63FA378">
            <w:pPr>
              <w:widowControl/>
              <w:jc w:val="center"/>
              <w:textAlignment w:val="center"/>
              <w:rPr>
                <w:rFonts w:ascii="Times New Roman" w:hAnsi="Times New Roman" w:cs="Times New Roman"/>
                <w:b/>
                <w:bCs/>
              </w:rPr>
            </w:pPr>
            <w:r>
              <w:rPr>
                <w:rFonts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5532CBC">
            <w:pPr>
              <w:widowControl/>
              <w:jc w:val="center"/>
              <w:textAlignment w:val="center"/>
              <w:rPr>
                <w:b/>
                <w:color w:val="000000"/>
                <w:sz w:val="21"/>
                <w:szCs w:val="21"/>
                <w:lang w:bidi="ar"/>
              </w:rPr>
            </w:pPr>
            <w:r>
              <w:rPr>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354B7477">
            <w:pPr>
              <w:widowControl/>
              <w:jc w:val="center"/>
              <w:textAlignment w:val="center"/>
              <w:rPr>
                <w:rFonts w:ascii="Times New Roman" w:hAnsi="Times New Roman" w:cs="Times New Roman"/>
                <w:b/>
                <w:bCs/>
                <w:kern w:val="2"/>
              </w:rPr>
            </w:pPr>
            <w:r>
              <w:rPr>
                <w:rFonts w:ascii="Times New Roman" w:hAnsi="Times New Roman" w:cs="Times New Roman"/>
                <w:b/>
                <w:bCs/>
                <w:kern w:val="2"/>
              </w:rPr>
              <w:t>{{ commission_date }}</w:t>
            </w:r>
          </w:p>
        </w:tc>
      </w:tr>
    </w:tbl>
    <w:p w14:paraId="7019B6AB">
      <w:pPr>
        <w:rPr>
          <w:rFonts w:ascii="Times New Roman" w:hAnsi="Times New Roman" w:eastAsia="微软雅黑" w:cs="Times New Roman"/>
        </w:rPr>
      </w:pPr>
    </w:p>
    <w:p w14:paraId="1FFB1E60">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08BFF43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vAlign w:val="top"/>
          </w:tcPr>
          <w:p w14:paraId="494840D6">
            <w:pPr>
              <w:pStyle w:val="17"/>
              <w:rPr>
                <w:rFonts w:asciiTheme="minorEastAsia" w:hAnsiTheme="minorEastAsia" w:eastAsiaTheme="minorEastAsia"/>
                <w:b/>
                <w:sz w:val="21"/>
                <w:szCs w:val="21"/>
              </w:rPr>
            </w:pPr>
            <w:bookmarkStart w:id="0" w:name="_Toc526855031"/>
            <w:bookmarkStart w:id="1" w:name="_Toc527112379"/>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549" w:type="dxa"/>
            <w:vAlign w:val="center"/>
          </w:tcPr>
          <w:p w14:paraId="3297325D">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脱氧核糖核酸(DNA)测序</w:t>
            </w:r>
          </w:p>
        </w:tc>
      </w:tr>
      <w:tr w14:paraId="3CBAE9F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056E314E">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549" w:type="dxa"/>
            <w:vAlign w:val="center"/>
          </w:tcPr>
          <w:p w14:paraId="710CF753">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组织学样本,肿瘤细胞比例&gt;20%</w:t>
            </w:r>
          </w:p>
        </w:tc>
      </w:tr>
      <w:tr w14:paraId="48EB1D1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242" w:type="dxa"/>
          </w:tcPr>
          <w:p w14:paraId="1135540E">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检测平台</w:t>
            </w:r>
          </w:p>
        </w:tc>
        <w:tc>
          <w:tcPr>
            <w:tcW w:w="8549" w:type="dxa"/>
            <w:vAlign w:val="center"/>
          </w:tcPr>
          <w:p w14:paraId="2B6CC412">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Life ion torrent DA8600</w:t>
            </w:r>
          </w:p>
        </w:tc>
      </w:tr>
      <w:tr w14:paraId="4428F29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trPr>
        <w:tc>
          <w:tcPr>
            <w:tcW w:w="1242" w:type="dxa"/>
          </w:tcPr>
          <w:p w14:paraId="5BAB3AE9">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549" w:type="dxa"/>
          </w:tcPr>
          <w:p w14:paraId="3193752A">
            <w:pPr>
              <w:pStyle w:val="17"/>
              <w:keepNext w:val="0"/>
              <w:keepLines w:val="0"/>
              <w:pageBreakBefore w:val="0"/>
              <w:widowControl/>
              <w:kinsoku/>
              <w:wordWrap/>
              <w:overflowPunct/>
              <w:topLinePunct w:val="0"/>
              <w:autoSpaceDE/>
              <w:autoSpaceDN/>
              <w:bidi w:val="0"/>
              <w:adjustRightInd/>
              <w:snapToGrid/>
              <w:spacing w:before="60" w:beforeAutospacing="0"/>
              <w:textAlignment w:val="auto"/>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基于DNA，RNA水平，用二代测序平台检测</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肿瘤个性</w:t>
            </w:r>
            <w:r>
              <w:rPr>
                <w:rFonts w:asciiTheme="minorEastAsia" w:hAnsiTheme="minorEastAsia" w:eastAsiaTheme="minorEastAsia"/>
                <w:color w:val="000000" w:themeColor="text1"/>
                <w:sz w:val="21"/>
                <w:szCs w:val="21"/>
                <w14:textFill>
                  <w14:solidFill>
                    <w14:schemeClr w14:val="tx1"/>
                  </w14:solidFill>
                </w14:textFill>
              </w:rPr>
              <w:t>化</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诊疗</w:t>
            </w:r>
            <w:r>
              <w:rPr>
                <w:rFonts w:asciiTheme="minorEastAsia" w:hAnsiTheme="minorEastAsia" w:eastAsiaTheme="minorEastAsia"/>
                <w:color w:val="000000" w:themeColor="text1"/>
                <w:sz w:val="21"/>
                <w:szCs w:val="21"/>
                <w14:textFill>
                  <w14:solidFill>
                    <w14:schemeClr w14:val="tx1"/>
                  </w14:solidFill>
                </w14:textFill>
              </w:rPr>
              <w:t>相关基因的特定变异。</w:t>
            </w:r>
          </w:p>
          <w:p w14:paraId="4F94C595">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可检测KRAS, NRAS, BRAF, HRAS,</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PIK3CA,</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PDGFRA</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ERBB2/3/4, RET, MET, ROS1,</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 xml:space="preserve">UGT1A1, PTEN,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KIT, </w:t>
            </w:r>
            <w:r>
              <w:rPr>
                <w:rFonts w:asciiTheme="minorEastAsia" w:hAnsiTheme="minorEastAsia" w:eastAsiaTheme="minorEastAsia"/>
                <w:color w:val="000000" w:themeColor="text1"/>
                <w:sz w:val="21"/>
                <w:szCs w:val="21"/>
                <w14:textFill>
                  <w14:solidFill>
                    <w14:schemeClr w14:val="tx1"/>
                  </w14:solidFill>
                </w14:textFill>
              </w:rPr>
              <w:t>TP53, IDH1/2, JAK1/2/3, FGFR2/3, ALK, EGFR等43基因的全外显子或热点区域，提供基因的点突变（SNV）和插入缺失（INDEL）两种变异类型的检出情况。</w:t>
            </w:r>
          </w:p>
          <w:p w14:paraId="13F158C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ERBB2</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ALK</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MET</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BRAF</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CCND1</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KRAS</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MYC等19个基因的拷贝数变异（CNV）。</w:t>
            </w:r>
          </w:p>
          <w:p w14:paraId="68CA8BAA">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NTRK1/2/3,</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ALK, ROS1, RET, FGFR1/2/3, MET, BRAF, RAF1, ERG, ETV1/4/5, ABL1, AKT3, AXL, EGFR, PPARG, PDGFRA共23个基因的融合检测（RNA水平）。</w:t>
            </w:r>
          </w:p>
        </w:tc>
      </w:tr>
      <w:tr w14:paraId="410C97A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1242" w:type="dxa"/>
          </w:tcPr>
          <w:p w14:paraId="2860E3E1">
            <w:pPr>
              <w:pStyle w:val="17"/>
              <w:rPr>
                <w:rFonts w:hint="eastAsia" w:asciiTheme="minorEastAsia" w:hAnsiTheme="minorEastAsia" w:eastAsiaTheme="minorEastAsia"/>
                <w:b/>
                <w:sz w:val="21"/>
                <w:szCs w:val="21"/>
              </w:rPr>
            </w:pPr>
            <w:r>
              <w:rPr>
                <w:rFonts w:hint="eastAsia"/>
                <w:b/>
                <w:color w:val="000000"/>
                <w:sz w:val="21"/>
                <w:szCs w:val="21"/>
                <w:lang w:val="en-US" w:eastAsia="zh-CN" w:bidi="ar"/>
              </w:rPr>
              <w:t>病理诊断</w:t>
            </w:r>
          </w:p>
        </w:tc>
        <w:tc>
          <w:tcPr>
            <w:tcW w:w="8549" w:type="dxa"/>
            <w:vAlign w:val="center"/>
          </w:tcPr>
          <w:p w14:paraId="2DAED3D1">
            <w:pPr>
              <w:pStyle w:val="17"/>
              <w:spacing w:line="260" w:lineRule="exact"/>
              <w:jc w:val="both"/>
              <w:rPr>
                <w:rFonts w:asciiTheme="minorEastAsia" w:hAnsiTheme="minorEastAsia" w:eastAsiaTheme="minorEastAsia"/>
                <w:color w:val="000000" w:themeColor="text1"/>
                <w:sz w:val="21"/>
                <w:szCs w:val="21"/>
                <w14:textFill>
                  <w14:solidFill>
                    <w14:schemeClr w14:val="tx1"/>
                  </w14:solidFill>
                </w14:textFill>
              </w:rPr>
            </w:pPr>
          </w:p>
        </w:tc>
      </w:tr>
    </w:tbl>
    <w:p w14:paraId="3F70E914">
      <w:pPr>
        <w:rPr>
          <w:rFonts w:ascii="Times New Roman" w:hAnsi="Times New Roman" w:eastAsia="微软雅黑" w:cs="Times New Roman"/>
          <w:b/>
          <w:bCs/>
          <w:sz w:val="28"/>
          <w:szCs w:val="28"/>
        </w:rPr>
      </w:pPr>
    </w:p>
    <w:p w14:paraId="5D373225">
      <w:pPr>
        <w:rPr>
          <w:b/>
          <w:bCs/>
          <w:sz w:val="28"/>
          <w:szCs w:val="28"/>
        </w:rPr>
      </w:pPr>
      <w:r>
        <w:rPr>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3D050F6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Ex>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7C049BA4">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69EEF407">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14D65B02">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质控标准</w:t>
            </w:r>
          </w:p>
        </w:tc>
      </w:tr>
      <w:tr w14:paraId="10FD1EB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shd w:val="clear" w:color="auto" w:fill="auto"/>
            <w:vAlign w:val="center"/>
          </w:tcPr>
          <w:p w14:paraId="58E592FF">
            <w:pPr>
              <w:jc w:val="center"/>
              <w:rPr>
                <w:rFonts w:asciiTheme="minorEastAsia" w:hAnsiTheme="minorEastAsia" w:eastAsiaTheme="minorEastAsia"/>
                <w:b/>
                <w:bCs/>
              </w:rPr>
            </w:pPr>
            <w:r>
              <w:rPr>
                <w:rFonts w:asciiTheme="minorEastAsia" w:hAnsiTheme="minorEastAsia" w:eastAsiaTheme="minorEastAsia"/>
                <w:b/>
                <w:bCs/>
              </w:rPr>
              <w:t>目标区域平均测序深度</w:t>
            </w:r>
            <w:r>
              <w:rPr>
                <w:rFonts w:hint="eastAsia" w:asciiTheme="minorEastAsia" w:hAnsiTheme="minorEastAsia" w:eastAsiaTheme="minorEastAsia"/>
                <w:b/>
                <w:bCs/>
              </w:rPr>
              <w:t>*</w:t>
            </w:r>
          </w:p>
        </w:tc>
        <w:tc>
          <w:tcPr>
            <w:tcW w:w="3197" w:type="dxa"/>
            <w:shd w:val="clear" w:color="auto" w:fill="auto"/>
            <w:vAlign w:val="center"/>
          </w:tcPr>
          <w:p w14:paraId="1B96E711">
            <w:pPr>
              <w:jc w:val="center"/>
              <w:rPr>
                <w:rFonts w:ascii="Times New Roman" w:hAnsi="Times New Roman" w:eastAsia="微软雅黑" w:cs="Times New Roman"/>
              </w:rPr>
            </w:pPr>
            <w:r>
              <w:rPr>
                <w:rFonts w:ascii="Times New Roman" w:hAnsi="Times New Roman" w:eastAsia="微软雅黑" w:cs="Times New Roman"/>
                <w:kern w:val="2"/>
                <w:sz w:val="24"/>
                <w:szCs w:val="24"/>
              </w:rPr>
              <w:t>{{ meanSequencingDepth }}</w:t>
            </w:r>
            <w:r>
              <w:rPr>
                <w:rFonts w:ascii="Times New Roman" w:hAnsi="Times New Roman" w:eastAsia="微软雅黑" w:cs="Times New Roman"/>
                <w:color w:val="000000"/>
                <w:kern w:val="2"/>
                <w:sz w:val="24"/>
                <w:szCs w:val="24"/>
              </w:rPr>
              <w:t>X</w:t>
            </w:r>
          </w:p>
        </w:tc>
        <w:tc>
          <w:tcPr>
            <w:tcW w:w="1276" w:type="dxa"/>
            <w:shd w:val="clear" w:color="auto" w:fill="auto"/>
            <w:vAlign w:val="center"/>
          </w:tcPr>
          <w:p w14:paraId="3CC82AFB">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≥3000X</w:t>
            </w:r>
          </w:p>
        </w:tc>
      </w:tr>
      <w:tr w14:paraId="3909A1C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vAlign w:val="center"/>
          </w:tcPr>
          <w:p w14:paraId="40B36DC8">
            <w:pPr>
              <w:jc w:val="center"/>
              <w:rPr>
                <w:rFonts w:asciiTheme="minorEastAsia" w:hAnsiTheme="minorEastAsia" w:eastAsiaTheme="minorEastAsia"/>
                <w:b/>
                <w:bCs/>
              </w:rPr>
            </w:pPr>
            <w:r>
              <w:rPr>
                <w:rFonts w:asciiTheme="minorEastAsia" w:hAnsiTheme="minorEastAsia" w:eastAsiaTheme="minorEastAsia"/>
                <w:b/>
                <w:bCs/>
              </w:rPr>
              <w:t>覆盖度</w:t>
            </w:r>
          </w:p>
        </w:tc>
        <w:tc>
          <w:tcPr>
            <w:tcW w:w="3197" w:type="dxa"/>
            <w:vAlign w:val="center"/>
          </w:tcPr>
          <w:p w14:paraId="2B504BEF">
            <w:pPr>
              <w:jc w:val="center"/>
              <w:rPr>
                <w:rFonts w:ascii="Times New Roman" w:hAnsi="Times New Roman" w:eastAsia="微软雅黑" w:cs="Times New Roman"/>
              </w:rPr>
            </w:pPr>
            <w:r>
              <w:rPr>
                <w:rFonts w:ascii="Times New Roman" w:hAnsi="Times New Roman" w:eastAsia="微软雅黑" w:cs="Times New Roman"/>
                <w:kern w:val="2"/>
                <w:sz w:val="24"/>
                <w:szCs w:val="24"/>
              </w:rPr>
              <w:t>{{ targetAreaCoverage }}</w:t>
            </w:r>
            <w:r>
              <w:rPr>
                <w:rFonts w:ascii="Times New Roman" w:hAnsi="Times New Roman" w:eastAsia="微软雅黑" w:cs="Times New Roman"/>
                <w:color w:val="000000"/>
                <w:kern w:val="2"/>
                <w:sz w:val="24"/>
                <w:szCs w:val="24"/>
              </w:rPr>
              <w:t>%</w:t>
            </w:r>
          </w:p>
        </w:tc>
        <w:tc>
          <w:tcPr>
            <w:tcW w:w="1276" w:type="dxa"/>
            <w:vAlign w:val="center"/>
          </w:tcPr>
          <w:p w14:paraId="1156B244">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≥95%</w:t>
            </w:r>
          </w:p>
        </w:tc>
      </w:tr>
    </w:tbl>
    <w:p w14:paraId="1A36DE12">
      <w:pPr>
        <w:pStyle w:val="2"/>
        <w:ind w:firstLine="900" w:firstLineChars="500"/>
        <w:jc w:val="left"/>
        <w:rPr>
          <w:rFonts w:ascii="Times New Roman" w:hAnsi="Times New Roman" w:eastAsia="微软雅黑" w:cs="Times New Roman"/>
          <w:b w:val="0"/>
          <w:sz w:val="22"/>
          <w:szCs w:val="22"/>
        </w:rPr>
      </w:pPr>
      <w:bookmarkStart w:id="2" w:name="_Toc534637492"/>
      <w:r>
        <w:rPr>
          <w:rFonts w:hint="eastAsia" w:ascii="宋体" w:hAnsi="宋体" w:eastAsia="宋体" w:cs="Times New Roman"/>
          <w:b w:val="0"/>
          <w:sz w:val="18"/>
          <w:szCs w:val="18"/>
        </w:rPr>
        <w:t>注：结合本平台试剂扩增效率和生物信息学统计结果，建议平均测序深度质控标准不低于</w:t>
      </w:r>
      <w:r>
        <w:rPr>
          <w:rFonts w:hint="eastAsia" w:ascii="Times New Roman" w:hAnsi="Times New Roman" w:eastAsia="微软雅黑" w:cs="Times New Roman"/>
          <w:b w:val="0"/>
          <w:sz w:val="18"/>
          <w:szCs w:val="18"/>
        </w:rPr>
        <w:t>3000X</w:t>
      </w:r>
    </w:p>
    <w:p w14:paraId="7A42517C">
      <w:pPr>
        <w:jc w:val="center"/>
        <w:rPr>
          <w:rFonts w:ascii="Times New Roman" w:hAnsi="Times New Roman" w:eastAsia="微软雅黑" w:cs="Times New Roman"/>
          <w:b/>
          <w:color w:val="FFFFFF"/>
          <w:sz w:val="36"/>
          <w:szCs w:val="30"/>
          <w:shd w:val="clear" w:color="auto" w:fill="17365D"/>
        </w:rPr>
      </w:pPr>
    </w:p>
    <w:p w14:paraId="7AF0B7EC">
      <w:pPr>
        <w:pStyle w:val="2"/>
        <w:rPr>
          <w:rFonts w:ascii="Times New Roman" w:hAnsi="Times New Roman" w:eastAsia="微软雅黑" w:cs="Times New Roman"/>
          <w:color w:val="FFFFFF"/>
          <w:szCs w:val="30"/>
          <w:shd w:val="clear" w:color="auto" w:fill="17365D"/>
        </w:rPr>
      </w:pPr>
      <w:r>
        <w:rPr>
          <w:rFonts w:ascii="Times New Roman" w:hAnsi="Times New Roman" w:eastAsia="宋体" w:cs="Times New Roman"/>
          <w:color w:val="FFFFFF"/>
          <w:szCs w:val="30"/>
          <w:shd w:val="clear" w:color="auto" w:fill="17365D"/>
        </w:rPr>
        <w:t>检测结果</w:t>
      </w:r>
      <w:bookmarkEnd w:id="0"/>
      <w:bookmarkEnd w:id="1"/>
      <w:bookmarkEnd w:id="2"/>
    </w:p>
    <w:p w14:paraId="33DDFCED">
      <w:pPr>
        <w:rPr>
          <w:rFonts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1"/>
        <w:gridCol w:w="1494"/>
        <w:gridCol w:w="1494"/>
        <w:gridCol w:w="1494"/>
        <w:gridCol w:w="1494"/>
        <w:gridCol w:w="1737"/>
      </w:tblGrid>
      <w:tr w14:paraId="20E1E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1F0CDE8D">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tcBorders>
              <w:tl2br w:val="nil"/>
              <w:tr2bl w:val="nil"/>
            </w:tcBorders>
            <w:vAlign w:val="center"/>
          </w:tcPr>
          <w:p w14:paraId="27FF4910">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w:t>
            </w:r>
          </w:p>
        </w:tc>
        <w:tc>
          <w:tcPr>
            <w:tcW w:w="3378" w:type="pct"/>
            <w:gridSpan w:val="4"/>
            <w:tcBorders>
              <w:tl2br w:val="nil"/>
              <w:tr2bl w:val="nil"/>
            </w:tcBorders>
            <w:vAlign w:val="center"/>
          </w:tcPr>
          <w:p w14:paraId="790256D8">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有重要的临床意义</w:t>
            </w:r>
          </w:p>
        </w:tc>
      </w:tr>
      <w:tr w14:paraId="5DF7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53DD71F7">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60A5B8A0">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tcBorders>
              <w:tl2br w:val="nil"/>
              <w:tr2bl w:val="nil"/>
            </w:tcBorders>
            <w:shd w:val="clear" w:color="auto" w:fill="1F497D" w:themeFill="text2"/>
            <w:vAlign w:val="center"/>
          </w:tcPr>
          <w:p w14:paraId="374B68B5">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tcBorders>
              <w:tl2br w:val="nil"/>
              <w:tr2bl w:val="nil"/>
            </w:tcBorders>
            <w:shd w:val="clear" w:color="auto" w:fill="1F497D" w:themeFill="text2"/>
            <w:vAlign w:val="center"/>
          </w:tcPr>
          <w:p w14:paraId="52479CD8">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tcBorders>
              <w:tl2br w:val="nil"/>
              <w:tr2bl w:val="nil"/>
            </w:tcBorders>
            <w:shd w:val="clear" w:color="auto" w:fill="1F497D" w:themeFill="text2"/>
            <w:vAlign w:val="center"/>
          </w:tcPr>
          <w:p w14:paraId="1768320F">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3" w:type="pct"/>
            <w:tcBorders>
              <w:tl2br w:val="nil"/>
              <w:tr2bl w:val="nil"/>
            </w:tcBorders>
            <w:shd w:val="clear" w:color="auto" w:fill="1F497D" w:themeFill="text2"/>
            <w:vAlign w:val="center"/>
          </w:tcPr>
          <w:p w14:paraId="0AF63343">
            <w:pPr>
              <w:jc w:val="center"/>
              <w:rPr>
                <w:rFonts w:hint="eastAsia" w:ascii="Calibri" w:hAnsi="Calibri" w:eastAsia="宋体" w:cs="Times New Roman"/>
                <w:b/>
                <w:bCs/>
                <w:sz w:val="18"/>
                <w:szCs w:val="18"/>
                <w:lang w:eastAsia="zh-CN"/>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672D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25899826">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variationGrading.variationGrading1</w:t>
            </w:r>
            <w:r>
              <w:rPr>
                <w:rFonts w:ascii="Times New Roman" w:hAnsi="Times New Roman"/>
                <w:kern w:val="2"/>
                <w:sz w:val="18"/>
                <w:szCs w:val="18"/>
              </w:rPr>
              <w:t xml:space="preserve"> != [] %}</w:t>
            </w:r>
          </w:p>
        </w:tc>
      </w:tr>
      <w:tr w14:paraId="4C7D7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2119C4DB">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variationGrading.variationGrading1</w:t>
            </w:r>
            <w:r>
              <w:rPr>
                <w:rFonts w:ascii="Times New Roman" w:hAnsi="Times New Roman"/>
                <w:kern w:val="2"/>
                <w:sz w:val="18"/>
                <w:szCs w:val="18"/>
              </w:rPr>
              <w:t xml:space="preserve"> %}</w:t>
            </w:r>
          </w:p>
        </w:tc>
      </w:tr>
      <w:tr w14:paraId="1977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6EF5E440">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1056A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515F2BD">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811" w:type="pct"/>
            <w:tcBorders>
              <w:tl2br w:val="nil"/>
              <w:tr2bl w:val="nil"/>
            </w:tcBorders>
            <w:vAlign w:val="center"/>
          </w:tcPr>
          <w:p w14:paraId="311AE31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7CD3421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4558545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6FCB601A">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943" w:type="pct"/>
            <w:tcBorders>
              <w:tl2br w:val="nil"/>
              <w:tr2bl w:val="nil"/>
            </w:tcBorders>
            <w:vAlign w:val="center"/>
          </w:tcPr>
          <w:p w14:paraId="2B2DFCB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17F56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46CEE0D1">
            <w:pPr>
              <w:adjustRightInd w:val="0"/>
              <w:snapToGrid w:val="0"/>
              <w:jc w:val="center"/>
              <w:rPr>
                <w:rFonts w:hint="default" w:ascii="Times New Roman" w:hAnsi="Times New Roman" w:eastAsia="宋体"/>
                <w:kern w:val="2"/>
                <w:sz w:val="18"/>
                <w:szCs w:val="18"/>
                <w:lang w:val="en-US" w:eastAsia="zh-CN"/>
              </w:rPr>
            </w:pPr>
            <w:r>
              <w:rPr>
                <w:rFonts w:ascii="Times New Roman" w:hAnsi="Times New Roman"/>
                <w:kern w:val="2"/>
                <w:sz w:val="18"/>
                <w:szCs w:val="18"/>
              </w:rPr>
              <w:t>{%tr else %}</w:t>
            </w:r>
          </w:p>
        </w:tc>
      </w:tr>
      <w:tr w14:paraId="44C46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5D8F893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3246" w:type="pct"/>
            <w:gridSpan w:val="4"/>
            <w:tcBorders>
              <w:tl2br w:val="nil"/>
              <w:tr2bl w:val="nil"/>
            </w:tcBorders>
            <w:vAlign w:val="center"/>
          </w:tcPr>
          <w:p w14:paraId="5C9573C4">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default" w:ascii="Times New Roman" w:hAnsi="Times New Roman"/>
                <w:kern w:val="2"/>
                <w:sz w:val="18"/>
                <w:szCs w:val="18"/>
                <w:lang w:val="en-US" w:eastAsia="en-US"/>
              </w:rPr>
              <w:t xml:space="preserve">{% if </w:t>
            </w:r>
            <w:r>
              <w:rPr>
                <w:rFonts w:hint="eastAsia" w:ascii="Times New Roman" w:hAnsi="Times New Roman"/>
                <w:kern w:val="2"/>
                <w:sz w:val="18"/>
                <w:szCs w:val="18"/>
                <w:lang w:val="en-US" w:eastAsia="zh-CN"/>
              </w:rPr>
              <w:t>vg.ori_variant</w:t>
            </w:r>
            <w:r>
              <w:rPr>
                <w:rFonts w:hint="default" w:ascii="Times New Roman" w:hAnsi="Times New Roman"/>
                <w:kern w:val="2"/>
                <w:sz w:val="18"/>
                <w:szCs w:val="18"/>
                <w:lang w:val="en-US" w:eastAsia="zh-CN"/>
              </w:rPr>
              <w:t xml:space="preserve"> == ‘</w:t>
            </w:r>
            <w:r>
              <w:rPr>
                <w:rFonts w:hint="eastAsia" w:ascii="Times New Roman" w:hAnsi="Times New Roman"/>
                <w:kern w:val="2"/>
                <w:sz w:val="18"/>
                <w:szCs w:val="18"/>
                <w:lang w:val="en-US" w:eastAsia="zh-CN"/>
              </w:rPr>
              <w:t>MET-MET Fusion M13:M15</w:t>
            </w:r>
            <w:r>
              <w:rPr>
                <w:rFonts w:hint="default" w:ascii="Times New Roman" w:hAnsi="Times New Roman"/>
                <w:kern w:val="2"/>
                <w:sz w:val="18"/>
                <w:szCs w:val="18"/>
                <w:lang w:val="en-US" w:eastAsia="zh-CN"/>
              </w:rPr>
              <w:t>’ %</w:t>
            </w:r>
            <w:r>
              <w:rPr>
                <w:rFonts w:hint="default" w:ascii="Times New Roman" w:hAnsi="Times New Roman"/>
                <w:kern w:val="2"/>
                <w:sz w:val="18"/>
                <w:szCs w:val="18"/>
                <w:lang w:val="en-US" w:eastAsia="en-US"/>
              </w:rPr>
              <w:t>}14号外显子跳跃突变{% else %}</w:t>
            </w:r>
            <w:r>
              <w:rPr>
                <w:rFonts w:hint="eastAsia" w:ascii="Times New Roman" w:hAnsi="Times New Roman"/>
                <w:kern w:val="2"/>
                <w:sz w:val="18"/>
                <w:szCs w:val="18"/>
                <w:lang w:val="en-US" w:eastAsia="zh-CN"/>
              </w:rPr>
              <w:t>{{ vg.ori_variant }}</w:t>
            </w:r>
            <w:r>
              <w:rPr>
                <w:rFonts w:hint="default" w:ascii="Times New Roman" w:hAnsi="Times New Roman"/>
                <w:kern w:val="2"/>
                <w:sz w:val="18"/>
                <w:szCs w:val="18"/>
                <w:lang w:val="en-US" w:eastAsia="zh-CN"/>
              </w:rPr>
              <w:t>{% endif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943" w:type="pct"/>
            <w:tcBorders>
              <w:tl2br w:val="nil"/>
              <w:tr2bl w:val="nil"/>
            </w:tcBorders>
            <w:vAlign w:val="center"/>
          </w:tcPr>
          <w:p w14:paraId="035B9E4F">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1946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70BD719C">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7A894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32B26B78">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577C5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5F69C6FA">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76F02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2765D4FB">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04F452D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2A0B6B0B">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0297C89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41AAA68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3" w:type="pct"/>
            <w:tcBorders>
              <w:tl2br w:val="nil"/>
              <w:tr2bl w:val="nil"/>
            </w:tcBorders>
            <w:vAlign w:val="center"/>
          </w:tcPr>
          <w:p w14:paraId="5A17251E">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3AA2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6D79D385">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16A76C14">
      <w:pPr>
        <w:rPr>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6C218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gridSpan w:val="2"/>
            <w:tcBorders>
              <w:tl2br w:val="nil"/>
              <w:tr2bl w:val="nil"/>
            </w:tcBorders>
            <w:vAlign w:val="center"/>
          </w:tcPr>
          <w:p w14:paraId="16EF30EA">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gridSpan w:val="2"/>
            <w:tcBorders>
              <w:tl2br w:val="nil"/>
              <w:tr2bl w:val="nil"/>
            </w:tcBorders>
            <w:vAlign w:val="center"/>
          </w:tcPr>
          <w:p w14:paraId="2A1A0B54">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II</w:t>
            </w:r>
          </w:p>
        </w:tc>
        <w:tc>
          <w:tcPr>
            <w:tcW w:w="3378" w:type="pct"/>
            <w:gridSpan w:val="7"/>
            <w:tcBorders>
              <w:tl2br w:val="nil"/>
              <w:tr2bl w:val="nil"/>
            </w:tcBorders>
            <w:vAlign w:val="center"/>
          </w:tcPr>
          <w:p w14:paraId="1D6BE68A">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有潜在的临床意义</w:t>
            </w:r>
          </w:p>
        </w:tc>
      </w:tr>
      <w:tr w14:paraId="5BE4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gridSpan w:val="2"/>
            <w:tcBorders>
              <w:tl2br w:val="nil"/>
              <w:tr2bl w:val="nil"/>
            </w:tcBorders>
            <w:shd w:val="clear" w:color="auto" w:fill="1F497D" w:themeFill="text2"/>
            <w:vAlign w:val="center"/>
          </w:tcPr>
          <w:p w14:paraId="54FB5389">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gridSpan w:val="2"/>
            <w:tcBorders>
              <w:tl2br w:val="nil"/>
              <w:tr2bl w:val="nil"/>
            </w:tcBorders>
            <w:shd w:val="clear" w:color="auto" w:fill="1F497D" w:themeFill="text2"/>
            <w:vAlign w:val="center"/>
          </w:tcPr>
          <w:p w14:paraId="4D92A502">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515B01B0">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1EEAB8DD">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2CC640CF">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1915B003">
            <w:pPr>
              <w:jc w:val="center"/>
              <w:rPr>
                <w:rFonts w:ascii="Calibri" w:hAnsi="Calibri" w:cs="Times New Roman"/>
                <w:b/>
                <w:bCs/>
                <w:sz w:val="18"/>
                <w:szCs w:val="18"/>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4BF74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11"/>
            <w:tcBorders>
              <w:tl2br w:val="nil"/>
              <w:tr2bl w:val="nil"/>
            </w:tcBorders>
            <w:vAlign w:val="center"/>
          </w:tcPr>
          <w:p w14:paraId="27AAF7AF">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variationGrading.variationGrading2</w:t>
            </w:r>
            <w:r>
              <w:rPr>
                <w:rFonts w:ascii="Times New Roman" w:hAnsi="Times New Roman"/>
                <w:kern w:val="2"/>
                <w:sz w:val="18"/>
                <w:szCs w:val="18"/>
              </w:rPr>
              <w:t xml:space="preserve"> != [] %}</w:t>
            </w:r>
          </w:p>
        </w:tc>
      </w:tr>
      <w:tr w14:paraId="45F5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11"/>
            <w:tcBorders>
              <w:tl2br w:val="nil"/>
              <w:tr2bl w:val="nil"/>
            </w:tcBorders>
            <w:vAlign w:val="center"/>
          </w:tcPr>
          <w:p w14:paraId="694B8CD6">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variationGrading.variationGrading2</w:t>
            </w:r>
            <w:r>
              <w:rPr>
                <w:rFonts w:ascii="Times New Roman" w:hAnsi="Times New Roman"/>
                <w:kern w:val="2"/>
                <w:sz w:val="18"/>
                <w:szCs w:val="18"/>
              </w:rPr>
              <w:t xml:space="preserve"> %}</w:t>
            </w:r>
          </w:p>
        </w:tc>
      </w:tr>
      <w:tr w14:paraId="597C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46D9D23C">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3B61C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3CBDE243">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1489" w:type="dxa"/>
            <w:gridSpan w:val="2"/>
            <w:tcBorders>
              <w:tl2br w:val="nil"/>
              <w:tr2bl w:val="nil"/>
            </w:tcBorders>
            <w:vAlign w:val="center"/>
          </w:tcPr>
          <w:p w14:paraId="09A51991">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450DA88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723A7787">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52F30D0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733" w:type="dxa"/>
            <w:gridSpan w:val="2"/>
            <w:tcBorders>
              <w:tl2br w:val="nil"/>
              <w:tr2bl w:val="nil"/>
            </w:tcBorders>
            <w:vAlign w:val="center"/>
          </w:tcPr>
          <w:p w14:paraId="191C055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21E86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737EA56F">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BE2E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4195AF8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5959" w:type="dxa"/>
            <w:gridSpan w:val="8"/>
            <w:tcBorders>
              <w:tl2br w:val="nil"/>
              <w:tr2bl w:val="nil"/>
            </w:tcBorders>
            <w:vAlign w:val="center"/>
          </w:tcPr>
          <w:p w14:paraId="35CC09B4">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gridSpan w:val="2"/>
            <w:tcBorders>
              <w:tl2br w:val="nil"/>
              <w:tr2bl w:val="nil"/>
            </w:tcBorders>
            <w:vAlign w:val="center"/>
          </w:tcPr>
          <w:p w14:paraId="7546ED6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E16C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62633775">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63EE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11"/>
            <w:tcBorders>
              <w:tl2br w:val="nil"/>
              <w:tr2bl w:val="nil"/>
            </w:tcBorders>
            <w:vAlign w:val="center"/>
          </w:tcPr>
          <w:p w14:paraId="55728011">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4D1B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11"/>
            <w:tcBorders>
              <w:tl2br w:val="nil"/>
              <w:tr2bl w:val="nil"/>
            </w:tcBorders>
            <w:vAlign w:val="center"/>
          </w:tcPr>
          <w:p w14:paraId="6EB1D557">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54797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gridSpan w:val="2"/>
            <w:tcBorders>
              <w:tl2br w:val="nil"/>
              <w:tr2bl w:val="nil"/>
            </w:tcBorders>
            <w:vAlign w:val="center"/>
          </w:tcPr>
          <w:p w14:paraId="482EE18F">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14A34276">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581661A6">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4E798600">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2D5D29D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2" w:type="pct"/>
            <w:tcBorders>
              <w:tl2br w:val="nil"/>
              <w:tr2bl w:val="nil"/>
            </w:tcBorders>
            <w:vAlign w:val="center"/>
          </w:tcPr>
          <w:p w14:paraId="37F6570F">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4E74A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11"/>
            <w:tcBorders>
              <w:tl2br w:val="nil"/>
              <w:tr2bl w:val="nil"/>
            </w:tcBorders>
            <w:vAlign w:val="center"/>
          </w:tcPr>
          <w:p w14:paraId="7E36CBE0">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0F2BC3F9">
      <w:pPr>
        <w:kinsoku w:val="0"/>
        <w:overflowPunct w:val="0"/>
        <w:spacing w:before="5" w:line="160" w:lineRule="auto"/>
        <w:rPr>
          <w:rFonts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3F61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gridSpan w:val="2"/>
            <w:tcBorders>
              <w:tl2br w:val="nil"/>
              <w:tr2bl w:val="nil"/>
            </w:tcBorders>
            <w:vAlign w:val="center"/>
          </w:tcPr>
          <w:p w14:paraId="700748B8">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gridSpan w:val="2"/>
            <w:tcBorders>
              <w:tl2br w:val="nil"/>
              <w:tr2bl w:val="nil"/>
            </w:tcBorders>
            <w:vAlign w:val="center"/>
          </w:tcPr>
          <w:p w14:paraId="72FB4D11">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III&amp;IV</w:t>
            </w:r>
          </w:p>
        </w:tc>
        <w:tc>
          <w:tcPr>
            <w:tcW w:w="3378" w:type="pct"/>
            <w:gridSpan w:val="7"/>
            <w:tcBorders>
              <w:tl2br w:val="nil"/>
              <w:tr2bl w:val="nil"/>
            </w:tcBorders>
            <w:vAlign w:val="center"/>
          </w:tcPr>
          <w:p w14:paraId="51F7518C">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临床意义不明或已知无临床意义</w:t>
            </w:r>
          </w:p>
        </w:tc>
      </w:tr>
      <w:tr w14:paraId="1D94C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gridSpan w:val="2"/>
            <w:tcBorders>
              <w:tl2br w:val="nil"/>
              <w:tr2bl w:val="nil"/>
            </w:tcBorders>
            <w:shd w:val="clear" w:color="auto" w:fill="1F497D" w:themeFill="text2"/>
            <w:vAlign w:val="center"/>
          </w:tcPr>
          <w:p w14:paraId="637B7BC0">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gridSpan w:val="2"/>
            <w:tcBorders>
              <w:tl2br w:val="nil"/>
              <w:tr2bl w:val="nil"/>
            </w:tcBorders>
            <w:shd w:val="clear" w:color="auto" w:fill="1F497D" w:themeFill="text2"/>
            <w:vAlign w:val="center"/>
          </w:tcPr>
          <w:p w14:paraId="2053EFA7">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4541C6E0">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7B25E6F1">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4D83D0A4">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0B4061BB">
            <w:pPr>
              <w:jc w:val="center"/>
              <w:rPr>
                <w:rFonts w:ascii="Calibri" w:hAnsi="Calibri" w:cs="Times New Roman"/>
                <w:b/>
                <w:bCs/>
                <w:sz w:val="18"/>
                <w:szCs w:val="18"/>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3B0EF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11"/>
            <w:tcBorders>
              <w:tl2br w:val="nil"/>
              <w:tr2bl w:val="nil"/>
            </w:tcBorders>
            <w:vAlign w:val="center"/>
          </w:tcPr>
          <w:p w14:paraId="09E3BB5E">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variationGrading.variationGrading3</w:t>
            </w:r>
            <w:r>
              <w:rPr>
                <w:rFonts w:ascii="Times New Roman" w:hAnsi="Times New Roman"/>
                <w:kern w:val="2"/>
                <w:sz w:val="18"/>
                <w:szCs w:val="18"/>
              </w:rPr>
              <w:t xml:space="preserve"> != [] %}</w:t>
            </w:r>
          </w:p>
        </w:tc>
      </w:tr>
      <w:tr w14:paraId="28BD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11"/>
            <w:tcBorders>
              <w:tl2br w:val="nil"/>
              <w:tr2bl w:val="nil"/>
            </w:tcBorders>
            <w:vAlign w:val="center"/>
          </w:tcPr>
          <w:p w14:paraId="0D238E22">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variationGrading.variationGrading3</w:t>
            </w:r>
            <w:r>
              <w:rPr>
                <w:rFonts w:ascii="Times New Roman" w:hAnsi="Times New Roman"/>
                <w:kern w:val="2"/>
                <w:sz w:val="18"/>
                <w:szCs w:val="18"/>
              </w:rPr>
              <w:t xml:space="preserve"> %}</w:t>
            </w:r>
          </w:p>
        </w:tc>
      </w:tr>
      <w:tr w14:paraId="1908D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3B457606">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0265D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72F2B4F9">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1489" w:type="dxa"/>
            <w:gridSpan w:val="2"/>
            <w:tcBorders>
              <w:tl2br w:val="nil"/>
              <w:tr2bl w:val="nil"/>
            </w:tcBorders>
            <w:vAlign w:val="center"/>
          </w:tcPr>
          <w:p w14:paraId="61159AF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626E598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4D82AF4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2CDCCBC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733" w:type="dxa"/>
            <w:gridSpan w:val="2"/>
            <w:tcBorders>
              <w:tl2br w:val="nil"/>
              <w:tr2bl w:val="nil"/>
            </w:tcBorders>
            <w:vAlign w:val="center"/>
          </w:tcPr>
          <w:p w14:paraId="46D87FF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F0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08C42325">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AFBD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39F5439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5959" w:type="dxa"/>
            <w:gridSpan w:val="8"/>
            <w:tcBorders>
              <w:tl2br w:val="nil"/>
              <w:tr2bl w:val="nil"/>
            </w:tcBorders>
            <w:vAlign w:val="center"/>
          </w:tcPr>
          <w:p w14:paraId="4887F47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gridSpan w:val="2"/>
            <w:tcBorders>
              <w:tl2br w:val="nil"/>
              <w:tr2bl w:val="nil"/>
            </w:tcBorders>
            <w:vAlign w:val="center"/>
          </w:tcPr>
          <w:p w14:paraId="39218F18">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7EDD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5B8FE24D">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015D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3" w:hRule="atLeast"/>
          <w:jc w:val="center"/>
        </w:trPr>
        <w:tc>
          <w:tcPr>
            <w:tcW w:w="5000" w:type="pct"/>
            <w:gridSpan w:val="11"/>
            <w:tcBorders>
              <w:tl2br w:val="nil"/>
              <w:tr2bl w:val="nil"/>
            </w:tcBorders>
            <w:vAlign w:val="center"/>
          </w:tcPr>
          <w:p w14:paraId="2CB2F03B">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79358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11"/>
            <w:tcBorders>
              <w:tl2br w:val="nil"/>
              <w:tr2bl w:val="nil"/>
            </w:tcBorders>
            <w:vAlign w:val="center"/>
          </w:tcPr>
          <w:p w14:paraId="5B2C8775">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D220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gridSpan w:val="2"/>
            <w:tcBorders>
              <w:tl2br w:val="nil"/>
              <w:tr2bl w:val="nil"/>
            </w:tcBorders>
            <w:vAlign w:val="center"/>
          </w:tcPr>
          <w:p w14:paraId="327D7808">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5271456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3EB770C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3433C6C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6E4CE73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2" w:type="pct"/>
            <w:tcBorders>
              <w:tl2br w:val="nil"/>
              <w:tr2bl w:val="nil"/>
            </w:tcBorders>
            <w:vAlign w:val="center"/>
          </w:tcPr>
          <w:p w14:paraId="3D0AB5DB">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33AF3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11"/>
            <w:tcBorders>
              <w:tl2br w:val="nil"/>
              <w:tr2bl w:val="nil"/>
            </w:tcBorders>
            <w:vAlign w:val="center"/>
          </w:tcPr>
          <w:p w14:paraId="3F7415E4">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6FC9F841">
      <w:pPr>
        <w:pStyle w:val="10"/>
        <w:spacing w:before="7"/>
        <w:rPr>
          <w:rFonts w:ascii="Times New Roman" w:hAnsi="Times New Roman" w:eastAsia="微软雅黑" w:cs="Times New Roman"/>
        </w:rPr>
      </w:pPr>
    </w:p>
    <w:p w14:paraId="6522A516">
      <w:pPr>
        <w:pStyle w:val="8"/>
        <w:keepNext w:val="0"/>
        <w:keepLines w:val="0"/>
        <w:pageBreakBefore w:val="0"/>
        <w:kinsoku/>
        <w:wordWrap/>
        <w:overflowPunct/>
        <w:topLinePunct w:val="0"/>
        <w:autoSpaceDE/>
        <w:autoSpaceDN/>
        <w:bidi w:val="0"/>
        <w:spacing w:line="240" w:lineRule="auto"/>
        <w:jc w:val="both"/>
        <w:textAlignment w:val="auto"/>
        <w:rPr>
          <w:rFonts w:ascii="Times New Roman" w:hAnsi="Times New Roman" w:cs="Times New Roman"/>
        </w:rPr>
      </w:pPr>
      <w:bookmarkStart w:id="3" w:name="_Toc527112383"/>
      <w:bookmarkStart w:id="4" w:name="_Toc526855035"/>
      <w:bookmarkStart w:id="5" w:name="_Toc534637496"/>
      <w:r>
        <w:rPr>
          <w:rFonts w:ascii="Times New Roman" w:hAnsi="Times New Roman" w:cs="Times New Roman"/>
        </w:rPr>
        <w:t>注：</w:t>
      </w:r>
    </w:p>
    <w:p w14:paraId="75E27B95">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rPr>
      </w:pP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丰度：在某位点产生突变的等位基因在该位点全部等位基因中所占比率。本试剂的检测下限为1%</w:t>
      </w: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丰度，对于低于1%丰度的突变位点，验证后报出</w:t>
      </w:r>
      <w:r>
        <w:rPr>
          <w:rFonts w:hint="eastAsia" w:cs="Times New Roman"/>
          <w:sz w:val="18"/>
          <w:szCs w:val="18"/>
          <w:lang w:eastAsia="zh-CN"/>
        </w:rPr>
        <w:t>；</w:t>
      </w:r>
    </w:p>
    <w:p w14:paraId="714BD210">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拷贝数：是指某⼀种基因或某⼀段特定的DNA序列在单倍体基因组中出现的数目</w:t>
      </w:r>
      <w:r>
        <w:rPr>
          <w:rFonts w:hint="eastAsia" w:cs="Times New Roman"/>
          <w:sz w:val="18"/>
          <w:szCs w:val="18"/>
          <w:lang w:val="en-US" w:eastAsia="zh-CN"/>
        </w:rPr>
        <w:t>；</w:t>
      </w:r>
    </w:p>
    <w:p w14:paraId="3285A20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bookmarkStart w:id="16" w:name="_GoBack"/>
      <w:bookmarkEnd w:id="16"/>
      <w:r>
        <w:rPr>
          <w:rFonts w:hint="default" w:ascii="Times New Roman" w:hAnsi="Times New Roman" w:cs="Times New Roman"/>
          <w:sz w:val="18"/>
          <w:szCs w:val="18"/>
          <w:lang w:val="en-US" w:eastAsia="zh-CN"/>
        </w:rPr>
        <w:t>检测结果与采集的标本病变（靶组织）比例有关，靶组织含量过低可能出现假阴性；</w:t>
      </w:r>
    </w:p>
    <w:p w14:paraId="53569BD9">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本报告仅对所检测标本负责，检测结果的解释及建议基于当前的科学研究水平，仅供临床医师参考，勿作他用；</w:t>
      </w:r>
    </w:p>
    <w:p w14:paraId="235A013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本检测只检测60个基因的特定突变，不排除受检者携带检测列表以外的突变位点；</w:t>
      </w:r>
    </w:p>
    <w:p w14:paraId="1D8D44B2">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75CBE308">
      <w:pPr>
        <w:pStyle w:val="10"/>
        <w:rPr>
          <w:rFonts w:hint="default" w:ascii="Times New Roman" w:hAnsi="Times New Roman" w:eastAsia="微软雅黑" w:cs="Times New Roman"/>
          <w:sz w:val="20"/>
        </w:rPr>
      </w:pPr>
    </w:p>
    <w:p w14:paraId="253462D9">
      <w:pPr>
        <w:pStyle w:val="10"/>
        <w:rPr>
          <w:rFonts w:ascii="Times New Roman" w:hAnsi="Times New Roman" w:eastAsia="微软雅黑" w:cs="Times New Roman"/>
          <w:sz w:val="20"/>
        </w:rPr>
      </w:pPr>
    </w:p>
    <w:p w14:paraId="72C95EBD">
      <w:pPr>
        <w:pStyle w:val="10"/>
        <w:rPr>
          <w:rFonts w:ascii="Times New Roman" w:hAnsi="Times New Roman" w:eastAsia="微软雅黑" w:cs="Times New Roman"/>
          <w:sz w:val="20"/>
        </w:rPr>
      </w:pPr>
    </w:p>
    <w:p w14:paraId="5075AFF8">
      <w:pPr>
        <w:ind w:right="105" w:firstLine="110" w:firstLineChars="50"/>
        <w:jc w:val="center"/>
        <w:rPr>
          <w:rFonts w:ascii="Times New Roman" w:hAnsi="Times New Roman" w:eastAsia="微软雅黑" w:cs="Times New Roman"/>
        </w:rPr>
      </w:pPr>
      <w:r>
        <w:t>检测师：</w:t>
      </w:r>
      <w:r>
        <w:rPr>
          <w:rFonts w:ascii="Times New Roman" w:hAnsi="Times New Roman" w:eastAsia="微软雅黑" w:cs="Times New Roman"/>
        </w:rPr>
        <w:t xml:space="preserve">   </w:t>
      </w:r>
      <w:r>
        <w:rPr>
          <w:rFonts w:ascii="Times New Roman" w:hAnsi="Times New Roman" w:eastAsia="微软雅黑" w:cs="Times New Roman"/>
          <w:sz w:val="24"/>
          <w:szCs w:val="24"/>
        </w:rPr>
        <w:t xml:space="preserve"> </w:t>
      </w:r>
      <w:r>
        <w:rPr>
          <w:rFonts w:ascii="Times New Roman" w:hAnsi="Times New Roman" w:eastAsia="微软雅黑" w:cs="Times New Roman"/>
        </w:rPr>
        <w:t xml:space="preserve">                     </w:t>
      </w:r>
      <w:r>
        <w:t>报告审核医师：</w:t>
      </w:r>
      <w:r>
        <w:rPr>
          <w:rFonts w:ascii="Times New Roman" w:hAnsi="Times New Roman" w:eastAsia="微软雅黑" w:cs="Times New Roman"/>
        </w:rPr>
        <w:t xml:space="preserve"> </w:t>
      </w:r>
    </w:p>
    <w:p w14:paraId="669AAF11">
      <w:pPr>
        <w:ind w:right="105" w:firstLine="110" w:firstLineChars="50"/>
        <w:rPr>
          <w:rFonts w:ascii="Times New Roman" w:hAnsi="Times New Roman" w:eastAsia="微软雅黑" w:cs="Times New Roman"/>
        </w:rPr>
      </w:pPr>
      <w:r>
        <w:rPr>
          <w:rFonts w:ascii="Times New Roman" w:hAnsi="Times New Roman" w:eastAsia="微软雅黑" w:cs="Times New Roman"/>
        </w:rPr>
        <w:t xml:space="preserve">   </w:t>
      </w:r>
    </w:p>
    <w:p w14:paraId="122B6533">
      <w:pPr>
        <w:wordWrap w:val="0"/>
        <w:ind w:right="105" w:firstLine="110" w:firstLineChars="50"/>
        <w:jc w:val="center"/>
        <w:rPr>
          <w:rFonts w:ascii="Times New Roman" w:hAnsi="Times New Roman" w:eastAsia="微软雅黑" w:cs="Times New Roman"/>
        </w:rPr>
      </w:pPr>
      <w:r>
        <w:rPr>
          <w:rFonts w:ascii="Times New Roman" w:hAnsi="Times New Roman" w:eastAsia="微软雅黑" w:cs="Times New Roman"/>
        </w:rPr>
        <w:t xml:space="preserve">                                </w:t>
      </w:r>
      <w:r>
        <w:rPr>
          <w:rFonts w:hint="eastAsia" w:ascii="Times New Roman" w:hAnsi="Times New Roman" w:eastAsia="微软雅黑" w:cs="Times New Roman"/>
        </w:rPr>
        <w:t xml:space="preserve">       </w:t>
      </w:r>
      <w:r>
        <w:rPr>
          <w:rFonts w:ascii="Times New Roman" w:hAnsi="Times New Roman" w:eastAsia="微软雅黑" w:cs="Times New Roman"/>
        </w:rPr>
        <w:t xml:space="preserve">          </w:t>
      </w:r>
      <w:r>
        <w:t>报 告 日 期：</w:t>
      </w:r>
      <w:r>
        <w:rPr>
          <w:rFonts w:ascii="Times New Roman" w:hAnsi="Times New Roman" w:cs="Times New Roman"/>
          <w:kern w:val="2"/>
          <w:sz w:val="24"/>
          <w:szCs w:val="24"/>
        </w:rPr>
        <w:t>{{ reportdate }}</w:t>
      </w:r>
    </w:p>
    <w:p w14:paraId="3E19053C">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4961E0AA">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lang w:val="en-US" w:eastAsia="zh-CN"/>
        </w:rPr>
        <w:t>附录1 靶向药物结果解析</w:t>
      </w:r>
    </w:p>
    <w:p w14:paraId="0A7A826A">
      <w:pPr>
        <w:pStyle w:val="10"/>
        <w:numPr>
          <w:ilvl w:val="0"/>
          <w:numId w:val="0"/>
        </w:numPr>
        <w:ind w:leftChars="0"/>
        <w:rPr>
          <w:rFonts w:hint="eastAsia" w:ascii="微软雅黑" w:hAnsi="微软雅黑" w:eastAsia="微软雅黑" w:cs="微软雅黑"/>
          <w:b/>
          <w:bCs/>
          <w:sz w:val="20"/>
          <w:szCs w:val="20"/>
          <w:u w:val="none"/>
          <w:lang w:val="en-US" w:eastAsia="zh-CN"/>
        </w:rPr>
      </w:pPr>
      <w:r>
        <w:rPr>
          <w:rFonts w:hint="eastAsia" w:ascii="微软雅黑" w:hAnsi="微软雅黑" w:eastAsia="微软雅黑" w:cs="微软雅黑"/>
          <w:b/>
          <w:bCs/>
          <w:sz w:val="20"/>
          <w:szCs w:val="20"/>
          <w:u w:val="none"/>
          <w:lang w:val="en-US" w:eastAsia="zh-CN"/>
        </w:rPr>
        <w:t>下述用药信息仅供参考，具体用药方案请遵照临床医生指导</w:t>
      </w:r>
    </w:p>
    <w:bookmarkEnd w:id="3"/>
    <w:bookmarkEnd w:id="4"/>
    <w:bookmarkEnd w:id="5"/>
    <w:p w14:paraId="7EFEA64C">
      <w:pPr>
        <w:widowControl/>
        <w:spacing w:after="160" w:line="259" w:lineRule="auto"/>
        <w:rPr>
          <w:rFonts w:ascii="Times New Roman" w:hAnsi="Times New Roman" w:eastAsia="微软雅黑" w:cs="Times New Roman"/>
          <w:bCs/>
          <w:sz w:val="18"/>
          <w:szCs w:val="18"/>
        </w:rPr>
      </w:pPr>
      <w:r>
        <w:rPr>
          <w:rFonts w:hint="default" w:ascii="Times New Roman" w:hAnsi="Times New Roman" w:eastAsia="微软雅黑" w:cs="Times New Roman"/>
          <w:bCs/>
          <w:sz w:val="18"/>
          <w:szCs w:val="18"/>
          <w:lang w:val="en-US" w:eastAsia="zh-CN"/>
        </w:rPr>
        <w:t xml:space="preserve">{% if </w:t>
      </w:r>
      <w:r>
        <w:rPr>
          <w:rFonts w:hint="default" w:ascii="Times New Roman" w:hAnsi="Times New Roman" w:eastAsia="微软雅黑" w:cs="Times New Roman"/>
          <w:bCs/>
          <w:sz w:val="18"/>
          <w:szCs w:val="18"/>
          <w:lang w:eastAsia="zh-CN"/>
        </w:rPr>
        <w:t>BodyDrugDrugDetectionStr</w:t>
      </w:r>
      <w:r>
        <w:rPr>
          <w:rFonts w:hint="default" w:ascii="Times New Roman" w:hAnsi="Times New Roman" w:eastAsia="微软雅黑" w:cs="Times New Roman"/>
          <w:bCs/>
          <w:sz w:val="18"/>
          <w:szCs w:val="18"/>
          <w:lang w:val="en-US" w:eastAsia="zh-CN"/>
        </w:rPr>
        <w:t xml:space="preserve"> == [] and unknownVarAnalysisStr == []%}</w:t>
      </w:r>
      <w:r>
        <w:rPr>
          <w:rFonts w:ascii="宋体" w:hAnsi="宋体" w:eastAsia="宋体" w:cs="宋体"/>
          <w:b/>
          <w:bCs/>
          <w:color w:val="FF0000"/>
          <w:sz w:val="21"/>
          <w:szCs w:val="21"/>
        </w:rPr>
        <w:t>未检出靶向用药相关的</w:t>
      </w:r>
      <w:r>
        <w:rPr>
          <w:rFonts w:hint="eastAsia" w:ascii="宋体" w:hAnsi="宋体" w:eastAsia="宋体" w:cs="宋体"/>
          <w:b/>
          <w:bCs/>
          <w:color w:val="FF0000"/>
          <w:sz w:val="21"/>
          <w:szCs w:val="21"/>
          <w:lang w:val="en-US" w:eastAsia="zh-CN"/>
        </w:rPr>
        <w:t>变异位点</w:t>
      </w:r>
      <w:r>
        <w:rPr>
          <w:rFonts w:ascii="宋体" w:hAnsi="宋体" w:eastAsia="宋体" w:cs="宋体"/>
          <w:b/>
          <w:bCs/>
          <w:color w:val="FF0000"/>
          <w:sz w:val="21"/>
          <w:szCs w:val="21"/>
        </w:rPr>
        <w:t>；未检出未知临床意义</w:t>
      </w:r>
      <w:r>
        <w:rPr>
          <w:rFonts w:hint="eastAsia" w:ascii="宋体" w:hAnsi="宋体" w:eastAsia="宋体" w:cs="宋体"/>
          <w:b/>
          <w:bCs/>
          <w:color w:val="FF0000"/>
          <w:sz w:val="21"/>
          <w:szCs w:val="21"/>
          <w:lang w:val="en-US" w:eastAsia="zh-CN"/>
        </w:rPr>
        <w:t>变异位点</w:t>
      </w:r>
      <w:r>
        <w:rPr>
          <w:rFonts w:ascii="宋体" w:hAnsi="宋体" w:eastAsia="宋体" w:cs="宋体"/>
          <w:b/>
          <w:bCs/>
          <w:color w:val="FF0000"/>
          <w:sz w:val="21"/>
          <w:szCs w:val="21"/>
        </w:rPr>
        <w:t>。</w:t>
      </w:r>
      <w:r>
        <w:rPr>
          <w:rFonts w:ascii="Times New Roman" w:hAnsi="Times New Roman" w:eastAsia="微软雅黑" w:cs="Times New Roman"/>
          <w:bCs/>
          <w:sz w:val="18"/>
          <w:szCs w:val="18"/>
        </w:rPr>
        <w:t>{% endif %}</w:t>
      </w:r>
    </w:p>
    <w:p w14:paraId="41CA0F74">
      <w:pPr>
        <w:widowControl/>
        <w:spacing w:after="160" w:line="259" w:lineRule="auto"/>
        <w:rPr>
          <w:rFonts w:ascii="Times New Roman" w:hAnsi="Times New Roman" w:eastAsia="微软雅黑" w:cs="Times New Roman"/>
          <w:b/>
          <w:color w:val="1F497D"/>
          <w:sz w:val="24"/>
          <w:szCs w:val="24"/>
        </w:rPr>
      </w:pPr>
      <w:bookmarkStart w:id="6" w:name="_Toc30582"/>
      <w:bookmarkStart w:id="7" w:name="_Toc4331_WPSOffice_Level2"/>
      <w:bookmarkStart w:id="8" w:name="_Toc23606"/>
      <w:bookmarkStart w:id="9" w:name="_Toc32443_WPSOffice_Level2"/>
      <w:r>
        <w:rPr>
          <w:rFonts w:hint="default" w:ascii="Times New Roman" w:hAnsi="Times New Roman" w:eastAsia="微软雅黑" w:cs="Times New Roman"/>
          <w:b/>
          <w:color w:val="1F497D"/>
          <w:sz w:val="24"/>
          <w:szCs w:val="24"/>
          <w:lang w:val="en-US" w:eastAsia="zh-CN"/>
        </w:rPr>
        <w:t xml:space="preserve">{%if </w:t>
      </w:r>
      <w:r>
        <w:rPr>
          <w:rFonts w:hint="default" w:ascii="Times New Roman" w:hAnsi="Times New Roman" w:eastAsia="微软雅黑" w:cs="Times New Roman"/>
          <w:b/>
          <w:color w:val="1F497D"/>
          <w:sz w:val="24"/>
          <w:szCs w:val="24"/>
          <w:lang w:eastAsia="zh-CN"/>
        </w:rPr>
        <w:t>BodyDrugDrugDetectionStr</w:t>
      </w:r>
      <w:r>
        <w:rPr>
          <w:rFonts w:hint="default" w:ascii="Times New Roman" w:hAnsi="Times New Roman" w:eastAsia="微软雅黑" w:cs="Times New Roman"/>
          <w:b/>
          <w:color w:val="1F497D"/>
          <w:sz w:val="24"/>
          <w:szCs w:val="24"/>
          <w:lang w:val="en-US" w:eastAsia="zh-CN"/>
        </w:rPr>
        <w:t xml:space="preserve"> or unknownVarAnalysisStr %}</w:t>
      </w:r>
      <w:r>
        <w:rPr>
          <w:rFonts w:hint="eastAsia" w:ascii="宋体" w:hAnsi="宋体" w:eastAsia="宋体" w:cs="宋体"/>
          <w:b/>
          <w:color w:val="1F497D"/>
          <w:sz w:val="24"/>
          <w:szCs w:val="24"/>
          <w:lang w:val="en-US" w:eastAsia="zh-CN"/>
        </w:rPr>
        <w:t>变异位点结果</w:t>
      </w:r>
      <w:r>
        <w:rPr>
          <w:rFonts w:hint="eastAsia" w:ascii="宋体" w:hAnsi="宋体" w:eastAsia="宋体" w:cs="宋体"/>
          <w:b/>
          <w:color w:val="1F497D"/>
          <w:sz w:val="24"/>
          <w:szCs w:val="24"/>
        </w:rPr>
        <w:t>解析</w:t>
      </w:r>
      <w:bookmarkEnd w:id="6"/>
      <w:bookmarkEnd w:id="7"/>
      <w:bookmarkEnd w:id="8"/>
      <w:bookmarkEnd w:id="9"/>
      <w:r>
        <w:rPr>
          <w:rFonts w:ascii="Times New Roman" w:hAnsi="Times New Roman" w:eastAsia="微软雅黑" w:cs="Times New Roman"/>
          <w:b/>
          <w:color w:val="1F497D"/>
          <w:sz w:val="24"/>
          <w:szCs w:val="24"/>
        </w:rPr>
        <w:t xml:space="preserve">{% for tdd in </w:t>
      </w:r>
      <w:r>
        <w:rPr>
          <w:rFonts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ascii="Times New Roman" w:hAnsi="Times New Roman" w:eastAsia="微软雅黑" w:cs="Times New Roman"/>
          <w:b/>
          <w:color w:val="1F497D"/>
          <w:sz w:val="24"/>
          <w:szCs w:val="24"/>
        </w:rPr>
        <w:t>%}</w:t>
      </w:r>
    </w:p>
    <w:p w14:paraId="7332553A">
      <w:pPr>
        <w:keepNext/>
        <w:widowControl/>
        <w:spacing w:before="360" w:beforeLines="150" w:line="260" w:lineRule="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A0E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403A8D2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op w:val="single" w:color="2666A3" w:sz="18" w:space="0"/>
              <w:left w:val="dotted" w:color="2666A3" w:sz="4" w:space="0"/>
              <w:bottom w:val="dotted" w:color="2666A3" w:sz="4" w:space="0"/>
              <w:right w:val="nil"/>
            </w:tcBorders>
            <w:vAlign w:val="center"/>
          </w:tcPr>
          <w:p w14:paraId="46E45EF7">
            <w:pPr>
              <w:keepNext/>
              <w:spacing w:before="26"/>
              <w:jc w:val="center"/>
              <w:rPr>
                <w:rFonts w:hint="default" w:ascii="Times New Roman" w:hAnsi="Times New Roman" w:eastAsia="宋体" w:cs="Times New Roman"/>
                <w:bCs/>
                <w:sz w:val="18"/>
                <w:szCs w:val="18"/>
                <w:lang w:eastAsia="zh-CN"/>
              </w:rPr>
            </w:pPr>
            <w:r>
              <w:rPr>
                <w:rFonts w:hint="eastAsia"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eastAsia" w:ascii="Times New Roman" w:hAnsi="Times New Roman" w:eastAsia="宋体" w:cs="Times New Roman"/>
                <w:bCs/>
                <w:sz w:val="18"/>
                <w:szCs w:val="18"/>
                <w:lang w:val="en-US" w:eastAsia="zh-CN"/>
              </w:rPr>
              <w:t xml:space="preserve"> == </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Amplification</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 xml:space="preserve"> %}扩增</w:t>
            </w:r>
            <w:r>
              <w:rPr>
                <w:rFonts w:hint="eastAsia"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r>
              <w:rPr>
                <w:rFonts w:hint="eastAsia"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eastAsia" w:ascii="Times New Roman" w:hAnsi="Times New Roman" w:eastAsia="宋体" w:cs="Times New Roman"/>
                <w:bCs/>
                <w:sz w:val="18"/>
                <w:szCs w:val="18"/>
                <w:lang w:val="en-US" w:eastAsia="zh-CN"/>
              </w:rPr>
              <w:t>.ori_variant }}</w:t>
            </w:r>
            <w:r>
              <w:rPr>
                <w:rFonts w:hint="eastAsia" w:ascii="Times New Roman" w:hAnsi="Times New Roman" w:eastAsia="宋体" w:cs="Times New Roman"/>
                <w:bCs/>
                <w:sz w:val="18"/>
                <w:szCs w:val="18"/>
                <w:lang w:val="en-US" w:eastAsia="en-US"/>
              </w:rPr>
              <w:t>{% endif</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p>
        </w:tc>
      </w:tr>
      <w:tr w14:paraId="3FDE5E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5C3A377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op w:val="dotted" w:color="2666A3" w:sz="4" w:space="0"/>
              <w:left w:val="dotted" w:color="2666A3" w:sz="4" w:space="0"/>
              <w:bottom w:val="dotted" w:color="2666A3" w:sz="4" w:space="0"/>
              <w:right w:val="nil"/>
            </w:tcBorders>
            <w:vAlign w:val="center"/>
          </w:tcPr>
          <w:p w14:paraId="79D8D18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7E595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70A0DF9D">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74585C0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9CD7097">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13B4D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E7F548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2875E29">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54007F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4B3A4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DD041F0">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E178ACF">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620D62A">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0B988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B878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305A9F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FB4B44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025FE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6F4456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871D7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6F10E11">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1AE0D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244FDC5D">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34D284F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8B536C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536F6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55D70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C666D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0818470">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24488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733792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9C6500D">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1E8B4339">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4BC0F4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1E07DE3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616FDA86">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4F2BD58F">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74BE6F1F">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597D1C26">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67CFF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1B33E5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78D9EE3">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719E38E">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62F02F67">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34E2F6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60C359F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5A4D5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34D53056">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09B1A0A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2B374F4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op w:val="dotted" w:color="2666A3" w:sz="4" w:space="0"/>
              <w:left w:val="dotted" w:color="2666A3" w:sz="4" w:space="0"/>
              <w:bottom w:val="dotted" w:color="2666A3" w:sz="4" w:space="0"/>
              <w:right w:val="nil"/>
            </w:tcBorders>
            <w:vAlign w:val="center"/>
          </w:tcPr>
          <w:p w14:paraId="0BB3893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25B505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31285F64">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11BBEDFA">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CA52EE3">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31E3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276483F5">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D4C25C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38EAE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0B2F026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18ABA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2210B5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23B13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6B866FFF">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864E0E7">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7D23207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op w:val="dotted" w:color="2666A3" w:sz="4" w:space="0"/>
              <w:left w:val="dotted" w:color="2666A3" w:sz="4" w:space="0"/>
              <w:bottom w:val="dotted" w:color="2666A3" w:sz="4" w:space="0"/>
              <w:right w:val="nil"/>
            </w:tcBorders>
            <w:vAlign w:val="center"/>
          </w:tcPr>
          <w:p w14:paraId="78D3AAB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595C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04E4A88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ED6E2E3">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5173BC0F">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0D6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1280D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8BF9122">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6EC65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1D650DB">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E6A500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522CAE3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795D7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6246970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for cti in tdd.clinicalTrialInformationStr %}</w:t>
            </w:r>
          </w:p>
        </w:tc>
      </w:tr>
      <w:tr w14:paraId="750BD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2054F8A7">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3BD11BE2">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56E32D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D0ABDF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5F9395CC">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E65E55A">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265291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D62D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7C19D89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color w:val="2666A3"/>
                <w:sz w:val="18"/>
                <w:szCs w:val="18"/>
                <w:lang w:eastAsia="zh-CN"/>
              </w:rPr>
              <w:t>{%tr endfor %}</w:t>
            </w:r>
          </w:p>
        </w:tc>
      </w:tr>
    </w:tbl>
    <w:p w14:paraId="653BE006">
      <w:pPr>
        <w:pStyle w:val="48"/>
        <w:rPr>
          <w:rFonts w:hint="default" w:ascii="Times New Roman" w:hAnsi="Times New Roman" w:eastAsia="宋体" w:cs="Times New Roman"/>
          <w:color w:val="2666A3"/>
        </w:rPr>
      </w:pPr>
      <w:r>
        <w:rPr>
          <w:rFonts w:hint="default" w:ascii="Times New Roman" w:hAnsi="Times New Roman" w:eastAsia="宋体" w:cs="Times New Roman"/>
          <w:color w:val="2666A3"/>
        </w:rPr>
        <w:t>{% endif %}{% endfor %}{% for vus in unknownVarAnalysisStr %}</w:t>
      </w:r>
    </w:p>
    <w:p w14:paraId="344E463E">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3F3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2E6A336D">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027" w:type="dxa"/>
            <w:tcBorders>
              <w:top w:val="single" w:color="2666A3" w:sz="18" w:space="0"/>
              <w:left w:val="dotted" w:color="2666A3" w:sz="4" w:space="0"/>
              <w:bottom w:val="dotted" w:color="2666A3" w:sz="4" w:space="0"/>
              <w:right w:val="nil"/>
            </w:tcBorders>
            <w:vAlign w:val="center"/>
          </w:tcPr>
          <w:p w14:paraId="1F808350">
            <w:pPr>
              <w:keepNext/>
              <w:rPr>
                <w:rFonts w:hint="default" w:ascii="Times New Roman" w:hAnsi="Times New Roman" w:eastAsia="宋体" w:cs="Times New Roman"/>
                <w:sz w:val="18"/>
                <w:szCs w:val="18"/>
                <w:lang w:eastAsia="zh-CN"/>
              </w:rPr>
            </w:pPr>
            <w:r>
              <w:rPr>
                <w:rFonts w:hint="eastAsia"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eastAsia" w:ascii="Times New Roman" w:hAnsi="Times New Roman" w:eastAsia="宋体" w:cs="Times New Roman"/>
                <w:color w:val="000000"/>
                <w:sz w:val="18"/>
                <w:szCs w:val="18"/>
                <w:lang w:val="en-US" w:eastAsia="zh-CN"/>
              </w:rPr>
              <w:t xml:space="preserve"> == </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Amplification</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 xml:space="preserve"> %}扩增</w:t>
            </w:r>
            <w:r>
              <w:rPr>
                <w:rFonts w:hint="eastAsia"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r>
              <w:rPr>
                <w:rFonts w:hint="eastAsia"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eastAsia" w:ascii="Times New Roman" w:hAnsi="Times New Roman" w:eastAsia="宋体" w:cs="Times New Roman"/>
                <w:color w:val="000000"/>
                <w:sz w:val="18"/>
                <w:szCs w:val="18"/>
                <w:lang w:val="en-US" w:eastAsia="zh-CN"/>
              </w:rPr>
              <w:t>.ori_variant }}</w:t>
            </w:r>
            <w:r>
              <w:rPr>
                <w:rFonts w:hint="eastAsia" w:ascii="Times New Roman" w:hAnsi="Times New Roman" w:eastAsia="宋体" w:cs="Times New Roman"/>
                <w:color w:val="000000"/>
                <w:sz w:val="18"/>
                <w:szCs w:val="18"/>
                <w:lang w:val="en-US" w:eastAsia="en-US"/>
              </w:rPr>
              <w:t>{% endif</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p>
        </w:tc>
      </w:tr>
      <w:tr w14:paraId="2A617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2CFC558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突变说明</w:t>
            </w:r>
          </w:p>
        </w:tc>
        <w:tc>
          <w:tcPr>
            <w:tcW w:w="8027" w:type="dxa"/>
            <w:tcBorders>
              <w:top w:val="dotted" w:color="2666A3" w:sz="4" w:space="0"/>
              <w:left w:val="dotted" w:color="2666A3" w:sz="4" w:space="0"/>
              <w:bottom w:val="dotted" w:color="2666A3" w:sz="4" w:space="0"/>
              <w:right w:val="nil"/>
            </w:tcBorders>
            <w:vAlign w:val="center"/>
          </w:tcPr>
          <w:p w14:paraId="0CDF35C5">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color w:val="000000"/>
                <w:sz w:val="18"/>
                <w:szCs w:val="18"/>
                <w:lang w:eastAsia="zh-CN"/>
              </w:rPr>
              <w:t>{{ vus.mutDesc }}</w:t>
            </w:r>
          </w:p>
        </w:tc>
      </w:tr>
      <w:tr w14:paraId="1BDB4A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3FE4533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基因说明</w:t>
            </w:r>
          </w:p>
        </w:tc>
        <w:tc>
          <w:tcPr>
            <w:tcW w:w="8027" w:type="dxa"/>
            <w:tcBorders>
              <w:top w:val="dotted" w:color="2666A3" w:sz="4" w:space="0"/>
              <w:left w:val="dotted" w:color="2666A3" w:sz="4" w:space="0"/>
              <w:bottom w:val="dotted" w:color="2666A3" w:sz="4" w:space="0"/>
              <w:right w:val="nil"/>
            </w:tcBorders>
            <w:vAlign w:val="center"/>
          </w:tcPr>
          <w:p w14:paraId="4F0BB70B">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vus.gene_description_chinese }}</w:t>
            </w:r>
          </w:p>
        </w:tc>
      </w:tr>
    </w:tbl>
    <w:p w14:paraId="123E205C">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endfor %}{% for tdd in ComplexDrugStr</w:t>
      </w:r>
      <w:r>
        <w:rPr>
          <w:rFonts w:hint="default" w:ascii="Times New Roman" w:hAnsi="Times New Roman" w:eastAsia="宋体" w:cs="Times New Roman"/>
          <w:b/>
          <w:color w:val="2666A3"/>
          <w:sz w:val="24"/>
          <w:szCs w:val="24"/>
          <w:lang w:val="en-US" w:eastAsia="zh-CN"/>
        </w:rPr>
        <w:t xml:space="preserve"> </w:t>
      </w:r>
      <w:r>
        <w:rPr>
          <w:rFonts w:hint="default" w:ascii="Times New Roman" w:hAnsi="Times New Roman" w:eastAsia="宋体" w:cs="Times New Roman"/>
          <w:b/>
          <w:color w:val="2666A3"/>
          <w:sz w:val="24"/>
          <w:szCs w:val="24"/>
          <w:lang w:eastAsia="zh-CN"/>
        </w:rPr>
        <w:t>%}</w:t>
      </w:r>
    </w:p>
    <w:p w14:paraId="4F19D42A">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2B5D5D53">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7B1C84E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l2br w:val="nil"/>
              <w:tr2bl w:val="nil"/>
            </w:tcBorders>
            <w:vAlign w:val="center"/>
          </w:tcPr>
          <w:p w14:paraId="011E355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val="en-US" w:eastAsia="zh-CN"/>
              </w:rPr>
              <w:t>-</w:t>
            </w:r>
          </w:p>
        </w:tc>
      </w:tr>
      <w:tr w14:paraId="4CB16F0D">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083866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l2br w:val="nil"/>
              <w:tr2bl w:val="nil"/>
            </w:tcBorders>
            <w:vAlign w:val="center"/>
          </w:tcPr>
          <w:p w14:paraId="0F0F54E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3593101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2543C0A">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l2br w:val="nil"/>
              <w:tr2bl w:val="nil"/>
            </w:tcBorders>
            <w:shd w:val="clear" w:color="auto" w:fill="auto"/>
            <w:vAlign w:val="center"/>
          </w:tcPr>
          <w:p w14:paraId="0EF79D8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3459BF3E">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373EE2E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03582DE">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6FCA3924">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36CE24F6">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55552A5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B7F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D0967A5">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4060E1B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48DE7F5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E30D115">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75C794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07FE0FD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38E5942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C35DC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l2br w:val="nil"/>
              <w:tr2bl w:val="nil"/>
            </w:tcBorders>
            <w:shd w:val="clear" w:color="auto" w:fill="auto"/>
            <w:vAlign w:val="center"/>
          </w:tcPr>
          <w:p w14:paraId="0D6382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78EB38EB">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6BF825A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E76C47">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2E942CD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5429B4CF">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15A28127">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1495C0">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A0C7B65">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2A433E77">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EE9EAC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820AB2E">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07A68B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317986B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3DCFFC6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72B6D46">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l2br w:val="nil"/>
              <w:tr2bl w:val="nil"/>
            </w:tcBorders>
            <w:vAlign w:val="center"/>
          </w:tcPr>
          <w:p w14:paraId="346237DA">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26E8D354">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59482578">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46EECD18">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03EC4DF7">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5F60A8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4C21D5E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l2br w:val="nil"/>
              <w:tr2bl w:val="nil"/>
            </w:tcBorders>
            <w:shd w:val="clear" w:color="auto" w:fill="auto"/>
            <w:vAlign w:val="center"/>
          </w:tcPr>
          <w:p w14:paraId="0BB332A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l2br w:val="nil"/>
              <w:tr2bl w:val="nil"/>
            </w:tcBorders>
            <w:shd w:val="clear" w:color="auto" w:fill="auto"/>
            <w:vAlign w:val="center"/>
          </w:tcPr>
          <w:p w14:paraId="202CD13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7B160D03">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FD5D3E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6668068A">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434A19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4D07A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l2br w:val="nil"/>
              <w:tr2bl w:val="nil"/>
            </w:tcBorders>
            <w:vAlign w:val="center"/>
          </w:tcPr>
          <w:p w14:paraId="0D02702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l2br w:val="nil"/>
              <w:tr2bl w:val="nil"/>
            </w:tcBorders>
            <w:vAlign w:val="center"/>
          </w:tcPr>
          <w:p w14:paraId="20FE37B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3D3DCB2A">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1AADCB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DF0627B">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BDEB21D">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68A5E6D8">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4D8C71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5634B1B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l2br w:val="nil"/>
              <w:tr2bl w:val="nil"/>
            </w:tcBorders>
            <w:shd w:val="clear" w:color="auto" w:fill="auto"/>
            <w:vAlign w:val="center"/>
          </w:tcPr>
          <w:p w14:paraId="1A459BA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l2br w:val="nil"/>
              <w:tr2bl w:val="nil"/>
            </w:tcBorders>
            <w:shd w:val="clear" w:color="auto" w:fill="auto"/>
            <w:vAlign w:val="center"/>
          </w:tcPr>
          <w:p w14:paraId="68B6BF0B">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2C71519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AB09B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7144D088">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0E794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6E083C">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l2br w:val="nil"/>
              <w:tr2bl w:val="nil"/>
            </w:tcBorders>
            <w:vAlign w:val="center"/>
          </w:tcPr>
          <w:p w14:paraId="735C8D98">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l2br w:val="nil"/>
              <w:tr2bl w:val="nil"/>
            </w:tcBorders>
            <w:vAlign w:val="center"/>
          </w:tcPr>
          <w:p w14:paraId="66A5EEB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12F58C5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24B55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3BF92695">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27923029">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0CE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52149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D3AC4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5274C2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11DB136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3936EB01">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24229F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2BBCFF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3328D169">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sz w:val="18"/>
                <w:szCs w:val="18"/>
                <w:lang w:eastAsia="zh-CN"/>
              </w:rPr>
              <w:t>{%tr for cti in tdd.clinicalTrialInformationStr %}</w:t>
            </w:r>
          </w:p>
        </w:tc>
      </w:tr>
      <w:tr w14:paraId="6842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69B7BC5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5F1EF577">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3B0630E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9885340">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0CAA3914">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0F80039">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1ACB273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357F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7D58497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{%tr endfor %}</w:t>
            </w:r>
          </w:p>
        </w:tc>
      </w:tr>
    </w:tbl>
    <w:p w14:paraId="26FDFBC4">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 endfor %}</w:t>
      </w:r>
    </w:p>
    <w:p w14:paraId="455D30E9">
      <w:pPr>
        <w:rPr>
          <w:rFonts w:ascii="Times New Roman" w:hAnsi="Times New Roman" w:cs="Times New Roman"/>
          <w:b/>
          <w:sz w:val="18"/>
        </w:rPr>
      </w:pPr>
      <w:r>
        <w:rPr>
          <w:rFonts w:ascii="Times New Roman" w:hAnsi="Times New Roman" w:cs="Times New Roman"/>
          <w:b/>
          <w:sz w:val="18"/>
        </w:rPr>
        <w:t>注：</w:t>
      </w:r>
    </w:p>
    <w:p w14:paraId="10D4FA8F">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52704F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指南推荐指在NCCN\CSCO\ASCO\ESMO指南中有明确的表格或文字说明，有本癌种该位点突变可获益的靶向药。</w:t>
      </w:r>
    </w:p>
    <w:p w14:paraId="3716DB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正在开放招募的临床试验药物信息来自www.clinicaltrials.gov 和www.chinadrugtrials.org.cn。临床试验信息实时更新，使用相关结果时，请务必确认其最新状态。</w:t>
      </w:r>
    </w:p>
    <w:p w14:paraId="2A0E32FF">
      <w:pPr>
        <w:pStyle w:val="41"/>
        <w:numPr>
          <w:ilvl w:val="0"/>
          <w:numId w:val="2"/>
        </w:numPr>
        <w:adjustRightInd w:val="0"/>
        <w:snapToGrid w:val="0"/>
        <w:rPr>
          <w:rFonts w:hint="default" w:ascii="Times New Roman" w:hAnsi="Times New Roman" w:eastAsia="宋体" w:cs="Times New Roman"/>
          <w:sz w:val="18"/>
          <w:szCs w:val="18"/>
          <w:lang w:val="en-US" w:eastAsia="zh-CN"/>
        </w:rPr>
      </w:pPr>
      <w:r>
        <w:rPr>
          <w:rFonts w:hint="default" w:ascii="Times New Roman" w:hAnsi="Times New Roman" w:eastAsia="宋体" w:cs="Times New Roman"/>
          <w:sz w:val="18"/>
          <w:szCs w:val="18"/>
          <w:lang w:val="en-US" w:eastAsia="zh-CN"/>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1674C2">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val="en-US" w:eastAsia="zh-CN"/>
        </w:rPr>
        <w:t>潜在耐药信息：FDA/NMPA已经批准的、NCCN指南推荐的、临床试验或者临床研究有明确结果的、药物敏感性可能降低或产生耐药的靶向药物。</w:t>
      </w:r>
    </w:p>
    <w:p w14:paraId="30F1F6F4">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标注的药物：NMPA批准的靶向药物。</w:t>
      </w:r>
    </w:p>
    <w:p w14:paraId="433785BC">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1107C9BD">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bookmarkStart w:id="10" w:name="_Toc526855038"/>
      <w:bookmarkStart w:id="11" w:name="_Toc527112386"/>
      <w:bookmarkStart w:id="12" w:name="_Toc534637499"/>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lang w:val="en-US" w:eastAsia="zh-CN"/>
        </w:rPr>
        <w:t>附录2检测基因总表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9EAA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8" w:hRule="atLeast"/>
        </w:trPr>
        <w:tc>
          <w:tcPr>
            <w:tcW w:w="9290" w:type="dxa"/>
            <w:gridSpan w:val="9"/>
          </w:tcPr>
          <w:p w14:paraId="148A8E28">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06F1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3" w:type="dxa"/>
            <w:vAlign w:val="center"/>
          </w:tcPr>
          <w:p w14:paraId="5487D751">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0AE69E2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285CC0C8">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18DD66B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61153C9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5A0BB39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14F8ECB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63D16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7AE573A7">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2DF0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90" w:type="dxa"/>
            <w:gridSpan w:val="9"/>
          </w:tcPr>
          <w:p w14:paraId="6C55F534">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4938AF59">
      <w:pPr>
        <w:widowControl/>
        <w:rPr>
          <w:rFonts w:ascii="Times New Roman" w:hAnsi="Times New Roman" w:eastAsia="微软雅黑" w:cs="Times New Roman"/>
        </w:rPr>
      </w:pPr>
    </w:p>
    <w:p w14:paraId="058197AC">
      <w:pPr>
        <w:widowControl/>
        <w:rPr>
          <w:rFonts w:ascii="Times New Roman" w:hAnsi="Times New Roman" w:eastAsia="微软雅黑" w:cs="Times New Roman"/>
        </w:rPr>
      </w:pPr>
    </w:p>
    <w:p w14:paraId="586A1208">
      <w:pPr>
        <w:numPr>
          <w:ilvl w:val="0"/>
          <w:numId w:val="0"/>
        </w:numPr>
        <w:tabs>
          <w:tab w:val="left" w:pos="2342"/>
        </w:tabs>
        <w:adjustRightInd w:val="0"/>
        <w:snapToGrid w:val="0"/>
        <w:rPr>
          <w:rFonts w:hint="eastAsia"/>
          <w:b/>
          <w:bCs w:val="0"/>
          <w:sz w:val="24"/>
          <w:szCs w:val="24"/>
        </w:rPr>
      </w:pPr>
      <w:r>
        <w:rPr>
          <w:rFonts w:hint="eastAsia" w:ascii="Times New Roman" w:hAnsi="Times New Roman" w:eastAsia="微软雅黑" w:cs="Times New Roman"/>
          <w:b/>
          <w:color w:val="1F497D"/>
          <w:sz w:val="24"/>
          <w:szCs w:val="24"/>
          <w:lang w:val="en-US" w:eastAsia="zh-CN"/>
        </w:rPr>
        <w:t>{% if associatedBowelCancer %}</w:t>
      </w:r>
      <w:r>
        <w:rPr>
          <w:rFonts w:hint="eastAsia" w:ascii="Times New Roman" w:hAnsi="Times New Roman" w:eastAsia="微软雅黑" w:cs="Times New Roman"/>
          <w:b/>
          <w:color w:val="1F497D"/>
          <w:sz w:val="28"/>
          <w:szCs w:val="28"/>
          <w:lang w:val="en-US" w:eastAsia="zh-CN"/>
        </w:rPr>
        <w:t>附录3 化疗药物位点</w:t>
      </w:r>
    </w:p>
    <w:tbl>
      <w:tblPr>
        <w:tblStyle w:val="19"/>
        <w:tblpPr w:leftFromText="180" w:rightFromText="180" w:vertAnchor="text" w:tblpXSpec="center" w:tblpY="1"/>
        <w:tblOverlap w:val="never"/>
        <w:tblW w:w="937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2"/>
        <w:gridCol w:w="1369"/>
        <w:gridCol w:w="1750"/>
        <w:gridCol w:w="3160"/>
        <w:gridCol w:w="1851"/>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242" w:type="dxa"/>
            <w:shd w:val="clear" w:color="auto" w:fill="366091"/>
            <w:vAlign w:val="center"/>
          </w:tcPr>
          <w:p w14:paraId="2FD1F67F">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检测基因</w:t>
            </w:r>
          </w:p>
        </w:tc>
        <w:tc>
          <w:tcPr>
            <w:tcW w:w="1369" w:type="dxa"/>
            <w:shd w:val="clear" w:color="auto" w:fill="366091"/>
            <w:vAlign w:val="center"/>
          </w:tcPr>
          <w:p w14:paraId="3EDCA930">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检测位点</w:t>
            </w:r>
          </w:p>
        </w:tc>
        <w:tc>
          <w:tcPr>
            <w:tcW w:w="1750" w:type="dxa"/>
            <w:shd w:val="clear" w:color="auto" w:fill="366091"/>
            <w:vAlign w:val="center"/>
          </w:tcPr>
          <w:p w14:paraId="12DB3978">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检测结果</w:t>
            </w:r>
          </w:p>
        </w:tc>
        <w:tc>
          <w:tcPr>
            <w:tcW w:w="3160" w:type="dxa"/>
            <w:shd w:val="clear" w:color="auto" w:fill="366091"/>
            <w:vAlign w:val="center"/>
          </w:tcPr>
          <w:p w14:paraId="6590C156">
            <w:pPr>
              <w:pStyle w:val="41"/>
              <w:adjustRightInd w:val="0"/>
              <w:snapToGrid w:val="0"/>
              <w:jc w:val="center"/>
              <w:rPr>
                <w:rFonts w:hint="default" w:ascii="Times New Roman" w:hAnsi="Times New Roman" w:eastAsia="微软雅黑" w:cstheme="minorEastAsia"/>
                <w:b/>
                <w:bCs/>
                <w:color w:val="FFFFFF" w:themeColor="background1"/>
                <w:kern w:val="2"/>
                <w:lang w:val="en-US"/>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结果判读</w:t>
            </w:r>
          </w:p>
        </w:tc>
        <w:tc>
          <w:tcPr>
            <w:tcW w:w="1851" w:type="dxa"/>
            <w:shd w:val="clear" w:color="auto" w:fill="366091"/>
            <w:vAlign w:val="center"/>
          </w:tcPr>
          <w:p w14:paraId="3312488A">
            <w:pPr>
              <w:pStyle w:val="41"/>
              <w:adjustRightInd w:val="0"/>
              <w:snapToGrid w:val="0"/>
              <w:jc w:val="center"/>
              <w:rPr>
                <w:rFonts w:hint="eastAsia" w:ascii="Times New Roman" w:hAnsi="Times New Roman" w:eastAsia="微软雅黑" w:cstheme="minorEastAsia"/>
                <w:b/>
                <w:bCs/>
                <w:color w:val="FFFFFF" w:themeColor="background1"/>
                <w:kern w:val="2"/>
                <w:lang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等级</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372" w:type="dxa"/>
            <w:gridSpan w:val="5"/>
            <w:tcBorders>
              <w:tl2br w:val="nil"/>
              <w:tr2bl w:val="nil"/>
            </w:tcBorders>
            <w:shd w:val="clear" w:color="auto" w:fill="auto"/>
            <w:vAlign w:val="center"/>
          </w:tcPr>
          <w:p w14:paraId="1E62C1C5">
            <w:pPr>
              <w:tabs>
                <w:tab w:val="left" w:pos="2342"/>
              </w:tabs>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242" w:type="dxa"/>
            <w:tcBorders>
              <w:tl2br w:val="nil"/>
              <w:tr2bl w:val="nil"/>
            </w:tcBorders>
            <w:shd w:val="clear" w:color="auto" w:fill="auto"/>
            <w:vAlign w:val="center"/>
          </w:tcPr>
          <w:p w14:paraId="65BEAE80">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2</w:t>
            </w:r>
            <w:r>
              <w:rPr>
                <w:rFonts w:eastAsia="微软雅黑"/>
                <w:sz w:val="18"/>
                <w:szCs w:val="18"/>
              </w:rPr>
              <w:t xml:space="preserve"> }}</w:t>
            </w:r>
          </w:p>
        </w:tc>
        <w:tc>
          <w:tcPr>
            <w:tcW w:w="1369" w:type="dxa"/>
            <w:tcBorders>
              <w:tl2br w:val="nil"/>
              <w:tr2bl w:val="nil"/>
            </w:tcBorders>
            <w:shd w:val="clear" w:color="auto" w:fill="auto"/>
            <w:vAlign w:val="center"/>
          </w:tcPr>
          <w:p w14:paraId="7F0183CD">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3</w:t>
            </w:r>
            <w:r>
              <w:rPr>
                <w:rFonts w:eastAsia="微软雅黑"/>
                <w:sz w:val="18"/>
                <w:szCs w:val="18"/>
              </w:rPr>
              <w:t xml:space="preserve"> }}</w:t>
            </w:r>
          </w:p>
        </w:tc>
        <w:tc>
          <w:tcPr>
            <w:tcW w:w="1750" w:type="dxa"/>
            <w:tcBorders>
              <w:tl2br w:val="nil"/>
              <w:tr2bl w:val="nil"/>
            </w:tcBorders>
            <w:shd w:val="clear" w:color="auto" w:fill="auto"/>
            <w:vAlign w:val="center"/>
          </w:tcPr>
          <w:p w14:paraId="13612CA6">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4</w:t>
            </w:r>
            <w:r>
              <w:rPr>
                <w:rFonts w:eastAsia="微软雅黑"/>
                <w:sz w:val="18"/>
                <w:szCs w:val="18"/>
              </w:rPr>
              <w:t xml:space="preserve"> }}</w:t>
            </w:r>
          </w:p>
        </w:tc>
        <w:tc>
          <w:tcPr>
            <w:tcW w:w="3160" w:type="dxa"/>
            <w:tcBorders>
              <w:tl2br w:val="nil"/>
              <w:tr2bl w:val="nil"/>
            </w:tcBorders>
            <w:shd w:val="clear" w:color="auto" w:fill="auto"/>
            <w:vAlign w:val="center"/>
          </w:tcPr>
          <w:p w14:paraId="7BE69F0E">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5</w:t>
            </w:r>
            <w:r>
              <w:rPr>
                <w:rFonts w:eastAsia="微软雅黑"/>
                <w:sz w:val="18"/>
                <w:szCs w:val="18"/>
              </w:rPr>
              <w:t xml:space="preserve"> }}</w:t>
            </w:r>
          </w:p>
        </w:tc>
        <w:tc>
          <w:tcPr>
            <w:tcW w:w="1851" w:type="dxa"/>
            <w:tcBorders>
              <w:tl2br w:val="nil"/>
              <w:tr2bl w:val="nil"/>
            </w:tcBorders>
            <w:shd w:val="clear" w:color="auto" w:fill="auto"/>
            <w:vAlign w:val="center"/>
          </w:tcPr>
          <w:p w14:paraId="0DCC8F2D">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6</w:t>
            </w:r>
            <w:r>
              <w:rPr>
                <w:rFonts w:eastAsia="微软雅黑"/>
                <w:sz w:val="18"/>
                <w:szCs w:val="18"/>
              </w:rPr>
              <w:t xml:space="preserve">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372" w:type="dxa"/>
            <w:gridSpan w:val="5"/>
            <w:tcBorders>
              <w:tl2br w:val="nil"/>
              <w:tr2bl w:val="nil"/>
            </w:tcBorders>
            <w:shd w:val="clear" w:color="auto" w:fill="auto"/>
            <w:vAlign w:val="center"/>
          </w:tcPr>
          <w:p w14:paraId="1C21B1AC">
            <w:pPr>
              <w:tabs>
                <w:tab w:val="left" w:pos="2342"/>
              </w:tabs>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2CEAB07F">
      <w:pPr>
        <w:pStyle w:val="41"/>
        <w:numPr>
          <w:ilvl w:val="0"/>
          <w:numId w:val="0"/>
        </w:numPr>
        <w:adjustRightInd w:val="0"/>
        <w:snapToGrid w:val="0"/>
        <w:ind w:leftChars="0"/>
        <w:rPr>
          <w:rFonts w:hint="default" w:ascii="Times New Roman" w:hAnsi="Times New Roman" w:eastAsia="宋体" w:cs="Times New Roman"/>
          <w:sz w:val="18"/>
          <w:szCs w:val="18"/>
        </w:rPr>
      </w:pPr>
      <w:r>
        <w:rPr>
          <w:rFonts w:hint="eastAsia" w:cs="Times New Roman"/>
          <w:sz w:val="18"/>
          <w:szCs w:val="18"/>
          <w:lang w:val="en-US" w:eastAsia="zh-CN"/>
        </w:rPr>
        <w:t>注：</w:t>
      </w:r>
      <w:r>
        <w:rPr>
          <w:rFonts w:hint="default" w:ascii="Times New Roman" w:hAnsi="Times New Roman" w:eastAsia="宋体" w:cs="Times New Roman"/>
          <w:sz w:val="18"/>
          <w:szCs w:val="18"/>
        </w:rPr>
        <w:t>本检测仅包括肿瘤组织，未包括对照样本</w:t>
      </w:r>
      <w:r>
        <w:rPr>
          <w:rFonts w:hint="eastAsia" w:cs="Times New Roman"/>
          <w:sz w:val="18"/>
          <w:szCs w:val="18"/>
          <w:lang w:eastAsia="zh-CN"/>
        </w:rPr>
        <w:t>。</w:t>
      </w:r>
      <w:r>
        <w:rPr>
          <w:rFonts w:hint="default" w:ascii="Times New Roman" w:hAnsi="Times New Roman" w:eastAsia="宋体" w:cs="Times New Roman"/>
          <w:sz w:val="18"/>
          <w:szCs w:val="18"/>
        </w:rPr>
        <w:t>基于数据库和变异丰度的算法综合预测，不能完全排除</w:t>
      </w:r>
      <w:r>
        <w:rPr>
          <w:rFonts w:hint="eastAsia" w:cs="Times New Roman"/>
          <w:sz w:val="18"/>
          <w:szCs w:val="18"/>
          <w:lang w:val="en-US" w:eastAsia="zh-CN"/>
        </w:rPr>
        <w:t>体系</w:t>
      </w:r>
      <w:r>
        <w:rPr>
          <w:rFonts w:hint="default" w:ascii="Times New Roman" w:hAnsi="Times New Roman" w:eastAsia="宋体" w:cs="Times New Roman"/>
          <w:sz w:val="18"/>
          <w:szCs w:val="18"/>
        </w:rPr>
        <w:t>突变来源的可能性。</w:t>
      </w:r>
    </w:p>
    <w:p w14:paraId="12F21227">
      <w:pPr>
        <w:tabs>
          <w:tab w:val="right" w:pos="9690"/>
        </w:tabs>
        <w:adjustRightInd w:val="0"/>
        <w:snapToGrid w:val="0"/>
        <w:spacing w:after="0" w:line="240" w:lineRule="auto"/>
        <w:rPr>
          <w:rFonts w:ascii="Times New Roman" w:hAnsi="Times New Roman" w:eastAsia="微软雅黑" w:cs="Times New Roman"/>
        </w:rPr>
      </w:pPr>
      <w:r>
        <w:rPr>
          <w:rFonts w:hint="eastAsia" w:ascii="Times New Roman" w:hAnsi="Times New Roman" w:eastAsia="微软雅黑" w:cs="Times New Roman"/>
          <w:b/>
          <w:color w:val="1F497D"/>
          <w:sz w:val="28"/>
          <w:szCs w:val="28"/>
          <w:lang w:val="en-US" w:eastAsia="zh-CN"/>
        </w:rPr>
        <w:t>{% endif %}</w:t>
      </w:r>
    </w:p>
    <w:p w14:paraId="6AE2B82A">
      <w:pPr>
        <w:tabs>
          <w:tab w:val="right" w:pos="9690"/>
        </w:tabs>
        <w:adjustRightInd w:val="0"/>
        <w:snapToGrid w:val="0"/>
        <w:spacing w:after="0" w:line="240" w:lineRule="auto"/>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5E1DFF01">
      <w:pPr>
        <w:keepNext/>
        <w:widowControl/>
        <w:spacing w:before="360" w:beforeLines="150" w:line="260" w:lineRule="auto"/>
        <w:rPr>
          <w:rFonts w:hint="default"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4"/>
          <w:szCs w:val="24"/>
          <w:lang w:val="en-US" w:eastAsia="zh-CN"/>
        </w:rPr>
        <w:t>{% if associatedBowelCancer %}</w:t>
      </w:r>
      <w:r>
        <w:rPr>
          <w:rFonts w:hint="eastAsia" w:ascii="Times New Roman" w:hAnsi="Times New Roman" w:eastAsia="微软雅黑" w:cs="Times New Roman"/>
          <w:b/>
          <w:color w:val="1F497D"/>
          <w:sz w:val="28"/>
          <w:szCs w:val="28"/>
          <w:lang w:val="en-US" w:eastAsia="zh-CN"/>
        </w:rPr>
        <w:t>附录4{% else %}附录3{% endif %}试剂盒部分检测位点列表</w:t>
      </w:r>
    </w:p>
    <w:tbl>
      <w:tblPr>
        <w:tblStyle w:val="19"/>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8"/>
        <w:gridCol w:w="808"/>
        <w:gridCol w:w="3053"/>
        <w:gridCol w:w="2956"/>
        <w:gridCol w:w="1171"/>
      </w:tblGrid>
      <w:tr w14:paraId="07C3F4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l2br w:val="nil"/>
            </w:tcBorders>
            <w:shd w:val="clear" w:color="auto" w:fill="1F3864"/>
            <w:vAlign w:val="center"/>
          </w:tcPr>
          <w:p w14:paraId="23594F0C">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基因名称</w:t>
            </w:r>
          </w:p>
        </w:tc>
        <w:tc>
          <w:tcPr>
            <w:tcW w:w="435"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28AEC312">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外显子</w:t>
            </w:r>
          </w:p>
        </w:tc>
        <w:tc>
          <w:tcPr>
            <w:tcW w:w="1643"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4A630F3A">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碱基变化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49"/>
                <w:b/>
                <w:bCs w:val="0"/>
                <w:color w:val="FFFFFF" w:themeColor="background1"/>
                <w:sz w:val="18"/>
                <w:szCs w:val="18"/>
                <w:lang w:val="en-US" w:eastAsia="zh-CN" w:bidi="ar"/>
                <w14:textFill>
                  <w14:solidFill>
                    <w14:schemeClr w14:val="bg1"/>
                  </w14:solidFill>
                </w14:textFill>
              </w:rPr>
              <w:t>融合类型</w:t>
            </w:r>
          </w:p>
        </w:tc>
        <w:tc>
          <w:tcPr>
            <w:tcW w:w="1591"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3C9250C4">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氨基酸变化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49"/>
                <w:b/>
                <w:bCs w:val="0"/>
                <w:color w:val="FFFFFF" w:themeColor="background1"/>
                <w:sz w:val="18"/>
                <w:szCs w:val="18"/>
                <w:lang w:val="en-US" w:eastAsia="zh-CN" w:bidi="ar"/>
                <w14:textFill>
                  <w14:solidFill>
                    <w14:schemeClr w14:val="bg1"/>
                  </w14:solidFill>
                </w14:textFill>
              </w:rPr>
              <w:t>融合形式</w:t>
            </w:r>
          </w:p>
        </w:tc>
        <w:tc>
          <w:tcPr>
            <w:tcW w:w="630"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633578E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Cosmic ID</w:t>
            </w:r>
          </w:p>
        </w:tc>
      </w:tr>
      <w:tr w14:paraId="47D788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4A9228C7">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EGFR</w:t>
            </w:r>
          </w:p>
        </w:tc>
        <w:tc>
          <w:tcPr>
            <w:tcW w:w="435" w:type="pct"/>
            <w:tcBorders>
              <w:top w:val="single" w:color="FFFFFF" w:sz="8" w:space="0"/>
              <w:left w:val="single" w:color="FFFFFF" w:sz="8" w:space="0"/>
              <w:bottom w:val="single" w:color="000000" w:sz="4" w:space="0"/>
              <w:right w:val="single" w:color="000000" w:sz="4" w:space="0"/>
            </w:tcBorders>
            <w:shd w:val="clear" w:color="auto" w:fill="FFFFFF"/>
            <w:vAlign w:val="center"/>
          </w:tcPr>
          <w:p w14:paraId="7671664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5E8246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c.2156G&gt;C</w:t>
            </w:r>
          </w:p>
        </w:tc>
        <w:tc>
          <w:tcPr>
            <w:tcW w:w="1591"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9551A8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p.G719A</w:t>
            </w:r>
          </w:p>
        </w:tc>
        <w:tc>
          <w:tcPr>
            <w:tcW w:w="630"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FACE6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6239 </w:t>
            </w:r>
          </w:p>
        </w:tc>
      </w:tr>
      <w:tr w14:paraId="2D5ED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11CC6B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BA576A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FDB7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B879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C524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6253 </w:t>
            </w:r>
          </w:p>
        </w:tc>
      </w:tr>
      <w:tr w14:paraId="364FA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EE3596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A278A3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4BF8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038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8FBC5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6252 </w:t>
            </w:r>
          </w:p>
        </w:tc>
      </w:tr>
      <w:tr w14:paraId="546EE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17AC7A7F">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25D599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F5F26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c.2235_2249del15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5B1B2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975D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6223 </w:t>
            </w:r>
          </w:p>
        </w:tc>
      </w:tr>
      <w:tr w14:paraId="4FEDE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D82116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95E7EB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B7CB0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c.2236_2250del15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BC027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579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6225 </w:t>
            </w:r>
          </w:p>
        </w:tc>
      </w:tr>
      <w:tr w14:paraId="6C0D1D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E1B86E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AEDE94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7F33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lang w:val="en-US"/>
              </w:rPr>
            </w:pPr>
            <w:r>
              <w:rPr>
                <w:rFonts w:hint="default" w:ascii="Times New Roman" w:hAnsi="Times New Roman" w:eastAsia="宋体" w:cs="Times New Roman"/>
                <w:b w:val="0"/>
                <w:bCs/>
                <w:i w:val="0"/>
                <w:iCs w:val="0"/>
                <w:color w:val="000000"/>
                <w:kern w:val="0"/>
                <w:sz w:val="18"/>
                <w:szCs w:val="18"/>
                <w:u w:val="none"/>
                <w:lang w:val="en-US" w:eastAsia="zh-CN" w:bidi="ar"/>
              </w:rPr>
              <w:t>c.2239_2253del15/c.2240_2254del</w:t>
            </w:r>
            <w:r>
              <w:rPr>
                <w:rFonts w:hint="eastAsia" w:ascii="Times New Roman" w:hAnsi="Times New Roman" w:cs="Times New Roman"/>
                <w:b w:val="0"/>
                <w:bCs/>
                <w:i w:val="0"/>
                <w:iCs w:val="0"/>
                <w:color w:val="000000"/>
                <w:kern w:val="0"/>
                <w:sz w:val="18"/>
                <w:szCs w:val="18"/>
                <w:u w:val="none"/>
                <w:lang w:val="en-US" w:eastAsia="zh-CN" w:bidi="ar"/>
              </w:rPr>
              <w:t>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D2EB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p.L747_T751delLREAT</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A60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6254/12369</w:t>
            </w:r>
          </w:p>
        </w:tc>
      </w:tr>
      <w:tr w14:paraId="1AFD5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CC59E0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4EB46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2C4C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c.2239_2256del18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7D4D9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p.L747_S752delLREATS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9BED2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6255 </w:t>
            </w:r>
          </w:p>
        </w:tc>
      </w:tr>
      <w:tr w14:paraId="672EB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9B8B6F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2F323A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D9D5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c.2239_2247delTTAAGAGAA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7CDC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p.L747_E749delLRE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8C80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6218 </w:t>
            </w:r>
          </w:p>
        </w:tc>
      </w:tr>
      <w:tr w14:paraId="17F3E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E4D5E7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2E708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D9D6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c.2237_2251del15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43F1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p.E746_T751&gt;A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1555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12678 </w:t>
            </w:r>
          </w:p>
        </w:tc>
      </w:tr>
      <w:tr w14:paraId="7A8F11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320DCF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0CCC14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A4D68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c.2240_2257del18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D5A1D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p.L747_P753&gt;S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9910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12370 </w:t>
            </w:r>
          </w:p>
        </w:tc>
      </w:tr>
      <w:tr w14:paraId="2AA40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403367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38C32F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46E3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c.2239_2248TTAAGAGAAG&gt;C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C64DE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p.L747_A750&gt;P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297B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6254 </w:t>
            </w:r>
          </w:p>
        </w:tc>
      </w:tr>
      <w:tr w14:paraId="7AFEA7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545C60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05EFD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0018E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c.2237_2255&gt;T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C80D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p.E746_S752&gt;V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DA26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12384 </w:t>
            </w:r>
          </w:p>
        </w:tc>
      </w:tr>
      <w:tr w14:paraId="7011B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4D8A5B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4E091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6B248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c.2239_2251&gt;C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A90F5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p.L747_T75I&gt;P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F4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12383 </w:t>
            </w:r>
          </w:p>
        </w:tc>
      </w:tr>
      <w:tr w14:paraId="0A64B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137FEF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103BCD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F1A0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c.2369C&gt;T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ED04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p.T790M</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3C4E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6240 </w:t>
            </w:r>
          </w:p>
        </w:tc>
      </w:tr>
      <w:tr w14:paraId="475E12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D02117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333D36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67AC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c.2303G&gt;T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80C4F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p.S7681</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7B728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6241 </w:t>
            </w:r>
          </w:p>
        </w:tc>
      </w:tr>
      <w:tr w14:paraId="0A8B73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004690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216E7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58F3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c.2307_2308insGCCAGCGTG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316F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p.V769_D770insASV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FD3D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12376 </w:t>
            </w:r>
          </w:p>
        </w:tc>
      </w:tr>
      <w:tr w14:paraId="08678A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98E728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B2BC7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388A1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c.2310_231</w:t>
            </w:r>
            <w:r>
              <w:rPr>
                <w:rFonts w:hint="eastAsia" w:ascii="Times New Roman" w:hAnsi="Times New Roman" w:cs="Times New Roman"/>
                <w:b w:val="0"/>
                <w:bCs/>
                <w:i w:val="0"/>
                <w:iCs w:val="0"/>
                <w:color w:val="000000"/>
                <w:kern w:val="0"/>
                <w:sz w:val="18"/>
                <w:szCs w:val="18"/>
                <w:u w:val="none"/>
                <w:lang w:val="en-US" w:eastAsia="zh-CN" w:bidi="ar"/>
              </w:rPr>
              <w:t>1</w:t>
            </w:r>
            <w:r>
              <w:rPr>
                <w:rFonts w:hint="default" w:ascii="Times New Roman" w:hAnsi="Times New Roman" w:eastAsia="宋体" w:cs="Times New Roman"/>
                <w:b w:val="0"/>
                <w:bCs/>
                <w:i w:val="0"/>
                <w:iCs w:val="0"/>
                <w:color w:val="000000"/>
                <w:kern w:val="0"/>
                <w:sz w:val="18"/>
                <w:szCs w:val="18"/>
                <w:u w:val="none"/>
                <w:lang w:val="en-US" w:eastAsia="zh-CN" w:bidi="ar"/>
              </w:rPr>
              <w:t>insGGT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3B5D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p.D770_N771insG</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8EDB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12378 </w:t>
            </w:r>
          </w:p>
        </w:tc>
      </w:tr>
      <w:tr w14:paraId="2B076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D00F2F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16677A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F3A4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c.2319_2320insCAC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8F73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p.H773_V774insH</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C9685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12377 </w:t>
            </w:r>
          </w:p>
        </w:tc>
      </w:tr>
      <w:tr w14:paraId="389CF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7F4961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35499E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9FD8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c.2573T&gt;G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B5EA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p.L858R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0D0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6224 </w:t>
            </w:r>
          </w:p>
        </w:tc>
      </w:tr>
      <w:tr w14:paraId="65358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800868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5C154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2701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c.2582T&gt;A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5792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p.L861Q</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8A641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6213 </w:t>
            </w:r>
          </w:p>
        </w:tc>
      </w:tr>
      <w:tr w14:paraId="4BE25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0A62C6C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KRAS</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DCDAC9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E782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8EBCF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CCECE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521 </w:t>
            </w:r>
          </w:p>
        </w:tc>
      </w:tr>
      <w:tr w14:paraId="2E88C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99B700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3315E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F8F31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FB9E7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725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520 </w:t>
            </w:r>
          </w:p>
        </w:tc>
      </w:tr>
      <w:tr w14:paraId="440B6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BBC3A7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FFC78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E5EDB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DDBFD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800A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516 </w:t>
            </w:r>
          </w:p>
        </w:tc>
      </w:tr>
      <w:tr w14:paraId="586AB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DE2E97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326B84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F27D5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D7A81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9C99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517 </w:t>
            </w:r>
          </w:p>
        </w:tc>
      </w:tr>
      <w:tr w14:paraId="1D7AA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779B25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74D65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F59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c.38G&gt;A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5E4C4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p.G13D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EC595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532 </w:t>
            </w:r>
          </w:p>
        </w:tc>
      </w:tr>
      <w:tr w14:paraId="13BD3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1A16D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5505EB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14778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506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2D56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518 </w:t>
            </w:r>
          </w:p>
        </w:tc>
      </w:tr>
      <w:tr w14:paraId="6DCD5A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B5B5B1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7C122D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2C0A9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7EE9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4651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522 </w:t>
            </w:r>
          </w:p>
        </w:tc>
      </w:tr>
      <w:tr w14:paraId="3F205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76F95CD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BRAF</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C66DC3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15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12BD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c.1799T&gt;A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812FD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p.V600E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F02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476 </w:t>
            </w:r>
          </w:p>
        </w:tc>
      </w:tr>
      <w:tr w14:paraId="487A8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74D7D4F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PIK3CA</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082B7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8A51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c.1624G&gt;A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081C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p.E542K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94DC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760 </w:t>
            </w:r>
          </w:p>
        </w:tc>
      </w:tr>
      <w:tr w14:paraId="2DED5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04A143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96C008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C446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c.1633G&gt;A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CCD97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p.E545K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7BA5F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763 </w:t>
            </w:r>
          </w:p>
        </w:tc>
      </w:tr>
      <w:tr w14:paraId="6A05F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14BB537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77A918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A60C5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E1E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p.H1047L</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8CA85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776 </w:t>
            </w:r>
          </w:p>
        </w:tc>
      </w:tr>
      <w:tr w14:paraId="11C31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927BF3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DAB0DC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C3108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DDB86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7B7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775 </w:t>
            </w:r>
          </w:p>
        </w:tc>
      </w:tr>
      <w:tr w14:paraId="30F77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A187DA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ALK</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1279A60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F08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2D7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E13A20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AC3B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D0AC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5B32C3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F9AEC5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6D391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BF7D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E20A20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E9DB8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938D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14F5A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5F9EE87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EFF9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AC54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E6aA20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27725C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7FF3D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BD517C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30FB811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9023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7C9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E6bA20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295DA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975D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B91A93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ROS1</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2F520F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D08E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SLC34A2-ROS1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DD7A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S4R32</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749A7A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C763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21F9DE4">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B9BF9A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9CBBA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CD74-ROS1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9F557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C6R34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9F53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60E2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BB70A6A">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2D9A3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DAD3C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EZR-ROS1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52E2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E10R34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49992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bl>
    <w:p w14:paraId="1B070096">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4"/>
          <w:szCs w:val="24"/>
          <w:lang w:val="en-US" w:eastAsia="zh-CN"/>
        </w:rPr>
        <w:t>{% if associatedBowelCancer %}</w:t>
      </w:r>
      <w:r>
        <w:rPr>
          <w:rFonts w:hint="eastAsia" w:ascii="Times New Roman" w:hAnsi="Times New Roman" w:eastAsia="微软雅黑" w:cs="Times New Roman"/>
          <w:b/>
          <w:color w:val="1F497D"/>
          <w:sz w:val="28"/>
          <w:szCs w:val="28"/>
          <w:lang w:val="en-US" w:eastAsia="zh-CN"/>
        </w:rPr>
        <w:t>附录5{% else %}附录4{% endif %} 常见靶向药物相关基因检测列表</w:t>
      </w:r>
    </w:p>
    <w:p w14:paraId="5F52F6B5">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ascii="Times New Roman" w:hAnsi="Times New Roman" w:cs="Times New Roman"/>
          <w:b/>
        </w:rPr>
        <w:t>ABL1</w:t>
      </w:r>
    </w:p>
    <w:p w14:paraId="256E9FDF">
      <w:pPr>
        <w:spacing w:line="300" w:lineRule="auto"/>
        <w:ind w:left="420"/>
        <w:rPr>
          <w:rFonts w:ascii="Times New Roman" w:hAnsi="Times New Roman" w:cs="Times New Roman"/>
          <w:b/>
          <w:szCs w:val="18"/>
          <w:highlight w:val="black"/>
        </w:rPr>
      </w:pPr>
      <w:r>
        <w:rPr>
          <w:rFonts w:ascii="Times New Roman" w:hAnsi="Times New Roman" w:cs="Times New Roman"/>
          <w:b/>
          <w:szCs w:val="18"/>
        </w:rPr>
        <w:t>基因说明：</w:t>
      </w:r>
    </w:p>
    <w:p w14:paraId="7251F32C">
      <w:pPr>
        <w:spacing w:line="300" w:lineRule="auto"/>
        <w:ind w:left="420"/>
        <w:rPr>
          <w:rFonts w:ascii="Times New Roman" w:hAnsi="Times New Roman" w:cs="Times New Roman"/>
          <w:sz w:val="18"/>
          <w:szCs w:val="18"/>
        </w:rPr>
      </w:pPr>
      <w:r>
        <w:rPr>
          <w:rFonts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w:t>
      </w:r>
      <w:r>
        <w:rPr>
          <w:rFonts w:hint="eastAsia" w:ascii="Times New Roman" w:hAnsi="Times New Roman" w:cs="Times New Roman"/>
          <w:sz w:val="18"/>
          <w:szCs w:val="18"/>
        </w:rPr>
        <w:t>（</w:t>
      </w:r>
      <w:r>
        <w:rPr>
          <w:rFonts w:ascii="Times New Roman" w:hAnsi="Times New Roman" w:cs="Times New Roman"/>
          <w:sz w:val="18"/>
          <w:szCs w:val="18"/>
        </w:rPr>
        <w:t>MIM: 151410</w:t>
      </w:r>
      <w:r>
        <w:rPr>
          <w:rFonts w:hint="eastAsia" w:ascii="Times New Roman" w:hAnsi="Times New Roman" w:cs="Times New Roman"/>
          <w:sz w:val="18"/>
          <w:szCs w:val="18"/>
        </w:rPr>
        <w:t>）</w:t>
      </w:r>
      <w:r>
        <w:rPr>
          <w:rFonts w:ascii="Times New Roman" w:hAnsi="Times New Roman" w:cs="Times New Roman"/>
          <w:sz w:val="18"/>
          <w:szCs w:val="18"/>
        </w:rPr>
        <w:t>的融合。ABL1的突变常见于肺癌、结肠癌、子宫内膜样腺癌、乳腺浸润性导管癌和皮肤黑色素瘤患者中。</w:t>
      </w:r>
    </w:p>
    <w:p w14:paraId="21E3BBA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6D0BAFB">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ABL1在BCR-ABL融合蛋白中的作用与癌症关系最为密切，该融合蛋白已成为慢性</w:t>
      </w:r>
      <w:r>
        <w:rPr>
          <w:rFonts w:hint="eastAsia" w:ascii="Times New Roman" w:hAnsi="Times New Roman" w:cs="Times New Roman"/>
          <w:sz w:val="18"/>
          <w:szCs w:val="18"/>
        </w:rPr>
        <w:t>粒细胞</w:t>
      </w:r>
      <w:r>
        <w:rPr>
          <w:rFonts w:ascii="Times New Roman" w:hAnsi="Times New Roman" w:cs="Times New Roman"/>
          <w:sz w:val="18"/>
          <w:szCs w:val="18"/>
        </w:rPr>
        <w:t>白血病</w:t>
      </w:r>
      <w:r>
        <w:rPr>
          <w:rFonts w:hint="eastAsia" w:ascii="Times New Roman" w:hAnsi="Times New Roman" w:cs="Times New Roman"/>
          <w:sz w:val="18"/>
          <w:szCs w:val="18"/>
        </w:rPr>
        <w:t>（</w:t>
      </w:r>
      <w:r>
        <w:rPr>
          <w:rFonts w:ascii="Times New Roman" w:hAnsi="Times New Roman" w:cs="Times New Roman"/>
          <w:sz w:val="18"/>
          <w:szCs w:val="18"/>
        </w:rPr>
        <w:t>CML</w:t>
      </w:r>
      <w:r>
        <w:rPr>
          <w:rFonts w:hint="eastAsia" w:ascii="Times New Roman" w:hAnsi="Times New Roman" w:cs="Times New Roman"/>
          <w:sz w:val="18"/>
          <w:szCs w:val="18"/>
        </w:rPr>
        <w:t>）</w:t>
      </w:r>
      <w:r>
        <w:rPr>
          <w:rFonts w:ascii="Times New Roman" w:hAnsi="Times New Roman" w:cs="Times New Roman"/>
          <w:sz w:val="18"/>
          <w:szCs w:val="18"/>
        </w:rPr>
        <w:t>的一个特征，含有融合突变的细胞对伊马替尼表现出敏感性，大大改善了疾病的预后。</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指南推荐普纳替尼、尼洛替尼、伊马替尼、达沙替尼、博舒替尼用于</w:t>
      </w:r>
      <w:r>
        <w:rPr>
          <w:rFonts w:ascii="Times New Roman" w:hAnsi="Times New Roman" w:cs="Times New Roman"/>
          <w:sz w:val="18"/>
          <w:szCs w:val="18"/>
        </w:rPr>
        <w:t>ABL1重排的嗜酸性粒细胞增多症的髓系/淋巴系肿瘤患者</w:t>
      </w:r>
      <w:r>
        <w:rPr>
          <w:rFonts w:hint="eastAsia" w:ascii="Times New Roman" w:hAnsi="Times New Roman" w:cs="Times New Roman"/>
          <w:sz w:val="18"/>
          <w:szCs w:val="18"/>
        </w:rPr>
        <w:t>。</w:t>
      </w:r>
      <w:r>
        <w:rPr>
          <w:rFonts w:ascii="Times New Roman" w:hAnsi="Times New Roman" w:cs="Times New Roman"/>
          <w:sz w:val="18"/>
          <w:szCs w:val="18"/>
        </w:rPr>
        <w:t>然而，ABL1中额外的突变已被证明对伊马替尼具有耐药性，含有ABL1 R332W</w:t>
      </w:r>
      <w:r>
        <w:rPr>
          <w:rFonts w:hint="eastAsia" w:ascii="Times New Roman" w:hAnsi="Times New Roman" w:cs="Times New Roman"/>
          <w:sz w:val="18"/>
          <w:szCs w:val="18"/>
        </w:rPr>
        <w:t>（</w:t>
      </w:r>
      <w:r>
        <w:rPr>
          <w:rFonts w:ascii="Times New Roman" w:hAnsi="Times New Roman" w:cs="Times New Roman"/>
          <w:sz w:val="18"/>
          <w:szCs w:val="18"/>
        </w:rPr>
        <w:t>也被报道为R351W</w:t>
      </w:r>
      <w:r>
        <w:rPr>
          <w:rFonts w:hint="eastAsia" w:ascii="Times New Roman" w:hAnsi="Times New Roman" w:cs="Times New Roman"/>
          <w:sz w:val="18"/>
          <w:szCs w:val="18"/>
        </w:rPr>
        <w:t>）</w:t>
      </w:r>
      <w:r>
        <w:rPr>
          <w:rFonts w:ascii="Times New Roman" w:hAnsi="Times New Roman" w:cs="Times New Roman"/>
          <w:sz w:val="18"/>
          <w:szCs w:val="18"/>
        </w:rPr>
        <w:t>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w:t>
      </w:r>
      <w:r>
        <w:rPr>
          <w:rFonts w:hint="eastAsia" w:ascii="Times New Roman" w:hAnsi="Times New Roman" w:cs="Times New Roman"/>
          <w:sz w:val="18"/>
          <w:szCs w:val="18"/>
        </w:rPr>
        <w:t>。</w:t>
      </w:r>
      <w:r>
        <w:rPr>
          <w:rFonts w:ascii="Times New Roman" w:hAnsi="Times New Roman" w:cs="Times New Roman"/>
          <w:sz w:val="18"/>
          <w:szCs w:val="18"/>
        </w:rPr>
        <w:t>评估尼洛替尼</w:t>
      </w:r>
      <w:r>
        <w:rPr>
          <w:rFonts w:hint="eastAsia" w:ascii="Times New Roman" w:hAnsi="Times New Roman" w:cs="Times New Roman"/>
          <w:sz w:val="18"/>
          <w:szCs w:val="18"/>
        </w:rPr>
        <w:t>、依维莫司</w:t>
      </w:r>
      <w:r>
        <w:rPr>
          <w:rFonts w:ascii="Times New Roman" w:hAnsi="Times New Roman" w:cs="Times New Roman"/>
          <w:sz w:val="18"/>
          <w:szCs w:val="18"/>
        </w:rPr>
        <w:t>治疗ABL1</w:t>
      </w:r>
      <w:r>
        <w:rPr>
          <w:rFonts w:hint="eastAsia" w:ascii="Times New Roman" w:hAnsi="Times New Roman" w:cs="Times New Roman"/>
          <w:sz w:val="18"/>
          <w:szCs w:val="18"/>
        </w:rPr>
        <w:t>融合</w:t>
      </w:r>
      <w:r>
        <w:rPr>
          <w:rFonts w:ascii="Times New Roman" w:hAnsi="Times New Roman" w:cs="Times New Roman"/>
          <w:sz w:val="18"/>
          <w:szCs w:val="18"/>
        </w:rPr>
        <w:t>的实体瘤患者疗效的临床试验正在开展。</w:t>
      </w:r>
    </w:p>
    <w:p w14:paraId="7CC169EA">
      <w:pPr>
        <w:adjustRightInd w:val="0"/>
        <w:snapToGrid w:val="0"/>
        <w:spacing w:line="300" w:lineRule="auto"/>
        <w:ind w:left="420"/>
        <w:jc w:val="both"/>
        <w:rPr>
          <w:rFonts w:ascii="Times New Roman" w:hAnsi="Times New Roman" w:cs="Times New Roman"/>
          <w:sz w:val="18"/>
          <w:szCs w:val="18"/>
        </w:rPr>
      </w:pPr>
    </w:p>
    <w:p w14:paraId="195428D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AKT1                                                                          </w:t>
      </w:r>
    </w:p>
    <w:p w14:paraId="1D90260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11EF835">
      <w:pPr>
        <w:spacing w:line="300" w:lineRule="auto"/>
        <w:ind w:left="420"/>
        <w:rPr>
          <w:rFonts w:ascii="Times New Roman" w:hAnsi="Times New Roman" w:cs="Times New Roman"/>
          <w:sz w:val="18"/>
          <w:szCs w:val="18"/>
        </w:rPr>
      </w:pPr>
      <w:r>
        <w:rPr>
          <w:rFonts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w:t>
      </w:r>
      <w:r>
        <w:rPr>
          <w:rFonts w:hint="eastAsia" w:ascii="Times New Roman" w:hAnsi="Times New Roman" w:cs="Times New Roman"/>
          <w:sz w:val="18"/>
          <w:szCs w:val="18"/>
        </w:rPr>
        <w:t xml:space="preserve">: </w:t>
      </w:r>
      <w:r>
        <w:rPr>
          <w:rFonts w:ascii="Times New Roman" w:hAnsi="Times New Roman" w:cs="Times New Roman"/>
          <w:sz w:val="18"/>
          <w:szCs w:val="18"/>
        </w:rPr>
        <w:t>32305038]。异常活化的AKT会导致肿瘤发生、转移以及耐药性的产生，超过50%的肿瘤中存在Akt过度活化，与AKT1相关的疾病包括乳腺癌、结肠癌和卵巢癌等，在多种癌种中存在低频突变。</w:t>
      </w:r>
    </w:p>
    <w:p w14:paraId="1FB8C75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F7A4C56">
      <w:pPr>
        <w:spacing w:line="360" w:lineRule="auto"/>
        <w:ind w:left="420"/>
        <w:rPr>
          <w:rFonts w:ascii="Times New Roman" w:hAnsi="Times New Roman" w:cs="Times New Roman"/>
          <w:sz w:val="18"/>
          <w:szCs w:val="18"/>
        </w:rPr>
      </w:pPr>
      <w:r>
        <w:rPr>
          <w:rFonts w:ascii="Times New Roman" w:hAnsi="Times New Roman" w:cs="Times New Roman"/>
          <w:sz w:val="18"/>
          <w:szCs w:val="18"/>
        </w:rPr>
        <w:t>癌症中的AKT1激活主要是由于PI3K通路的激活或PTEN失活导致[ PMID: 30742888]。目前检测出的AKT1突变主要包括AKT1激活突变[PMID: 17611497</w:t>
      </w:r>
      <w:r>
        <w:rPr>
          <w:rFonts w:hint="eastAsia" w:ascii="Times New Roman" w:hAnsi="Times New Roman" w:cs="Times New Roman"/>
          <w:sz w:val="18"/>
          <w:szCs w:val="18"/>
        </w:rPr>
        <w:t>; PMID: 23134728; PMID: 20440266</w:t>
      </w:r>
      <w:r>
        <w:rPr>
          <w:rFonts w:ascii="Times New Roman" w:hAnsi="Times New Roman" w:cs="Times New Roman"/>
          <w:sz w:val="18"/>
          <w:szCs w:val="18"/>
        </w:rPr>
        <w:t>]，包括磷酸肌醇依赖的AKT1的活化。抑制Akt活性既可避免抑制上游PI3K造成的严重副作用，也可避免抑制下游mTOR引起的负反馈机制影响药效。在一项临床研究中，一名携带AKT1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w:t>
      </w:r>
      <w:r>
        <w:rPr>
          <w:rFonts w:hint="eastAsia" w:ascii="Times New Roman" w:hAnsi="Times New Roman" w:cs="Times New Roman"/>
          <w:sz w:val="18"/>
          <w:szCs w:val="18"/>
        </w:rPr>
        <w:t>；</w:t>
      </w:r>
      <w:r>
        <w:rPr>
          <w:rFonts w:ascii="Times New Roman" w:hAnsi="Times New Roman" w:cs="Times New Roman"/>
          <w:sz w:val="18"/>
          <w:szCs w:val="18"/>
        </w:rPr>
        <w:t>在480mg bid 4/3剂量组中，1例患者维持部分应答2年[PMID: 26931343]。</w:t>
      </w:r>
      <w:r>
        <w:rPr>
          <w:rFonts w:hint="eastAsia" w:ascii="Times New Roman" w:hAnsi="Times New Roman" w:cs="Times New Roman"/>
          <w:sz w:val="18"/>
          <w:szCs w:val="18"/>
        </w:rPr>
        <w:t>评估</w:t>
      </w:r>
      <w:r>
        <w:rPr>
          <w:rFonts w:ascii="Times New Roman" w:hAnsi="Times New Roman" w:cs="Times New Roman"/>
          <w:sz w:val="18"/>
          <w:szCs w:val="18"/>
        </w:rPr>
        <w:t>TAS117</w:t>
      </w:r>
      <w:r>
        <w:rPr>
          <w:rFonts w:hint="eastAsia" w:ascii="Times New Roman" w:hAnsi="Times New Roman" w:cs="Times New Roman"/>
          <w:sz w:val="18"/>
          <w:szCs w:val="18"/>
        </w:rPr>
        <w:t>、替西罗莫司、依维莫司、</w:t>
      </w:r>
      <w:r>
        <w:rPr>
          <w:rFonts w:ascii="Times New Roman" w:hAnsi="Times New Roman" w:cs="Times New Roman"/>
          <w:sz w:val="18"/>
          <w:szCs w:val="18"/>
        </w:rPr>
        <w:t>Ipatasertib</w:t>
      </w:r>
      <w:r>
        <w:rPr>
          <w:rFonts w:hint="eastAsia" w:ascii="Times New Roman" w:hAnsi="Times New Roman" w:cs="Times New Roman"/>
          <w:sz w:val="18"/>
          <w:szCs w:val="18"/>
        </w:rPr>
        <w:t>治疗A</w:t>
      </w:r>
      <w:r>
        <w:rPr>
          <w:rFonts w:ascii="Times New Roman" w:hAnsi="Times New Roman" w:cs="Times New Roman"/>
          <w:sz w:val="18"/>
          <w:szCs w:val="18"/>
        </w:rPr>
        <w:t>KT1</w:t>
      </w:r>
      <w:r>
        <w:rPr>
          <w:rFonts w:hint="eastAsia" w:ascii="Times New Roman" w:hAnsi="Times New Roman" w:cs="Times New Roman"/>
          <w:sz w:val="18"/>
          <w:szCs w:val="18"/>
        </w:rPr>
        <w:t>突变的实体瘤患者疗效的临床试验正在开展</w:t>
      </w:r>
      <w:r>
        <w:rPr>
          <w:rFonts w:ascii="Times New Roman" w:hAnsi="Times New Roman" w:cs="Times New Roman"/>
          <w:sz w:val="18"/>
          <w:szCs w:val="18"/>
        </w:rPr>
        <w:t>。</w:t>
      </w:r>
    </w:p>
    <w:p w14:paraId="611C648A">
      <w:pPr>
        <w:spacing w:line="360" w:lineRule="auto"/>
        <w:ind w:firstLine="420"/>
        <w:rPr>
          <w:rFonts w:ascii="Times New Roman" w:hAnsi="Times New Roman" w:cs="Times New Roman"/>
          <w:sz w:val="18"/>
          <w:szCs w:val="18"/>
        </w:rPr>
      </w:pPr>
    </w:p>
    <w:p w14:paraId="5546108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AKT3                                                                          </w:t>
      </w:r>
    </w:p>
    <w:p w14:paraId="7D5AD39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F87A717">
      <w:pPr>
        <w:spacing w:line="300" w:lineRule="auto"/>
        <w:ind w:left="420"/>
        <w:rPr>
          <w:rFonts w:ascii="Times New Roman" w:hAnsi="Times New Roman" w:cs="Times New Roman"/>
          <w:sz w:val="18"/>
          <w:szCs w:val="18"/>
        </w:rPr>
      </w:pPr>
      <w:r>
        <w:rPr>
          <w:rFonts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70B20E7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94864FB">
      <w:pPr>
        <w:spacing w:line="300" w:lineRule="auto"/>
        <w:ind w:left="420"/>
        <w:rPr>
          <w:rFonts w:ascii="Times New Roman" w:hAnsi="Times New Roman" w:cs="Times New Roman"/>
          <w:sz w:val="18"/>
          <w:szCs w:val="18"/>
        </w:rPr>
      </w:pPr>
      <w:r>
        <w:rPr>
          <w:rFonts w:ascii="Times New Roman" w:hAnsi="Times New Roman" w:cs="Times New Roman"/>
          <w:sz w:val="18"/>
          <w:szCs w:val="18"/>
        </w:rPr>
        <w:t>许多针对AKT的药物会抑制所有亚型，但非特异性AKT抑制剂对具有较高AKT3水平的低侵袭性胶质母细胞瘤不利[PMID:</w:t>
      </w:r>
      <w:r>
        <w:rPr>
          <w:rFonts w:hint="eastAsia" w:ascii="Times New Roman" w:hAnsi="Times New Roman" w:cs="Times New Roman"/>
          <w:sz w:val="18"/>
          <w:szCs w:val="18"/>
        </w:rPr>
        <w:t xml:space="preserve"> </w:t>
      </w:r>
      <w:r>
        <w:rPr>
          <w:rFonts w:ascii="Times New Roman" w:hAnsi="Times New Roman" w:cs="Times New Roman"/>
          <w:sz w:val="18"/>
          <w:szCs w:val="18"/>
        </w:rPr>
        <w:t>27422127]。在以AKT3突变和扩增为纳入标准的临床试验中，多个靶向方式治疗AKT3异常的肺癌和肠癌患者的临床试验正在开展，比如评估替西罗莫司治疗AKT3扩增的实体瘤患者疗效的临床试验正在开展。</w:t>
      </w:r>
    </w:p>
    <w:p w14:paraId="7A100517">
      <w:pPr>
        <w:spacing w:line="300" w:lineRule="auto"/>
        <w:ind w:left="420"/>
        <w:rPr>
          <w:rFonts w:ascii="Times New Roman" w:hAnsi="Times New Roman" w:cs="Times New Roman"/>
          <w:sz w:val="18"/>
          <w:szCs w:val="18"/>
          <w:highlight w:val="black"/>
        </w:rPr>
      </w:pPr>
    </w:p>
    <w:p w14:paraId="44E3D02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AR                                                                         </w:t>
      </w:r>
    </w:p>
    <w:p w14:paraId="7CF547D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EA509CD">
      <w:pPr>
        <w:spacing w:line="300" w:lineRule="auto"/>
        <w:ind w:left="420"/>
        <w:rPr>
          <w:rFonts w:ascii="Times New Roman" w:hAnsi="Times New Roman" w:cs="Times New Roman"/>
          <w:sz w:val="18"/>
          <w:szCs w:val="18"/>
        </w:rPr>
      </w:pPr>
      <w:r>
        <w:rPr>
          <w:rFonts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1F49345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7A014F5">
      <w:pPr>
        <w:spacing w:line="300" w:lineRule="auto"/>
        <w:ind w:left="420"/>
        <w:rPr>
          <w:rFonts w:ascii="Times New Roman" w:hAnsi="Times New Roman" w:cs="Times New Roman"/>
          <w:sz w:val="18"/>
          <w:szCs w:val="18"/>
        </w:rPr>
      </w:pPr>
      <w:r>
        <w:rPr>
          <w:rFonts w:ascii="Times New Roman" w:hAnsi="Times New Roman" w:cs="Times New Roman"/>
          <w:sz w:val="18"/>
          <w:szCs w:val="18"/>
        </w:rPr>
        <w:t>在前列腺癌对阿比特龙+泼尼松和</w:t>
      </w:r>
      <w:r>
        <w:rPr>
          <w:rFonts w:hint="eastAsia" w:ascii="Times New Roman" w:hAnsi="Times New Roman" w:cs="Times New Roman"/>
          <w:sz w:val="18"/>
          <w:szCs w:val="18"/>
        </w:rPr>
        <w:t>恩扎卢胺</w:t>
      </w:r>
      <w:r>
        <w:rPr>
          <w:rFonts w:ascii="Times New Roman" w:hAnsi="Times New Roman" w:cs="Times New Roman"/>
          <w:sz w:val="18"/>
          <w:szCs w:val="18"/>
        </w:rPr>
        <w:t>的耐药性相关研究中，AR扩增患者的最差应答者大多为AR拷贝数高(&gt;8)的患者[PMID: 29367197]。AR基因扩增的前列腺癌患者对恩</w:t>
      </w:r>
      <w:r>
        <w:rPr>
          <w:rFonts w:hint="eastAsia" w:ascii="Times New Roman" w:hAnsi="Times New Roman" w:cs="Times New Roman"/>
          <w:sz w:val="18"/>
          <w:szCs w:val="18"/>
        </w:rPr>
        <w:t>扎卢</w:t>
      </w:r>
      <w:r>
        <w:rPr>
          <w:rFonts w:ascii="Times New Roman" w:hAnsi="Times New Roman" w:cs="Times New Roman"/>
          <w:sz w:val="18"/>
          <w:szCs w:val="18"/>
        </w:rPr>
        <w:t>胺响应减少，对阿比特龙也耐药[PMID: 27148695]。一个携带AR基因扩增的前列腺癌患者在接受多西他赛化疗后，肝转移得到控制，后续治疗中选择阿比特龙+泼尼松龙治疗无响应[PMID: 25232177]。</w:t>
      </w:r>
    </w:p>
    <w:p w14:paraId="02CFAA89">
      <w:pPr>
        <w:spacing w:line="300" w:lineRule="auto"/>
        <w:ind w:left="420"/>
        <w:rPr>
          <w:rFonts w:ascii="Times New Roman" w:hAnsi="Times New Roman" w:cs="Times New Roman"/>
          <w:sz w:val="18"/>
          <w:szCs w:val="18"/>
        </w:rPr>
      </w:pPr>
    </w:p>
    <w:p w14:paraId="2F5E615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AXL                                                                         </w:t>
      </w:r>
    </w:p>
    <w:p w14:paraId="273BA2B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0562C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02DE103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75EC61D">
      <w:pPr>
        <w:spacing w:line="300" w:lineRule="auto"/>
        <w:ind w:left="420"/>
        <w:rPr>
          <w:rFonts w:ascii="Times New Roman" w:hAnsi="Times New Roman" w:cs="Times New Roman"/>
          <w:sz w:val="18"/>
          <w:szCs w:val="18"/>
        </w:rPr>
      </w:pPr>
      <w:r>
        <w:rPr>
          <w:rFonts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w:t>
      </w:r>
      <w:r>
        <w:rPr>
          <w:rFonts w:hint="eastAsia" w:ascii="Times New Roman" w:hAnsi="Times New Roman" w:cs="Times New Roman"/>
          <w:sz w:val="18"/>
          <w:szCs w:val="18"/>
        </w:rPr>
        <w:t>非小细胞肺癌</w:t>
      </w:r>
      <w:r>
        <w:rPr>
          <w:rFonts w:ascii="Times New Roman" w:hAnsi="Times New Roman" w:cs="Times New Roman"/>
          <w:sz w:val="18"/>
          <w:szCs w:val="18"/>
        </w:rPr>
        <w:t>患者不良预后相关的危险因素[PMID: 28105215]</w:t>
      </w:r>
      <w:r>
        <w:rPr>
          <w:rFonts w:hint="eastAsia" w:ascii="Times New Roman" w:hAnsi="Times New Roman" w:cs="Times New Roman"/>
          <w:sz w:val="18"/>
          <w:szCs w:val="18"/>
        </w:rPr>
        <w:t>。</w:t>
      </w:r>
      <w:r>
        <w:rPr>
          <w:rFonts w:ascii="Times New Roman" w:hAnsi="Times New Roman" w:cs="Times New Roman"/>
          <w:sz w:val="18"/>
          <w:szCs w:val="18"/>
        </w:rPr>
        <w:t>116例食管鳞癌肿瘤的免疫组化分析发现，AXL表达与肿瘤的进展增加相关</w:t>
      </w:r>
      <w:r>
        <w:rPr>
          <w:rFonts w:hint="eastAsia" w:ascii="Times New Roman" w:hAnsi="Times New Roman" w:cs="Times New Roman"/>
          <w:sz w:val="18"/>
          <w:szCs w:val="18"/>
        </w:rPr>
        <w:t>（</w:t>
      </w:r>
      <w:r>
        <w:rPr>
          <w:rFonts w:ascii="Times New Roman" w:hAnsi="Times New Roman" w:cs="Times New Roman"/>
          <w:sz w:val="18"/>
          <w:szCs w:val="18"/>
        </w:rPr>
        <w:t>P &lt; 0.0001</w:t>
      </w:r>
      <w:r>
        <w:rPr>
          <w:rFonts w:hint="eastAsia" w:ascii="Times New Roman" w:hAnsi="Times New Roman" w:cs="Times New Roman"/>
          <w:sz w:val="18"/>
          <w:szCs w:val="18"/>
        </w:rPr>
        <w:t>）</w:t>
      </w:r>
      <w:r>
        <w:rPr>
          <w:rFonts w:ascii="Times New Roman" w:hAnsi="Times New Roman" w:cs="Times New Roman"/>
          <w:sz w:val="18"/>
          <w:szCs w:val="18"/>
        </w:rPr>
        <w:t>，增加了肿瘤患者的远处转移和死亡风险[PMID: 27172793]。评估卡博替尼治疗AXL扩增的非小细胞肺癌患者疗效的临床试验正在开展。</w:t>
      </w:r>
    </w:p>
    <w:p w14:paraId="283B65C4">
      <w:pPr>
        <w:spacing w:line="300" w:lineRule="auto"/>
        <w:ind w:left="420"/>
        <w:rPr>
          <w:rFonts w:ascii="Times New Roman" w:hAnsi="Times New Roman" w:cs="Times New Roman"/>
          <w:sz w:val="18"/>
          <w:szCs w:val="18"/>
        </w:rPr>
      </w:pPr>
    </w:p>
    <w:p w14:paraId="35AD278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CCND1                                                                          </w:t>
      </w:r>
    </w:p>
    <w:p w14:paraId="229CB60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0F6C011">
      <w:pPr>
        <w:spacing w:line="300" w:lineRule="auto"/>
        <w:ind w:left="420"/>
        <w:rPr>
          <w:rFonts w:ascii="Times New Roman" w:hAnsi="Times New Roman" w:cs="Times New Roman"/>
          <w:sz w:val="18"/>
          <w:szCs w:val="18"/>
        </w:rPr>
      </w:pPr>
      <w:r>
        <w:rPr>
          <w:rFonts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3092A52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43145F">
      <w:pPr>
        <w:spacing w:line="300" w:lineRule="auto"/>
        <w:ind w:left="420"/>
        <w:rPr>
          <w:rFonts w:ascii="Times New Roman" w:hAnsi="Times New Roman" w:cs="Times New Roman"/>
          <w:sz w:val="18"/>
          <w:szCs w:val="18"/>
        </w:rPr>
      </w:pPr>
      <w:r>
        <w:rPr>
          <w:rFonts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w:t>
      </w:r>
      <w:r>
        <w:rPr>
          <w:rFonts w:hint="eastAsia" w:ascii="Times New Roman" w:hAnsi="Times New Roman" w:cs="Times New Roman"/>
          <w:sz w:val="18"/>
          <w:szCs w:val="18"/>
        </w:rPr>
        <w:t>一项使用哌柏西利治疗细胞周期基因改变阳性</w:t>
      </w:r>
      <w:r>
        <w:rPr>
          <w:rFonts w:ascii="Times New Roman" w:hAnsi="Times New Roman" w:cs="Times New Roman"/>
          <w:sz w:val="18"/>
          <w:szCs w:val="18"/>
        </w:rPr>
        <w:t>IV期肺鳞癌患者的II期研究中， 32例患者接受了哌柏西利治疗，有2例部分反应（反应率6％[95％置信区间（CI）：0％-15％]），均为CCND1扩增[PMID: 31302234]。评估哌柏西利治疗CCND1扩增的肺鳞癌和实体瘤患者疗效的临床试验正在开展。</w:t>
      </w:r>
    </w:p>
    <w:p w14:paraId="6AAA7C48">
      <w:pPr>
        <w:spacing w:line="300" w:lineRule="auto"/>
        <w:ind w:left="420"/>
        <w:rPr>
          <w:rFonts w:ascii="Times New Roman" w:hAnsi="Times New Roman" w:cs="Times New Roman"/>
          <w:sz w:val="18"/>
          <w:szCs w:val="18"/>
        </w:rPr>
      </w:pPr>
    </w:p>
    <w:p w14:paraId="04C966F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CDK4                                                                          </w:t>
      </w:r>
    </w:p>
    <w:p w14:paraId="1025433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E5B29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CD0B3B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A3E48E0">
      <w:pPr>
        <w:spacing w:line="300" w:lineRule="auto"/>
        <w:ind w:left="420"/>
        <w:rPr>
          <w:rFonts w:ascii="Times New Roman" w:hAnsi="Times New Roman" w:cs="Times New Roman"/>
          <w:sz w:val="18"/>
          <w:szCs w:val="18"/>
        </w:rPr>
      </w:pPr>
      <w:r>
        <w:rPr>
          <w:rFonts w:ascii="Times New Roman" w:hAnsi="Times New Roman" w:cs="Times New Roman"/>
          <w:sz w:val="18"/>
          <w:szCs w:val="18"/>
        </w:rPr>
        <w:t>针对CDK抑制的一种靶向治疗是</w:t>
      </w:r>
      <w:r>
        <w:rPr>
          <w:rFonts w:hint="eastAsia" w:ascii="Times New Roman" w:hAnsi="Times New Roman" w:cs="Times New Roman"/>
          <w:sz w:val="18"/>
          <w:szCs w:val="18"/>
        </w:rPr>
        <w:t>哌柏西利</w:t>
      </w:r>
      <w:r>
        <w:rPr>
          <w:rFonts w:ascii="Times New Roman" w:hAnsi="Times New Roman" w:cs="Times New Roman"/>
          <w:sz w:val="18"/>
          <w:szCs w:val="18"/>
        </w:rPr>
        <w:t>，可以减缓晚期乳腺癌的生长。也有小鼠中的研究表明，CDK抑制可能使突变的PIK3CA肿瘤对PI3K抑制剂敏感。</w:t>
      </w:r>
      <w:r>
        <w:rPr>
          <w:rFonts w:hint="eastAsia" w:ascii="Times New Roman" w:hAnsi="Times New Roman" w:cs="Times New Roman"/>
          <w:sz w:val="18"/>
          <w:szCs w:val="18"/>
        </w:rPr>
        <w:t>多项临床研究表明，携带C</w:t>
      </w:r>
      <w:r>
        <w:rPr>
          <w:rFonts w:ascii="Times New Roman" w:hAnsi="Times New Roman" w:cs="Times New Roman"/>
          <w:sz w:val="18"/>
          <w:szCs w:val="18"/>
        </w:rPr>
        <w:t>DK4</w:t>
      </w:r>
      <w:r>
        <w:rPr>
          <w:rFonts w:hint="eastAsia" w:ascii="Times New Roman" w:hAnsi="Times New Roman" w:cs="Times New Roman"/>
          <w:sz w:val="18"/>
          <w:szCs w:val="18"/>
        </w:rPr>
        <w:t>扩增的脂肪肉瘤患者对C</w:t>
      </w:r>
      <w:r>
        <w:rPr>
          <w:rFonts w:ascii="Times New Roman" w:hAnsi="Times New Roman" w:cs="Times New Roman"/>
          <w:sz w:val="18"/>
          <w:szCs w:val="18"/>
        </w:rPr>
        <w:t>DK</w:t>
      </w:r>
      <w:r>
        <w:rPr>
          <w:rFonts w:hint="eastAsia" w:ascii="Times New Roman" w:hAnsi="Times New Roman" w:cs="Times New Roman"/>
          <w:sz w:val="18"/>
          <w:szCs w:val="18"/>
        </w:rPr>
        <w:t>抑制剂哌柏西利敏感</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23569312; PMID: 27124835]</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0C08F21F">
      <w:pPr>
        <w:spacing w:line="300" w:lineRule="auto"/>
        <w:ind w:left="420"/>
        <w:rPr>
          <w:rFonts w:ascii="Times New Roman" w:hAnsi="Times New Roman" w:cs="Times New Roman"/>
          <w:sz w:val="18"/>
          <w:szCs w:val="18"/>
        </w:rPr>
      </w:pPr>
    </w:p>
    <w:p w14:paraId="4447BEA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CDK6                                                                         </w:t>
      </w:r>
    </w:p>
    <w:p w14:paraId="30702C7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0B92F0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29E27FB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CCF092C">
      <w:pPr>
        <w:spacing w:line="300" w:lineRule="auto"/>
        <w:ind w:left="420"/>
        <w:rPr>
          <w:rFonts w:ascii="Times New Roman" w:hAnsi="Times New Roman" w:cs="Times New Roman"/>
          <w:sz w:val="18"/>
          <w:szCs w:val="18"/>
        </w:rPr>
      </w:pPr>
      <w:r>
        <w:rPr>
          <w:rFonts w:ascii="Times New Roman" w:hAnsi="Times New Roman" w:cs="Times New Roman"/>
          <w:sz w:val="18"/>
          <w:szCs w:val="18"/>
        </w:rPr>
        <w:t>CDK6的扩增导致CDK6表达显著增加，CDK4/6靶点磷酸化rb (pRb)对CDK4/6抑制剂的反应降低。CDK4/6复合物的抑制剂如</w:t>
      </w:r>
      <w:r>
        <w:rPr>
          <w:rFonts w:hint="eastAsia" w:ascii="Times New Roman" w:hAnsi="Times New Roman" w:cs="Times New Roman"/>
          <w:sz w:val="18"/>
          <w:szCs w:val="18"/>
        </w:rPr>
        <w:t>阿贝西利</w:t>
      </w:r>
      <w:r>
        <w:rPr>
          <w:rFonts w:ascii="Times New Roman" w:hAnsi="Times New Roman" w:cs="Times New Roman"/>
          <w:sz w:val="18"/>
          <w:szCs w:val="18"/>
        </w:rPr>
        <w:t>已在临床得到进展，并显示出显著的活性，特别是对由雌激素受体</w:t>
      </w:r>
      <w:r>
        <w:rPr>
          <w:rFonts w:hint="eastAsia" w:ascii="Times New Roman" w:hAnsi="Times New Roman" w:cs="Times New Roman"/>
          <w:sz w:val="18"/>
          <w:szCs w:val="18"/>
        </w:rPr>
        <w:t>（</w:t>
      </w:r>
      <w:r>
        <w:rPr>
          <w:rFonts w:ascii="Times New Roman" w:hAnsi="Times New Roman" w:cs="Times New Roman"/>
          <w:sz w:val="18"/>
          <w:szCs w:val="18"/>
        </w:rPr>
        <w:t>ER</w:t>
      </w:r>
      <w:r>
        <w:rPr>
          <w:rFonts w:hint="eastAsia" w:ascii="Times New Roman" w:hAnsi="Times New Roman" w:cs="Times New Roman"/>
          <w:sz w:val="18"/>
          <w:szCs w:val="18"/>
        </w:rPr>
        <w:t>）</w:t>
      </w:r>
      <w:r>
        <w:rPr>
          <w:rFonts w:ascii="Times New Roman" w:hAnsi="Times New Roman" w:cs="Times New Roman"/>
          <w:sz w:val="18"/>
          <w:szCs w:val="18"/>
        </w:rPr>
        <w:t>驱动的肿瘤。一项针对胰腺神经内分泌肿瘤的临床前研究表明，CDK4和CDK6基因的扩增或蛋白过表达可能对CDK4/6抑制剂哌柏西利敏感[PMID: 22761470]。</w:t>
      </w:r>
      <w:r>
        <w:rPr>
          <w:rFonts w:hint="eastAsia" w:ascii="Times New Roman" w:hAnsi="Times New Roman" w:cs="Times New Roman"/>
          <w:sz w:val="18"/>
          <w:szCs w:val="18"/>
        </w:rPr>
        <w:t>C</w:t>
      </w:r>
      <w:r>
        <w:rPr>
          <w:rFonts w:ascii="Times New Roman" w:hAnsi="Times New Roman" w:cs="Times New Roman"/>
          <w:sz w:val="18"/>
          <w:szCs w:val="18"/>
        </w:rPr>
        <w:t>DK6</w:t>
      </w:r>
      <w:r>
        <w:rPr>
          <w:rFonts w:hint="eastAsia" w:ascii="Times New Roman" w:hAnsi="Times New Roman" w:cs="Times New Roman"/>
          <w:sz w:val="18"/>
          <w:szCs w:val="18"/>
        </w:rPr>
        <w:t>蛋白表达增加与卵巢癌患者预后呈显著负相关（</w:t>
      </w:r>
      <w:r>
        <w:rPr>
          <w:rFonts w:ascii="Times New Roman" w:hAnsi="Times New Roman" w:cs="Times New Roman"/>
          <w:sz w:val="18"/>
          <w:szCs w:val="18"/>
        </w:rPr>
        <w:t>P=0.006）[PMID: 27687663]</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59269564">
      <w:pPr>
        <w:spacing w:line="360" w:lineRule="auto"/>
        <w:rPr>
          <w:rFonts w:ascii="Times New Roman" w:hAnsi="Times New Roman" w:cs="Times New Roman"/>
          <w:sz w:val="18"/>
          <w:szCs w:val="18"/>
        </w:rPr>
      </w:pPr>
    </w:p>
    <w:p w14:paraId="7A7EAF5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CTNNB1                                                                         </w:t>
      </w:r>
    </w:p>
    <w:p w14:paraId="08C0F55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1C1F8D6">
      <w:pPr>
        <w:spacing w:line="300" w:lineRule="auto"/>
        <w:ind w:left="420"/>
        <w:rPr>
          <w:rFonts w:ascii="Times New Roman" w:hAnsi="Times New Roman" w:cs="Times New Roman"/>
          <w:sz w:val="18"/>
          <w:szCs w:val="18"/>
        </w:rPr>
      </w:pPr>
      <w:r>
        <w:rPr>
          <w:rFonts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0EEEF1B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D727760">
      <w:pPr>
        <w:spacing w:line="360" w:lineRule="auto"/>
        <w:ind w:left="420"/>
        <w:rPr>
          <w:rFonts w:ascii="Times New Roman" w:hAnsi="Times New Roman" w:cs="Times New Roman"/>
          <w:sz w:val="18"/>
          <w:szCs w:val="18"/>
        </w:rPr>
      </w:pPr>
      <w:r>
        <w:rPr>
          <w:rFonts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w:t>
      </w:r>
      <w:r>
        <w:rPr>
          <w:rFonts w:hint="eastAsia" w:ascii="Times New Roman" w:hAnsi="Times New Roman" w:cs="Times New Roman"/>
          <w:sz w:val="18"/>
          <w:szCs w:val="18"/>
        </w:rPr>
        <w:t xml:space="preserve">: </w:t>
      </w:r>
      <w:r>
        <w:rPr>
          <w:rFonts w:ascii="Times New Roman" w:hAnsi="Times New Roman" w:cs="Times New Roman"/>
          <w:sz w:val="18"/>
          <w:szCs w:val="18"/>
        </w:rPr>
        <w:t>19351922</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PMID: 31801553</w:t>
      </w:r>
      <w:r>
        <w:rPr>
          <w:rFonts w:ascii="Times New Roman" w:hAnsi="Times New Roman" w:cs="Times New Roman"/>
          <w:sz w:val="18"/>
          <w:szCs w:val="18"/>
        </w:rPr>
        <w:t>]。临床前研究表明，携带CTNNB1热点突变的细胞系（包括携带CTNNB1 T41A的肺癌细胞系），相比CTNNB1野生型细胞系对TTK抑制剂（BAY1161909、MPI-0479605、NMS-P715 、BAY1217389 、Mps1-IN-1 、Mps-BAY2b 、NTRC 0066-0）敏感性提高[PMID: 28751540]。</w:t>
      </w:r>
      <w:r>
        <w:rPr>
          <w:rFonts w:hint="eastAsia" w:ascii="Times New Roman" w:hAnsi="Times New Roman" w:cs="Times New Roman"/>
          <w:sz w:val="18"/>
          <w:szCs w:val="18"/>
        </w:rPr>
        <w:t>在一项回顾性分析中，</w:t>
      </w:r>
      <w:r>
        <w:rPr>
          <w:rFonts w:ascii="Times New Roman" w:hAnsi="Times New Roman" w:cs="Times New Roman"/>
          <w:sz w:val="18"/>
          <w:szCs w:val="18"/>
        </w:rPr>
        <w:t>100例非小细胞肺癌患者中，有8例在奥希替尼治疗耐药时发现了激活的CTNNB1突变，包括S37F/C（n=5）、D32V（n=1）、G34V（n=1）和T41I（n=1）[PMID: 31839416]。</w:t>
      </w:r>
    </w:p>
    <w:p w14:paraId="024B8908">
      <w:pPr>
        <w:spacing w:line="360" w:lineRule="auto"/>
        <w:ind w:left="420"/>
        <w:rPr>
          <w:rFonts w:ascii="Times New Roman" w:hAnsi="Times New Roman" w:cs="Times New Roman"/>
          <w:sz w:val="18"/>
          <w:szCs w:val="18"/>
        </w:rPr>
      </w:pPr>
    </w:p>
    <w:p w14:paraId="1E58A6B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DDR2                                                                          </w:t>
      </w:r>
    </w:p>
    <w:p w14:paraId="572424B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DB81020">
      <w:pPr>
        <w:spacing w:line="300" w:lineRule="auto"/>
        <w:ind w:left="420"/>
        <w:rPr>
          <w:rFonts w:ascii="Times New Roman" w:hAnsi="Times New Roman" w:cs="Times New Roman"/>
          <w:sz w:val="18"/>
          <w:szCs w:val="18"/>
        </w:rPr>
      </w:pPr>
      <w:r>
        <w:rPr>
          <w:rFonts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w:t>
      </w:r>
      <w:r>
        <w:rPr>
          <w:rFonts w:hint="eastAsia" w:ascii="Times New Roman" w:hAnsi="Times New Roman" w:cs="Times New Roman"/>
          <w:sz w:val="18"/>
          <w:szCs w:val="18"/>
        </w:rPr>
        <w:t xml:space="preserve">: </w:t>
      </w:r>
      <w:r>
        <w:rPr>
          <w:rFonts w:ascii="Times New Roman" w:hAnsi="Times New Roman" w:cs="Times New Roman"/>
          <w:sz w:val="18"/>
          <w:szCs w:val="18"/>
        </w:rPr>
        <w:t>16186108</w:t>
      </w:r>
      <w:r>
        <w:rPr>
          <w:rFonts w:hint="eastAsia" w:ascii="Times New Roman" w:hAnsi="Times New Roman" w:cs="Times New Roman"/>
          <w:sz w:val="18"/>
          <w:szCs w:val="18"/>
        </w:rPr>
        <w:t>; PMID: 17703188</w:t>
      </w:r>
      <w:r>
        <w:rPr>
          <w:rFonts w:ascii="Times New Roman" w:hAnsi="Times New Roman" w:cs="Times New Roman"/>
          <w:sz w:val="18"/>
          <w:szCs w:val="18"/>
        </w:rPr>
        <w:t>]，参与细胞生长，分化和代谢的调节。DDR2突变常见于肺癌、乳腺浸润性导管癌、结肠癌、子宫内膜样腺癌和膀胱尿路上皮癌中。</w:t>
      </w:r>
    </w:p>
    <w:p w14:paraId="6490831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30536AD">
      <w:pPr>
        <w:spacing w:line="360" w:lineRule="auto"/>
        <w:ind w:left="420"/>
        <w:rPr>
          <w:rFonts w:ascii="Times New Roman" w:hAnsi="Times New Roman" w:cs="Times New Roman"/>
          <w:sz w:val="18"/>
          <w:szCs w:val="18"/>
        </w:rPr>
      </w:pPr>
      <w:r>
        <w:rPr>
          <w:rFonts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w:t>
      </w:r>
      <w:r>
        <w:rPr>
          <w:rFonts w:hint="eastAsia" w:ascii="Times New Roman" w:hAnsi="Times New Roman" w:cs="Times New Roman"/>
          <w:sz w:val="18"/>
          <w:szCs w:val="18"/>
        </w:rPr>
        <w:t>; PMID: 21701781; PMID: 23644467;</w:t>
      </w:r>
      <w:r>
        <w:rPr>
          <w:rFonts w:ascii="Times New Roman" w:hAnsi="Times New Roman" w:cs="Times New Roman"/>
          <w:sz w:val="18"/>
          <w:szCs w:val="18"/>
        </w:rPr>
        <w:t xml:space="preserve"> </w:t>
      </w:r>
      <w:r>
        <w:rPr>
          <w:rFonts w:hint="eastAsia" w:ascii="Times New Roman" w:hAnsi="Times New Roman" w:cs="Times New Roman"/>
          <w:sz w:val="18"/>
          <w:szCs w:val="18"/>
        </w:rPr>
        <w:t>PMID: 25130389</w:t>
      </w:r>
      <w:r>
        <w:rPr>
          <w:rFonts w:ascii="Times New Roman" w:hAnsi="Times New Roman" w:cs="Times New Roman"/>
          <w:sz w:val="18"/>
          <w:szCs w:val="18"/>
        </w:rPr>
        <w:t>]。一项案例报道中，1例携带DDR2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0846C180">
      <w:pPr>
        <w:spacing w:line="360" w:lineRule="auto"/>
        <w:ind w:left="420"/>
        <w:rPr>
          <w:rFonts w:ascii="Times New Roman" w:hAnsi="Times New Roman" w:cs="Times New Roman"/>
          <w:sz w:val="18"/>
          <w:szCs w:val="18"/>
        </w:rPr>
      </w:pPr>
    </w:p>
    <w:p w14:paraId="652716C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ascii="Times New Roman" w:hAnsi="Times New Roman" w:cs="Times New Roman"/>
          <w:b/>
        </w:rPr>
        <w:t xml:space="preserve">ERBB2                                                                          </w:t>
      </w:r>
    </w:p>
    <w:p w14:paraId="75D4DAC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56F9F4">
      <w:pPr>
        <w:spacing w:line="300" w:lineRule="auto"/>
        <w:ind w:left="420"/>
        <w:rPr>
          <w:rFonts w:ascii="Times New Roman" w:hAnsi="Times New Roman" w:cs="Times New Roman"/>
          <w:sz w:val="18"/>
          <w:szCs w:val="18"/>
        </w:rPr>
      </w:pPr>
      <w:r>
        <w:rPr>
          <w:rFonts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1772BF00">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hint="eastAsia" w:ascii="Times New Roman" w:hAnsi="Times New Roman" w:cs="Times New Roman"/>
          <w:b/>
          <w:color w:val="000000"/>
          <w:sz w:val="18"/>
          <w:szCs w:val="18"/>
        </w:rPr>
        <w:t>恩美曲妥珠单抗</w:t>
      </w:r>
      <w:r>
        <w:rPr>
          <w:rFonts w:ascii="Times New Roman" w:hAnsi="Times New Roman" w:cs="Times New Roman"/>
          <w:b/>
          <w:sz w:val="18"/>
          <w:szCs w:val="18"/>
        </w:rPr>
        <w:t>*</w:t>
      </w:r>
      <w:r>
        <w:rPr>
          <w:rFonts w:hint="eastAsia" w:ascii="Times New Roman" w:hAnsi="Times New Roman" w:cs="Times New Roman"/>
          <w:b/>
          <w:sz w:val="18"/>
          <w:szCs w:val="18"/>
        </w:rPr>
        <w:t>、</w:t>
      </w:r>
      <w:r>
        <w:rPr>
          <w:rFonts w:ascii="Times New Roman" w:hAnsi="Times New Roman" w:cs="Times New Roman"/>
          <w:sz w:val="18"/>
          <w:szCs w:val="18"/>
        </w:rPr>
        <w:t>Trastuzumab deruxtecan</w:t>
      </w:r>
      <w:r>
        <w:rPr>
          <w:rFonts w:hint="eastAsia" w:ascii="Times New Roman" w:hAnsi="Times New Roman" w:cs="Times New Roman"/>
          <w:sz w:val="18"/>
          <w:szCs w:val="18"/>
        </w:rPr>
        <w:t>、吡咯替尼</w:t>
      </w:r>
      <w:r>
        <w:rPr>
          <w:rFonts w:ascii="Times New Roman" w:hAnsi="Times New Roman" w:cs="Times New Roman"/>
          <w:b/>
          <w:color w:val="000000"/>
          <w:sz w:val="18"/>
          <w:szCs w:val="18"/>
        </w:rPr>
        <w:t>、</w:t>
      </w:r>
      <w:r>
        <w:rPr>
          <w:rFonts w:ascii="Times New Roman" w:hAnsi="Times New Roman" w:cs="Times New Roman"/>
          <w:color w:val="000000"/>
          <w:sz w:val="18"/>
          <w:szCs w:val="18"/>
        </w:rPr>
        <w:t>曲妥珠单抗 + 帕妥珠单抗 、曲妥珠单抗 + 拉帕替尼</w:t>
      </w:r>
    </w:p>
    <w:p w14:paraId="7421C5D7">
      <w:pPr>
        <w:spacing w:line="300" w:lineRule="auto"/>
        <w:ind w:left="420"/>
        <w:rPr>
          <w:rFonts w:ascii="Times New Roman" w:hAnsi="Times New Roman" w:cs="Times New Roman"/>
          <w:sz w:val="18"/>
          <w:szCs w:val="18"/>
        </w:rPr>
      </w:pPr>
      <w:r>
        <w:rPr>
          <w:rFonts w:ascii="Times New Roman" w:hAnsi="Times New Roman" w:cs="Times New Roman"/>
          <w:sz w:val="18"/>
          <w:szCs w:val="18"/>
        </w:rPr>
        <w:t>ERBB2常发生的变异是20号外显子插入，携带 ERBB2 活化突变的晚期 NSCLC 对 ERBB2 抑制剂可能敏感。NCCN指南推荐</w:t>
      </w:r>
      <w:r>
        <w:rPr>
          <w:rFonts w:hint="eastAsia" w:ascii="Times New Roman" w:hAnsi="Times New Roman" w:cs="Times New Roman"/>
          <w:sz w:val="18"/>
          <w:szCs w:val="18"/>
        </w:rPr>
        <w:t>恩美曲妥珠单抗</w:t>
      </w:r>
      <w:r>
        <w:rPr>
          <w:rFonts w:ascii="Times New Roman" w:hAnsi="Times New Roman" w:cs="Times New Roman"/>
          <w:sz w:val="18"/>
          <w:szCs w:val="18"/>
        </w:rPr>
        <w:t>（TDM-1）</w:t>
      </w:r>
      <w:r>
        <w:rPr>
          <w:rFonts w:hint="eastAsia" w:ascii="Times New Roman" w:hAnsi="Times New Roman" w:cs="Times New Roman"/>
          <w:sz w:val="18"/>
          <w:szCs w:val="18"/>
        </w:rPr>
        <w:t>、</w:t>
      </w:r>
      <w:r>
        <w:rPr>
          <w:rFonts w:ascii="Times New Roman" w:hAnsi="Times New Roman" w:cs="Times New Roman"/>
          <w:sz w:val="18"/>
          <w:szCs w:val="18"/>
        </w:rPr>
        <w:t>Trastuzumab deruxtecan用于HER2突变的非小细胞肺癌患者[NCCN_Non-Small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w:t>
      </w:r>
      <w:r>
        <w:rPr>
          <w:rFonts w:hint="eastAsia" w:ascii="Times New Roman" w:hAnsi="Times New Roman" w:cs="Times New Roman"/>
          <w:sz w:val="18"/>
          <w:szCs w:val="18"/>
        </w:rPr>
        <w:t>非小细胞肺癌中，</w:t>
      </w:r>
      <w:r>
        <w:rPr>
          <w:rFonts w:ascii="Times New Roman" w:hAnsi="Times New Roman" w:cs="Times New Roman"/>
          <w:sz w:val="18"/>
          <w:szCs w:val="18"/>
        </w:rPr>
        <w:t>HER2 20号外显子插入突变对吡咯替尼敏感[PMID: 30596880]</w:t>
      </w:r>
      <w:r>
        <w:rPr>
          <w:rFonts w:hint="eastAsia" w:ascii="Times New Roman" w:hAnsi="Times New Roman" w:cs="Times New Roman"/>
          <w:sz w:val="18"/>
          <w:szCs w:val="18"/>
        </w:rPr>
        <w:t>，</w:t>
      </w:r>
      <w:r>
        <w:rPr>
          <w:rFonts w:ascii="Times New Roman" w:hAnsi="Times New Roman" w:cs="Times New Roman"/>
          <w:sz w:val="18"/>
          <w:szCs w:val="18"/>
        </w:rPr>
        <w:t>但HER2突变对埃克替尼</w:t>
      </w:r>
      <w:r>
        <w:rPr>
          <w:rFonts w:hint="eastAsia" w:ascii="Times New Roman" w:hAnsi="Times New Roman" w:cs="Times New Roman"/>
          <w:sz w:val="18"/>
          <w:szCs w:val="18"/>
        </w:rPr>
        <w:t>、厄洛替尼、吉非替尼、阿法替尼、达可替尼、奥希替尼、西妥昔单抗、帕尼单抗耐药</w:t>
      </w:r>
      <w:r>
        <w:rPr>
          <w:rFonts w:ascii="Times New Roman" w:hAnsi="Times New Roman" w:cs="Times New Roman"/>
          <w:sz w:val="18"/>
          <w:szCs w:val="18"/>
        </w:rPr>
        <w:t>[PMID: 22325357; PMID: 22761469]。目前阿法替尼、拉帕替尼、</w:t>
      </w:r>
      <w:r>
        <w:rPr>
          <w:rFonts w:hint="eastAsia" w:ascii="Times New Roman" w:hAnsi="Times New Roman" w:cs="Times New Roman"/>
          <w:sz w:val="18"/>
          <w:szCs w:val="18"/>
        </w:rPr>
        <w:t>奈拉替尼</w:t>
      </w:r>
      <w:r>
        <w:rPr>
          <w:rFonts w:ascii="Times New Roman" w:hAnsi="Times New Roman" w:cs="Times New Roman"/>
          <w:sz w:val="18"/>
          <w:szCs w:val="18"/>
        </w:rPr>
        <w:t>等用于治疗ERBB2突变和20号外显子插入的肺癌患者的临床试验均在开展。ERBB2扩增是肺癌EGFR TKI治疗继发耐药变异，对EGFR TKI敏感性降低[NCCN_Non-Small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]。结直肠癌中也常发生ERBB2拷贝数变异，</w:t>
      </w:r>
      <w:r>
        <w:rPr>
          <w:rFonts w:hint="eastAsia" w:ascii="Times New Roman" w:hAnsi="Times New Roman" w:cs="Times New Roman"/>
          <w:sz w:val="18"/>
          <w:szCs w:val="18"/>
        </w:rPr>
        <w:t>N</w:t>
      </w:r>
      <w:r>
        <w:rPr>
          <w:rFonts w:ascii="Times New Roman" w:hAnsi="Times New Roman" w:cs="Times New Roman"/>
          <w:sz w:val="18"/>
          <w:szCs w:val="18"/>
        </w:rPr>
        <w:t>CCN指南推荐曲妥珠单抗联合帕妥珠单抗 、曲妥珠单抗联合拉帕替尼</w:t>
      </w:r>
      <w:r>
        <w:rPr>
          <w:rFonts w:hint="eastAsia" w:ascii="Times New Roman" w:hAnsi="Times New Roman" w:cs="Times New Roman"/>
          <w:sz w:val="18"/>
          <w:szCs w:val="18"/>
        </w:rPr>
        <w:t>、</w:t>
      </w:r>
      <w:r>
        <w:rPr>
          <w:rFonts w:ascii="Times New Roman" w:hAnsi="Times New Roman" w:cs="Times New Roman"/>
          <w:sz w:val="18"/>
          <w:szCs w:val="18"/>
        </w:rPr>
        <w:t>Trastuzumab deruxtecan用于治疗ERBB2扩增的结直肠癌患者</w:t>
      </w:r>
      <w:r>
        <w:rPr>
          <w:rFonts w:hint="eastAsia" w:ascii="Times New Roman" w:hAnsi="Times New Roman" w:cs="Times New Roman"/>
          <w:sz w:val="18"/>
          <w:szCs w:val="18"/>
        </w:rPr>
        <w:t>[</w:t>
      </w:r>
      <w:r>
        <w:rPr>
          <w:rFonts w:ascii="Times New Roman" w:hAnsi="Times New Roman" w:cs="Times New Roman"/>
          <w:sz w:val="18"/>
          <w:szCs w:val="18"/>
        </w:rPr>
        <w:t>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w:t>
      </w:r>
      <w:r>
        <w:rPr>
          <w:rFonts w:hint="eastAsia" w:ascii="Times New Roman" w:hAnsi="Times New Roman" w:cs="Times New Roman"/>
          <w:sz w:val="18"/>
          <w:szCs w:val="18"/>
        </w:rPr>
        <w:t>恩美曲妥珠单抗</w:t>
      </w:r>
      <w:r>
        <w:rPr>
          <w:rFonts w:ascii="Times New Roman" w:hAnsi="Times New Roman" w:cs="Times New Roman"/>
          <w:sz w:val="18"/>
          <w:szCs w:val="18"/>
        </w:rPr>
        <w:t>进行治疗，获得7个月的疾病控制，后使用曲妥珠单抗联合帕妥珠单抗治疗后，患者3个月后疾病发生进展[PMID: 28040715]。</w:t>
      </w:r>
      <w:r>
        <w:rPr>
          <w:rFonts w:hint="eastAsia" w:ascii="Times New Roman" w:hAnsi="Times New Roman" w:cs="Times New Roman"/>
          <w:sz w:val="18"/>
          <w:szCs w:val="18"/>
        </w:rPr>
        <w:t>一项</w:t>
      </w:r>
      <w:r>
        <w:rPr>
          <w:rFonts w:ascii="Times New Roman" w:hAnsi="Times New Roman" w:cs="Times New Roman"/>
          <w:sz w:val="18"/>
          <w:szCs w:val="18"/>
        </w:rPr>
        <w:t>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50CC8F1E">
      <w:pPr>
        <w:spacing w:line="300" w:lineRule="auto"/>
        <w:ind w:left="420"/>
        <w:rPr>
          <w:rFonts w:ascii="Times New Roman" w:hAnsi="Times New Roman" w:cs="Times New Roman"/>
          <w:sz w:val="18"/>
          <w:szCs w:val="18"/>
        </w:rPr>
      </w:pPr>
    </w:p>
    <w:p w14:paraId="485EF4C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ERBB3                                                                          </w:t>
      </w:r>
    </w:p>
    <w:p w14:paraId="1FAE82D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64B8F1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5FF61E3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6B28B14">
      <w:pPr>
        <w:spacing w:line="300" w:lineRule="auto"/>
        <w:ind w:left="420"/>
        <w:rPr>
          <w:rFonts w:ascii="Times New Roman" w:hAnsi="Times New Roman" w:cs="Times New Roman"/>
          <w:sz w:val="18"/>
          <w:szCs w:val="18"/>
        </w:rPr>
      </w:pPr>
      <w:r>
        <w:rPr>
          <w:rFonts w:ascii="Times New Roman" w:hAnsi="Times New Roman" w:cs="Times New Roman"/>
          <w:sz w:val="18"/>
          <w:szCs w:val="18"/>
        </w:rPr>
        <w:t>一项Ⅰ期临床试验表明U3-1402对EGFR-TKI耐药后继发的不同通路激活（包括C797S、ERBB3、CDK4）都有疗效。</w:t>
      </w:r>
      <w:r>
        <w:rPr>
          <w:rFonts w:hint="eastAsia" w:ascii="Times New Roman" w:hAnsi="Times New Roman" w:cs="Times New Roman"/>
          <w:sz w:val="18"/>
          <w:szCs w:val="18"/>
        </w:rPr>
        <w:t>帕妥珠单抗</w:t>
      </w:r>
      <w:r>
        <w:rPr>
          <w:rFonts w:ascii="Times New Roman" w:hAnsi="Times New Roman" w:cs="Times New Roman"/>
          <w:sz w:val="18"/>
          <w:szCs w:val="18"/>
        </w:rPr>
        <w:t>介导的对ErbB2异源二聚的抑制降低了AKT的磷酸化、细胞的体外生长和异种移植体的体内生长[PMID: 26206558]。在表达ERBB3 (HER3)的异种移植小鼠中，抑制剂</w:t>
      </w:r>
      <w:r>
        <w:rPr>
          <w:rFonts w:hint="eastAsia" w:ascii="Times New Roman" w:hAnsi="Times New Roman" w:cs="Times New Roman"/>
          <w:sz w:val="18"/>
          <w:szCs w:val="18"/>
        </w:rPr>
        <w:t>帕妥珠单抗</w:t>
      </w:r>
      <w:r>
        <w:rPr>
          <w:rFonts w:ascii="Times New Roman" w:hAnsi="Times New Roman" w:cs="Times New Roman"/>
          <w:sz w:val="18"/>
          <w:szCs w:val="18"/>
        </w:rPr>
        <w:t>和9f7 - f11的组合增强了肿瘤抑制和中位生存时间，单药</w:t>
      </w:r>
      <w:r>
        <w:rPr>
          <w:rFonts w:hint="eastAsia" w:ascii="Times New Roman" w:hAnsi="Times New Roman" w:cs="Times New Roman"/>
          <w:sz w:val="18"/>
          <w:szCs w:val="18"/>
        </w:rPr>
        <w:t>帕妥珠单抗</w:t>
      </w:r>
      <w:r>
        <w:rPr>
          <w:rFonts w:ascii="Times New Roman" w:hAnsi="Times New Roman" w:cs="Times New Roman"/>
          <w:sz w:val="18"/>
          <w:szCs w:val="18"/>
        </w:rPr>
        <w:t>的敏感性也可能通过ERBB3的表达而增加[PMID: 25216528]。评估</w:t>
      </w:r>
      <w:r>
        <w:rPr>
          <w:rFonts w:hint="eastAsia" w:ascii="Times New Roman" w:hAnsi="Times New Roman" w:cs="Times New Roman"/>
          <w:sz w:val="18"/>
          <w:szCs w:val="18"/>
        </w:rPr>
        <w:t>奈拉替尼</w:t>
      </w:r>
      <w:r>
        <w:rPr>
          <w:rFonts w:ascii="Times New Roman" w:hAnsi="Times New Roman" w:cs="Times New Roman"/>
          <w:sz w:val="18"/>
          <w:szCs w:val="18"/>
        </w:rPr>
        <w:t>治疗ERBB3激活突变的肺癌和实体瘤患者疗效的临床试验正在开展。</w:t>
      </w:r>
    </w:p>
    <w:p w14:paraId="6E54A532">
      <w:pPr>
        <w:spacing w:line="300" w:lineRule="auto"/>
        <w:ind w:left="420"/>
        <w:rPr>
          <w:rFonts w:ascii="Times New Roman" w:hAnsi="Times New Roman" w:cs="Times New Roman"/>
          <w:sz w:val="18"/>
          <w:szCs w:val="18"/>
        </w:rPr>
      </w:pPr>
    </w:p>
    <w:p w14:paraId="2FC51FA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ERBB4                                                                          </w:t>
      </w:r>
    </w:p>
    <w:p w14:paraId="684B33E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D442C7A">
      <w:pPr>
        <w:spacing w:line="360" w:lineRule="auto"/>
        <w:ind w:left="420"/>
        <w:rPr>
          <w:rFonts w:ascii="Times New Roman" w:hAnsi="Times New Roman" w:cs="Times New Roman"/>
          <w:b/>
        </w:rPr>
      </w:pPr>
      <w:r>
        <w:rPr>
          <w:rFonts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F3AF0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56B4245">
      <w:pPr>
        <w:spacing w:line="360" w:lineRule="auto"/>
        <w:ind w:left="420"/>
        <w:rPr>
          <w:rFonts w:ascii="Times New Roman" w:hAnsi="Times New Roman" w:cs="Times New Roman"/>
          <w:sz w:val="18"/>
          <w:szCs w:val="18"/>
        </w:rPr>
      </w:pPr>
      <w:r>
        <w:rPr>
          <w:rFonts w:hint="eastAsia" w:ascii="Times New Roman" w:hAnsi="Times New Roman" w:cs="Times New Roman"/>
          <w:sz w:val="18"/>
          <w:szCs w:val="18"/>
        </w:rPr>
        <w:t>一项研究中，肺鳞癌患者按</w:t>
      </w:r>
      <w:r>
        <w:rPr>
          <w:rFonts w:ascii="Times New Roman" w:hAnsi="Times New Roman" w:cs="Times New Roman"/>
          <w:sz w:val="18"/>
          <w:szCs w:val="18"/>
        </w:rPr>
        <w:t>1:1随机分组接受阿法替尼或厄洛替尼，ERBB4（HER4）突变预测阿法替尼治疗的OS（HR=0.22）和PFS（HR=0.21）优于厄洛替尼[PMID: 29902295]。一项研究中，研究人员利用NAPPA蛋白微阵列平台，发现药物</w:t>
      </w:r>
      <w:r>
        <w:rPr>
          <w:rFonts w:hint="eastAsia" w:ascii="Times New Roman" w:hAnsi="Times New Roman" w:cs="Times New Roman"/>
          <w:sz w:val="18"/>
          <w:szCs w:val="18"/>
        </w:rPr>
        <w:t>伊布替尼</w:t>
      </w:r>
      <w:r>
        <w:rPr>
          <w:rFonts w:ascii="Times New Roman" w:hAnsi="Times New Roman" w:cs="Times New Roman"/>
          <w:sz w:val="18"/>
          <w:szCs w:val="18"/>
        </w:rPr>
        <w:t>能够靶向ERBB4 [PMID: 29398709]。评估</w:t>
      </w:r>
      <w:r>
        <w:rPr>
          <w:rFonts w:hint="eastAsia" w:ascii="Times New Roman" w:hAnsi="Times New Roman" w:cs="Times New Roman"/>
          <w:sz w:val="18"/>
          <w:szCs w:val="18"/>
        </w:rPr>
        <w:t>奈拉替尼</w:t>
      </w:r>
      <w:r>
        <w:rPr>
          <w:rFonts w:ascii="Times New Roman" w:hAnsi="Times New Roman" w:cs="Times New Roman"/>
          <w:sz w:val="18"/>
          <w:szCs w:val="18"/>
        </w:rPr>
        <w:t>治疗ERBB4突变的实体瘤患者疗效的临床研究正在开展中。</w:t>
      </w:r>
    </w:p>
    <w:p w14:paraId="751D874E">
      <w:pPr>
        <w:spacing w:line="360" w:lineRule="auto"/>
        <w:ind w:left="420"/>
        <w:rPr>
          <w:rFonts w:ascii="Times New Roman" w:hAnsi="Times New Roman" w:cs="Times New Roman"/>
          <w:sz w:val="18"/>
          <w:szCs w:val="18"/>
        </w:rPr>
      </w:pPr>
    </w:p>
    <w:p w14:paraId="043F5B8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ERG                                                                         </w:t>
      </w:r>
    </w:p>
    <w:p w14:paraId="02CA88A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B527CE0">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4465C5C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15556A">
      <w:pPr>
        <w:spacing w:line="300" w:lineRule="auto"/>
        <w:ind w:left="420"/>
        <w:rPr>
          <w:rFonts w:ascii="Times New Roman" w:hAnsi="Times New Roman" w:cs="Times New Roman"/>
          <w:sz w:val="18"/>
          <w:szCs w:val="18"/>
        </w:rPr>
      </w:pPr>
      <w:r>
        <w:rPr>
          <w:rFonts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034663A9">
      <w:pPr>
        <w:spacing w:line="300" w:lineRule="auto"/>
        <w:ind w:left="420"/>
        <w:rPr>
          <w:rFonts w:ascii="Times New Roman" w:hAnsi="Times New Roman" w:cs="Times New Roman"/>
          <w:sz w:val="18"/>
          <w:szCs w:val="18"/>
        </w:rPr>
      </w:pPr>
    </w:p>
    <w:p w14:paraId="664217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ESR1                                                                          </w:t>
      </w:r>
    </w:p>
    <w:p w14:paraId="6340BC0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B0A2BF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72692C0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03217B2">
      <w:pPr>
        <w:spacing w:line="300" w:lineRule="auto"/>
        <w:ind w:left="420"/>
        <w:rPr>
          <w:rFonts w:ascii="Times New Roman" w:hAnsi="Times New Roman" w:cs="Times New Roman"/>
          <w:sz w:val="18"/>
          <w:szCs w:val="18"/>
        </w:rPr>
      </w:pPr>
      <w:r>
        <w:rPr>
          <w:rFonts w:ascii="Times New Roman" w:hAnsi="Times New Roman" w:cs="Times New Roman"/>
          <w:sz w:val="18"/>
          <w:szCs w:val="18"/>
        </w:rPr>
        <w:t>雌激素受体阳性的乳腺癌对激素治疗有耐药性，ESR1的配体结合区域的许多突变与激素抵抗和抗雌激素治疗有关。</w:t>
      </w:r>
      <w:r>
        <w:rPr>
          <w:rFonts w:hint="eastAsia" w:ascii="Times New Roman" w:hAnsi="Times New Roman" w:cs="Times New Roman"/>
          <w:sz w:val="18"/>
          <w:szCs w:val="18"/>
        </w:rPr>
        <w:t>氟维司群</w:t>
      </w:r>
      <w:r>
        <w:rPr>
          <w:rFonts w:ascii="Times New Roman" w:hAnsi="Times New Roman" w:cs="Times New Roman"/>
          <w:sz w:val="18"/>
          <w:szCs w:val="18"/>
        </w:rPr>
        <w:t>刺激ESR1蛋白降解的研究正处于临床试验阶段，并取得了一些成功。16例转移性乳腺癌患者通过</w:t>
      </w:r>
      <w:r>
        <w:rPr>
          <w:rFonts w:hint="eastAsia" w:ascii="Times New Roman" w:hAnsi="Times New Roman" w:cs="Times New Roman"/>
          <w:sz w:val="18"/>
          <w:szCs w:val="18"/>
        </w:rPr>
        <w:t>哌柏西利</w:t>
      </w:r>
      <w:r>
        <w:rPr>
          <w:rFonts w:ascii="Times New Roman" w:hAnsi="Times New Roman" w:cs="Times New Roman"/>
          <w:sz w:val="18"/>
          <w:szCs w:val="18"/>
        </w:rPr>
        <w:t>联合</w:t>
      </w:r>
      <w:r>
        <w:rPr>
          <w:rFonts w:hint="eastAsia" w:ascii="Times New Roman" w:hAnsi="Times New Roman" w:cs="Times New Roman"/>
          <w:sz w:val="18"/>
          <w:szCs w:val="18"/>
        </w:rPr>
        <w:t>来曲唑</w:t>
      </w:r>
      <w:r>
        <w:rPr>
          <w:rFonts w:ascii="Times New Roman" w:hAnsi="Times New Roman" w:cs="Times New Roman"/>
          <w:sz w:val="18"/>
          <w:szCs w:val="18"/>
        </w:rPr>
        <w:t>进行治疗，发现ESR1突变患者(5/16)，包括ESR1 D538G (n = 2)与野生型患者相比ESR1 (n = 11)，总体生存率无显著差异[PMID: 27556863]。</w:t>
      </w:r>
      <w:r>
        <w:rPr>
          <w:rFonts w:hint="eastAsia" w:ascii="Times New Roman" w:hAnsi="Times New Roman" w:cs="Times New Roman"/>
          <w:sz w:val="18"/>
          <w:szCs w:val="18"/>
        </w:rPr>
        <w:t>哌柏西利和来曲唑治疗转移性乳腺癌的研究中，在初次采血时已经携带</w:t>
      </w:r>
      <w:r>
        <w:rPr>
          <w:rFonts w:ascii="Times New Roman" w:hAnsi="Times New Roman" w:cs="Times New Roman"/>
          <w:sz w:val="18"/>
          <w:szCs w:val="18"/>
        </w:rPr>
        <w:t>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1896A515">
      <w:pPr>
        <w:spacing w:line="300" w:lineRule="auto"/>
        <w:ind w:left="420"/>
        <w:rPr>
          <w:rFonts w:ascii="Times New Roman" w:hAnsi="Times New Roman" w:cs="Times New Roman"/>
          <w:sz w:val="18"/>
          <w:szCs w:val="18"/>
          <w:highlight w:val="black"/>
        </w:rPr>
      </w:pPr>
    </w:p>
    <w:p w14:paraId="476FADA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ETV1                                                                          </w:t>
      </w:r>
    </w:p>
    <w:p w14:paraId="5C50B7B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48F8806">
      <w:pPr>
        <w:spacing w:line="300" w:lineRule="auto"/>
        <w:ind w:left="420"/>
        <w:rPr>
          <w:rFonts w:ascii="Times New Roman" w:hAnsi="Times New Roman" w:cs="Times New Roman"/>
          <w:sz w:val="18"/>
          <w:szCs w:val="18"/>
        </w:rPr>
      </w:pPr>
      <w:r>
        <w:rPr>
          <w:rFonts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46A39A4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3655CB7">
      <w:pPr>
        <w:spacing w:line="300" w:lineRule="auto"/>
        <w:ind w:left="420"/>
        <w:rPr>
          <w:rFonts w:ascii="Times New Roman" w:hAnsi="Times New Roman" w:cs="Times New Roman"/>
          <w:sz w:val="18"/>
          <w:szCs w:val="18"/>
        </w:rPr>
      </w:pPr>
      <w:r>
        <w:rPr>
          <w:rFonts w:ascii="Times New Roman" w:hAnsi="Times New Roman" w:cs="Times New Roman"/>
          <w:sz w:val="18"/>
          <w:szCs w:val="18"/>
        </w:rPr>
        <w:t>TMPRSS2-ETV1融合在前列腺癌中反复出现[PMID: 16254181]，目前评估恩</w:t>
      </w:r>
      <w:r>
        <w:rPr>
          <w:rFonts w:hint="eastAsia" w:ascii="Times New Roman" w:hAnsi="Times New Roman" w:cs="Times New Roman"/>
          <w:sz w:val="18"/>
          <w:szCs w:val="18"/>
        </w:rPr>
        <w:t>扎卢</w:t>
      </w:r>
      <w:r>
        <w:rPr>
          <w:rFonts w:ascii="Times New Roman" w:hAnsi="Times New Roman" w:cs="Times New Roman"/>
          <w:sz w:val="18"/>
          <w:szCs w:val="18"/>
        </w:rPr>
        <w:t>胺对TMPRSS2-ETV1基因突变的前列腺癌患者疗效的II期临床试验正在进行中。</w:t>
      </w:r>
      <w:r>
        <w:rPr>
          <w:rFonts w:hint="eastAsia" w:ascii="Times New Roman" w:hAnsi="Times New Roman" w:cs="Times New Roman"/>
          <w:sz w:val="18"/>
          <w:szCs w:val="18"/>
        </w:rPr>
        <w:t>对结直肠癌的研究表明，</w:t>
      </w:r>
      <w:r>
        <w:rPr>
          <w:rFonts w:ascii="Times New Roman" w:hAnsi="Times New Roman" w:cs="Times New Roman"/>
          <w:sz w:val="18"/>
          <w:szCs w:val="18"/>
        </w:rPr>
        <w:t>ETV1表达影响细胞活力，ETV1高表达与较差的无复发生存期和总生存期相关[PMID: 30224643]。</w:t>
      </w:r>
    </w:p>
    <w:p w14:paraId="63C1B573">
      <w:pPr>
        <w:spacing w:line="300" w:lineRule="auto"/>
        <w:ind w:left="420"/>
        <w:rPr>
          <w:rFonts w:ascii="Times New Roman" w:hAnsi="Times New Roman" w:cs="Times New Roman"/>
          <w:sz w:val="18"/>
          <w:szCs w:val="18"/>
          <w:highlight w:val="black"/>
        </w:rPr>
      </w:pPr>
    </w:p>
    <w:p w14:paraId="0EF4DF2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ETV4                                                                          </w:t>
      </w:r>
    </w:p>
    <w:p w14:paraId="45CEB34C">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25FD80FD">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1F221A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A6361D">
      <w:pPr>
        <w:spacing w:line="300" w:lineRule="auto"/>
        <w:ind w:left="420"/>
        <w:rPr>
          <w:rFonts w:ascii="Times New Roman" w:hAnsi="Times New Roman" w:cs="Times New Roman"/>
          <w:sz w:val="18"/>
          <w:szCs w:val="18"/>
        </w:rPr>
      </w:pPr>
      <w:r>
        <w:rPr>
          <w:rFonts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w:t>
      </w:r>
      <w:r>
        <w:rPr>
          <w:rFonts w:hint="eastAsia" w:ascii="Times New Roman" w:hAnsi="Times New Roman" w:cs="Times New Roman"/>
          <w:sz w:val="18"/>
          <w:szCs w:val="18"/>
        </w:rPr>
        <w:t>有研究表明，</w:t>
      </w:r>
      <w:r>
        <w:rPr>
          <w:rFonts w:ascii="Times New Roman" w:hAnsi="Times New Roman" w:cs="Times New Roman"/>
          <w:sz w:val="18"/>
          <w:szCs w:val="18"/>
        </w:rPr>
        <w:t>ETV4和MMP24水平升高，是肺癌和/或胃癌患者的肿瘤进展生物标志物，可能与较差预后相关[PMID: 27869830]。</w:t>
      </w:r>
    </w:p>
    <w:p w14:paraId="7C297DCE">
      <w:pPr>
        <w:spacing w:line="300" w:lineRule="auto"/>
        <w:ind w:left="420"/>
        <w:rPr>
          <w:rFonts w:ascii="Times New Roman" w:hAnsi="Times New Roman" w:cs="Times New Roman"/>
          <w:sz w:val="18"/>
          <w:szCs w:val="18"/>
          <w:highlight w:val="black"/>
        </w:rPr>
      </w:pPr>
    </w:p>
    <w:p w14:paraId="28C8416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ETV5                                                                          </w:t>
      </w:r>
    </w:p>
    <w:p w14:paraId="058FC72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E0EF6B5">
      <w:pPr>
        <w:spacing w:line="300" w:lineRule="auto"/>
        <w:ind w:left="420"/>
        <w:rPr>
          <w:rFonts w:ascii="Times New Roman" w:hAnsi="Times New Roman" w:cs="Times New Roman"/>
          <w:sz w:val="18"/>
          <w:szCs w:val="18"/>
        </w:rPr>
      </w:pPr>
      <w:r>
        <w:rPr>
          <w:rFonts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7402C7F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8392795">
      <w:pPr>
        <w:spacing w:line="300" w:lineRule="auto"/>
        <w:ind w:left="420"/>
        <w:rPr>
          <w:rFonts w:ascii="Times New Roman" w:hAnsi="Times New Roman" w:cs="Times New Roman"/>
          <w:sz w:val="18"/>
          <w:szCs w:val="18"/>
        </w:rPr>
      </w:pPr>
      <w:r>
        <w:rPr>
          <w:rFonts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w:t>
      </w:r>
      <w:r>
        <w:rPr>
          <w:rFonts w:hint="eastAsia" w:ascii="Times New Roman" w:hAnsi="Times New Roman" w:cs="Times New Roman"/>
          <w:sz w:val="18"/>
          <w:szCs w:val="18"/>
        </w:rPr>
        <w:t xml:space="preserve"> </w:t>
      </w:r>
      <w:r>
        <w:rPr>
          <w:rFonts w:ascii="Times New Roman" w:hAnsi="Times New Roman" w:cs="Times New Roman"/>
          <w:sz w:val="18"/>
          <w:szCs w:val="18"/>
        </w:rPr>
        <w:t>28178529]。</w:t>
      </w:r>
      <w:r>
        <w:rPr>
          <w:rFonts w:hint="eastAsia" w:ascii="Times New Roman" w:hAnsi="Times New Roman" w:cs="Times New Roman"/>
          <w:sz w:val="18"/>
          <w:szCs w:val="18"/>
        </w:rPr>
        <w:t>研究表明，肺癌中</w:t>
      </w:r>
      <w:r>
        <w:rPr>
          <w:rFonts w:ascii="Times New Roman" w:hAnsi="Times New Roman" w:cs="Times New Roman"/>
          <w:sz w:val="18"/>
          <w:szCs w:val="18"/>
        </w:rPr>
        <w:t>ETV5、LPP或MMP15基因失活是增加肿瘤的恶性程度的预后标志物[PMID: 26028032]。</w:t>
      </w:r>
      <w:r>
        <w:rPr>
          <w:rFonts w:hint="eastAsia" w:ascii="Times New Roman" w:hAnsi="Times New Roman" w:cs="Times New Roman"/>
          <w:sz w:val="18"/>
          <w:szCs w:val="18"/>
        </w:rPr>
        <w:t>临床前研究表明，</w:t>
      </w:r>
      <w:r>
        <w:rPr>
          <w:rFonts w:ascii="Times New Roman" w:hAnsi="Times New Roman" w:cs="Times New Roman"/>
          <w:sz w:val="18"/>
          <w:szCs w:val="18"/>
        </w:rPr>
        <w:t>EVT5可能是结直肠癌（CRC）中潜在的诊断和预后标志物[PMID: 30650178]。</w:t>
      </w:r>
    </w:p>
    <w:p w14:paraId="124250C5">
      <w:pPr>
        <w:spacing w:line="360" w:lineRule="auto"/>
        <w:ind w:left="420"/>
        <w:rPr>
          <w:rFonts w:ascii="Times New Roman" w:hAnsi="Times New Roman" w:cs="Times New Roman"/>
          <w:sz w:val="18"/>
          <w:szCs w:val="18"/>
        </w:rPr>
      </w:pPr>
    </w:p>
    <w:p w14:paraId="195691E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FGFR1                                                                           </w:t>
      </w:r>
    </w:p>
    <w:p w14:paraId="55D06C6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3E30FE5">
      <w:pPr>
        <w:spacing w:line="300" w:lineRule="auto"/>
        <w:ind w:left="420"/>
        <w:rPr>
          <w:rFonts w:ascii="Times New Roman" w:hAnsi="Times New Roman" w:cs="Times New Roman"/>
          <w:sz w:val="18"/>
          <w:szCs w:val="18"/>
        </w:rPr>
      </w:pPr>
      <w:r>
        <w:rPr>
          <w:rFonts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5846921A">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F66B324">
      <w:pPr>
        <w:spacing w:line="360" w:lineRule="auto"/>
        <w:ind w:left="420"/>
        <w:rPr>
          <w:rFonts w:ascii="Times New Roman" w:hAnsi="Times New Roman" w:cs="Times New Roman"/>
          <w:sz w:val="18"/>
          <w:szCs w:val="18"/>
        </w:rPr>
      </w:pPr>
      <w:r>
        <w:rPr>
          <w:rFonts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26324363]。临床</w:t>
      </w:r>
      <w:r>
        <w:rPr>
          <w:rFonts w:hint="eastAsia" w:ascii="Times New Roman" w:hAnsi="Times New Roman" w:cs="Times New Roman"/>
          <w:sz w:val="18"/>
          <w:szCs w:val="18"/>
        </w:rPr>
        <w:t>I</w:t>
      </w:r>
      <w:r>
        <w:rPr>
          <w:rFonts w:ascii="Times New Roman" w:hAnsi="Times New Roman" w:cs="Times New Roman"/>
          <w:sz w:val="18"/>
          <w:szCs w:val="18"/>
        </w:rPr>
        <w:t>期试验中，携带FGFR1扩增的肺鳞癌患者用Infigratinib治疗表现出50%的疾病控制率（18/36），其中14个病人疾病稳定，4个病人部分响应[PMID:</w:t>
      </w:r>
      <w:r>
        <w:rPr>
          <w:rFonts w:hint="eastAsia" w:ascii="Times New Roman" w:hAnsi="Times New Roman" w:cs="Times New Roman"/>
          <w:sz w:val="18"/>
          <w:szCs w:val="18"/>
        </w:rPr>
        <w:t xml:space="preserve"> </w:t>
      </w:r>
      <w:r>
        <w:rPr>
          <w:rFonts w:ascii="Times New Roman" w:hAnsi="Times New Roman" w:cs="Times New Roman"/>
          <w:sz w:val="18"/>
          <w:szCs w:val="18"/>
        </w:rPr>
        <w:t>27870574]。在AZD4547单药治疗肺鳞癌的Ⅰb期国际多中心试验中，疾病控制率为39%。在携带FGFR1突变的细胞系和小鼠模型中，一些TKI和FGFR特异的小分子抑制剂表现出抑癌活性。在临床前研究中，PRN1371能够抑制具有FGFR1</w:t>
      </w:r>
      <w:r>
        <w:rPr>
          <w:rFonts w:hint="eastAsia" w:ascii="Times New Roman" w:hAnsi="Times New Roman" w:cs="Times New Roman"/>
          <w:sz w:val="18"/>
          <w:szCs w:val="18"/>
        </w:rPr>
        <w:t xml:space="preserve"> </w:t>
      </w:r>
      <w:r>
        <w:rPr>
          <w:rFonts w:ascii="Times New Roman" w:hAnsi="Times New Roman" w:cs="Times New Roman"/>
          <w:sz w:val="18"/>
          <w:szCs w:val="18"/>
        </w:rPr>
        <w:t>V561M突变的细胞的增殖[PMID:</w:t>
      </w:r>
      <w:r>
        <w:rPr>
          <w:rFonts w:hint="eastAsia" w:ascii="Times New Roman" w:hAnsi="Times New Roman" w:cs="Times New Roman"/>
          <w:sz w:val="18"/>
          <w:szCs w:val="18"/>
        </w:rPr>
        <w:t xml:space="preserve"> </w:t>
      </w:r>
      <w:r>
        <w:rPr>
          <w:rFonts w:ascii="Times New Roman" w:hAnsi="Times New Roman" w:cs="Times New Roman"/>
          <w:sz w:val="18"/>
          <w:szCs w:val="18"/>
        </w:rPr>
        <w:t>28978721]。</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GFR1</w:t>
      </w:r>
      <w:r>
        <w:rPr>
          <w:rFonts w:hint="eastAsia" w:ascii="Times New Roman" w:hAnsi="Times New Roman" w:cs="Times New Roman"/>
          <w:sz w:val="18"/>
          <w:szCs w:val="18"/>
        </w:rPr>
        <w:t>突变/扩增的非小细胞肺癌、结直肠癌等实体瘤患者疗效的临床试验正在开展。</w:t>
      </w:r>
    </w:p>
    <w:p w14:paraId="1B6FE7C7">
      <w:pPr>
        <w:spacing w:line="360" w:lineRule="auto"/>
        <w:ind w:left="420"/>
        <w:rPr>
          <w:rFonts w:ascii="Times New Roman" w:hAnsi="Times New Roman" w:cs="Times New Roman"/>
          <w:sz w:val="18"/>
          <w:szCs w:val="18"/>
        </w:rPr>
      </w:pPr>
    </w:p>
    <w:p w14:paraId="136F142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FGFR2                                                                         </w:t>
      </w:r>
    </w:p>
    <w:p w14:paraId="4EAA093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D78DCCB">
      <w:pPr>
        <w:spacing w:line="300" w:lineRule="auto"/>
        <w:ind w:left="420"/>
        <w:rPr>
          <w:rFonts w:ascii="Times New Roman" w:hAnsi="Times New Roman" w:cs="Times New Roman"/>
          <w:sz w:val="18"/>
          <w:szCs w:val="18"/>
        </w:rPr>
      </w:pPr>
      <w:r>
        <w:rPr>
          <w:rFonts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20094046</w:t>
      </w:r>
      <w:r>
        <w:rPr>
          <w:rFonts w:hint="eastAsia" w:ascii="Times New Roman" w:hAnsi="Times New Roman" w:cs="Times New Roman"/>
          <w:sz w:val="18"/>
          <w:szCs w:val="18"/>
        </w:rPr>
        <w:t>]</w:t>
      </w:r>
      <w:r>
        <w:rPr>
          <w:rFonts w:ascii="Times New Roman" w:hAnsi="Times New Roman" w:cs="Times New Roman"/>
          <w:sz w:val="18"/>
          <w:szCs w:val="18"/>
        </w:rPr>
        <w:t>。FGFR2基因的错义突变常发生在子宫内膜癌、宫颈癌、乳腺癌、肺癌以及胃癌中，在乳腺癌和胃癌中常发生FGFR2基因拷贝数的增加，使得FGFR2过表达从而导致FGFR2信号的激活。FGFR2在肺癌中的点突变频率约为1.08%。</w:t>
      </w:r>
    </w:p>
    <w:p w14:paraId="5F61610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0F06AC">
      <w:pPr>
        <w:spacing w:line="360" w:lineRule="auto"/>
        <w:ind w:left="420"/>
        <w:rPr>
          <w:rFonts w:ascii="Times New Roman" w:hAnsi="Times New Roman" w:cs="Times New Roman"/>
          <w:sz w:val="18"/>
          <w:szCs w:val="18"/>
        </w:rPr>
      </w:pPr>
      <w:r>
        <w:rPr>
          <w:rFonts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26324363]。一项临床前研究中，FGFR2扩增的非小细胞肺癌的PDX模型中，PRN1371治疗产生了67.5%肿瘤抑制率[PMID:</w:t>
      </w:r>
      <w:r>
        <w:rPr>
          <w:rFonts w:hint="eastAsia" w:ascii="Times New Roman" w:hAnsi="Times New Roman" w:cs="Times New Roman"/>
          <w:sz w:val="18"/>
          <w:szCs w:val="18"/>
        </w:rPr>
        <w:t xml:space="preserve"> </w:t>
      </w:r>
      <w:r>
        <w:rPr>
          <w:rFonts w:ascii="Times New Roman" w:hAnsi="Times New Roman" w:cs="Times New Roman"/>
          <w:sz w:val="18"/>
          <w:szCs w:val="18"/>
        </w:rPr>
        <w:t>28978721]。临床前研究表明，普纳替尼被证明能抑制所有四种FGFR的体外激酶活性，在用于表达激活的FGFR1-4的Ba/F3细胞中，普纳替尼有效地抑制FGFR介导的信号[PMID:</w:t>
      </w:r>
      <w:r>
        <w:rPr>
          <w:rFonts w:hint="eastAsia" w:ascii="Times New Roman" w:hAnsi="Times New Roman" w:cs="Times New Roman"/>
          <w:sz w:val="18"/>
          <w:szCs w:val="18"/>
        </w:rPr>
        <w:t xml:space="preserve"> </w:t>
      </w:r>
      <w:r>
        <w:rPr>
          <w:rFonts w:ascii="Times New Roman" w:hAnsi="Times New Roman" w:cs="Times New Roman"/>
          <w:sz w:val="18"/>
          <w:szCs w:val="18"/>
        </w:rPr>
        <w:t>22238366]。FGF2 mRNA和FGFR2 mRNA的表达与淋巴结转移和TNM分期相关。FGF2 mRNA和FGFR2 mRNA的高表达与肺癌患者的肿瘤转移和不良预后有关[PMID: 30013642]。FGFR2表达与女性、组织亚型、年龄较小、低的肿瘤分期有关[PMID: 27785367]</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GFR2</w:t>
      </w:r>
      <w:r>
        <w:rPr>
          <w:rFonts w:hint="eastAsia" w:ascii="Times New Roman" w:hAnsi="Times New Roman" w:cs="Times New Roman"/>
          <w:sz w:val="18"/>
          <w:szCs w:val="18"/>
        </w:rPr>
        <w:t>突变/扩增/融合的实体瘤患者疗效的临床试验正在开展。</w:t>
      </w:r>
    </w:p>
    <w:p w14:paraId="69E73E14">
      <w:pPr>
        <w:spacing w:line="360" w:lineRule="auto"/>
        <w:ind w:left="420"/>
        <w:rPr>
          <w:rFonts w:ascii="Times New Roman" w:hAnsi="Times New Roman" w:cs="Times New Roman"/>
          <w:sz w:val="18"/>
          <w:szCs w:val="18"/>
        </w:rPr>
      </w:pPr>
    </w:p>
    <w:p w14:paraId="6D217196">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FGFR3                                                                          </w:t>
      </w:r>
    </w:p>
    <w:p w14:paraId="388AEDF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BF8352">
      <w:pPr>
        <w:spacing w:line="300" w:lineRule="auto"/>
        <w:ind w:left="420"/>
        <w:rPr>
          <w:rFonts w:ascii="Times New Roman" w:hAnsi="Times New Roman" w:cs="Times New Roman"/>
          <w:sz w:val="18"/>
          <w:szCs w:val="18"/>
        </w:rPr>
      </w:pPr>
      <w:r>
        <w:rPr>
          <w:rFonts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44553AE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911A1FD">
      <w:pPr>
        <w:spacing w:line="360" w:lineRule="auto"/>
        <w:ind w:left="420"/>
        <w:rPr>
          <w:rFonts w:ascii="Times New Roman" w:hAnsi="Times New Roman" w:cs="Times New Roman"/>
          <w:sz w:val="18"/>
          <w:szCs w:val="18"/>
        </w:rPr>
      </w:pPr>
      <w:r>
        <w:rPr>
          <w:rFonts w:ascii="Times New Roman" w:hAnsi="Times New Roman" w:cs="Times New Roman"/>
          <w:sz w:val="18"/>
          <w:szCs w:val="18"/>
        </w:rPr>
        <w:t>在一些肺腺癌患者中会有FGFR3-TACC3融合检出，这些病人可以考虑FGFR抑制剂的临床试验[PMID:</w:t>
      </w:r>
      <w:r>
        <w:rPr>
          <w:rFonts w:hint="eastAsia" w:ascii="Times New Roman" w:hAnsi="Times New Roman" w:cs="Times New Roman"/>
          <w:sz w:val="18"/>
          <w:szCs w:val="18"/>
        </w:rPr>
        <w:t xml:space="preserve"> </w:t>
      </w:r>
      <w:r>
        <w:rPr>
          <w:rFonts w:ascii="Times New Roman" w:hAnsi="Times New Roman" w:cs="Times New Roman"/>
          <w:sz w:val="18"/>
          <w:szCs w:val="18"/>
        </w:rPr>
        <w:t>25294908]。在I期临床试验中，Erdafitinib治疗携带FGFR1-4激活突变（包括扩增，突变和易位）的晚期实体瘤患者，导致70％（16/23）患者疾病稳定，22％（5/23）患者部分缓解，在FGFR未知或FGFR未知变异患者中未观察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26324363]。在一项临床前研究中，携带FGFR3突变的肿瘤细胞系对Infigratinib敏感[PMID:</w:t>
      </w:r>
      <w:r>
        <w:rPr>
          <w:rFonts w:hint="eastAsia" w:ascii="Times New Roman" w:hAnsi="Times New Roman" w:cs="Times New Roman"/>
          <w:sz w:val="18"/>
          <w:szCs w:val="18"/>
        </w:rPr>
        <w:t xml:space="preserve"> </w:t>
      </w:r>
      <w:r>
        <w:rPr>
          <w:rFonts w:ascii="Times New Roman" w:hAnsi="Times New Roman" w:cs="Times New Roman"/>
          <w:sz w:val="18"/>
          <w:szCs w:val="18"/>
        </w:rPr>
        <w:t>23002168]。</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GFR3</w:t>
      </w:r>
      <w:r>
        <w:rPr>
          <w:rFonts w:hint="eastAsia" w:ascii="Times New Roman" w:hAnsi="Times New Roman" w:cs="Times New Roman"/>
          <w:sz w:val="18"/>
          <w:szCs w:val="18"/>
        </w:rPr>
        <w:t>突变/扩增/融合的实体瘤患者疗效的临床试验正在开展。</w:t>
      </w:r>
    </w:p>
    <w:p w14:paraId="29DC8129">
      <w:pPr>
        <w:spacing w:line="360" w:lineRule="auto"/>
        <w:rPr>
          <w:rFonts w:ascii="Times New Roman" w:hAnsi="Times New Roman" w:cs="Times New Roman"/>
          <w:sz w:val="18"/>
          <w:szCs w:val="18"/>
        </w:rPr>
      </w:pPr>
    </w:p>
    <w:p w14:paraId="2AF410D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FGFR4                                                                          </w:t>
      </w:r>
    </w:p>
    <w:p w14:paraId="1B7C3DC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EA89B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147805D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FFD0E87">
      <w:pPr>
        <w:spacing w:line="300" w:lineRule="auto"/>
        <w:ind w:left="420"/>
        <w:rPr>
          <w:rFonts w:ascii="Times New Roman" w:hAnsi="Times New Roman" w:cs="Times New Roman"/>
          <w:sz w:val="18"/>
          <w:szCs w:val="18"/>
        </w:rPr>
      </w:pPr>
      <w:r>
        <w:rPr>
          <w:rFonts w:ascii="Times New Roman" w:hAnsi="Times New Roman" w:cs="Times New Roman"/>
          <w:sz w:val="18"/>
          <w:szCs w:val="18"/>
        </w:rPr>
        <w:t>在临床前研究中，FGFR4-R388的BON1肿瘤细胞对依维莫司的敏感性降低[PMID:</w:t>
      </w:r>
      <w:r>
        <w:rPr>
          <w:rFonts w:hint="eastAsia" w:ascii="Times New Roman" w:hAnsi="Times New Roman" w:cs="Times New Roman"/>
          <w:sz w:val="18"/>
          <w:szCs w:val="18"/>
        </w:rPr>
        <w:t xml:space="preserve"> </w:t>
      </w:r>
      <w:r>
        <w:rPr>
          <w:rFonts w:ascii="Times New Roman" w:hAnsi="Times New Roman" w:cs="Times New Roman"/>
          <w:sz w:val="18"/>
          <w:szCs w:val="18"/>
        </w:rPr>
        <w:t>22986737]。Erdafitinib、LY2874455均为泛FGFR抑制剂，在初期的临床试验中表现出一定的疗效。FGFR4在非小细胞肺癌中高表达（46.8%，111/237），FGFR4表达与肿瘤直径显著相关（P=0.039）[PMID：26045670]。除此之外，还有Lucitanib等泛FGFR抑制剂具有相关的临床实验。</w:t>
      </w:r>
      <w:r>
        <w:rPr>
          <w:rFonts w:hint="eastAsia" w:ascii="Times New Roman" w:hAnsi="Times New Roman" w:cs="Times New Roman"/>
          <w:sz w:val="18"/>
          <w:szCs w:val="18"/>
        </w:rPr>
        <w:t>目前评估安罗替尼、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GFR4</w:t>
      </w:r>
      <w:r>
        <w:rPr>
          <w:rFonts w:hint="eastAsia" w:ascii="Times New Roman" w:hAnsi="Times New Roman" w:cs="Times New Roman"/>
          <w:sz w:val="18"/>
          <w:szCs w:val="18"/>
        </w:rPr>
        <w:t>突变/扩增/融合的实体瘤患者疗效的临床试验正在开展。</w:t>
      </w:r>
    </w:p>
    <w:p w14:paraId="250763C7">
      <w:pPr>
        <w:spacing w:line="300" w:lineRule="auto"/>
        <w:ind w:left="420"/>
        <w:rPr>
          <w:rFonts w:ascii="Times New Roman" w:hAnsi="Times New Roman" w:cs="Times New Roman"/>
          <w:sz w:val="18"/>
          <w:szCs w:val="18"/>
          <w:highlight w:val="black"/>
        </w:rPr>
      </w:pPr>
    </w:p>
    <w:p w14:paraId="4A925E8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GNA11                                                                          </w:t>
      </w:r>
    </w:p>
    <w:p w14:paraId="5BC05C0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2B9439">
      <w:pPr>
        <w:spacing w:line="300" w:lineRule="auto"/>
        <w:ind w:left="420"/>
        <w:rPr>
          <w:rFonts w:ascii="Times New Roman" w:hAnsi="Times New Roman" w:cs="Times New Roman"/>
          <w:sz w:val="18"/>
          <w:szCs w:val="18"/>
        </w:rPr>
      </w:pPr>
      <w:r>
        <w:rPr>
          <w:rFonts w:ascii="Times New Roman" w:hAnsi="Times New Roman" w:cs="Times New Roman"/>
          <w:sz w:val="18"/>
          <w:szCs w:val="18"/>
        </w:rPr>
        <w:t>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w:t>
      </w:r>
      <w:r>
        <w:rPr>
          <w:rFonts w:hint="eastAsia" w:ascii="Times New Roman" w:hAnsi="Times New Roman" w:cs="Times New Roman"/>
          <w:sz w:val="18"/>
          <w:szCs w:val="18"/>
        </w:rPr>
        <w:t xml:space="preserve">: </w:t>
      </w:r>
      <w:r>
        <w:rPr>
          <w:rFonts w:ascii="Times New Roman" w:hAnsi="Times New Roman" w:cs="Times New Roman"/>
          <w:sz w:val="18"/>
          <w:szCs w:val="18"/>
        </w:rPr>
        <w:t>1328859; PMID</w:t>
      </w:r>
      <w:r>
        <w:rPr>
          <w:rFonts w:hint="eastAsia" w:ascii="Times New Roman" w:hAnsi="Times New Roman" w:cs="Times New Roman"/>
          <w:sz w:val="18"/>
          <w:szCs w:val="18"/>
        </w:rPr>
        <w:t xml:space="preserve">: </w:t>
      </w:r>
      <w:r>
        <w:rPr>
          <w:rFonts w:ascii="Times New Roman" w:hAnsi="Times New Roman" w:cs="Times New Roman"/>
          <w:sz w:val="18"/>
          <w:szCs w:val="18"/>
        </w:rPr>
        <w:t>2549426]。受体激活导致Gα亚基与Gßγ分离，继而Gα和Gßγ都可以激活下游细胞信号通路[PMID</w:t>
      </w:r>
      <w:r>
        <w:rPr>
          <w:rFonts w:hint="eastAsia" w:ascii="Times New Roman" w:hAnsi="Times New Roman" w:cs="Times New Roman"/>
          <w:sz w:val="18"/>
          <w:szCs w:val="18"/>
        </w:rPr>
        <w:t>:</w:t>
      </w:r>
      <w:r>
        <w:rPr>
          <w:rFonts w:ascii="Times New Roman" w:hAnsi="Times New Roman" w:cs="Times New Roman"/>
          <w:sz w:val="18"/>
          <w:szCs w:val="18"/>
        </w:rPr>
        <w:t xml:space="preserve"> 1328859</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w:t>
      </w:r>
      <w:r>
        <w:rPr>
          <w:rFonts w:ascii="Times New Roman" w:hAnsi="Times New Roman" w:cs="Times New Roman"/>
          <w:sz w:val="18"/>
          <w:szCs w:val="18"/>
        </w:rPr>
        <w:t xml:space="preserve">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24B7683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6E6673C">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24938562]。在一项临床前研究中，GNA11 Q209L突变体葡萄膜黑色素瘤细胞系生长与野生型细胞相比对曲美替尼更敏感</w:t>
      </w:r>
      <w:r>
        <w:rPr>
          <w:rFonts w:hint="eastAsia" w:ascii="Times New Roman" w:hAnsi="Times New Roman" w:cs="Times New Roman"/>
          <w:sz w:val="18"/>
          <w:szCs w:val="18"/>
        </w:rPr>
        <w:t>；</w:t>
      </w:r>
      <w:r>
        <w:rPr>
          <w:rFonts w:ascii="Times New Roman" w:hAnsi="Times New Roman" w:cs="Times New Roman"/>
          <w:sz w:val="18"/>
          <w:szCs w:val="18"/>
        </w:rPr>
        <w:t>曲美替尼联合Omipalisib能够在大多数GNA11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w:t>
      </w:r>
      <w:r>
        <w:rPr>
          <w:rFonts w:hint="eastAsia" w:ascii="Times New Roman" w:hAnsi="Times New Roman" w:cs="Times New Roman"/>
          <w:sz w:val="18"/>
          <w:szCs w:val="18"/>
        </w:rPr>
        <w:t>评估曲美替尼用于</w:t>
      </w:r>
      <w:r>
        <w:rPr>
          <w:rFonts w:ascii="Times New Roman" w:hAnsi="Times New Roman" w:cs="Times New Roman"/>
          <w:sz w:val="18"/>
          <w:szCs w:val="18"/>
        </w:rPr>
        <w:t>携带GNAQ和GNA11基因突变的实体瘤患者</w:t>
      </w:r>
      <w:r>
        <w:rPr>
          <w:rFonts w:hint="eastAsia" w:ascii="Times New Roman" w:hAnsi="Times New Roman" w:cs="Times New Roman"/>
          <w:sz w:val="18"/>
          <w:szCs w:val="18"/>
        </w:rPr>
        <w:t>疗效的临床试验正在开展</w:t>
      </w:r>
      <w:r>
        <w:rPr>
          <w:rFonts w:ascii="Times New Roman" w:hAnsi="Times New Roman" w:cs="Times New Roman"/>
          <w:sz w:val="18"/>
          <w:szCs w:val="18"/>
        </w:rPr>
        <w:t>。</w:t>
      </w:r>
    </w:p>
    <w:p w14:paraId="38BF1731">
      <w:pPr>
        <w:spacing w:line="300" w:lineRule="auto"/>
        <w:ind w:left="420"/>
        <w:rPr>
          <w:rFonts w:ascii="Times New Roman" w:hAnsi="Times New Roman" w:cs="Times New Roman"/>
          <w:sz w:val="18"/>
          <w:szCs w:val="18"/>
        </w:rPr>
      </w:pPr>
    </w:p>
    <w:p w14:paraId="0C530A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 GNAQ                                                                         </w:t>
      </w:r>
    </w:p>
    <w:p w14:paraId="7612C8F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EE8D5F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07E85DD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99285B8">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24938562]。在一项临床研究中，曲美替尼与Omipalisib的组合在大多数GNAQ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22733540]。目前小分子抑制剂IDE196</w:t>
      </w:r>
      <w:r>
        <w:rPr>
          <w:rFonts w:hint="eastAsia" w:ascii="Times New Roman" w:hAnsi="Times New Roman" w:cs="Times New Roman"/>
          <w:sz w:val="18"/>
          <w:szCs w:val="18"/>
        </w:rPr>
        <w:t>、曲美替尼</w:t>
      </w:r>
      <w:r>
        <w:rPr>
          <w:rFonts w:ascii="Times New Roman" w:hAnsi="Times New Roman" w:cs="Times New Roman"/>
          <w:sz w:val="18"/>
          <w:szCs w:val="18"/>
        </w:rPr>
        <w:t>在携带GNAQ和GNA11基因突变的实体瘤患者</w:t>
      </w:r>
      <w:r>
        <w:rPr>
          <w:rFonts w:hint="eastAsia" w:ascii="Times New Roman" w:hAnsi="Times New Roman" w:cs="Times New Roman"/>
          <w:sz w:val="18"/>
          <w:szCs w:val="18"/>
        </w:rPr>
        <w:t>的临床试验正在开展</w:t>
      </w:r>
      <w:r>
        <w:rPr>
          <w:rFonts w:ascii="Times New Roman" w:hAnsi="Times New Roman" w:cs="Times New Roman"/>
          <w:sz w:val="18"/>
          <w:szCs w:val="18"/>
        </w:rPr>
        <w:t>。</w:t>
      </w:r>
    </w:p>
    <w:p w14:paraId="26ECE7A5">
      <w:pPr>
        <w:spacing w:line="300" w:lineRule="auto"/>
        <w:ind w:left="420"/>
        <w:rPr>
          <w:rFonts w:ascii="Times New Roman" w:hAnsi="Times New Roman" w:cs="Times New Roman"/>
          <w:sz w:val="18"/>
          <w:szCs w:val="18"/>
        </w:rPr>
      </w:pPr>
    </w:p>
    <w:p w14:paraId="3AF4E7A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HRAS                                                                         </w:t>
      </w:r>
    </w:p>
    <w:p w14:paraId="052762B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9C9409E">
      <w:pPr>
        <w:spacing w:line="300" w:lineRule="auto"/>
        <w:ind w:left="420"/>
        <w:rPr>
          <w:rFonts w:ascii="Times New Roman" w:hAnsi="Times New Roman" w:cs="Times New Roman"/>
          <w:sz w:val="18"/>
          <w:szCs w:val="18"/>
        </w:rPr>
      </w:pPr>
      <w:r>
        <w:rPr>
          <w:rFonts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124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C97500">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在一项临床前研究中，司美替尼和依维莫司联合降低了ERK和S6的磷酸化，并协同抑制携带HRAS G12V的膀胱癌细胞系的生长[PMID: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w:t>
      </w:r>
      <w:r>
        <w:rPr>
          <w:rFonts w:hint="eastAsia" w:ascii="Times New Roman" w:hAnsi="Times New Roman" w:cs="Times New Roman"/>
          <w:sz w:val="18"/>
          <w:szCs w:val="18"/>
        </w:rPr>
        <w:t xml:space="preserve"> </w:t>
      </w:r>
      <w:r>
        <w:rPr>
          <w:rFonts w:ascii="Times New Roman" w:hAnsi="Times New Roman" w:cs="Times New Roman"/>
          <w:sz w:val="18"/>
          <w:szCs w:val="18"/>
        </w:rPr>
        <w:t>26544513]。在临床前研究中，携带HRAS Q61R的转化细胞对依维莫司的处理敏感[PMID: 26544513]。</w:t>
      </w:r>
      <w:r>
        <w:rPr>
          <w:rFonts w:hint="eastAsia" w:ascii="Times New Roman" w:hAnsi="Times New Roman" w:cs="Times New Roman"/>
          <w:sz w:val="18"/>
          <w:szCs w:val="18"/>
        </w:rPr>
        <w:t>在头颈部鳞状细胞癌和转移性尿路上皮癌中，</w:t>
      </w:r>
      <w:r>
        <w:rPr>
          <w:rFonts w:ascii="Times New Roman" w:hAnsi="Times New Roman" w:cs="Times New Roman"/>
          <w:sz w:val="18"/>
          <w:szCs w:val="18"/>
        </w:rPr>
        <w:t>HRAS突变对Tipifarnib敏感[Cancer Discov. 9, 1637–1638 (2019); PMID: 32636318]。</w:t>
      </w:r>
      <w:r>
        <w:rPr>
          <w:rFonts w:hint="eastAsia" w:ascii="Times New Roman" w:hAnsi="Times New Roman" w:cs="Times New Roman"/>
          <w:sz w:val="18"/>
          <w:szCs w:val="18"/>
        </w:rPr>
        <w:t>目前索拉非尼、</w:t>
      </w:r>
      <w:r>
        <w:rPr>
          <w:rFonts w:ascii="Times New Roman" w:hAnsi="Times New Roman" w:cs="Times New Roman"/>
          <w:sz w:val="18"/>
          <w:szCs w:val="18"/>
        </w:rPr>
        <w:t>BPI27336</w:t>
      </w:r>
      <w:r>
        <w:rPr>
          <w:rFonts w:hint="eastAsia" w:ascii="Times New Roman" w:hAnsi="Times New Roman" w:cs="Times New Roman"/>
          <w:sz w:val="18"/>
          <w:szCs w:val="18"/>
        </w:rPr>
        <w:t>用于H</w:t>
      </w:r>
      <w:r>
        <w:rPr>
          <w:rFonts w:ascii="Times New Roman" w:hAnsi="Times New Roman" w:cs="Times New Roman"/>
          <w:sz w:val="18"/>
          <w:szCs w:val="18"/>
        </w:rPr>
        <w:t>RAS</w:t>
      </w:r>
      <w:r>
        <w:rPr>
          <w:rFonts w:hint="eastAsia" w:ascii="Times New Roman" w:hAnsi="Times New Roman" w:cs="Times New Roman"/>
          <w:sz w:val="18"/>
          <w:szCs w:val="18"/>
        </w:rPr>
        <w:t>突变实体瘤患者的临床试验正在展开。</w:t>
      </w:r>
    </w:p>
    <w:p w14:paraId="42FF5395">
      <w:pPr>
        <w:spacing w:line="300" w:lineRule="auto"/>
        <w:ind w:left="420"/>
        <w:rPr>
          <w:rFonts w:ascii="Times New Roman" w:hAnsi="Times New Roman" w:cs="Times New Roman"/>
          <w:sz w:val="18"/>
          <w:szCs w:val="18"/>
        </w:rPr>
      </w:pPr>
    </w:p>
    <w:p w14:paraId="40A4357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IDH1                                                                          </w:t>
      </w:r>
    </w:p>
    <w:p w14:paraId="338D967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0FA817E">
      <w:pPr>
        <w:spacing w:line="300" w:lineRule="auto"/>
        <w:ind w:left="420"/>
        <w:rPr>
          <w:rFonts w:ascii="Times New Roman" w:hAnsi="Times New Roman" w:cs="Times New Roman"/>
          <w:sz w:val="18"/>
          <w:szCs w:val="18"/>
        </w:rPr>
      </w:pPr>
      <w:r>
        <w:rPr>
          <w:rFonts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16BF464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11727C">
      <w:pPr>
        <w:spacing w:line="300" w:lineRule="auto"/>
        <w:ind w:left="420"/>
        <w:rPr>
          <w:rFonts w:ascii="Times New Roman" w:hAnsi="Times New Roman" w:cs="Times New Roman"/>
          <w:sz w:val="18"/>
          <w:szCs w:val="18"/>
        </w:rPr>
      </w:pPr>
      <w:r>
        <w:rPr>
          <w:rFonts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w:t>
      </w:r>
      <w:r>
        <w:rPr>
          <w:rFonts w:hint="eastAsia" w:ascii="Times New Roman" w:hAnsi="Times New Roman" w:cs="Times New Roman"/>
          <w:sz w:val="18"/>
          <w:szCs w:val="18"/>
        </w:rPr>
        <w:t xml:space="preserve">: </w:t>
      </w:r>
      <w:r>
        <w:rPr>
          <w:rFonts w:ascii="Times New Roman" w:hAnsi="Times New Roman" w:cs="Times New Roman"/>
          <w:sz w:val="18"/>
          <w:szCs w:val="18"/>
        </w:rPr>
        <w:t>25910950]。Ivosidenib（AG-120）治疗携带IDH1突变的非增强型胶质瘤患者的I期研究发现，35例入组患者中，在剂量爬坡组（n=11）和剂量扩增组（n=24），分别有73%和88%的患者获得疾病稳定作为最佳反应[Neuro Oncol. 2017 Nov]。</w:t>
      </w:r>
      <w:r>
        <w:rPr>
          <w:rFonts w:hint="eastAsia" w:ascii="Times New Roman" w:hAnsi="Times New Roman" w:cs="Times New Roman"/>
          <w:sz w:val="18"/>
          <w:szCs w:val="18"/>
        </w:rPr>
        <w:t>目前，阿贝西利、奥拉帕利用于胶质瘤或实体瘤患者的临床试验正在开展。</w:t>
      </w:r>
    </w:p>
    <w:p w14:paraId="2B8F265F">
      <w:pPr>
        <w:spacing w:line="300" w:lineRule="auto"/>
        <w:ind w:left="420"/>
        <w:rPr>
          <w:rFonts w:ascii="Times New Roman" w:hAnsi="Times New Roman" w:cs="Times New Roman"/>
          <w:sz w:val="18"/>
          <w:szCs w:val="18"/>
        </w:rPr>
      </w:pPr>
    </w:p>
    <w:p w14:paraId="746CC1A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IDH2                                                                         </w:t>
      </w:r>
    </w:p>
    <w:p w14:paraId="1817100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A80F829">
      <w:pPr>
        <w:spacing w:line="300" w:lineRule="auto"/>
        <w:ind w:left="420"/>
        <w:rPr>
          <w:rFonts w:ascii="Times New Roman" w:hAnsi="Times New Roman" w:cs="Times New Roman"/>
          <w:sz w:val="18"/>
          <w:szCs w:val="18"/>
        </w:rPr>
      </w:pPr>
      <w:r>
        <w:rPr>
          <w:rFonts w:ascii="Times New Roman" w:hAnsi="Times New Roman" w:cs="Times New Roman"/>
          <w:sz w:val="18"/>
          <w:szCs w:val="18"/>
        </w:rPr>
        <w:t>IDH2基因编码的蛋白是线粒体中存在的NADP(+)依赖的异柠檬酸脱氢酶</w:t>
      </w:r>
      <w:r>
        <w:rPr>
          <w:rFonts w:hint="eastAsia" w:ascii="Times New Roman" w:hAnsi="Times New Roman" w:cs="Times New Roman"/>
          <w:sz w:val="18"/>
          <w:szCs w:val="18"/>
        </w:rPr>
        <w:t>。</w:t>
      </w:r>
      <w:r>
        <w:rPr>
          <w:rFonts w:ascii="Times New Roman" w:hAnsi="Times New Roman" w:cs="Times New Roman"/>
          <w:sz w:val="18"/>
          <w:szCs w:val="18"/>
        </w:rPr>
        <w:t xml:space="preserve">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313FEA6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7286166">
      <w:pPr>
        <w:spacing w:line="300" w:lineRule="auto"/>
        <w:ind w:left="420"/>
        <w:rPr>
          <w:rFonts w:ascii="Times New Roman" w:hAnsi="Times New Roman" w:cs="Times New Roman"/>
          <w:sz w:val="18"/>
          <w:szCs w:val="18"/>
        </w:rPr>
      </w:pPr>
      <w:r>
        <w:rPr>
          <w:rFonts w:ascii="Times New Roman" w:hAnsi="Times New Roman" w:cs="Times New Roman"/>
          <w:sz w:val="18"/>
          <w:szCs w:val="18"/>
        </w:rPr>
        <w:t>在1/2期试验中，复发或IDH2突变的AML患者接受</w:t>
      </w:r>
      <w:r>
        <w:rPr>
          <w:rFonts w:hint="eastAsia" w:ascii="Times New Roman" w:hAnsi="Times New Roman" w:cs="Times New Roman"/>
          <w:sz w:val="18"/>
          <w:szCs w:val="18"/>
        </w:rPr>
        <w:t>恩西地平</w:t>
      </w:r>
      <w:r>
        <w:rPr>
          <w:rFonts w:ascii="Times New Roman" w:hAnsi="Times New Roman" w:cs="Times New Roman"/>
          <w:sz w:val="18"/>
          <w:szCs w:val="18"/>
        </w:rPr>
        <w:t>治疗。总有效率为40.3%，中位反应持续时间为5.8个月，复发/难治性患者中位总生存期为9.3个月，完全缓解34例</w:t>
      </w:r>
      <w:r>
        <w:rPr>
          <w:rFonts w:hint="eastAsia" w:ascii="Times New Roman" w:hAnsi="Times New Roman" w:cs="Times New Roman"/>
          <w:sz w:val="18"/>
          <w:szCs w:val="18"/>
        </w:rPr>
        <w:t>（</w:t>
      </w:r>
      <w:r>
        <w:rPr>
          <w:rFonts w:ascii="Times New Roman" w:hAnsi="Times New Roman" w:cs="Times New Roman"/>
          <w:sz w:val="18"/>
          <w:szCs w:val="18"/>
        </w:rPr>
        <w:t>19.3%</w:t>
      </w:r>
      <w:r>
        <w:rPr>
          <w:rFonts w:hint="eastAsia" w:ascii="Times New Roman" w:hAnsi="Times New Roman" w:cs="Times New Roman"/>
          <w:sz w:val="18"/>
          <w:szCs w:val="18"/>
        </w:rPr>
        <w:t>）</w:t>
      </w:r>
      <w:r>
        <w:rPr>
          <w:rFonts w:ascii="Times New Roman" w:hAnsi="Times New Roman" w:cs="Times New Roman"/>
          <w:sz w:val="18"/>
          <w:szCs w:val="18"/>
        </w:rPr>
        <w:t>患者的中位总生存期为19.7个月[PMID:</w:t>
      </w:r>
      <w:r>
        <w:rPr>
          <w:rFonts w:hint="eastAsia" w:ascii="Times New Roman" w:hAnsi="Times New Roman" w:cs="Times New Roman"/>
          <w:sz w:val="18"/>
          <w:szCs w:val="18"/>
        </w:rPr>
        <w:t xml:space="preserve"> </w:t>
      </w:r>
      <w:r>
        <w:rPr>
          <w:rFonts w:ascii="Times New Roman" w:hAnsi="Times New Roman" w:cs="Times New Roman"/>
          <w:sz w:val="18"/>
          <w:szCs w:val="18"/>
        </w:rPr>
        <w:t>28588020]。此外IDH2(R140)与AML整体生存的改善相关[PMID:</w:t>
      </w:r>
      <w:r>
        <w:rPr>
          <w:rFonts w:hint="eastAsia" w:ascii="Times New Roman" w:hAnsi="Times New Roman" w:cs="Times New Roman"/>
          <w:sz w:val="18"/>
          <w:szCs w:val="18"/>
        </w:rPr>
        <w:t xml:space="preserve"> </w:t>
      </w:r>
      <w:r>
        <w:rPr>
          <w:rFonts w:ascii="Times New Roman" w:hAnsi="Times New Roman" w:cs="Times New Roman"/>
          <w:sz w:val="18"/>
          <w:szCs w:val="18"/>
        </w:rPr>
        <w:t>20421455]，IDH2突变与神经胶质瘤的预后改善有关[PMID:</w:t>
      </w:r>
      <w:r>
        <w:rPr>
          <w:rFonts w:hint="eastAsia" w:ascii="Times New Roman" w:hAnsi="Times New Roman" w:cs="Times New Roman"/>
          <w:sz w:val="18"/>
          <w:szCs w:val="18"/>
        </w:rPr>
        <w:t xml:space="preserve"> </w:t>
      </w:r>
      <w:r>
        <w:rPr>
          <w:rFonts w:ascii="Times New Roman" w:hAnsi="Times New Roman" w:cs="Times New Roman"/>
          <w:sz w:val="18"/>
          <w:szCs w:val="18"/>
        </w:rPr>
        <w:t>26061751]。OxPhos相关基因的研究表明，IDH1和IDH2表达之间的不平衡（被定义为一种亚型相对于另一种亚型的过表达）与CRC患者的预后较差有关[PMID: 25586680]。</w:t>
      </w:r>
    </w:p>
    <w:p w14:paraId="3BF13D8E">
      <w:pPr>
        <w:spacing w:line="300" w:lineRule="auto"/>
        <w:ind w:left="420"/>
        <w:rPr>
          <w:rFonts w:ascii="Times New Roman" w:hAnsi="Times New Roman" w:cs="Times New Roman"/>
          <w:sz w:val="18"/>
          <w:szCs w:val="18"/>
        </w:rPr>
      </w:pPr>
    </w:p>
    <w:p w14:paraId="74DAF51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JAK1                                                                          </w:t>
      </w:r>
    </w:p>
    <w:p w14:paraId="2D18628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634D2C5">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3898B58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56BC4B9">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一项临床前研究表明，在22个肺癌细胞系中，JAK1的过表达与PKC抑制剂</w:t>
      </w:r>
      <w:r>
        <w:rPr>
          <w:rFonts w:hint="eastAsia" w:ascii="Times New Roman" w:hAnsi="Times New Roman" w:cs="Times New Roman"/>
          <w:sz w:val="18"/>
          <w:szCs w:val="18"/>
        </w:rPr>
        <w:t>恩扎妥林</w:t>
      </w:r>
      <w:r>
        <w:rPr>
          <w:rFonts w:ascii="Times New Roman" w:hAnsi="Times New Roman" w:cs="Times New Roman"/>
          <w:sz w:val="18"/>
          <w:szCs w:val="18"/>
        </w:rPr>
        <w:t>的敏感性有关[PMID:</w:t>
      </w:r>
      <w:r>
        <w:rPr>
          <w:rFonts w:hint="eastAsia" w:ascii="Times New Roman" w:hAnsi="Times New Roman" w:cs="Times New Roman"/>
          <w:sz w:val="18"/>
          <w:szCs w:val="18"/>
        </w:rPr>
        <w:t xml:space="preserve"> </w:t>
      </w:r>
      <w:r>
        <w:rPr>
          <w:rFonts w:ascii="Times New Roman" w:hAnsi="Times New Roman" w:cs="Times New Roman"/>
          <w:sz w:val="18"/>
          <w:szCs w:val="18"/>
        </w:rPr>
        <w:t>22333600]。</w:t>
      </w:r>
      <w:r>
        <w:rPr>
          <w:rFonts w:hint="eastAsia" w:ascii="Times New Roman" w:hAnsi="Times New Roman" w:cs="Times New Roman"/>
          <w:sz w:val="18"/>
          <w:szCs w:val="18"/>
        </w:rPr>
        <w:t>目前</w:t>
      </w:r>
      <w:r>
        <w:rPr>
          <w:rFonts w:ascii="Times New Roman" w:hAnsi="Times New Roman" w:cs="Times New Roman"/>
          <w:sz w:val="18"/>
          <w:szCs w:val="18"/>
        </w:rPr>
        <w:t>Itacitinib</w:t>
      </w:r>
      <w:r>
        <w:rPr>
          <w:rFonts w:hint="eastAsia" w:ascii="Times New Roman" w:hAnsi="Times New Roman" w:cs="Times New Roman"/>
          <w:sz w:val="18"/>
          <w:szCs w:val="18"/>
        </w:rPr>
        <w:t>用于实体瘤患者的临床试验正在开展。</w:t>
      </w:r>
    </w:p>
    <w:p w14:paraId="0450E661">
      <w:pPr>
        <w:spacing w:line="300" w:lineRule="auto"/>
        <w:ind w:left="420"/>
        <w:rPr>
          <w:rFonts w:ascii="Times New Roman" w:hAnsi="Times New Roman" w:cs="Times New Roman"/>
          <w:b/>
          <w:szCs w:val="18"/>
        </w:rPr>
      </w:pPr>
    </w:p>
    <w:p w14:paraId="6D23CA2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JAK2                                                                          </w:t>
      </w:r>
    </w:p>
    <w:p w14:paraId="5293A51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AE88F12">
      <w:pPr>
        <w:spacing w:line="300" w:lineRule="auto"/>
        <w:ind w:left="420"/>
        <w:rPr>
          <w:rFonts w:ascii="Times New Roman" w:hAnsi="Times New Roman" w:cs="Times New Roman"/>
          <w:sz w:val="18"/>
          <w:szCs w:val="18"/>
        </w:rPr>
      </w:pPr>
      <w:r>
        <w:rPr>
          <w:rFonts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430E9F3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D247B5">
      <w:pPr>
        <w:spacing w:line="300" w:lineRule="auto"/>
        <w:ind w:left="420"/>
        <w:rPr>
          <w:rFonts w:ascii="Times New Roman" w:hAnsi="Times New Roman" w:cs="Times New Roman"/>
          <w:sz w:val="18"/>
          <w:szCs w:val="18"/>
        </w:rPr>
      </w:pPr>
      <w:r>
        <w:rPr>
          <w:rFonts w:ascii="Times New Roman" w:hAnsi="Times New Roman" w:cs="Times New Roman"/>
          <w:sz w:val="18"/>
          <w:szCs w:val="18"/>
        </w:rPr>
        <w:t>在一期试验中，使用Gandotinib (LY2784544)治疗JAK2 V617F的骨髓增生性肿瘤显示了安全性，29%(9/31)的骨髓纤维化患者得到了临床改善[PMID:</w:t>
      </w:r>
      <w:r>
        <w:rPr>
          <w:rFonts w:hint="eastAsia" w:ascii="Times New Roman" w:hAnsi="Times New Roman" w:cs="Times New Roman"/>
          <w:sz w:val="18"/>
          <w:szCs w:val="18"/>
        </w:rPr>
        <w:t xml:space="preserve"> </w:t>
      </w:r>
      <w:r>
        <w:rPr>
          <w:rFonts w:ascii="Times New Roman" w:hAnsi="Times New Roman" w:cs="Times New Roman"/>
          <w:sz w:val="18"/>
          <w:szCs w:val="18"/>
        </w:rPr>
        <w:t>28934680]。在一项临床前研究中，带有G831R突变的ETV6-JAK2表达的免疫细胞在培养中表现出对吡啶酮6(CMP6)的耐药性[PMID: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22916261]。</w:t>
      </w:r>
      <w:r>
        <w:rPr>
          <w:rFonts w:hint="eastAsia" w:ascii="Times New Roman" w:hAnsi="Times New Roman" w:cs="Times New Roman"/>
          <w:sz w:val="18"/>
          <w:szCs w:val="18"/>
        </w:rPr>
        <w:t>临床前研究表明，芦可替尼单药或联合顺铂可以抑制</w:t>
      </w:r>
      <w:r>
        <w:rPr>
          <w:rFonts w:ascii="Times New Roman" w:hAnsi="Times New Roman" w:cs="Times New Roman"/>
          <w:sz w:val="18"/>
          <w:szCs w:val="18"/>
        </w:rPr>
        <w:t>JAK2过表达及信号通路激活的非小细胞肺癌（NSCLC）细胞系生长，表现治疗作用[PMID: 22319590]，而联合用药对顺铂耐药的NSCLC细胞系产生有效的治疗作用[PMID: 25213670]。</w:t>
      </w:r>
    </w:p>
    <w:p w14:paraId="5B63E79B">
      <w:pPr>
        <w:spacing w:line="300" w:lineRule="auto"/>
        <w:ind w:left="420"/>
        <w:rPr>
          <w:rFonts w:ascii="Times New Roman" w:hAnsi="Times New Roman" w:cs="Times New Roman"/>
          <w:sz w:val="18"/>
          <w:szCs w:val="18"/>
        </w:rPr>
      </w:pPr>
    </w:p>
    <w:p w14:paraId="08AEA0E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JAK3                                                                        </w:t>
      </w:r>
    </w:p>
    <w:p w14:paraId="590729B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D831AFA">
      <w:pPr>
        <w:spacing w:line="300" w:lineRule="auto"/>
        <w:ind w:left="420"/>
        <w:rPr>
          <w:rFonts w:ascii="Times New Roman" w:hAnsi="Times New Roman" w:cs="Times New Roman"/>
          <w:sz w:val="18"/>
          <w:szCs w:val="18"/>
        </w:rPr>
      </w:pPr>
      <w:r>
        <w:rPr>
          <w:rFonts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2ADB9E4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C742002">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在一项临床前研究中，一种pan-JAK抑制剂Tofacitinib降低了JAK3 A572V突变型自然杀伤/t细胞淋巴瘤细胞系的细胞活力并增加了细胞凋亡[PMID: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22705984]。Tofacitinib治疗还可以将细胞培养中表达JAK3 V221I的细胞从因子独立生长转化为因子依赖生长[PMID: 25146434]。JAK3选择性抑制剂Tofacitinib对白血病小鼠的体内治疗降低了白细胞计数，导致白血病细胞凋亡[PMID: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25193870]。</w:t>
      </w:r>
      <w:r>
        <w:rPr>
          <w:rFonts w:hint="eastAsia" w:ascii="Times New Roman" w:hAnsi="Times New Roman" w:cs="Times New Roman"/>
          <w:sz w:val="18"/>
          <w:szCs w:val="18"/>
        </w:rPr>
        <w:t>鼻型结外</w:t>
      </w:r>
      <w:r>
        <w:rPr>
          <w:rFonts w:ascii="Times New Roman" w:hAnsi="Times New Roman" w:cs="Times New Roman"/>
          <w:sz w:val="18"/>
          <w:szCs w:val="18"/>
        </w:rPr>
        <w:t>NK/t细胞淋巴瘤（ENTKL）中，ATM和JAK3突变等位基因频率与疾病分期显著相关，KMT2D、ASXL3和JAK3突变与患者的肿瘤代谢负荷呈正相关[PMID: 32695399]。</w:t>
      </w:r>
    </w:p>
    <w:p w14:paraId="05F59B9F">
      <w:pPr>
        <w:spacing w:line="300" w:lineRule="auto"/>
        <w:ind w:left="420"/>
        <w:rPr>
          <w:rFonts w:ascii="Times New Roman" w:hAnsi="Times New Roman" w:cs="Times New Roman"/>
          <w:sz w:val="18"/>
          <w:szCs w:val="18"/>
        </w:rPr>
      </w:pPr>
    </w:p>
    <w:p w14:paraId="08C8B99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KIT                                                                          </w:t>
      </w:r>
    </w:p>
    <w:p w14:paraId="137CF6E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D26002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02F7DCCF">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伊马替尼*、舒尼替尼*、瑞戈非尼*、普纳替尼、培唑帕尼*（都是胃肠道间质瘤获益药物）</w:t>
      </w:r>
    </w:p>
    <w:p w14:paraId="42495220">
      <w:pPr>
        <w:spacing w:line="360" w:lineRule="auto"/>
        <w:ind w:left="420"/>
        <w:rPr>
          <w:rFonts w:ascii="Times New Roman" w:hAnsi="Times New Roman" w:cs="Times New Roman"/>
          <w:sz w:val="18"/>
          <w:szCs w:val="18"/>
        </w:rPr>
      </w:pPr>
      <w:r>
        <w:rPr>
          <w:rFonts w:ascii="Times New Roman" w:hAnsi="Times New Roman" w:cs="Times New Roman"/>
          <w:sz w:val="18"/>
          <w:szCs w:val="18"/>
        </w:rPr>
        <w:t>FDA/NMPA批准伊马替尼用于不可切除或转移的KIT（CD117）阳性GIST患者，还可用于KIT（CD117）阳性的成年GIST患者手术切除后的辅助治疗。</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指南推荐伊马替尼用于</w:t>
      </w:r>
      <w:r>
        <w:rPr>
          <w:rFonts w:ascii="Times New Roman" w:hAnsi="Times New Roman" w:cs="Times New Roman"/>
          <w:sz w:val="18"/>
          <w:szCs w:val="18"/>
        </w:rPr>
        <w:t>KIT 11号外显子突变（除PDGFRA D842V以外），以及双倍剂量用于KIT 9号外显子突变的胃肠间质瘤患者的治疗。</w:t>
      </w:r>
      <w:r>
        <w:rPr>
          <w:rFonts w:hint="eastAsia" w:ascii="Times New Roman" w:hAnsi="Times New Roman" w:cs="Times New Roman"/>
          <w:sz w:val="18"/>
          <w:szCs w:val="18"/>
        </w:rPr>
        <w:t>胃肠道间质瘤中，</w:t>
      </w:r>
      <w:r>
        <w:rPr>
          <w:rFonts w:ascii="Times New Roman" w:hAnsi="Times New Roman" w:cs="Times New Roman"/>
          <w:sz w:val="18"/>
          <w:szCs w:val="18"/>
        </w:rPr>
        <w:t>KIT 11号外显子突变对伊马替尼[PMID: 26687836]、培唑帕尼[PMID: 27068858]、普纳替尼[J Clin Oncol. 2015; 33(suppl 15): abstr 10535]、</w:t>
      </w:r>
      <w:r>
        <w:rPr>
          <w:rFonts w:hint="eastAsia" w:ascii="Times New Roman" w:hAnsi="Times New Roman" w:cs="Times New Roman"/>
          <w:sz w:val="18"/>
          <w:szCs w:val="18"/>
        </w:rPr>
        <w:t>舒尼替尼[</w:t>
      </w:r>
      <w:r>
        <w:rPr>
          <w:rFonts w:ascii="Times New Roman" w:hAnsi="Times New Roman" w:cs="Times New Roman"/>
          <w:sz w:val="18"/>
          <w:szCs w:val="18"/>
        </w:rPr>
        <w:t>PMID: 30346846]瑞戈非尼[PMID: 27371698; PMID: 22614970]、尼洛替尼[PMID: 25882987]和达沙替尼[PMID: 29315500]敏感，与11号外显子突变相比，9号外显子突变对伊马替尼的敏感性中等[PMID: 14645423]；在皮肤黑色素瘤中，KIT激</w:t>
      </w:r>
      <w:r>
        <w:rPr>
          <w:rFonts w:hint="eastAsia" w:ascii="Times New Roman" w:hAnsi="Times New Roman" w:cs="Times New Roman"/>
          <w:sz w:val="18"/>
          <w:szCs w:val="18"/>
        </w:rPr>
        <w:t>活突变对伊马替尼敏感</w:t>
      </w:r>
      <w:r>
        <w:rPr>
          <w:rFonts w:ascii="Times New Roman" w:hAnsi="Times New Roman" w:cs="Times New Roman"/>
          <w:sz w:val="18"/>
          <w:szCs w:val="18"/>
        </w:rPr>
        <w:t>[PMID: 23775962; PMID: 21642685]。</w:t>
      </w:r>
    </w:p>
    <w:p w14:paraId="0B85E7B8">
      <w:pPr>
        <w:spacing w:line="360" w:lineRule="auto"/>
        <w:ind w:left="420"/>
        <w:rPr>
          <w:rFonts w:ascii="Times New Roman" w:hAnsi="Times New Roman" w:cs="Times New Roman"/>
          <w:sz w:val="18"/>
          <w:szCs w:val="18"/>
        </w:rPr>
      </w:pPr>
    </w:p>
    <w:p w14:paraId="51D92E7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MAP2K1                                                                          </w:t>
      </w:r>
    </w:p>
    <w:p w14:paraId="0A8D491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631B3F5">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115491A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20FFDB9">
      <w:pPr>
        <w:spacing w:line="300" w:lineRule="auto"/>
        <w:ind w:left="420"/>
        <w:rPr>
          <w:rFonts w:ascii="Times New Roman" w:hAnsi="Times New Roman" w:cs="Times New Roman"/>
          <w:sz w:val="18"/>
          <w:szCs w:val="18"/>
        </w:rPr>
      </w:pPr>
      <w:r>
        <w:rPr>
          <w:rFonts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w:t>
      </w:r>
      <w:r>
        <w:rPr>
          <w:rFonts w:hint="eastAsia" w:ascii="Times New Roman" w:hAnsi="Times New Roman" w:cs="Times New Roman"/>
          <w:sz w:val="18"/>
          <w:szCs w:val="18"/>
        </w:rPr>
        <w:t xml:space="preserve"> </w:t>
      </w:r>
      <w:r>
        <w:rPr>
          <w:rFonts w:ascii="Times New Roman" w:hAnsi="Times New Roman" w:cs="Times New Roman"/>
          <w:sz w:val="18"/>
          <w:szCs w:val="18"/>
        </w:rPr>
        <w:t>K57T或MAP2K1</w:t>
      </w:r>
      <w:r>
        <w:rPr>
          <w:rFonts w:hint="eastAsia" w:ascii="Times New Roman" w:hAnsi="Times New Roman" w:cs="Times New Roman"/>
          <w:sz w:val="18"/>
          <w:szCs w:val="18"/>
        </w:rPr>
        <w:t xml:space="preserve"> </w:t>
      </w:r>
      <w:r>
        <w:rPr>
          <w:rFonts w:ascii="Times New Roman" w:hAnsi="Times New Roman" w:cs="Times New Roman"/>
          <w:sz w:val="18"/>
          <w:szCs w:val="18"/>
        </w:rPr>
        <w:t>K57N突变的RAS-WT结直肠癌（CRC）细胞系LIM1215，足以产生对西妥昔单抗或帕尼单抗的耐药性[PMID: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26644315; PMID: 26030179]，而帕尼单抗联合曲美替尼可以抑制具有MEK1突变的西妥昔单抗抗性克隆的结直肠癌细胞系的生长[PMID: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26644315]。临床前研究表明，具有MAP2K1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F53L突变的结肠癌细胞系对曲美替尼敏感，导致细胞活性降低[PMID:</w:t>
      </w:r>
      <w:r>
        <w:rPr>
          <w:rFonts w:hint="eastAsia" w:ascii="Times New Roman" w:hAnsi="Times New Roman" w:cs="Times New Roman"/>
          <w:sz w:val="18"/>
          <w:szCs w:val="18"/>
        </w:rPr>
        <w:t xml:space="preserve"> </w:t>
      </w:r>
      <w:r>
        <w:rPr>
          <w:rFonts w:ascii="Times New Roman" w:hAnsi="Times New Roman" w:cs="Times New Roman"/>
          <w:sz w:val="18"/>
          <w:szCs w:val="18"/>
        </w:rPr>
        <w:t>26582713]，西妥昔单抗联合曲美替尼也可以降低具有MAP2K1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F53L突变的结肠癌细胞系的细胞活力</w:t>
      </w:r>
      <w:bookmarkStart w:id="14" w:name="OLE_LINK1"/>
      <w:r>
        <w:rPr>
          <w:rFonts w:ascii="Times New Roman" w:hAnsi="Times New Roman" w:cs="Times New Roman"/>
          <w:sz w:val="18"/>
          <w:szCs w:val="18"/>
        </w:rPr>
        <w:t>[</w:t>
      </w:r>
      <w:bookmarkEnd w:id="14"/>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28179366]。MAP2K抑制剂对很多癌种的疗效还未明确，临床前和临床上均在努力确认MAP2K1抑制剂对于其他适应症的疗效[PMID</w:t>
      </w:r>
      <w:r>
        <w:rPr>
          <w:rFonts w:hint="eastAsia" w:ascii="Times New Roman" w:hAnsi="Times New Roman" w:cs="Times New Roman"/>
          <w:sz w:val="18"/>
          <w:szCs w:val="18"/>
        </w:rPr>
        <w:t xml:space="preserve">: </w:t>
      </w:r>
      <w:r>
        <w:rPr>
          <w:rFonts w:ascii="Times New Roman" w:hAnsi="Times New Roman" w:cs="Times New Roman"/>
          <w:sz w:val="18"/>
          <w:szCs w:val="18"/>
        </w:rPr>
        <w:t>25435214]。</w:t>
      </w:r>
    </w:p>
    <w:p w14:paraId="23D398EA">
      <w:pPr>
        <w:spacing w:line="300" w:lineRule="auto"/>
        <w:ind w:left="420"/>
        <w:rPr>
          <w:rFonts w:ascii="Times New Roman" w:hAnsi="Times New Roman" w:cs="Times New Roman"/>
          <w:sz w:val="18"/>
          <w:szCs w:val="18"/>
        </w:rPr>
      </w:pPr>
    </w:p>
    <w:p w14:paraId="4A77E8C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MAP2K2                                                                        </w:t>
      </w:r>
    </w:p>
    <w:p w14:paraId="35DAF5B5">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7E4D6F4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7ED472F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DC8A8FB">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一项临床前研究表明，具有BRAF V600E突变和MAP2K2 C125S突变的黑色素瘤细胞对达拉非尼和曲美替尼耐药[PMID:</w:t>
      </w:r>
      <w:r>
        <w:rPr>
          <w:rFonts w:hint="eastAsia" w:ascii="Times New Roman" w:hAnsi="Times New Roman" w:cs="Times New Roman"/>
          <w:sz w:val="18"/>
          <w:szCs w:val="18"/>
        </w:rPr>
        <w:t xml:space="preserve"> </w:t>
      </w:r>
      <w:r>
        <w:rPr>
          <w:rFonts w:ascii="Times New Roman" w:hAnsi="Times New Roman" w:cs="Times New Roman"/>
          <w:sz w:val="18"/>
          <w:szCs w:val="18"/>
        </w:rPr>
        <w:t>24265153]。一项临床前研究表明，具有BRAF V600E突变和MAP2K2 C125S突变的黑色素瘤细胞对VRT11E敏感，可减缓细胞生长[PMID:</w:t>
      </w:r>
      <w:r>
        <w:rPr>
          <w:rFonts w:hint="eastAsia" w:ascii="Times New Roman" w:hAnsi="Times New Roman" w:cs="Times New Roman"/>
          <w:sz w:val="18"/>
          <w:szCs w:val="18"/>
        </w:rPr>
        <w:t xml:space="preserve"> </w:t>
      </w:r>
      <w:r>
        <w:rPr>
          <w:rFonts w:ascii="Times New Roman" w:hAnsi="Times New Roman" w:cs="Times New Roman"/>
          <w:sz w:val="18"/>
          <w:szCs w:val="18"/>
        </w:rPr>
        <w:t>24265153]。</w:t>
      </w:r>
    </w:p>
    <w:p w14:paraId="120EAF1A">
      <w:pPr>
        <w:spacing w:line="360" w:lineRule="auto"/>
        <w:rPr>
          <w:rFonts w:ascii="Times New Roman" w:hAnsi="Times New Roman" w:cs="Times New Roman"/>
          <w:sz w:val="18"/>
          <w:szCs w:val="18"/>
        </w:rPr>
      </w:pPr>
    </w:p>
    <w:p w14:paraId="6694A7D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MET</w:t>
      </w:r>
      <w:r>
        <w:rPr>
          <w:rFonts w:ascii="Times New Roman" w:hAnsi="Times New Roman" w:cs="Times New Roman"/>
          <w:b/>
          <w:color w:val="0000FF"/>
        </w:rPr>
        <w:t xml:space="preserve">     </w:t>
      </w:r>
      <w:r>
        <w:rPr>
          <w:rFonts w:ascii="Times New Roman" w:hAnsi="Times New Roman" w:cs="Times New Roman"/>
          <w:b/>
        </w:rPr>
        <w:t xml:space="preserve">                                                                     </w:t>
      </w:r>
    </w:p>
    <w:p w14:paraId="06EBA51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D65B9A5">
      <w:pPr>
        <w:spacing w:line="300" w:lineRule="auto"/>
        <w:ind w:left="420"/>
        <w:rPr>
          <w:rFonts w:ascii="Times New Roman" w:hAnsi="Times New Roman" w:cs="Times New Roman"/>
          <w:sz w:val="18"/>
          <w:szCs w:val="18"/>
        </w:rPr>
      </w:pPr>
      <w:r>
        <w:rPr>
          <w:rFonts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514675D5">
      <w:pPr>
        <w:spacing w:line="300" w:lineRule="auto"/>
        <w:ind w:left="420"/>
        <w:rPr>
          <w:rFonts w:ascii="Times New Roman" w:hAnsi="Times New Roman" w:cs="Times New Roman"/>
          <w:b/>
          <w:szCs w:val="18"/>
        </w:rPr>
      </w:pPr>
      <w:r>
        <w:rPr>
          <w:rFonts w:ascii="Times New Roman" w:hAnsi="Times New Roman" w:cs="Times New Roman"/>
          <w:b/>
          <w:szCs w:val="18"/>
        </w:rPr>
        <w:t>用药说明：</w:t>
      </w:r>
      <w:bookmarkStart w:id="15" w:name="OLE_LINK7"/>
      <w:r>
        <w:rPr>
          <w:rFonts w:ascii="Times New Roman" w:hAnsi="Times New Roman" w:cs="Times New Roman"/>
          <w:b/>
          <w:color w:val="000000"/>
          <w:sz w:val="18"/>
          <w:szCs w:val="18"/>
        </w:rPr>
        <w:t>克唑替尼</w:t>
      </w:r>
      <w:bookmarkEnd w:id="15"/>
      <w:r>
        <w:rPr>
          <w:rFonts w:ascii="Times New Roman" w:hAnsi="Times New Roman" w:cs="Times New Roman"/>
          <w:b/>
          <w:color w:val="000000"/>
          <w:sz w:val="18"/>
          <w:szCs w:val="18"/>
        </w:rPr>
        <w:t>*</w:t>
      </w:r>
      <w:r>
        <w:rPr>
          <w:rFonts w:ascii="Times New Roman" w:hAnsi="Times New Roman" w:cs="Times New Roman"/>
          <w:color w:val="000000"/>
          <w:sz w:val="18"/>
          <w:szCs w:val="18"/>
        </w:rPr>
        <w:t>、</w:t>
      </w:r>
      <w:r>
        <w:rPr>
          <w:rFonts w:ascii="Times New Roman" w:hAnsi="Times New Roman" w:cs="Times New Roman"/>
          <w:b/>
          <w:sz w:val="18"/>
          <w:szCs w:val="18"/>
        </w:rPr>
        <w:t>Tepotinib</w:t>
      </w:r>
      <w:r>
        <w:rPr>
          <w:rFonts w:hint="eastAsia" w:ascii="Times New Roman" w:hAnsi="Times New Roman" w:cs="Times New Roman"/>
          <w:sz w:val="18"/>
          <w:szCs w:val="18"/>
        </w:rPr>
        <w:t>、</w:t>
      </w:r>
      <w:r>
        <w:rPr>
          <w:rFonts w:ascii="Times New Roman" w:hAnsi="Times New Roman" w:cs="Times New Roman"/>
          <w:b/>
          <w:sz w:val="18"/>
          <w:szCs w:val="18"/>
        </w:rPr>
        <w:t>Capmatinib</w:t>
      </w:r>
      <w:r>
        <w:rPr>
          <w:rFonts w:ascii="Times New Roman" w:hAnsi="Times New Roman" w:cs="Times New Roman"/>
          <w:color w:val="000000"/>
          <w:sz w:val="18"/>
          <w:szCs w:val="18"/>
        </w:rPr>
        <w:t>、</w:t>
      </w:r>
      <w:r>
        <w:rPr>
          <w:rFonts w:ascii="Times New Roman" w:hAnsi="Times New Roman" w:cs="Times New Roman"/>
          <w:b/>
          <w:color w:val="000000"/>
          <w:sz w:val="18"/>
          <w:szCs w:val="18"/>
        </w:rPr>
        <w:t>卡博替尼</w:t>
      </w:r>
      <w:r>
        <w:rPr>
          <w:rFonts w:ascii="Times New Roman" w:hAnsi="Times New Roman" w:cs="Times New Roman"/>
          <w:color w:val="000000"/>
          <w:sz w:val="18"/>
          <w:szCs w:val="18"/>
        </w:rPr>
        <w:t>、</w:t>
      </w:r>
      <w:r>
        <w:rPr>
          <w:rFonts w:hint="eastAsia" w:ascii="Times New Roman" w:hAnsi="Times New Roman" w:cs="Times New Roman"/>
          <w:color w:val="000000"/>
          <w:sz w:val="18"/>
          <w:szCs w:val="18"/>
        </w:rPr>
        <w:t>沃利替尼</w:t>
      </w:r>
    </w:p>
    <w:p w14:paraId="760FC048">
      <w:pPr>
        <w:spacing w:line="300" w:lineRule="auto"/>
        <w:ind w:left="420"/>
        <w:rPr>
          <w:rFonts w:ascii="Times New Roman" w:hAnsi="Times New Roman" w:cs="Times New Roman"/>
          <w:sz w:val="18"/>
          <w:szCs w:val="18"/>
        </w:rPr>
      </w:pPr>
      <w:r>
        <w:rPr>
          <w:rFonts w:ascii="Times New Roman" w:hAnsi="Times New Roman" w:cs="Times New Roman"/>
          <w:sz w:val="18"/>
          <w:szCs w:val="18"/>
        </w:rPr>
        <w:t>MET常发生的变异主要包括14号外显子跳跃突变，尤其高发于肺肉瘤样癌。</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Tepotinib</w:t>
      </w:r>
      <w:r>
        <w:rPr>
          <w:rFonts w:hint="eastAsia" w:ascii="Times New Roman" w:hAnsi="Times New Roman" w:cs="Times New Roman"/>
          <w:sz w:val="18"/>
          <w:szCs w:val="18"/>
        </w:rPr>
        <w:t>、</w:t>
      </w:r>
      <w:r>
        <w:rPr>
          <w:rFonts w:ascii="Times New Roman" w:hAnsi="Times New Roman" w:cs="Times New Roman"/>
          <w:sz w:val="18"/>
          <w:szCs w:val="18"/>
        </w:rPr>
        <w:t>Capmatinib</w:t>
      </w:r>
      <w:r>
        <w:rPr>
          <w:rFonts w:hint="eastAsia" w:ascii="Times New Roman" w:hAnsi="Times New Roman" w:cs="Times New Roman"/>
          <w:sz w:val="18"/>
          <w:szCs w:val="18"/>
        </w:rPr>
        <w:t>用于M</w:t>
      </w:r>
      <w:r>
        <w:rPr>
          <w:rFonts w:ascii="Times New Roman" w:hAnsi="Times New Roman" w:cs="Times New Roman"/>
          <w:sz w:val="18"/>
          <w:szCs w:val="18"/>
        </w:rPr>
        <w:t xml:space="preserve">ET </w:t>
      </w:r>
      <w:r>
        <w:rPr>
          <w:rFonts w:hint="eastAsia" w:ascii="Times New Roman" w:hAnsi="Times New Roman" w:cs="Times New Roman"/>
          <w:sz w:val="18"/>
          <w:szCs w:val="18"/>
        </w:rPr>
        <w:t>1</w:t>
      </w:r>
      <w:r>
        <w:rPr>
          <w:rFonts w:ascii="Times New Roman" w:hAnsi="Times New Roman" w:cs="Times New Roman"/>
          <w:sz w:val="18"/>
          <w:szCs w:val="18"/>
        </w:rPr>
        <w:t>4</w:t>
      </w:r>
      <w:r>
        <w:rPr>
          <w:rFonts w:hint="eastAsia" w:ascii="Times New Roman" w:hAnsi="Times New Roman" w:cs="Times New Roman"/>
          <w:sz w:val="18"/>
          <w:szCs w:val="18"/>
        </w:rPr>
        <w:t>号外显子跳跃突变的非小细胞肺癌患者。</w:t>
      </w:r>
      <w:r>
        <w:rPr>
          <w:rFonts w:ascii="Times New Roman" w:hAnsi="Times New Roman" w:cs="Times New Roman"/>
          <w:sz w:val="18"/>
          <w:szCs w:val="18"/>
        </w:rPr>
        <w:t>NCCN指南推荐克唑替尼</w:t>
      </w:r>
      <w:r>
        <w:rPr>
          <w:rFonts w:hint="eastAsia" w:ascii="Times New Roman" w:hAnsi="Times New Roman" w:cs="Times New Roman"/>
          <w:sz w:val="18"/>
          <w:szCs w:val="18"/>
        </w:rPr>
        <w:t>、</w:t>
      </w:r>
      <w:r>
        <w:rPr>
          <w:rFonts w:ascii="Times New Roman" w:hAnsi="Times New Roman" w:cs="Times New Roman"/>
          <w:sz w:val="18"/>
          <w:szCs w:val="18"/>
        </w:rPr>
        <w:t>Capmatinib用于有较高MET扩增或者MET 14号外显子跳跃突变的非小细胞肺癌患者的治疗</w:t>
      </w:r>
      <w:r>
        <w:rPr>
          <w:rFonts w:hint="eastAsia" w:ascii="Times New Roman" w:hAnsi="Times New Roman" w:cs="Times New Roman"/>
          <w:sz w:val="18"/>
          <w:szCs w:val="18"/>
        </w:rPr>
        <w:t>；</w:t>
      </w:r>
      <w:r>
        <w:rPr>
          <w:rFonts w:ascii="Times New Roman" w:hAnsi="Times New Roman" w:cs="Times New Roman"/>
          <w:sz w:val="18"/>
          <w:szCs w:val="18"/>
        </w:rPr>
        <w:t>Tepotinib用于MET 14号外显子跳跃突变的非小细胞肺癌患者的一线或后续治疗[NCCN_Non-Small Cell Lung Cancer_2021_V5]。</w:t>
      </w:r>
      <w:r>
        <w:rPr>
          <w:rFonts w:hint="eastAsia" w:ascii="Times New Roman" w:hAnsi="Times New Roman" w:cs="Times New Roman"/>
          <w:sz w:val="18"/>
          <w:szCs w:val="18"/>
        </w:rPr>
        <w:t>在</w:t>
      </w:r>
      <w:r>
        <w:rPr>
          <w:rFonts w:ascii="Times New Roman" w:hAnsi="Times New Roman" w:cs="Times New Roman"/>
          <w:sz w:val="18"/>
          <w:szCs w:val="18"/>
        </w:rPr>
        <w:t>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w:t>
      </w:r>
      <w:r>
        <w:rPr>
          <w:rFonts w:hint="eastAsia" w:ascii="Times New Roman" w:hAnsi="Times New Roman" w:cs="Times New Roman"/>
          <w:sz w:val="18"/>
          <w:szCs w:val="18"/>
        </w:rPr>
        <w:t>目前卡博替尼、伯瑞替尼、</w:t>
      </w:r>
      <w:r>
        <w:rPr>
          <w:rFonts w:ascii="Times New Roman" w:hAnsi="Times New Roman" w:cs="Times New Roman"/>
          <w:sz w:val="18"/>
          <w:szCs w:val="18"/>
        </w:rPr>
        <w:t>Tepotinib</w:t>
      </w:r>
      <w:r>
        <w:rPr>
          <w:rFonts w:hint="eastAsia" w:ascii="Times New Roman" w:hAnsi="Times New Roman" w:cs="Times New Roman"/>
          <w:sz w:val="18"/>
          <w:szCs w:val="18"/>
        </w:rPr>
        <w:t>、克唑替尼等用于非小细胞肺癌或实体瘤患者的临床试验正在开展。</w:t>
      </w:r>
    </w:p>
    <w:p w14:paraId="325749EA">
      <w:pPr>
        <w:spacing w:line="300" w:lineRule="auto"/>
        <w:ind w:left="420"/>
        <w:rPr>
          <w:rFonts w:ascii="Times New Roman" w:hAnsi="Times New Roman" w:cs="Times New Roman"/>
          <w:sz w:val="18"/>
          <w:szCs w:val="18"/>
        </w:rPr>
      </w:pPr>
    </w:p>
    <w:p w14:paraId="11D35A1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MTOR                                                                          </w:t>
      </w:r>
    </w:p>
    <w:p w14:paraId="3C12370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730DF79">
      <w:pPr>
        <w:spacing w:line="300" w:lineRule="auto"/>
        <w:ind w:left="420"/>
        <w:rPr>
          <w:rFonts w:ascii="Times New Roman" w:hAnsi="Times New Roman" w:cs="Times New Roman"/>
          <w:sz w:val="18"/>
          <w:szCs w:val="18"/>
        </w:rPr>
      </w:pPr>
      <w:r>
        <w:rPr>
          <w:rFonts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2452DF8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1A63BEC">
      <w:pPr>
        <w:spacing w:line="300" w:lineRule="auto"/>
        <w:ind w:left="420"/>
        <w:rPr>
          <w:rFonts w:ascii="Times New Roman" w:hAnsi="Times New Roman" w:cs="Times New Roman"/>
          <w:sz w:val="18"/>
          <w:szCs w:val="18"/>
        </w:rPr>
      </w:pPr>
      <w:r>
        <w:rPr>
          <w:rFonts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w:t>
      </w:r>
      <w:r>
        <w:rPr>
          <w:rFonts w:hint="eastAsia" w:ascii="Times New Roman" w:hAnsi="Times New Roman" w:cs="Times New Roman"/>
          <w:sz w:val="18"/>
          <w:szCs w:val="18"/>
        </w:rPr>
        <w:t xml:space="preserve"> </w:t>
      </w:r>
      <w:r>
        <w:rPr>
          <w:rFonts w:ascii="Times New Roman" w:hAnsi="Times New Roman" w:cs="Times New Roman"/>
          <w:sz w:val="18"/>
          <w:szCs w:val="18"/>
        </w:rPr>
        <w:t>23291985]。mTOR通路的激活已被发现与不良临床预后、侵袭和转移相关[PMID: 32016810]。</w:t>
      </w:r>
      <w:r>
        <w:rPr>
          <w:rFonts w:hint="eastAsia" w:ascii="Times New Roman" w:hAnsi="Times New Roman" w:cs="Times New Roman"/>
          <w:sz w:val="18"/>
          <w:szCs w:val="18"/>
        </w:rPr>
        <w:t>目前</w:t>
      </w:r>
      <w:r>
        <w:rPr>
          <w:rFonts w:ascii="Times New Roman" w:hAnsi="Times New Roman" w:cs="Times New Roman"/>
          <w:sz w:val="18"/>
          <w:szCs w:val="18"/>
        </w:rPr>
        <w:t>Sapanisertib</w:t>
      </w:r>
      <w:r>
        <w:rPr>
          <w:rFonts w:hint="eastAsia" w:ascii="Times New Roman" w:hAnsi="Times New Roman" w:cs="Times New Roman"/>
          <w:sz w:val="18"/>
          <w:szCs w:val="18"/>
        </w:rPr>
        <w:t>、依维莫司用于M</w:t>
      </w:r>
      <w:r>
        <w:rPr>
          <w:rFonts w:ascii="Times New Roman" w:hAnsi="Times New Roman" w:cs="Times New Roman"/>
          <w:sz w:val="18"/>
          <w:szCs w:val="18"/>
        </w:rPr>
        <w:t>TOR</w:t>
      </w:r>
      <w:r>
        <w:rPr>
          <w:rFonts w:hint="eastAsia" w:ascii="Times New Roman" w:hAnsi="Times New Roman" w:cs="Times New Roman"/>
          <w:sz w:val="18"/>
          <w:szCs w:val="18"/>
        </w:rPr>
        <w:t>突变实体瘤患者的临床试验正在开展。</w:t>
      </w:r>
    </w:p>
    <w:p w14:paraId="371CA571">
      <w:pPr>
        <w:spacing w:line="300" w:lineRule="auto"/>
        <w:ind w:left="420"/>
        <w:rPr>
          <w:rFonts w:ascii="Times New Roman" w:hAnsi="Times New Roman" w:cs="Times New Roman"/>
          <w:sz w:val="18"/>
          <w:szCs w:val="18"/>
        </w:rPr>
      </w:pPr>
    </w:p>
    <w:p w14:paraId="0505550A">
      <w:pPr>
        <w:spacing w:line="360" w:lineRule="auto"/>
        <w:rPr>
          <w:rFonts w:ascii="Times New Roman" w:hAnsi="Times New Roman" w:cs="Times New Roman"/>
          <w:b/>
          <w:color w:val="000000"/>
        </w:rPr>
      </w:pPr>
      <w:r>
        <w:rPr>
          <w:rFonts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color w:val="000000"/>
        </w:rPr>
        <w:t xml:space="preserve">MYC                                                                         </w:t>
      </w:r>
    </w:p>
    <w:p w14:paraId="3D3CB427">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基因说明：</w:t>
      </w:r>
    </w:p>
    <w:p w14:paraId="7544FD0B">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24C4EB97">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用药说明：</w:t>
      </w:r>
    </w:p>
    <w:p w14:paraId="223A28B4">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在小细胞肺癌的研究中发现，携带MYC扩增或过表达的肿瘤中，Prexasertib可以增强顺铂或者PARP抑制剂奥拉帕利的作用[PMID: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28490518]。临床前研究表明，ERBB2抑制剂来那替尼联合多西他赛以及Aurora抑制剂GSK1070916对于携带MYC扩增的肿瘤细胞系有协同抑制作用[PMID: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26018524]。</w:t>
      </w:r>
      <w:r>
        <w:rPr>
          <w:rFonts w:hint="eastAsia" w:ascii="Times New Roman" w:hAnsi="Times New Roman" w:cs="Times New Roman"/>
          <w:color w:val="000000"/>
          <w:sz w:val="18"/>
          <w:szCs w:val="18"/>
        </w:rPr>
        <w:t>对接受吉非替尼治疗的</w:t>
      </w:r>
      <w:r>
        <w:rPr>
          <w:rFonts w:ascii="Times New Roman" w:hAnsi="Times New Roman" w:cs="Times New Roman"/>
          <w:color w:val="000000"/>
          <w:sz w:val="18"/>
          <w:szCs w:val="18"/>
        </w:rPr>
        <w:t>NSCLC患者的研究发现，MYC FISH阳性患者比MYC阴性患者有更高的反应率（p=0.003），更长的进展时间（p=0.01）和总生存率OS（p=0.02）[PMID: 19204574]。</w:t>
      </w:r>
      <w:r>
        <w:rPr>
          <w:rFonts w:hint="eastAsia" w:ascii="Times New Roman" w:hAnsi="Times New Roman" w:cs="Times New Roman"/>
          <w:color w:val="000000"/>
          <w:sz w:val="18"/>
          <w:szCs w:val="18"/>
        </w:rPr>
        <w:t>有研究表明，</w:t>
      </w:r>
      <w:r>
        <w:rPr>
          <w:rFonts w:ascii="Times New Roman" w:hAnsi="Times New Roman" w:cs="Times New Roman"/>
          <w:color w:val="000000"/>
          <w:sz w:val="18"/>
          <w:szCs w:val="18"/>
        </w:rPr>
        <w:t>MYC的激活或者扩增是小细胞肺癌细胞对依维莫司（mTOR抑制剂）耐药的主要原因之一[PMID: 25884680; PMID: 25122428]。</w:t>
      </w:r>
      <w:r>
        <w:rPr>
          <w:rFonts w:hint="eastAsia" w:ascii="Times New Roman" w:hAnsi="Times New Roman" w:cs="Times New Roman"/>
          <w:color w:val="000000"/>
          <w:sz w:val="18"/>
          <w:szCs w:val="18"/>
        </w:rPr>
        <w:t>在结直肠癌患者中，</w:t>
      </w:r>
      <w:r>
        <w:rPr>
          <w:rFonts w:ascii="Times New Roman" w:hAnsi="Times New Roman" w:cs="Times New Roman"/>
          <w:color w:val="000000"/>
          <w:sz w:val="18"/>
          <w:szCs w:val="18"/>
        </w:rPr>
        <w:t>c-MYC拷贝数增加是预后不良的独立因素[PMID: 26426996]。</w:t>
      </w:r>
      <w:r>
        <w:rPr>
          <w:rFonts w:hint="eastAsia" w:ascii="Times New Roman" w:hAnsi="Times New Roman" w:cs="Times New Roman"/>
          <w:sz w:val="18"/>
          <w:szCs w:val="18"/>
        </w:rPr>
        <w:t>目前</w:t>
      </w:r>
      <w:r>
        <w:rPr>
          <w:rFonts w:ascii="Times New Roman" w:hAnsi="Times New Roman" w:cs="Times New Roman"/>
          <w:sz w:val="18"/>
          <w:szCs w:val="18"/>
        </w:rPr>
        <w:t>KB0742</w:t>
      </w:r>
      <w:r>
        <w:rPr>
          <w:rFonts w:hint="eastAsia" w:ascii="Times New Roman" w:hAnsi="Times New Roman" w:cs="Times New Roman"/>
          <w:sz w:val="18"/>
          <w:szCs w:val="18"/>
        </w:rPr>
        <w:t>用于</w:t>
      </w:r>
      <w:r>
        <w:rPr>
          <w:rFonts w:ascii="Times New Roman" w:hAnsi="Times New Roman" w:cs="Times New Roman"/>
          <w:sz w:val="18"/>
          <w:szCs w:val="18"/>
        </w:rPr>
        <w:t>MYC</w:t>
      </w:r>
      <w:r>
        <w:rPr>
          <w:rFonts w:hint="eastAsia" w:ascii="Times New Roman" w:hAnsi="Times New Roman" w:cs="Times New Roman"/>
          <w:sz w:val="18"/>
          <w:szCs w:val="18"/>
        </w:rPr>
        <w:t>突变实体瘤患者的临床试验正在开展。</w:t>
      </w:r>
    </w:p>
    <w:p w14:paraId="1EC59B02">
      <w:pPr>
        <w:spacing w:line="300" w:lineRule="auto"/>
        <w:ind w:left="420"/>
        <w:rPr>
          <w:rFonts w:ascii="Times New Roman" w:hAnsi="Times New Roman" w:cs="Times New Roman"/>
          <w:color w:val="000000"/>
          <w:sz w:val="18"/>
          <w:szCs w:val="18"/>
        </w:rPr>
      </w:pPr>
    </w:p>
    <w:p w14:paraId="61FB73B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MYCN                                                                          </w:t>
      </w:r>
    </w:p>
    <w:p w14:paraId="4598ADF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828B9C">
      <w:pPr>
        <w:spacing w:line="300" w:lineRule="auto"/>
        <w:ind w:left="420"/>
        <w:rPr>
          <w:rFonts w:ascii="Times New Roman" w:hAnsi="Times New Roman" w:cs="Times New Roman"/>
          <w:sz w:val="18"/>
          <w:szCs w:val="18"/>
        </w:rPr>
      </w:pPr>
      <w:r>
        <w:rPr>
          <w:rFonts w:ascii="Times New Roman" w:hAnsi="Times New Roman" w:cs="Times New Roman"/>
          <w:sz w:val="18"/>
          <w:szCs w:val="18"/>
        </w:rPr>
        <w:t>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w:t>
      </w:r>
      <w:r>
        <w:rPr>
          <w:rFonts w:hint="eastAsia" w:ascii="Times New Roman" w:hAnsi="Times New Roman" w:cs="Times New Roman"/>
          <w:sz w:val="18"/>
          <w:szCs w:val="18"/>
        </w:rPr>
        <w:t xml:space="preserve">: </w:t>
      </w:r>
      <w:r>
        <w:rPr>
          <w:rFonts w:ascii="Times New Roman" w:hAnsi="Times New Roman" w:cs="Times New Roman"/>
          <w:sz w:val="18"/>
          <w:szCs w:val="18"/>
        </w:rPr>
        <w:t xml:space="preserve">20399964]。该基因的扩增与多种肿瘤相关，尤其是神经母细胞瘤。已发现该基因存在多个编码不同亚型的交替剪接转录变体。与MYCN相关的疾病包括眼癌、神经母细胞瘤、子宫内膜癌、肠道癌症等。 </w:t>
      </w:r>
    </w:p>
    <w:p w14:paraId="42A3766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114BDA0">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w:t>
      </w:r>
      <w:r>
        <w:rPr>
          <w:rFonts w:hint="eastAsia" w:ascii="Times New Roman" w:hAnsi="Times New Roman" w:cs="Times New Roman"/>
          <w:color w:val="000000"/>
          <w:sz w:val="18"/>
          <w:szCs w:val="18"/>
        </w:rPr>
        <w:t>有研究报道，</w:t>
      </w:r>
      <w:r>
        <w:rPr>
          <w:rFonts w:ascii="Times New Roman" w:hAnsi="Times New Roman" w:cs="Times New Roman"/>
          <w:color w:val="000000"/>
          <w:sz w:val="18"/>
          <w:szCs w:val="18"/>
        </w:rPr>
        <w:t>MYCN与非小细胞肺癌的复发时间有关[PMID: 26858029]。</w:t>
      </w:r>
    </w:p>
    <w:p w14:paraId="08D619B8">
      <w:pPr>
        <w:spacing w:line="300" w:lineRule="auto"/>
        <w:ind w:left="420"/>
        <w:rPr>
          <w:rFonts w:ascii="Times New Roman" w:hAnsi="Times New Roman" w:cs="Times New Roman"/>
          <w:sz w:val="18"/>
          <w:szCs w:val="18"/>
        </w:rPr>
      </w:pPr>
    </w:p>
    <w:p w14:paraId="486026C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NRAS                                                                          </w:t>
      </w:r>
    </w:p>
    <w:p w14:paraId="39835A6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9029C59">
      <w:pPr>
        <w:spacing w:line="300" w:lineRule="auto"/>
        <w:ind w:left="420"/>
        <w:rPr>
          <w:rFonts w:ascii="Times New Roman" w:hAnsi="Times New Roman" w:cs="Times New Roman"/>
          <w:b/>
          <w:szCs w:val="18"/>
        </w:rPr>
      </w:pPr>
      <w:r>
        <w:rPr>
          <w:rFonts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w:t>
      </w:r>
      <w:r>
        <w:rPr>
          <w:rFonts w:hint="eastAsia" w:ascii="Times New Roman" w:hAnsi="Times New Roman" w:cs="Times New Roman"/>
          <w:sz w:val="18"/>
          <w:szCs w:val="18"/>
        </w:rPr>
        <w:t>，</w:t>
      </w:r>
      <w:r>
        <w:rPr>
          <w:rFonts w:ascii="Times New Roman" w:hAnsi="Times New Roman" w:cs="Times New Roman"/>
          <w:sz w:val="18"/>
          <w:szCs w:val="18"/>
        </w:rPr>
        <w:t>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5E3968F5">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西妥昔单抗*</w:t>
      </w:r>
      <w:r>
        <w:rPr>
          <w:rFonts w:ascii="Times New Roman" w:hAnsi="Times New Roman" w:cs="Times New Roman"/>
          <w:color w:val="000000"/>
          <w:sz w:val="18"/>
          <w:szCs w:val="18"/>
        </w:rPr>
        <w:t>、</w:t>
      </w:r>
      <w:r>
        <w:rPr>
          <w:rFonts w:ascii="Times New Roman" w:hAnsi="Times New Roman" w:cs="Times New Roman"/>
          <w:b/>
          <w:color w:val="000000"/>
          <w:sz w:val="18"/>
          <w:szCs w:val="18"/>
        </w:rPr>
        <w:t>帕尼单抗</w:t>
      </w:r>
      <w:r>
        <w:rPr>
          <w:rFonts w:ascii="Times New Roman" w:hAnsi="Times New Roman" w:cs="Times New Roman"/>
          <w:color w:val="000000"/>
          <w:sz w:val="18"/>
          <w:szCs w:val="18"/>
        </w:rPr>
        <w:t>、Navitoclax + 曲美替尼、贝美替尼</w:t>
      </w:r>
    </w:p>
    <w:p w14:paraId="03A8C3A1">
      <w:pPr>
        <w:spacing w:line="360" w:lineRule="auto"/>
        <w:ind w:left="420"/>
        <w:rPr>
          <w:rFonts w:ascii="Times New Roman" w:hAnsi="Times New Roman" w:cs="Times New Roman"/>
          <w:sz w:val="18"/>
          <w:szCs w:val="18"/>
        </w:rPr>
      </w:pPr>
      <w:r>
        <w:rPr>
          <w:rFonts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w:t>
      </w:r>
      <w:r>
        <w:rPr>
          <w:rFonts w:hint="eastAsia" w:ascii="Times New Roman" w:hAnsi="Times New Roman" w:cs="Times New Roman"/>
          <w:sz w:val="18"/>
          <w:szCs w:val="18"/>
        </w:rPr>
        <w:t>。结直肠癌中，</w:t>
      </w:r>
      <w:r>
        <w:rPr>
          <w:rFonts w:ascii="Times New Roman" w:hAnsi="Times New Roman" w:cs="Times New Roman"/>
          <w:sz w:val="18"/>
          <w:szCs w:val="18"/>
        </w:rPr>
        <w:t>NRAS野生型对西妥昔单抗[PMID: 30463680]、帕尼单抗（EGFR单抗）[PMID: 29587749; PMID: 29737864]敏感性增加</w:t>
      </w:r>
      <w:r>
        <w:rPr>
          <w:rFonts w:hint="eastAsia" w:ascii="Times New Roman" w:hAnsi="Times New Roman" w:cs="Times New Roman"/>
          <w:sz w:val="18"/>
          <w:szCs w:val="18"/>
        </w:rPr>
        <w:t>。</w:t>
      </w:r>
      <w:r>
        <w:rPr>
          <w:rFonts w:ascii="Times New Roman" w:hAnsi="Times New Roman" w:cs="Times New Roman"/>
          <w:sz w:val="18"/>
          <w:szCs w:val="18"/>
        </w:rPr>
        <w:t>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w:t>
      </w:r>
      <w:r>
        <w:rPr>
          <w:rFonts w:hint="eastAsia" w:ascii="Times New Roman" w:hAnsi="Times New Roman" w:cs="Times New Roman"/>
          <w:sz w:val="18"/>
          <w:szCs w:val="18"/>
        </w:rPr>
        <w:t>目前</w:t>
      </w:r>
      <w:r>
        <w:rPr>
          <w:rFonts w:ascii="Times New Roman" w:hAnsi="Times New Roman" w:cs="Times New Roman"/>
          <w:sz w:val="18"/>
          <w:szCs w:val="18"/>
        </w:rPr>
        <w:t>HH2710</w:t>
      </w:r>
      <w:r>
        <w:rPr>
          <w:rFonts w:hint="eastAsia" w:ascii="Times New Roman" w:hAnsi="Times New Roman" w:cs="Times New Roman"/>
          <w:sz w:val="18"/>
          <w:szCs w:val="18"/>
        </w:rPr>
        <w:t>、西罗莫司、贝美替尼用于N</w:t>
      </w:r>
      <w:r>
        <w:rPr>
          <w:rFonts w:ascii="Times New Roman" w:hAnsi="Times New Roman" w:cs="Times New Roman"/>
          <w:sz w:val="18"/>
          <w:szCs w:val="18"/>
        </w:rPr>
        <w:t>RAS</w:t>
      </w:r>
      <w:r>
        <w:rPr>
          <w:rFonts w:hint="eastAsia" w:ascii="Times New Roman" w:hAnsi="Times New Roman" w:cs="Times New Roman"/>
          <w:sz w:val="18"/>
          <w:szCs w:val="18"/>
        </w:rPr>
        <w:t>突变的实体瘤患者的临床试验正在开展。</w:t>
      </w:r>
    </w:p>
    <w:p w14:paraId="758C4AD5">
      <w:pPr>
        <w:spacing w:line="300" w:lineRule="auto"/>
        <w:rPr>
          <w:rFonts w:ascii="Times New Roman" w:hAnsi="Times New Roman" w:cs="Times New Roman"/>
          <w:sz w:val="18"/>
          <w:szCs w:val="18"/>
        </w:rPr>
      </w:pPr>
    </w:p>
    <w:p w14:paraId="63338B05">
      <w:pPr>
        <w:spacing w:line="360" w:lineRule="auto"/>
        <w:rPr>
          <w:rFonts w:ascii="Times New Roman" w:hAnsi="Times New Roman" w:cs="Times New Roman"/>
          <w:b/>
          <w:szCs w:val="18"/>
        </w:rPr>
      </w:pPr>
      <w:r>
        <w:rPr>
          <w:rFonts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NTRK1                                                                    </w:t>
      </w:r>
    </w:p>
    <w:p w14:paraId="3817B4B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D6D7A8">
      <w:pPr>
        <w:spacing w:line="300" w:lineRule="auto"/>
        <w:ind w:left="420"/>
        <w:rPr>
          <w:rFonts w:ascii="Times New Roman" w:hAnsi="Times New Roman" w:cs="Times New Roman"/>
          <w:sz w:val="18"/>
          <w:szCs w:val="18"/>
        </w:rPr>
      </w:pPr>
      <w:r>
        <w:rPr>
          <w:rFonts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w:t>
      </w:r>
      <w:r>
        <w:rPr>
          <w:rFonts w:hint="eastAsia" w:ascii="Times New Roman" w:hAnsi="Times New Roman" w:cs="Times New Roman"/>
          <w:sz w:val="18"/>
          <w:szCs w:val="18"/>
        </w:rPr>
        <w:t>型</w:t>
      </w:r>
      <w:r>
        <w:rPr>
          <w:rFonts w:ascii="Times New Roman" w:hAnsi="Times New Roman" w:cs="Times New Roman"/>
          <w:sz w:val="18"/>
          <w:szCs w:val="18"/>
        </w:rPr>
        <w:t>激活。MPRIP-NTRK1(M21;N14)和CD74-NTRK1 (C8;N12)融合基因是肺腺癌的致癌基因，是肺癌新的癌基因靶点。</w:t>
      </w:r>
    </w:p>
    <w:p w14:paraId="3D60F13F">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恩曲替尼、拉罗替尼</w:t>
      </w:r>
    </w:p>
    <w:p w14:paraId="3B9BD0EB">
      <w:pPr>
        <w:spacing w:line="360" w:lineRule="auto"/>
        <w:ind w:left="420"/>
        <w:rPr>
          <w:rFonts w:ascii="Times New Roman" w:hAnsi="Times New Roman" w:cs="Times New Roman"/>
          <w:sz w:val="18"/>
          <w:szCs w:val="18"/>
        </w:rPr>
      </w:pPr>
      <w:r>
        <w:rPr>
          <w:rFonts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VMD928</w:t>
      </w:r>
      <w:r>
        <w:rPr>
          <w:rFonts w:hint="eastAsia" w:ascii="Times New Roman" w:hAnsi="Times New Roman" w:cs="Times New Roman"/>
          <w:sz w:val="18"/>
          <w:szCs w:val="18"/>
        </w:rPr>
        <w:t>、</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TRK1</w:t>
      </w:r>
      <w:r>
        <w:rPr>
          <w:rFonts w:hint="eastAsia" w:ascii="Times New Roman" w:hAnsi="Times New Roman" w:cs="Times New Roman"/>
          <w:sz w:val="18"/>
          <w:szCs w:val="18"/>
        </w:rPr>
        <w:t>扩增或融合的实体瘤患者的临床试验正在开展。</w:t>
      </w:r>
    </w:p>
    <w:p w14:paraId="0B029B89">
      <w:pPr>
        <w:spacing w:line="360" w:lineRule="auto"/>
        <w:ind w:left="420"/>
        <w:rPr>
          <w:rFonts w:ascii="Times New Roman" w:hAnsi="Times New Roman" w:cs="Times New Roman"/>
          <w:sz w:val="18"/>
          <w:szCs w:val="18"/>
        </w:rPr>
      </w:pPr>
    </w:p>
    <w:p w14:paraId="47E5285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NTRK2</w:t>
      </w:r>
      <w:r>
        <w:rPr>
          <w:rFonts w:ascii="Times New Roman" w:hAnsi="Times New Roman" w:cs="Times New Roman"/>
          <w:b/>
          <w:color w:val="FF0000"/>
        </w:rPr>
        <w:t xml:space="preserve"> </w:t>
      </w:r>
      <w:r>
        <w:rPr>
          <w:rFonts w:ascii="Times New Roman" w:hAnsi="Times New Roman" w:cs="Times New Roman"/>
          <w:b/>
        </w:rPr>
        <w:t xml:space="preserve">                                                                        </w:t>
      </w:r>
    </w:p>
    <w:p w14:paraId="0F88064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0FFC00">
      <w:pPr>
        <w:spacing w:line="300" w:lineRule="auto"/>
        <w:ind w:left="420"/>
        <w:rPr>
          <w:rFonts w:ascii="Times New Roman" w:hAnsi="Times New Roman" w:cs="Times New Roman"/>
          <w:sz w:val="18"/>
          <w:szCs w:val="18"/>
        </w:rPr>
      </w:pPr>
      <w:r>
        <w:rPr>
          <w:rFonts w:ascii="Times New Roman" w:hAnsi="Times New Roman" w:cs="Times New Roman"/>
          <w:sz w:val="18"/>
          <w:szCs w:val="18"/>
        </w:rPr>
        <w:t>NTRK2基因</w:t>
      </w:r>
      <w:r>
        <w:rPr>
          <w:rFonts w:hint="eastAsia" w:ascii="Times New Roman" w:hAnsi="Times New Roman" w:cs="Times New Roman"/>
          <w:sz w:val="18"/>
          <w:szCs w:val="18"/>
        </w:rPr>
        <w:t>（</w:t>
      </w:r>
      <w:r>
        <w:rPr>
          <w:rFonts w:ascii="Times New Roman" w:hAnsi="Times New Roman" w:cs="Times New Roman"/>
          <w:sz w:val="18"/>
          <w:szCs w:val="18"/>
        </w:rPr>
        <w:t>神经营养受体酪氨酸激酶2</w:t>
      </w:r>
      <w:r>
        <w:rPr>
          <w:rFonts w:hint="eastAsia" w:ascii="Times New Roman" w:hAnsi="Times New Roman" w:cs="Times New Roman"/>
          <w:sz w:val="18"/>
          <w:szCs w:val="18"/>
        </w:rPr>
        <w:t>）</w:t>
      </w:r>
      <w:r>
        <w:rPr>
          <w:rFonts w:ascii="Times New Roman" w:hAnsi="Times New Roman" w:cs="Times New Roman"/>
          <w:sz w:val="18"/>
          <w:szCs w:val="18"/>
        </w:rPr>
        <w:t>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78990EAA">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15404917">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2B5695EE">
      <w:pPr>
        <w:spacing w:line="300" w:lineRule="auto"/>
        <w:rPr>
          <w:rFonts w:ascii="Times New Roman" w:hAnsi="Times New Roman" w:cs="Times New Roman"/>
          <w:sz w:val="18"/>
          <w:szCs w:val="18"/>
        </w:rPr>
      </w:pPr>
    </w:p>
    <w:p w14:paraId="5C1078F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NTRK3                                                                         </w:t>
      </w:r>
    </w:p>
    <w:p w14:paraId="0847311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50C73A9">
      <w:pPr>
        <w:spacing w:line="300" w:lineRule="auto"/>
        <w:ind w:left="420"/>
        <w:rPr>
          <w:rFonts w:ascii="Times New Roman" w:hAnsi="Times New Roman" w:cs="Times New Roman"/>
          <w:b/>
          <w:szCs w:val="18"/>
        </w:rPr>
      </w:pPr>
      <w:r>
        <w:rPr>
          <w:rFonts w:ascii="Times New Roman" w:hAnsi="Times New Roman" w:cs="Times New Roman"/>
          <w:sz w:val="18"/>
          <w:szCs w:val="18"/>
        </w:rPr>
        <w:t>NTRK3又</w:t>
      </w:r>
      <w:r>
        <w:rPr>
          <w:rFonts w:hint="eastAsia" w:ascii="Times New Roman" w:hAnsi="Times New Roman" w:cs="Times New Roman"/>
          <w:sz w:val="18"/>
          <w:szCs w:val="18"/>
        </w:rPr>
        <w:t>称</w:t>
      </w:r>
      <w:r>
        <w:rPr>
          <w:rFonts w:ascii="Times New Roman" w:hAnsi="Times New Roman" w:cs="Times New Roman"/>
          <w:sz w:val="18"/>
          <w:szCs w:val="18"/>
        </w:rPr>
        <w:t>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w:t>
      </w:r>
      <w:r>
        <w:rPr>
          <w:rFonts w:hint="eastAsia" w:ascii="Times New Roman" w:hAnsi="Times New Roman" w:cs="Times New Roman"/>
          <w:sz w:val="18"/>
          <w:szCs w:val="18"/>
        </w:rPr>
        <w:t>因</w:t>
      </w:r>
      <w:r>
        <w:rPr>
          <w:rFonts w:ascii="Times New Roman" w:hAnsi="Times New Roman" w:cs="Times New Roman"/>
          <w:sz w:val="18"/>
          <w:szCs w:val="18"/>
        </w:rPr>
        <w:t xml:space="preserve">ETV6-NTRK3在分泌型乳腺癌中的表达率为90.9%，特异性达100%；食管癌组织标本中验证NTRK3基因的断裂频率为14.7%。 </w:t>
      </w:r>
    </w:p>
    <w:p w14:paraId="73E4B70A">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67CF046A">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09198A2F">
      <w:pPr>
        <w:spacing w:line="300" w:lineRule="auto"/>
        <w:ind w:left="420"/>
        <w:rPr>
          <w:rFonts w:ascii="Times New Roman" w:hAnsi="Times New Roman" w:cs="Times New Roman"/>
          <w:b/>
          <w:szCs w:val="18"/>
        </w:rPr>
      </w:pPr>
    </w:p>
    <w:p w14:paraId="7059572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PDGFRA                                                                         </w:t>
      </w:r>
    </w:p>
    <w:p w14:paraId="1962C25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83DA98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283D62FD">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伊马替尼*、达沙替尼*、</w:t>
      </w:r>
      <w:r>
        <w:rPr>
          <w:rFonts w:hint="eastAsia" w:ascii="Times New Roman" w:hAnsi="Times New Roman" w:cs="Times New Roman"/>
          <w:b/>
          <w:sz w:val="18"/>
          <w:szCs w:val="18"/>
        </w:rPr>
        <w:t>阿伐替尼</w:t>
      </w:r>
      <w:r>
        <w:rPr>
          <w:rFonts w:ascii="Times New Roman" w:hAnsi="Times New Roman" w:cs="Times New Roman"/>
          <w:b/>
          <w:sz w:val="18"/>
          <w:szCs w:val="18"/>
        </w:rPr>
        <w:t>*（主要都是胃肠道间质瘤获益药物）</w:t>
      </w:r>
    </w:p>
    <w:p w14:paraId="200D9870">
      <w:pPr>
        <w:spacing w:line="300" w:lineRule="auto"/>
        <w:ind w:left="420"/>
        <w:rPr>
          <w:rFonts w:ascii="Times New Roman" w:hAnsi="Times New Roman" w:cs="Times New Roman"/>
          <w:sz w:val="18"/>
          <w:szCs w:val="18"/>
        </w:rPr>
      </w:pPr>
      <w:r>
        <w:rPr>
          <w:rFonts w:ascii="Times New Roman" w:hAnsi="Times New Roman" w:cs="Times New Roman"/>
          <w:sz w:val="18"/>
          <w:szCs w:val="18"/>
        </w:rPr>
        <w:t>FDA/NMPA批准</w:t>
      </w:r>
      <w:r>
        <w:rPr>
          <w:rFonts w:hint="eastAsia" w:ascii="Times New Roman" w:hAnsi="Times New Roman" w:cs="Times New Roman"/>
          <w:sz w:val="18"/>
          <w:szCs w:val="18"/>
        </w:rPr>
        <w:t>阿伐替尼</w:t>
      </w:r>
      <w:r>
        <w:rPr>
          <w:rFonts w:ascii="Times New Roman" w:hAnsi="Times New Roman" w:cs="Times New Roman"/>
          <w:sz w:val="18"/>
          <w:szCs w:val="18"/>
        </w:rPr>
        <w:t>用于治疗携带PDGFRA</w:t>
      </w:r>
      <w:r>
        <w:rPr>
          <w:rFonts w:hint="eastAsia" w:ascii="Times New Roman" w:hAnsi="Times New Roman" w:cs="Times New Roman"/>
          <w:sz w:val="18"/>
          <w:szCs w:val="18"/>
        </w:rPr>
        <w:t xml:space="preserve"> </w:t>
      </w:r>
      <w:r>
        <w:rPr>
          <w:rFonts w:ascii="Times New Roman" w:hAnsi="Times New Roman" w:cs="Times New Roman"/>
          <w:sz w:val="18"/>
          <w:szCs w:val="18"/>
        </w:rPr>
        <w:t>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w:t>
      </w:r>
      <w:r>
        <w:rPr>
          <w:rFonts w:hint="eastAsia" w:ascii="Times New Roman" w:hAnsi="Times New Roman" w:cs="Times New Roman"/>
          <w:sz w:val="18"/>
          <w:szCs w:val="18"/>
        </w:rPr>
        <w:t>对</w:t>
      </w:r>
      <w:r>
        <w:rPr>
          <w:rFonts w:ascii="Times New Roman" w:hAnsi="Times New Roman" w:cs="Times New Roman"/>
          <w:sz w:val="18"/>
          <w:szCs w:val="18"/>
        </w:rPr>
        <w:t>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4F345244">
      <w:pPr>
        <w:spacing w:line="300" w:lineRule="auto"/>
        <w:ind w:left="420"/>
        <w:rPr>
          <w:rFonts w:ascii="Times New Roman" w:hAnsi="Times New Roman" w:cs="Times New Roman"/>
          <w:sz w:val="18"/>
          <w:szCs w:val="18"/>
        </w:rPr>
      </w:pPr>
    </w:p>
    <w:p w14:paraId="1E23F2A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PPARG                                                                         </w:t>
      </w:r>
    </w:p>
    <w:p w14:paraId="48EC6EC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7573E07">
      <w:pPr>
        <w:spacing w:line="300" w:lineRule="auto"/>
        <w:ind w:left="420"/>
        <w:rPr>
          <w:rFonts w:ascii="Times New Roman" w:hAnsi="Times New Roman" w:cs="Times New Roman"/>
          <w:sz w:val="18"/>
          <w:szCs w:val="18"/>
        </w:rPr>
      </w:pPr>
      <w:r>
        <w:rPr>
          <w:rFonts w:ascii="Times New Roman" w:hAnsi="Times New Roman" w:cs="Times New Roman"/>
          <w:sz w:val="18"/>
          <w:szCs w:val="18"/>
        </w:rPr>
        <w:t>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w:t>
      </w:r>
      <w:r>
        <w:rPr>
          <w:rFonts w:hint="eastAsia" w:ascii="Times New Roman" w:hAnsi="Times New Roman" w:cs="Times New Roman"/>
          <w:sz w:val="18"/>
          <w:szCs w:val="18"/>
        </w:rPr>
        <w:t>观察到</w:t>
      </w:r>
      <w:r>
        <w:rPr>
          <w:rFonts w:ascii="Times New Roman" w:hAnsi="Times New Roman" w:cs="Times New Roman"/>
          <w:sz w:val="18"/>
          <w:szCs w:val="18"/>
        </w:rPr>
        <w:t xml:space="preserve">[PMID: 10958784]。PPAR-γ已经涉及许多疾病的病理学，包括肥胖症、糖尿病、动脉粥样硬化和癌症。与PPARG相关的疾病包括子宫内膜癌、皮肤癌、胃癌等。 </w:t>
      </w:r>
    </w:p>
    <w:p w14:paraId="318C620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F3B079F">
      <w:pPr>
        <w:spacing w:line="360" w:lineRule="auto"/>
        <w:ind w:left="420"/>
        <w:rPr>
          <w:rFonts w:ascii="Times New Roman" w:hAnsi="Times New Roman" w:cs="Times New Roman"/>
          <w:sz w:val="18"/>
          <w:szCs w:val="18"/>
        </w:rPr>
      </w:pPr>
      <w:r>
        <w:rPr>
          <w:rFonts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w:t>
      </w:r>
      <w:r>
        <w:rPr>
          <w:rFonts w:hint="eastAsia" w:ascii="Times New Roman" w:hAnsi="Times New Roman" w:cs="Times New Roman"/>
          <w:sz w:val="18"/>
          <w:szCs w:val="18"/>
        </w:rPr>
        <w:t>有研究表明，</w:t>
      </w:r>
      <w:r>
        <w:rPr>
          <w:rFonts w:ascii="Times New Roman" w:hAnsi="Times New Roman" w:cs="Times New Roman"/>
          <w:sz w:val="18"/>
          <w:szCs w:val="18"/>
        </w:rPr>
        <w:t>PPARG过表达的高浆液型卵巢癌患者的OS（总生存期）较差[PMID: 23200915]。</w:t>
      </w:r>
      <w:r>
        <w:rPr>
          <w:rFonts w:hint="eastAsia" w:ascii="Times New Roman" w:hAnsi="Times New Roman" w:cs="Times New Roman"/>
          <w:sz w:val="18"/>
          <w:szCs w:val="18"/>
        </w:rPr>
        <w:t>有研究表明，</w:t>
      </w:r>
      <w:r>
        <w:rPr>
          <w:rFonts w:ascii="Times New Roman" w:hAnsi="Times New Roman" w:cs="Times New Roman"/>
          <w:sz w:val="18"/>
          <w:szCs w:val="18"/>
        </w:rPr>
        <w:t>PPARG多态性可能影响肝癌的易感性[PMID: 30122956]。</w:t>
      </w:r>
    </w:p>
    <w:p w14:paraId="4E00D087">
      <w:pPr>
        <w:spacing w:line="300" w:lineRule="auto"/>
        <w:ind w:left="420"/>
        <w:rPr>
          <w:rFonts w:ascii="Times New Roman" w:hAnsi="Times New Roman" w:cs="Times New Roman"/>
          <w:sz w:val="18"/>
          <w:szCs w:val="18"/>
        </w:rPr>
      </w:pPr>
    </w:p>
    <w:p w14:paraId="15502091">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PTEN                                                                          </w:t>
      </w:r>
    </w:p>
    <w:p w14:paraId="4A5FD80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DBAE5B6">
      <w:pPr>
        <w:spacing w:line="300" w:lineRule="auto"/>
        <w:ind w:left="440" w:leftChars="200" w:firstLine="59" w:firstLineChars="33"/>
        <w:rPr>
          <w:rFonts w:ascii="Times New Roman" w:hAnsi="Times New Roman" w:cs="Times New Roman"/>
          <w:sz w:val="18"/>
          <w:szCs w:val="18"/>
        </w:rPr>
      </w:pPr>
      <w:r>
        <w:rPr>
          <w:rFonts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6A91925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86ABFC">
      <w:pPr>
        <w:spacing w:line="300" w:lineRule="auto"/>
        <w:ind w:left="420"/>
        <w:rPr>
          <w:rFonts w:ascii="Times New Roman" w:hAnsi="Times New Roman" w:cs="Times New Roman"/>
          <w:sz w:val="18"/>
          <w:szCs w:val="18"/>
        </w:rPr>
      </w:pPr>
      <w:r>
        <w:rPr>
          <w:rFonts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w:t>
      </w:r>
      <w:r>
        <w:rPr>
          <w:rFonts w:hint="eastAsia" w:ascii="Times New Roman" w:hAnsi="Times New Roman" w:cs="Times New Roman"/>
          <w:sz w:val="18"/>
          <w:szCs w:val="18"/>
        </w:rPr>
        <w:t>。非霍奇金淋巴瘤和多发性骨髓瘤中，</w:t>
      </w:r>
      <w:r>
        <w:rPr>
          <w:rFonts w:ascii="Times New Roman" w:hAnsi="Times New Roman" w:cs="Times New Roman"/>
          <w:sz w:val="18"/>
          <w:szCs w:val="18"/>
        </w:rPr>
        <w:t>PTEN失活突变对替西罗莫司敏感[PMID: 16916489]。</w:t>
      </w:r>
      <w:r>
        <w:rPr>
          <w:rFonts w:hint="eastAsia" w:ascii="Times New Roman" w:hAnsi="Times New Roman" w:cs="Times New Roman"/>
          <w:sz w:val="18"/>
          <w:szCs w:val="18"/>
        </w:rPr>
        <w:t>目前</w:t>
      </w:r>
      <w:r>
        <w:rPr>
          <w:rFonts w:ascii="Times New Roman" w:hAnsi="Times New Roman" w:cs="Times New Roman"/>
          <w:sz w:val="18"/>
          <w:szCs w:val="18"/>
        </w:rPr>
        <w:t>GSK2636771</w:t>
      </w:r>
      <w:r>
        <w:rPr>
          <w:rFonts w:hint="eastAsia" w:ascii="Times New Roman" w:hAnsi="Times New Roman" w:cs="Times New Roman"/>
          <w:sz w:val="18"/>
          <w:szCs w:val="18"/>
        </w:rPr>
        <w:t>、</w:t>
      </w:r>
      <w:r>
        <w:rPr>
          <w:rFonts w:ascii="Times New Roman" w:hAnsi="Times New Roman" w:cs="Times New Roman"/>
          <w:sz w:val="18"/>
          <w:szCs w:val="18"/>
        </w:rPr>
        <w:t>Copanlisib</w:t>
      </w:r>
      <w:r>
        <w:rPr>
          <w:rFonts w:hint="eastAsia" w:ascii="Times New Roman" w:hAnsi="Times New Roman" w:cs="Times New Roman"/>
          <w:sz w:val="18"/>
          <w:szCs w:val="18"/>
        </w:rPr>
        <w:t>、替西罗莫司、尼拉帕利等用于P</w:t>
      </w:r>
      <w:r>
        <w:rPr>
          <w:rFonts w:ascii="Times New Roman" w:hAnsi="Times New Roman" w:cs="Times New Roman"/>
          <w:sz w:val="18"/>
          <w:szCs w:val="18"/>
        </w:rPr>
        <w:t>TEN</w:t>
      </w:r>
      <w:r>
        <w:rPr>
          <w:rFonts w:hint="eastAsia" w:ascii="Times New Roman" w:hAnsi="Times New Roman" w:cs="Times New Roman"/>
          <w:sz w:val="18"/>
          <w:szCs w:val="18"/>
        </w:rPr>
        <w:t>突变实体瘤患者的临床试验正在开展。</w:t>
      </w:r>
    </w:p>
    <w:p w14:paraId="7FC9D49A">
      <w:pPr>
        <w:spacing w:line="300" w:lineRule="auto"/>
        <w:ind w:left="420"/>
        <w:rPr>
          <w:rFonts w:ascii="Times New Roman" w:hAnsi="Times New Roman" w:cs="Times New Roman"/>
          <w:sz w:val="18"/>
          <w:szCs w:val="18"/>
        </w:rPr>
      </w:pPr>
    </w:p>
    <w:p w14:paraId="103CAFD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RAF1                                                                          </w:t>
      </w:r>
    </w:p>
    <w:p w14:paraId="394EE00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9CD6BC">
      <w:pPr>
        <w:spacing w:line="300" w:lineRule="auto"/>
        <w:ind w:left="420"/>
        <w:rPr>
          <w:rFonts w:ascii="Times New Roman" w:hAnsi="Times New Roman" w:cs="Times New Roman"/>
          <w:sz w:val="18"/>
          <w:szCs w:val="18"/>
        </w:rPr>
      </w:pPr>
      <w:r>
        <w:rPr>
          <w:rFonts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43DA98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AE666FA">
      <w:pPr>
        <w:spacing w:line="300" w:lineRule="auto"/>
        <w:ind w:left="420"/>
        <w:rPr>
          <w:rFonts w:ascii="Times New Roman" w:hAnsi="Times New Roman" w:cs="Times New Roman"/>
          <w:sz w:val="18"/>
          <w:szCs w:val="18"/>
        </w:rPr>
      </w:pPr>
      <w:r>
        <w:rPr>
          <w:rFonts w:ascii="Times New Roman" w:hAnsi="Times New Roman" w:cs="Times New Roman"/>
          <w:sz w:val="18"/>
          <w:szCs w:val="18"/>
        </w:rPr>
        <w:t>RAF1作为对细胞外刺激的反应，RAS介导的信号传导诱导了CRAF同源二聚体或CRAF/BRAF异源二聚体的形成，CRAF激活的MAPK信号也与黑色素瘤中BRAF抑制剂</w:t>
      </w:r>
      <w:r>
        <w:rPr>
          <w:rFonts w:hint="eastAsia" w:ascii="Times New Roman" w:hAnsi="Times New Roman" w:cs="Times New Roman"/>
          <w:sz w:val="18"/>
          <w:szCs w:val="18"/>
        </w:rPr>
        <w:t>维莫非尼</w:t>
      </w:r>
      <w:r>
        <w:rPr>
          <w:rFonts w:ascii="Times New Roman" w:hAnsi="Times New Roman" w:cs="Times New Roman"/>
          <w:sz w:val="18"/>
          <w:szCs w:val="18"/>
        </w:rPr>
        <w:t>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w:t>
      </w:r>
      <w:r>
        <w:rPr>
          <w:rFonts w:hint="eastAsia" w:ascii="Times New Roman" w:hAnsi="Times New Roman" w:cs="Times New Roman"/>
          <w:sz w:val="18"/>
          <w:szCs w:val="18"/>
        </w:rPr>
        <w:t>研究表明，</w:t>
      </w:r>
      <w:r>
        <w:rPr>
          <w:rFonts w:ascii="Times New Roman" w:hAnsi="Times New Roman" w:cs="Times New Roman"/>
          <w:sz w:val="18"/>
          <w:szCs w:val="18"/>
        </w:rPr>
        <w:t>RAF1过表达与非小细胞肺癌（NSCLC）的早期进展相关。RAF1可能成为改善NSCLC患者长期预后的新预后因子和潜在靶标[PMID: 29484414]。</w:t>
      </w:r>
      <w:r>
        <w:rPr>
          <w:rFonts w:hint="eastAsia" w:ascii="Times New Roman" w:hAnsi="Times New Roman" w:cs="Times New Roman"/>
          <w:sz w:val="18"/>
          <w:szCs w:val="18"/>
        </w:rPr>
        <w:t>目前瑞戈非尼、阿贝西利联合</w:t>
      </w:r>
      <w:r>
        <w:rPr>
          <w:rFonts w:ascii="Times New Roman" w:hAnsi="Times New Roman" w:cs="Times New Roman"/>
          <w:sz w:val="18"/>
          <w:szCs w:val="18"/>
        </w:rPr>
        <w:t>LY3214996</w:t>
      </w:r>
      <w:r>
        <w:rPr>
          <w:rFonts w:hint="eastAsia" w:ascii="Times New Roman" w:hAnsi="Times New Roman" w:cs="Times New Roman"/>
          <w:sz w:val="18"/>
          <w:szCs w:val="18"/>
        </w:rPr>
        <w:t>用于实体瘤的临床试验正在开展。</w:t>
      </w:r>
    </w:p>
    <w:p w14:paraId="5F68621F">
      <w:pPr>
        <w:spacing w:line="300" w:lineRule="auto"/>
        <w:ind w:left="420"/>
        <w:rPr>
          <w:rFonts w:ascii="Times New Roman" w:hAnsi="Times New Roman" w:cs="Times New Roman"/>
          <w:sz w:val="18"/>
          <w:szCs w:val="18"/>
        </w:rPr>
      </w:pPr>
    </w:p>
    <w:p w14:paraId="18C44C2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 xml:space="preserve">RET                                                                          </w:t>
      </w:r>
    </w:p>
    <w:p w14:paraId="4B23CAA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5DFEA50">
      <w:pPr>
        <w:spacing w:line="300" w:lineRule="auto"/>
        <w:ind w:left="420"/>
        <w:rPr>
          <w:rFonts w:ascii="Times New Roman" w:hAnsi="Times New Roman" w:cs="Times New Roman"/>
          <w:sz w:val="18"/>
          <w:szCs w:val="18"/>
        </w:rPr>
      </w:pPr>
      <w:r>
        <w:rPr>
          <w:rFonts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w:t>
      </w:r>
      <w:r>
        <w:rPr>
          <w:rFonts w:hint="eastAsia" w:ascii="Times New Roman" w:hAnsi="Times New Roman" w:cs="Times New Roman"/>
          <w:sz w:val="18"/>
          <w:szCs w:val="18"/>
        </w:rPr>
        <w:t>，</w:t>
      </w:r>
      <w:r>
        <w:rPr>
          <w:rFonts w:ascii="Times New Roman" w:hAnsi="Times New Roman" w:cs="Times New Roman"/>
          <w:sz w:val="18"/>
          <w:szCs w:val="18"/>
        </w:rPr>
        <w:t>导致RET原癌基因的高表达。因此RET激活和过表达</w:t>
      </w:r>
      <w:r>
        <w:rPr>
          <w:rFonts w:hint="eastAsia" w:ascii="Times New Roman" w:hAnsi="Times New Roman" w:cs="Times New Roman"/>
          <w:sz w:val="18"/>
          <w:szCs w:val="18"/>
        </w:rPr>
        <w:t>常</w:t>
      </w:r>
      <w:r>
        <w:rPr>
          <w:rFonts w:ascii="Times New Roman" w:hAnsi="Times New Roman" w:cs="Times New Roman"/>
          <w:sz w:val="18"/>
          <w:szCs w:val="18"/>
        </w:rPr>
        <w:t>见于家族性甲状腺样瘤、肺癌、结直肠癌[PMID: 20930041</w:t>
      </w:r>
      <w:r>
        <w:rPr>
          <w:rFonts w:hint="eastAsia" w:ascii="Times New Roman" w:hAnsi="Times New Roman" w:cs="Times New Roman"/>
          <w:sz w:val="18"/>
          <w:szCs w:val="18"/>
        </w:rPr>
        <w:t>;</w:t>
      </w:r>
      <w:r>
        <w:rPr>
          <w:rFonts w:ascii="Times New Roman" w:hAnsi="Times New Roman" w:cs="Times New Roman"/>
          <w:sz w:val="18"/>
          <w:szCs w:val="18"/>
        </w:rPr>
        <w:t xml:space="preserve"> PMID: 30257958</w:t>
      </w:r>
      <w:r>
        <w:rPr>
          <w:rFonts w:hint="eastAsia" w:ascii="Times New Roman" w:hAnsi="Times New Roman" w:cs="Times New Roman"/>
          <w:sz w:val="18"/>
          <w:szCs w:val="18"/>
        </w:rPr>
        <w:t>;</w:t>
      </w:r>
      <w:r>
        <w:rPr>
          <w:rFonts w:ascii="Times New Roman" w:hAnsi="Times New Roman" w:cs="Times New Roman"/>
          <w:sz w:val="18"/>
          <w:szCs w:val="18"/>
        </w:rPr>
        <w:t xml:space="preserve"> PMID: 30210625]。RET重排在肺癌中是一种非小细胞肺癌的新的驱动癌基因，发现于1-2%的NSCLC患者中。</w:t>
      </w:r>
    </w:p>
    <w:p w14:paraId="33AB885E">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凡德他尼</w:t>
      </w:r>
      <w:r>
        <w:rPr>
          <w:rFonts w:ascii="Times New Roman" w:hAnsi="Times New Roman" w:cs="Times New Roman"/>
          <w:b/>
          <w:szCs w:val="18"/>
        </w:rPr>
        <w:t>、</w:t>
      </w:r>
      <w:r>
        <w:rPr>
          <w:rFonts w:ascii="Times New Roman" w:hAnsi="Times New Roman" w:cs="Times New Roman"/>
          <w:b/>
          <w:color w:val="000000"/>
          <w:sz w:val="18"/>
          <w:szCs w:val="18"/>
        </w:rPr>
        <w:t>卡博替尼</w:t>
      </w:r>
      <w:r>
        <w:rPr>
          <w:rFonts w:ascii="Times New Roman" w:hAnsi="Times New Roman" w:cs="Times New Roman"/>
          <w:b/>
          <w:szCs w:val="18"/>
        </w:rPr>
        <w:t>、</w:t>
      </w:r>
      <w:r>
        <w:rPr>
          <w:rFonts w:ascii="Times New Roman" w:hAnsi="Times New Roman" w:cs="Times New Roman"/>
          <w:b/>
          <w:color w:val="000000"/>
          <w:sz w:val="18"/>
          <w:szCs w:val="18"/>
        </w:rPr>
        <w:t>仑伐替尼*</w:t>
      </w:r>
      <w:r>
        <w:rPr>
          <w:rFonts w:ascii="Times New Roman" w:hAnsi="Times New Roman" w:cs="Times New Roman"/>
          <w:b/>
          <w:szCs w:val="18"/>
        </w:rPr>
        <w:t>、</w:t>
      </w:r>
      <w:r>
        <w:rPr>
          <w:rFonts w:hint="eastAsia" w:ascii="Times New Roman" w:hAnsi="Times New Roman" w:cs="Times New Roman"/>
          <w:b/>
          <w:color w:val="000000"/>
          <w:sz w:val="18"/>
          <w:szCs w:val="18"/>
        </w:rPr>
        <w:t>普拉替尼</w:t>
      </w:r>
      <w:r>
        <w:rPr>
          <w:rFonts w:ascii="Times New Roman" w:hAnsi="Times New Roman" w:cs="Times New Roman"/>
          <w:b/>
          <w:color w:val="000000"/>
          <w:sz w:val="18"/>
          <w:szCs w:val="18"/>
        </w:rPr>
        <w:t>*</w:t>
      </w:r>
      <w:r>
        <w:rPr>
          <w:rFonts w:hint="eastAsia" w:ascii="Times New Roman" w:hAnsi="Times New Roman" w:cs="Times New Roman"/>
          <w:b/>
          <w:color w:val="000000"/>
          <w:sz w:val="18"/>
          <w:szCs w:val="18"/>
        </w:rPr>
        <w:t>、</w:t>
      </w:r>
      <w:r>
        <w:rPr>
          <w:rFonts w:ascii="Times New Roman" w:hAnsi="Times New Roman" w:cs="Times New Roman"/>
          <w:b/>
          <w:color w:val="000000"/>
          <w:sz w:val="18"/>
          <w:szCs w:val="18"/>
        </w:rPr>
        <w:t>Selpercatinib</w:t>
      </w:r>
    </w:p>
    <w:p w14:paraId="06F61CB4">
      <w:pPr>
        <w:adjustRightInd w:val="0"/>
        <w:snapToGrid w:val="0"/>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F</w:t>
      </w:r>
      <w:r>
        <w:rPr>
          <w:rFonts w:ascii="Times New Roman" w:hAnsi="Times New Roman" w:cs="Times New Roman"/>
          <w:sz w:val="18"/>
          <w:szCs w:val="18"/>
        </w:rPr>
        <w:t>DA/NMPA</w:t>
      </w:r>
      <w:r>
        <w:rPr>
          <w:rFonts w:hint="eastAsia" w:ascii="Times New Roman" w:hAnsi="Times New Roman" w:cs="Times New Roman"/>
          <w:sz w:val="18"/>
          <w:szCs w:val="18"/>
        </w:rPr>
        <w:t>批准普拉替尼用于治疗</w:t>
      </w:r>
      <w:r>
        <w:rPr>
          <w:rFonts w:ascii="Times New Roman" w:hAnsi="Times New Roman" w:cs="Times New Roman"/>
          <w:sz w:val="18"/>
          <w:szCs w:val="18"/>
        </w:rPr>
        <w:t>RET融合阳性</w:t>
      </w:r>
      <w:r>
        <w:rPr>
          <w:rFonts w:hint="eastAsia" w:ascii="Times New Roman" w:hAnsi="Times New Roman" w:cs="Times New Roman"/>
          <w:sz w:val="18"/>
          <w:szCs w:val="18"/>
        </w:rPr>
        <w:t>的</w:t>
      </w:r>
      <w:r>
        <w:rPr>
          <w:rFonts w:ascii="Times New Roman" w:hAnsi="Times New Roman" w:cs="Times New Roman"/>
          <w:sz w:val="18"/>
          <w:szCs w:val="18"/>
        </w:rPr>
        <w:t>非小细胞肺癌（NSCLC）成人患者</w:t>
      </w:r>
      <w:r>
        <w:rPr>
          <w:rFonts w:hint="eastAsia" w:ascii="Times New Roman" w:hAnsi="Times New Roman" w:cs="Times New Roman"/>
          <w:sz w:val="18"/>
          <w:szCs w:val="18"/>
        </w:rPr>
        <w:t>；</w:t>
      </w:r>
      <w:r>
        <w:rPr>
          <w:rFonts w:ascii="Times New Roman" w:hAnsi="Times New Roman" w:cs="Times New Roman"/>
          <w:sz w:val="18"/>
          <w:szCs w:val="18"/>
        </w:rPr>
        <w:t>FDA批准Selpercatinib用于RET融合阳性的转移性非小细胞肺癌（NSCLC）成人患者</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批准普拉替尼、</w:t>
      </w:r>
      <w:r>
        <w:rPr>
          <w:rFonts w:ascii="Times New Roman" w:hAnsi="Times New Roman" w:cs="Times New Roman"/>
          <w:sz w:val="18"/>
          <w:szCs w:val="18"/>
        </w:rPr>
        <w:t>Selpercatinib</w:t>
      </w:r>
      <w:r>
        <w:rPr>
          <w:rFonts w:hint="eastAsia" w:ascii="Times New Roman" w:hAnsi="Times New Roman" w:cs="Times New Roman"/>
          <w:sz w:val="18"/>
          <w:szCs w:val="18"/>
        </w:rPr>
        <w:t>用于</w:t>
      </w:r>
      <w:r>
        <w:rPr>
          <w:rFonts w:ascii="Times New Roman" w:hAnsi="Times New Roman" w:cs="Times New Roman"/>
          <w:sz w:val="18"/>
          <w:szCs w:val="18"/>
        </w:rPr>
        <w:t>12岁及以上儿童及成人需要全身治疗的晚期或转移性RET突变的甲状腺髓样癌（MTC）患者</w:t>
      </w:r>
      <w:r>
        <w:rPr>
          <w:rFonts w:hint="eastAsia" w:ascii="Times New Roman" w:hAnsi="Times New Roman" w:cs="Times New Roman"/>
          <w:sz w:val="18"/>
          <w:szCs w:val="18"/>
        </w:rPr>
        <w:t>或</w:t>
      </w:r>
      <w:r>
        <w:rPr>
          <w:rFonts w:ascii="Times New Roman" w:hAnsi="Times New Roman" w:cs="Times New Roman"/>
          <w:sz w:val="18"/>
          <w:szCs w:val="18"/>
        </w:rPr>
        <w:t>12岁及以上儿童及成人需要全身治疗且放射性碘难治性（如果放射性碘适合）、晚期或转移性RET融合阳性甲状腺癌患者。NCCN指南推荐携带RET融合的晚期非小细胞肺癌患者使用凡德他尼、卡博替尼</w:t>
      </w:r>
      <w:r>
        <w:rPr>
          <w:rFonts w:hint="eastAsia" w:ascii="Times New Roman" w:hAnsi="Times New Roman" w:cs="Times New Roman"/>
          <w:sz w:val="18"/>
          <w:szCs w:val="18"/>
        </w:rPr>
        <w:t>、</w:t>
      </w:r>
      <w:r>
        <w:rPr>
          <w:rFonts w:ascii="Times New Roman" w:hAnsi="Times New Roman" w:cs="Times New Roman"/>
          <w:sz w:val="18"/>
          <w:szCs w:val="18"/>
        </w:rPr>
        <w:t>Selpercatinib</w:t>
      </w:r>
      <w:r>
        <w:rPr>
          <w:rFonts w:hint="eastAsia" w:ascii="Times New Roman" w:hAnsi="Times New Roman" w:cs="Times New Roman"/>
          <w:sz w:val="18"/>
          <w:szCs w:val="18"/>
        </w:rPr>
        <w:t>、普拉替尼</w:t>
      </w:r>
      <w:r>
        <w:rPr>
          <w:rFonts w:ascii="Times New Roman" w:hAnsi="Times New Roman" w:cs="Times New Roman"/>
          <w:sz w:val="18"/>
          <w:szCs w:val="18"/>
        </w:rPr>
        <w:t>[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w:t>
      </w:r>
      <w:r>
        <w:rPr>
          <w:rFonts w:hint="eastAsia" w:ascii="Times New Roman" w:hAnsi="Times New Roman" w:cs="Times New Roman"/>
          <w:sz w:val="18"/>
          <w:szCs w:val="18"/>
        </w:rPr>
        <w:t>卡博替尼治疗晚期</w:t>
      </w:r>
      <w:r>
        <w:rPr>
          <w:rFonts w:ascii="Times New Roman" w:hAnsi="Times New Roman" w:cs="Times New Roman"/>
          <w:sz w:val="18"/>
          <w:szCs w:val="18"/>
        </w:rPr>
        <w:t>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w:t>
      </w:r>
      <w:r>
        <w:rPr>
          <w:rFonts w:hint="eastAsia" w:ascii="Times New Roman" w:hAnsi="Times New Roman" w:cs="Times New Roman"/>
          <w:sz w:val="18"/>
          <w:szCs w:val="18"/>
        </w:rPr>
        <w:t>目前舒尼替尼、卡博替尼、索拉非尼、</w:t>
      </w:r>
      <w:r>
        <w:rPr>
          <w:rFonts w:ascii="Times New Roman" w:hAnsi="Times New Roman" w:cs="Times New Roman"/>
          <w:sz w:val="18"/>
          <w:szCs w:val="18"/>
        </w:rPr>
        <w:t>Selpercatinib</w:t>
      </w:r>
      <w:r>
        <w:rPr>
          <w:rFonts w:hint="eastAsia" w:ascii="Times New Roman" w:hAnsi="Times New Roman" w:cs="Times New Roman"/>
          <w:sz w:val="18"/>
          <w:szCs w:val="18"/>
        </w:rPr>
        <w:t>等用于R</w:t>
      </w:r>
      <w:r>
        <w:rPr>
          <w:rFonts w:ascii="Times New Roman" w:hAnsi="Times New Roman" w:cs="Times New Roman"/>
          <w:sz w:val="18"/>
          <w:szCs w:val="18"/>
        </w:rPr>
        <w:t>ET</w:t>
      </w:r>
      <w:r>
        <w:rPr>
          <w:rFonts w:hint="eastAsia" w:ascii="Times New Roman" w:hAnsi="Times New Roman" w:cs="Times New Roman"/>
          <w:sz w:val="18"/>
          <w:szCs w:val="18"/>
        </w:rPr>
        <w:t>突变/融合的实体瘤的临床试验正在开展。</w:t>
      </w:r>
    </w:p>
    <w:p w14:paraId="49F5EB6A">
      <w:pPr>
        <w:adjustRightInd w:val="0"/>
        <w:snapToGrid w:val="0"/>
        <w:spacing w:line="300" w:lineRule="auto"/>
        <w:ind w:left="420"/>
        <w:rPr>
          <w:rFonts w:ascii="Times New Roman" w:hAnsi="Times New Roman" w:cs="Times New Roman"/>
          <w:sz w:val="18"/>
          <w:szCs w:val="18"/>
        </w:rPr>
      </w:pPr>
    </w:p>
    <w:p w14:paraId="289DB3F8">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ascii="Times New Roman" w:hAnsi="Times New Roman" w:cs="Times New Roman"/>
          <w:b/>
        </w:rPr>
        <w:t xml:space="preserve">RB1                                                                        </w:t>
      </w:r>
    </w:p>
    <w:p w14:paraId="10B674A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9E773A">
      <w:pPr>
        <w:spacing w:line="300" w:lineRule="auto"/>
        <w:ind w:left="420"/>
        <w:rPr>
          <w:rFonts w:ascii="Times New Roman" w:hAnsi="Times New Roman" w:cs="Times New Roman"/>
          <w:color w:val="404040"/>
        </w:rPr>
      </w:pPr>
      <w:r>
        <w:rPr>
          <w:rFonts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ascii="Times New Roman" w:hAnsi="Times New Roman" w:cs="Times New Roman"/>
          <w:color w:val="404040"/>
          <w:sz w:val="18"/>
          <w:szCs w:val="18"/>
        </w:rPr>
        <w:t xml:space="preserve"> </w:t>
      </w:r>
    </w:p>
    <w:p w14:paraId="124EA842">
      <w:pPr>
        <w:spacing w:line="300" w:lineRule="auto"/>
        <w:ind w:left="420"/>
        <w:rPr>
          <w:rFonts w:ascii="Times New Roman" w:hAnsi="Times New Roman" w:cs="Times New Roman"/>
          <w:b/>
          <w:szCs w:val="18"/>
        </w:rPr>
      </w:pPr>
      <w:r>
        <w:rPr>
          <w:rFonts w:ascii="Times New Roman" w:hAnsi="Times New Roman" w:cs="Times New Roman"/>
          <w:b/>
          <w:szCs w:val="18"/>
        </w:rPr>
        <w:t xml:space="preserve">用药说明： </w:t>
      </w:r>
    </w:p>
    <w:p w14:paraId="798FC2CC">
      <w:pPr>
        <w:spacing w:line="300" w:lineRule="auto"/>
        <w:ind w:left="420"/>
        <w:rPr>
          <w:rFonts w:ascii="Times New Roman" w:hAnsi="Times New Roman" w:cs="Times New Roman"/>
          <w:b/>
          <w:szCs w:val="18"/>
        </w:rPr>
      </w:pPr>
      <w:r>
        <w:rPr>
          <w:rFonts w:ascii="Times New Roman" w:hAnsi="Times New Roman" w:cs="Times New Roman"/>
          <w:sz w:val="18"/>
          <w:szCs w:val="18"/>
        </w:rPr>
        <w:t>目前，FDA尚未批准任何靶向RB1突变的抗癌药物。针对RB1失活的靶向药物（如AURORA激酶抑制剂、BCL-2 抑制剂和NOTCH 通路激活剂）均处于临床前</w:t>
      </w:r>
      <w:r>
        <w:rPr>
          <w:rFonts w:hint="eastAsia" w:ascii="Times New Roman" w:hAnsi="Times New Roman" w:cs="Times New Roman"/>
          <w:sz w:val="18"/>
          <w:szCs w:val="18"/>
        </w:rPr>
        <w:t>实</w:t>
      </w:r>
      <w:r>
        <w:rPr>
          <w:rFonts w:ascii="Times New Roman" w:hAnsi="Times New Roman" w:cs="Times New Roman"/>
          <w:sz w:val="18"/>
          <w:szCs w:val="18"/>
        </w:rPr>
        <w:t>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w:t>
      </w:r>
      <w:r>
        <w:rPr>
          <w:rFonts w:hint="eastAsia" w:ascii="Times New Roman" w:hAnsi="Times New Roman" w:cs="Times New Roman"/>
          <w:sz w:val="18"/>
          <w:szCs w:val="18"/>
        </w:rPr>
        <w:t>临床前研究中，</w:t>
      </w:r>
      <w:r>
        <w:rPr>
          <w:rFonts w:ascii="Times New Roman" w:hAnsi="Times New Roman" w:cs="Times New Roman"/>
          <w:sz w:val="18"/>
          <w:szCs w:val="18"/>
        </w:rPr>
        <w:t>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w:t>
      </w:r>
      <w:r>
        <w:rPr>
          <w:rFonts w:hint="eastAsia" w:ascii="Times New Roman" w:hAnsi="Times New Roman" w:cs="Times New Roman"/>
          <w:sz w:val="18"/>
          <w:szCs w:val="18"/>
        </w:rPr>
        <w:t>随机</w:t>
      </w:r>
      <w:r>
        <w:rPr>
          <w:rFonts w:ascii="Times New Roman" w:hAnsi="Times New Roman" w:cs="Times New Roman"/>
          <w:sz w:val="18"/>
          <w:szCs w:val="18"/>
        </w:rPr>
        <w:t>II期研究中，在140名基因变异的患者中，细胞周期调节因子（CDK6、RBL1、RBL2、RB1）突变的患者使用Alisertib/紫杉醇显著改善PFS（分别为3.68和1.80个月, p = 0.0003）和总生存期（分别为7.20和4.47个月, p = 0.00085）[PMID: 31655296]。</w:t>
      </w:r>
    </w:p>
    <w:p w14:paraId="4A86EA33">
      <w:pPr>
        <w:spacing w:line="300" w:lineRule="auto"/>
        <w:ind w:left="420"/>
        <w:rPr>
          <w:rFonts w:ascii="Times New Roman" w:hAnsi="Times New Roman" w:cs="Times New Roman"/>
          <w:sz w:val="18"/>
          <w:szCs w:val="18"/>
        </w:rPr>
      </w:pPr>
    </w:p>
    <w:p w14:paraId="022096B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SMO                                                                        </w:t>
      </w:r>
    </w:p>
    <w:p w14:paraId="08659C2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293BD9E">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6DCDE6E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66A263">
      <w:pPr>
        <w:adjustRightInd w:val="0"/>
        <w:snapToGrid w:val="0"/>
        <w:spacing w:line="300" w:lineRule="auto"/>
        <w:ind w:left="420"/>
        <w:rPr>
          <w:rFonts w:ascii="Times New Roman" w:hAnsi="Times New Roman" w:cs="Times New Roman"/>
          <w:sz w:val="18"/>
          <w:szCs w:val="18"/>
        </w:rPr>
      </w:pPr>
      <w:r>
        <w:rPr>
          <w:rFonts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w:t>
      </w:r>
      <w:r>
        <w:rPr>
          <w:rFonts w:hint="eastAsia" w:ascii="Times New Roman" w:hAnsi="Times New Roman" w:cs="Times New Roman"/>
          <w:sz w:val="18"/>
          <w:szCs w:val="18"/>
        </w:rPr>
        <w:t xml:space="preserve"> </w:t>
      </w:r>
      <w:r>
        <w:rPr>
          <w:rFonts w:ascii="Times New Roman" w:hAnsi="Times New Roman" w:cs="Times New Roman"/>
          <w:sz w:val="18"/>
          <w:szCs w:val="18"/>
        </w:rPr>
        <w:t>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w:t>
      </w:r>
      <w:r>
        <w:rPr>
          <w:rFonts w:hint="eastAsia" w:ascii="Times New Roman" w:hAnsi="Times New Roman" w:cs="Times New Roman"/>
          <w:sz w:val="18"/>
          <w:szCs w:val="18"/>
        </w:rPr>
        <w:t>研究表明，在结直肠癌中，</w:t>
      </w:r>
      <w:r>
        <w:rPr>
          <w:rFonts w:ascii="Times New Roman" w:hAnsi="Times New Roman" w:cs="Times New Roman"/>
          <w:sz w:val="18"/>
          <w:szCs w:val="18"/>
        </w:rPr>
        <w:t>SMO的表达与临床病理和预后有关[PMID: 25023548]。SMO过表达与结直肠癌患者吸烟、晚期疾病及淋巴结转移相关[PMID: 30784110]。结直肠癌中，激活SHH通路后，DFS更长(HR=0.49, p=0.032)[PMID: 30952759]。</w:t>
      </w:r>
      <w:r>
        <w:rPr>
          <w:rFonts w:hint="eastAsia" w:ascii="Times New Roman" w:hAnsi="Times New Roman" w:cs="Times New Roman"/>
          <w:sz w:val="18"/>
          <w:szCs w:val="18"/>
        </w:rPr>
        <w:t>目前维莫德吉用于S</w:t>
      </w:r>
      <w:r>
        <w:rPr>
          <w:rFonts w:ascii="Times New Roman" w:hAnsi="Times New Roman" w:cs="Times New Roman"/>
          <w:sz w:val="18"/>
          <w:szCs w:val="18"/>
        </w:rPr>
        <w:t>MO</w:t>
      </w:r>
      <w:r>
        <w:rPr>
          <w:rFonts w:hint="eastAsia" w:ascii="Times New Roman" w:hAnsi="Times New Roman" w:cs="Times New Roman"/>
          <w:sz w:val="18"/>
          <w:szCs w:val="18"/>
        </w:rPr>
        <w:t>突变的实体瘤的临床试验正在开展。</w:t>
      </w:r>
    </w:p>
    <w:p w14:paraId="29256966">
      <w:pPr>
        <w:adjustRightInd w:val="0"/>
        <w:snapToGrid w:val="0"/>
        <w:spacing w:line="300" w:lineRule="auto"/>
        <w:ind w:left="420"/>
        <w:rPr>
          <w:rFonts w:ascii="Times New Roman" w:hAnsi="Times New Roman" w:cs="Times New Roman"/>
          <w:sz w:val="18"/>
          <w:szCs w:val="18"/>
        </w:rPr>
      </w:pPr>
    </w:p>
    <w:p w14:paraId="27AB638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STK11                                                                         </w:t>
      </w:r>
    </w:p>
    <w:p w14:paraId="0B52B4F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D8EBE54">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23DFB6C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A575AA9">
      <w:pPr>
        <w:adjustRightInd w:val="0"/>
        <w:snapToGrid w:val="0"/>
        <w:spacing w:line="300" w:lineRule="auto"/>
        <w:ind w:left="420"/>
        <w:jc w:val="both"/>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w:t>
      </w:r>
      <w:r>
        <w:rPr>
          <w:rFonts w:hint="eastAsia" w:ascii="Times New Roman" w:hAnsi="Times New Roman" w:cs="Times New Roman"/>
          <w:sz w:val="18"/>
          <w:szCs w:val="18"/>
        </w:rPr>
        <w:t>有研究表明，</w:t>
      </w:r>
      <w:r>
        <w:rPr>
          <w:rFonts w:ascii="Times New Roman" w:hAnsi="Times New Roman" w:cs="Times New Roman"/>
          <w:sz w:val="18"/>
          <w:szCs w:val="18"/>
        </w:rPr>
        <w:t>STK11 1-2号外显子突变与不良预后相关（P=0.002）[PMID: 26625312]。</w:t>
      </w:r>
      <w:r>
        <w:rPr>
          <w:rFonts w:hint="eastAsia" w:ascii="Times New Roman" w:hAnsi="Times New Roman" w:cs="Times New Roman"/>
          <w:sz w:val="18"/>
          <w:szCs w:val="18"/>
        </w:rPr>
        <w:t>目前替西罗莫司、</w:t>
      </w:r>
      <w:r>
        <w:rPr>
          <w:rFonts w:ascii="Times New Roman" w:hAnsi="Times New Roman" w:cs="Times New Roman"/>
          <w:sz w:val="18"/>
          <w:szCs w:val="18"/>
        </w:rPr>
        <w:t>Telaglenastat</w:t>
      </w:r>
      <w:r>
        <w:rPr>
          <w:rFonts w:hint="eastAsia" w:ascii="Times New Roman" w:hAnsi="Times New Roman" w:cs="Times New Roman"/>
          <w:sz w:val="18"/>
          <w:szCs w:val="18"/>
        </w:rPr>
        <w:t>、</w:t>
      </w:r>
      <w:r>
        <w:rPr>
          <w:rFonts w:ascii="Times New Roman" w:hAnsi="Times New Roman" w:cs="Times New Roman"/>
          <w:sz w:val="18"/>
          <w:szCs w:val="18"/>
        </w:rPr>
        <w:t>Sirpiglenastat</w:t>
      </w:r>
      <w:r>
        <w:rPr>
          <w:rFonts w:hint="eastAsia" w:ascii="Times New Roman" w:hAnsi="Times New Roman" w:cs="Times New Roman"/>
          <w:sz w:val="18"/>
          <w:szCs w:val="18"/>
        </w:rPr>
        <w:t>等用于S</w:t>
      </w:r>
      <w:r>
        <w:rPr>
          <w:rFonts w:ascii="Times New Roman" w:hAnsi="Times New Roman" w:cs="Times New Roman"/>
          <w:sz w:val="18"/>
          <w:szCs w:val="18"/>
        </w:rPr>
        <w:t>TK11</w:t>
      </w:r>
      <w:r>
        <w:rPr>
          <w:rFonts w:hint="eastAsia" w:ascii="Times New Roman" w:hAnsi="Times New Roman" w:cs="Times New Roman"/>
          <w:sz w:val="18"/>
          <w:szCs w:val="18"/>
        </w:rPr>
        <w:t>突变的实体瘤的临床试验正在开展。</w:t>
      </w:r>
    </w:p>
    <w:p w14:paraId="228D238D">
      <w:pPr>
        <w:adjustRightInd w:val="0"/>
        <w:snapToGrid w:val="0"/>
        <w:spacing w:line="300" w:lineRule="auto"/>
        <w:ind w:left="420"/>
        <w:jc w:val="both"/>
        <w:rPr>
          <w:rFonts w:ascii="Times New Roman" w:hAnsi="Times New Roman" w:cs="Times New Roman"/>
          <w:sz w:val="18"/>
          <w:szCs w:val="18"/>
        </w:rPr>
      </w:pPr>
    </w:p>
    <w:p w14:paraId="5AF11300">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ascii="Times New Roman" w:hAnsi="Times New Roman" w:cs="Times New Roman"/>
          <w:b/>
        </w:rPr>
        <w:t xml:space="preserve">TP53                                                                               </w:t>
      </w:r>
    </w:p>
    <w:p w14:paraId="5A66C29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72E0E55">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3B1C68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2084676">
      <w:pPr>
        <w:adjustRightInd w:val="0"/>
        <w:snapToGrid w:val="0"/>
        <w:spacing w:line="300" w:lineRule="auto"/>
        <w:ind w:left="420"/>
        <w:jc w:val="both"/>
        <w:rPr>
          <w:rFonts w:ascii="Times New Roman" w:hAnsi="Times New Roman" w:cs="Times New Roman"/>
          <w:sz w:val="18"/>
          <w:szCs w:val="18"/>
          <w:lang w:bidi="zh-CN"/>
        </w:rPr>
      </w:pPr>
      <w:r>
        <w:rPr>
          <w:rFonts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w:t>
      </w:r>
      <w:r>
        <w:rPr>
          <w:rFonts w:hint="eastAsia" w:ascii="Times New Roman" w:hAnsi="Times New Roman" w:cs="Times New Roman"/>
          <w:sz w:val="18"/>
          <w:szCs w:val="18"/>
        </w:rPr>
        <w:t>在靶向</w:t>
      </w:r>
      <w:r>
        <w:rPr>
          <w:rFonts w:ascii="Times New Roman" w:hAnsi="Times New Roman" w:cs="Times New Roman"/>
          <w:sz w:val="18"/>
          <w:szCs w:val="18"/>
        </w:rPr>
        <w:t>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ascii="Times New Roman" w:hAnsi="Times New Roman" w:cs="Times New Roman"/>
          <w:sz w:val="18"/>
          <w:szCs w:val="18"/>
          <w:lang w:bidi="zh-CN"/>
        </w:rPr>
        <w:t>。</w:t>
      </w:r>
      <w:r>
        <w:rPr>
          <w:rFonts w:hint="eastAsia" w:ascii="Times New Roman" w:hAnsi="Times New Roman" w:cs="Times New Roman"/>
          <w:sz w:val="18"/>
          <w:szCs w:val="18"/>
          <w:lang w:bidi="zh-CN"/>
        </w:rPr>
        <w:t>目前</w:t>
      </w:r>
      <w:r>
        <w:rPr>
          <w:rFonts w:ascii="Times New Roman" w:hAnsi="Times New Roman" w:cs="Times New Roman"/>
          <w:sz w:val="18"/>
          <w:szCs w:val="18"/>
          <w:lang w:bidi="zh-CN"/>
        </w:rPr>
        <w:t>APR246</w:t>
      </w:r>
      <w:r>
        <w:rPr>
          <w:rFonts w:hint="eastAsia" w:ascii="Times New Roman" w:hAnsi="Times New Roman" w:cs="Times New Roman"/>
          <w:sz w:val="18"/>
          <w:szCs w:val="18"/>
          <w:lang w:bidi="zh-CN"/>
        </w:rPr>
        <w:t>联合帕博利珠单抗治疗T</w:t>
      </w:r>
      <w:r>
        <w:rPr>
          <w:rFonts w:ascii="Times New Roman" w:hAnsi="Times New Roman" w:cs="Times New Roman"/>
          <w:sz w:val="18"/>
          <w:szCs w:val="18"/>
          <w:lang w:bidi="zh-CN"/>
        </w:rPr>
        <w:t>P53</w:t>
      </w:r>
      <w:r>
        <w:rPr>
          <w:rFonts w:hint="eastAsia" w:ascii="Times New Roman" w:hAnsi="Times New Roman" w:cs="Times New Roman"/>
          <w:sz w:val="18"/>
          <w:szCs w:val="18"/>
          <w:lang w:bidi="zh-CN"/>
        </w:rPr>
        <w:t>突变的实体瘤患者的临床试验正在开展。</w:t>
      </w:r>
    </w:p>
    <w:p w14:paraId="7A1E8002">
      <w:pPr>
        <w:adjustRightInd w:val="0"/>
        <w:snapToGrid w:val="0"/>
        <w:spacing w:line="300" w:lineRule="auto"/>
        <w:ind w:left="420"/>
        <w:jc w:val="both"/>
        <w:rPr>
          <w:rFonts w:ascii="Times New Roman" w:hAnsi="Times New Roman" w:cs="Times New Roman"/>
          <w:sz w:val="18"/>
          <w:szCs w:val="18"/>
          <w:lang w:bidi="zh-CN"/>
        </w:rPr>
      </w:pPr>
    </w:p>
    <w:p w14:paraId="53F98DC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UGT1A1                                                                          </w:t>
      </w:r>
    </w:p>
    <w:p w14:paraId="6F56234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75E2BB">
      <w:pPr>
        <w:spacing w:line="300" w:lineRule="auto"/>
        <w:ind w:left="420"/>
        <w:rPr>
          <w:rFonts w:ascii="Times New Roman" w:hAnsi="Times New Roman" w:cs="Times New Roman"/>
          <w:sz w:val="18"/>
          <w:szCs w:val="18"/>
        </w:rPr>
      </w:pPr>
      <w:r>
        <w:rPr>
          <w:rFonts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w:t>
      </w:r>
      <w:r>
        <w:rPr>
          <w:rFonts w:hint="eastAsia" w:ascii="Times New Roman" w:hAnsi="Times New Roman" w:cs="Times New Roman"/>
          <w:sz w:val="18"/>
          <w:szCs w:val="18"/>
        </w:rPr>
        <w:t>征（</w:t>
      </w:r>
      <w:r>
        <w:rPr>
          <w:rFonts w:ascii="Times New Roman" w:hAnsi="Times New Roman" w:cs="Times New Roman"/>
          <w:sz w:val="18"/>
          <w:szCs w:val="18"/>
        </w:rPr>
        <w:t>先天性非溶血性黄疸</w:t>
      </w:r>
      <w:r>
        <w:rPr>
          <w:rFonts w:hint="eastAsia" w:ascii="Times New Roman" w:hAnsi="Times New Roman" w:cs="Times New Roman"/>
          <w:sz w:val="18"/>
          <w:szCs w:val="18"/>
        </w:rPr>
        <w:t>）</w:t>
      </w:r>
      <w:r>
        <w:rPr>
          <w:rFonts w:ascii="Times New Roman" w:hAnsi="Times New Roman" w:cs="Times New Roman"/>
          <w:sz w:val="18"/>
          <w:szCs w:val="18"/>
        </w:rPr>
        <w:t>的发生。</w:t>
      </w:r>
    </w:p>
    <w:p w14:paraId="4B02180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36E5CE9">
      <w:pPr>
        <w:spacing w:line="300" w:lineRule="auto"/>
        <w:ind w:left="420"/>
        <w:rPr>
          <w:rFonts w:ascii="Times New Roman" w:hAnsi="Times New Roman" w:cs="Times New Roman"/>
          <w:sz w:val="18"/>
          <w:szCs w:val="18"/>
        </w:rPr>
      </w:pPr>
      <w:r>
        <w:rPr>
          <w:rFonts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PMID:18300238</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26862009]。携带 (TA)6/(TA)6 基因型的肿瘤患者，相比于(TA)6/(TA)7 和 (TA)7/(TA)7 基因型，毒副反应风险可能减小（包括嗜中性白血球减少症、腹泻、乏力）。文献证据支持嗜中性白血球减少症的毒副风险较腹泻和乏力更强[PMID: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23529007</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w:t>
      </w:r>
      <w:r>
        <w:rPr>
          <w:rFonts w:hint="eastAsia" w:ascii="Times New Roman" w:hAnsi="Times New Roman" w:cs="Times New Roman"/>
          <w:sz w:val="18"/>
          <w:szCs w:val="18"/>
        </w:rPr>
        <w:t>另外发现，</w:t>
      </w:r>
      <w:r>
        <w:rPr>
          <w:rFonts w:ascii="Times New Roman" w:hAnsi="Times New Roman" w:cs="Times New Roman"/>
          <w:sz w:val="18"/>
          <w:szCs w:val="18"/>
        </w:rPr>
        <w:t>UGT1A1的遗传多态性与血浆阿昔替尼水平显著相关，血浆阿昔替尼水平与转移性肾细胞癌（mRCC）患者的不良反应（AE）和总生存期（OS）显著相关[PMID: 29524031]。</w:t>
      </w:r>
    </w:p>
    <w:p w14:paraId="57A2A74A">
      <w:pPr>
        <w:adjustRightInd w:val="0"/>
        <w:snapToGrid w:val="0"/>
        <w:spacing w:line="300" w:lineRule="auto"/>
        <w:jc w:val="both"/>
        <w:rPr>
          <w:rFonts w:ascii="Times New Roman" w:hAnsi="Times New Roman" w:cs="Times New Roman"/>
          <w:sz w:val="18"/>
          <w:szCs w:val="18"/>
          <w:lang w:bidi="zh-CN"/>
        </w:rPr>
      </w:pPr>
    </w:p>
    <w:p w14:paraId="755D685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FBXW7                                                                          </w:t>
      </w:r>
    </w:p>
    <w:p w14:paraId="1FC99D2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FC61DF">
      <w:pPr>
        <w:spacing w:line="300" w:lineRule="auto"/>
        <w:ind w:left="420"/>
        <w:rPr>
          <w:rFonts w:ascii="Times New Roman" w:hAnsi="Times New Roman" w:cs="Times New Roman"/>
          <w:sz w:val="18"/>
          <w:szCs w:val="18"/>
        </w:rPr>
      </w:pPr>
      <w:r>
        <w:rPr>
          <w:rFonts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w:t>
      </w:r>
      <w:r>
        <w:rPr>
          <w:rFonts w:hint="eastAsia" w:ascii="Times New Roman" w:hAnsi="Times New Roman" w:cs="Times New Roman"/>
          <w:sz w:val="18"/>
          <w:szCs w:val="18"/>
        </w:rPr>
        <w:t>数丢失使</w:t>
      </w:r>
      <w:r>
        <w:rPr>
          <w:rFonts w:ascii="Times New Roman" w:hAnsi="Times New Roman" w:cs="Times New Roman"/>
          <w:sz w:val="18"/>
          <w:szCs w:val="18"/>
        </w:rPr>
        <w:t xml:space="preserve"> FBXW7失活会导致癌蛋白的异常积累，进而导致恶性转化[PMID: 27399335]。FBXW7的交替剪接产生三种不同的蛋白质亚型（α、β、γ），每种都具有不同的定位</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22673505</w:t>
      </w:r>
      <w:r>
        <w:rPr>
          <w:rFonts w:hint="eastAsia" w:ascii="Times New Roman" w:hAnsi="Times New Roman" w:cs="Times New Roman"/>
          <w:sz w:val="18"/>
          <w:szCs w:val="18"/>
        </w:rPr>
        <w:t>]</w:t>
      </w:r>
      <w:r>
        <w:rPr>
          <w:rFonts w:ascii="Times New Roman" w:hAnsi="Times New Roman" w:cs="Times New Roman"/>
          <w:sz w:val="18"/>
          <w:szCs w:val="18"/>
        </w:rPr>
        <w:t>。FBXW7中的突变会对同种型特异性功能、亚基二聚化、蛋白质定位、SCF组装或底物识别产生负面影响。FBXW7中的大多数突变是破坏底物结合的点突变，而&lt;10% 是小的缺失或插入</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17909001</w:t>
      </w:r>
      <w:r>
        <w:rPr>
          <w:rFonts w:hint="eastAsia" w:ascii="Times New Roman" w:hAnsi="Times New Roman" w:cs="Times New Roman"/>
          <w:sz w:val="18"/>
          <w:szCs w:val="18"/>
        </w:rPr>
        <w:t>]</w:t>
      </w:r>
      <w:r>
        <w:rPr>
          <w:rFonts w:ascii="Times New Roman" w:hAnsi="Times New Roman" w:cs="Times New Roman"/>
          <w:sz w:val="18"/>
          <w:szCs w:val="18"/>
        </w:rPr>
        <w:t>。与FBXW7相关的疾病包括结直肠癌、非小细胞肺癌、乳腺癌等。</w:t>
      </w:r>
    </w:p>
    <w:p w14:paraId="16473B3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E87E879">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w:t>
      </w:r>
      <w:r>
        <w:rPr>
          <w:rFonts w:hint="eastAsia" w:ascii="Times New Roman" w:hAnsi="Times New Roman" w:cs="Times New Roman"/>
          <w:sz w:val="18"/>
          <w:szCs w:val="18"/>
        </w:rPr>
        <w:t>在一项案例研究中，携带</w:t>
      </w:r>
      <w:r>
        <w:rPr>
          <w:rFonts w:ascii="Times New Roman" w:hAnsi="Times New Roman" w:cs="Times New Roman"/>
          <w:sz w:val="18"/>
          <w:szCs w:val="18"/>
        </w:rPr>
        <w:t>FBXW7失活突变（例如R465H）的肺腺癌患者在已经接受多线系统治疗后，使用替西罗莫司治疗发现临床与影像学获益[PMID: 24360397]。</w:t>
      </w:r>
      <w:r>
        <w:rPr>
          <w:rFonts w:hint="eastAsia" w:ascii="Times New Roman" w:hAnsi="Times New Roman" w:cs="Times New Roman"/>
          <w:sz w:val="18"/>
          <w:szCs w:val="18"/>
        </w:rPr>
        <w:t>有个案报道</w:t>
      </w:r>
      <w:r>
        <w:rPr>
          <w:rFonts w:ascii="Times New Roman" w:hAnsi="Times New Roman" w:cs="Times New Roman"/>
          <w:sz w:val="18"/>
          <w:szCs w:val="18"/>
        </w:rPr>
        <w:t>FBXW7突变而EGFR和ALK阴性的肺癌患者对mTOR抑制剂敏感[PMID: 24360397]。</w:t>
      </w:r>
      <w:r>
        <w:rPr>
          <w:rFonts w:hint="eastAsia" w:ascii="Times New Roman" w:hAnsi="Times New Roman" w:cs="Times New Roman"/>
          <w:sz w:val="18"/>
          <w:szCs w:val="18"/>
        </w:rPr>
        <w:t>研究发现，</w:t>
      </w:r>
      <w:r>
        <w:rPr>
          <w:rFonts w:ascii="Times New Roman" w:hAnsi="Times New Roman" w:cs="Times New Roman"/>
          <w:sz w:val="18"/>
          <w:szCs w:val="18"/>
        </w:rPr>
        <w:t>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w:t>
      </w:r>
      <w:r>
        <w:rPr>
          <w:rFonts w:hint="eastAsia" w:ascii="Times New Roman" w:hAnsi="Times New Roman" w:cs="Times New Roman"/>
          <w:sz w:val="18"/>
          <w:szCs w:val="18"/>
        </w:rPr>
        <w:t>目前替西罗莫司用于F</w:t>
      </w:r>
      <w:r>
        <w:rPr>
          <w:rFonts w:ascii="Times New Roman" w:hAnsi="Times New Roman" w:cs="Times New Roman"/>
          <w:sz w:val="18"/>
          <w:szCs w:val="18"/>
        </w:rPr>
        <w:t>BXW7</w:t>
      </w:r>
      <w:r>
        <w:rPr>
          <w:rFonts w:hint="eastAsia" w:ascii="Times New Roman" w:hAnsi="Times New Roman" w:cs="Times New Roman"/>
          <w:sz w:val="18"/>
          <w:szCs w:val="18"/>
        </w:rPr>
        <w:t>突变的实体瘤的临床试验正在开展。</w:t>
      </w:r>
    </w:p>
    <w:p w14:paraId="7BFD8A2E">
      <w:pPr>
        <w:adjustRightInd w:val="0"/>
        <w:snapToGrid w:val="0"/>
        <w:spacing w:line="300" w:lineRule="auto"/>
        <w:ind w:left="420"/>
        <w:jc w:val="both"/>
        <w:rPr>
          <w:rFonts w:ascii="Times New Roman" w:hAnsi="Times New Roman" w:cs="Times New Roman"/>
          <w:sz w:val="18"/>
          <w:szCs w:val="18"/>
          <w:lang w:bidi="zh-CN"/>
        </w:rPr>
      </w:pPr>
    </w:p>
    <w:p w14:paraId="75DE97F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NOTCH1                                                                          </w:t>
      </w:r>
    </w:p>
    <w:p w14:paraId="712E79D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834DE02">
      <w:pPr>
        <w:spacing w:line="300" w:lineRule="auto"/>
        <w:ind w:left="420"/>
        <w:rPr>
          <w:rFonts w:ascii="Times New Roman" w:hAnsi="Times New Roman" w:cs="Times New Roman"/>
          <w:sz w:val="18"/>
          <w:szCs w:val="18"/>
        </w:rPr>
      </w:pPr>
      <w:r>
        <w:rPr>
          <w:rFonts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w:t>
      </w:r>
      <w:r>
        <w:rPr>
          <w:rFonts w:hint="eastAsia" w:ascii="Times New Roman" w:hAnsi="Times New Roman" w:cs="Times New Roman"/>
          <w:sz w:val="18"/>
          <w:szCs w:val="18"/>
        </w:rPr>
        <w:t>]</w:t>
      </w:r>
      <w:r>
        <w:rPr>
          <w:rFonts w:ascii="Times New Roman" w:hAnsi="Times New Roman" w:cs="Times New Roman"/>
          <w:sz w:val="18"/>
          <w:szCs w:val="18"/>
        </w:rPr>
        <w:t>。NOTCH家族成员经常在各种癌症中</w:t>
      </w:r>
      <w:r>
        <w:rPr>
          <w:rFonts w:hint="eastAsia" w:ascii="Times New Roman" w:hAnsi="Times New Roman" w:cs="Times New Roman"/>
          <w:sz w:val="18"/>
          <w:szCs w:val="18"/>
        </w:rPr>
        <w:t>发生突变，这些突变可以是功能获得或功能丧失突变</w:t>
      </w:r>
      <w:r>
        <w:rPr>
          <w:rFonts w:ascii="Times New Roman" w:hAnsi="Times New Roman" w:cs="Times New Roman"/>
          <w:sz w:val="18"/>
          <w:szCs w:val="18"/>
        </w:rPr>
        <w:t>[PMID: 21948802]。已在T细胞急性淋巴细胞白血病 (T-ALL)、慢性淋巴细胞白血病和腺样囊性癌[PMID: 27870570]中发现了NOTCH1的易位和激活突变。这些NOTCH1激活突变要么增强了γ-分泌酶对NOTCH1的切割，要么延长了细胞内NOTCH1的半衰期</w:t>
      </w:r>
      <w:r>
        <w:rPr>
          <w:rFonts w:hint="eastAsia" w:ascii="Times New Roman" w:hAnsi="Times New Roman" w:cs="Times New Roman"/>
          <w:sz w:val="18"/>
          <w:szCs w:val="18"/>
        </w:rPr>
        <w:t>[</w:t>
      </w:r>
      <w:r>
        <w:rPr>
          <w:rFonts w:ascii="Times New Roman" w:hAnsi="Times New Roman" w:cs="Times New Roman"/>
          <w:sz w:val="18"/>
          <w:szCs w:val="18"/>
        </w:rPr>
        <w:t>PMID: 15472075]。NOTCH1功能缺失突变在实体瘤中最常见，即鳞状细胞癌，并且在重要的NOTCH1功能域中以错义、移码或</w:t>
      </w:r>
      <w:r>
        <w:rPr>
          <w:rFonts w:hint="eastAsia" w:ascii="Times New Roman" w:hAnsi="Times New Roman" w:cs="Times New Roman"/>
          <w:sz w:val="18"/>
          <w:szCs w:val="18"/>
        </w:rPr>
        <w:t>无义突变的形式出现</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30087145</w:t>
      </w:r>
      <w:r>
        <w:rPr>
          <w:rFonts w:hint="eastAsia" w:ascii="Times New Roman" w:hAnsi="Times New Roman" w:cs="Times New Roman"/>
          <w:sz w:val="18"/>
          <w:szCs w:val="18"/>
        </w:rPr>
        <w:t>]</w:t>
      </w:r>
      <w:r>
        <w:rPr>
          <w:rFonts w:ascii="Times New Roman" w:hAnsi="Times New Roman" w:cs="Times New Roman"/>
          <w:sz w:val="18"/>
          <w:szCs w:val="18"/>
        </w:rPr>
        <w:t>。靶向γ-分泌酶的抑制剂目前正在进行临床试验，可能对激活NOTCH1突变的患者具有活性[PMID: 28539479]。</w:t>
      </w:r>
    </w:p>
    <w:p w14:paraId="7ECD9DD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DC547DA">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在临床前研究中，γ分泌酶抑制剂</w:t>
      </w:r>
      <w:r>
        <w:rPr>
          <w:rFonts w:ascii="Times New Roman" w:hAnsi="Times New Roman" w:cs="Times New Roman"/>
          <w:sz w:val="18"/>
          <w:szCs w:val="18"/>
        </w:rPr>
        <w:t>Nirogacestat能够减少Notch1裂解，减弱Notch活性，并促进Notch活性增加的结直肠癌细胞凋亡[PMID: 23868008]。</w:t>
      </w:r>
      <w:r>
        <w:rPr>
          <w:rFonts w:hint="eastAsia" w:ascii="Times New Roman" w:hAnsi="Times New Roman" w:cs="Times New Roman"/>
          <w:sz w:val="18"/>
          <w:szCs w:val="18"/>
        </w:rPr>
        <w:t>临床前试验研究表明</w:t>
      </w:r>
      <w:r>
        <w:rPr>
          <w:rFonts w:ascii="Times New Roman" w:hAnsi="Times New Roman" w:cs="Times New Roman"/>
          <w:sz w:val="18"/>
          <w:szCs w:val="18"/>
        </w:rPr>
        <w:t>NOTCH1的失活突变被证实对LGK974敏感[PMID: 24277854]。</w:t>
      </w:r>
      <w:r>
        <w:rPr>
          <w:rFonts w:hint="eastAsia" w:ascii="Times New Roman" w:hAnsi="Times New Roman" w:cs="Times New Roman"/>
          <w:sz w:val="18"/>
          <w:szCs w:val="18"/>
        </w:rPr>
        <w:t>有研究表明，</w:t>
      </w:r>
      <w:r>
        <w:rPr>
          <w:rFonts w:ascii="Times New Roman" w:hAnsi="Times New Roman" w:cs="Times New Roman"/>
          <w:sz w:val="18"/>
          <w:szCs w:val="18"/>
        </w:rPr>
        <w:t>Notch信号成分与肺腺癌的预后相关，可作为潜在的肺腺癌预后的指示标志[PMID: 27196489]。</w:t>
      </w:r>
      <w:r>
        <w:rPr>
          <w:rFonts w:hint="eastAsia" w:ascii="Times New Roman" w:hAnsi="Times New Roman" w:cs="Times New Roman"/>
          <w:sz w:val="18"/>
          <w:szCs w:val="18"/>
        </w:rPr>
        <w:t>有研究表明，在小细胞肺癌中，</w:t>
      </w:r>
      <w:r>
        <w:rPr>
          <w:rFonts w:ascii="Times New Roman" w:hAnsi="Times New Roman" w:cs="Times New Roman"/>
          <w:sz w:val="18"/>
          <w:szCs w:val="18"/>
        </w:rPr>
        <w:t>NOTCH1高表达与预后良好相关[PMID: 28060745]。</w:t>
      </w:r>
      <w:r>
        <w:rPr>
          <w:rFonts w:hint="eastAsia" w:ascii="Times New Roman" w:hAnsi="Times New Roman" w:cs="Times New Roman"/>
          <w:sz w:val="18"/>
          <w:szCs w:val="18"/>
        </w:rPr>
        <w:t>高表达</w:t>
      </w:r>
      <w:r>
        <w:rPr>
          <w:rFonts w:ascii="Times New Roman" w:hAnsi="Times New Roman" w:cs="Times New Roman"/>
          <w:sz w:val="18"/>
          <w:szCs w:val="18"/>
        </w:rPr>
        <w:t>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1651CAEA">
      <w:pPr>
        <w:adjustRightInd w:val="0"/>
        <w:snapToGrid w:val="0"/>
        <w:spacing w:line="300" w:lineRule="auto"/>
        <w:ind w:left="420"/>
        <w:jc w:val="both"/>
        <w:rPr>
          <w:rFonts w:ascii="Times New Roman" w:hAnsi="Times New Roman" w:cs="Times New Roman"/>
          <w:sz w:val="18"/>
          <w:szCs w:val="18"/>
          <w:lang w:bidi="zh-CN"/>
        </w:rPr>
      </w:pPr>
    </w:p>
    <w:p w14:paraId="2AC6F4C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SMAD4                                                                          </w:t>
      </w:r>
    </w:p>
    <w:p w14:paraId="3ED841B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0FF173">
      <w:pPr>
        <w:spacing w:line="300" w:lineRule="auto"/>
        <w:ind w:left="420"/>
        <w:rPr>
          <w:rFonts w:ascii="Times New Roman" w:hAnsi="Times New Roman" w:cs="Times New Roman"/>
          <w:sz w:val="18"/>
          <w:szCs w:val="18"/>
        </w:rPr>
      </w:pPr>
      <w:r>
        <w:rPr>
          <w:rFonts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9759503</w:t>
      </w:r>
      <w:r>
        <w:rPr>
          <w:rFonts w:hint="eastAsia" w:ascii="Times New Roman" w:hAnsi="Times New Roman" w:cs="Times New Roman"/>
          <w:sz w:val="18"/>
          <w:szCs w:val="18"/>
        </w:rPr>
        <w:t>]</w:t>
      </w:r>
      <w:r>
        <w:rPr>
          <w:rFonts w:ascii="Times New Roman" w:hAnsi="Times New Roman" w:cs="Times New Roman"/>
          <w:sz w:val="18"/>
          <w:szCs w:val="18"/>
        </w:rPr>
        <w:t>。在TGFß受体二聚化和激活后，两种磷酸化受体调节的SMAD蛋白与SMAD4形成三聚体复合物，以允</w:t>
      </w:r>
      <w:r>
        <w:rPr>
          <w:rFonts w:hint="eastAsia" w:ascii="Times New Roman" w:hAnsi="Times New Roman" w:cs="Times New Roman"/>
          <w:sz w:val="18"/>
          <w:szCs w:val="18"/>
        </w:rPr>
        <w:t>许与</w:t>
      </w:r>
      <w:r>
        <w:rPr>
          <w:rFonts w:ascii="Times New Roman" w:hAnsi="Times New Roman" w:cs="Times New Roman"/>
          <w:sz w:val="18"/>
          <w:szCs w:val="18"/>
        </w:rPr>
        <w:t>DNA结合 [PMID: 9759503</w:t>
      </w:r>
      <w:r>
        <w:rPr>
          <w:rFonts w:hint="eastAsia" w:ascii="Times New Roman" w:hAnsi="Times New Roman" w:cs="Times New Roman"/>
          <w:sz w:val="18"/>
          <w:szCs w:val="18"/>
        </w:rPr>
        <w:t>]</w:t>
      </w:r>
      <w:r>
        <w:rPr>
          <w:rFonts w:ascii="Times New Roman" w:hAnsi="Times New Roman" w:cs="Times New Roman"/>
          <w:sz w:val="18"/>
          <w:szCs w:val="18"/>
        </w:rPr>
        <w:t>。SMAD三聚体复合物可以转移到细胞核并以细胞类型依赖的方式调节TGFß介导的基因转录，部分原因是转录共激活因子的可用性和染色质可及性[PMID: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w:t>
      </w:r>
      <w:r>
        <w:rPr>
          <w:rFonts w:hint="eastAsia" w:ascii="Times New Roman" w:hAnsi="Times New Roman" w:cs="Times New Roman"/>
          <w:sz w:val="18"/>
          <w:szCs w:val="18"/>
        </w:rPr>
        <w:t>缺失或</w:t>
      </w:r>
      <w:r>
        <w:rPr>
          <w:rFonts w:ascii="Times New Roman" w:hAnsi="Times New Roman" w:cs="Times New Roman"/>
          <w:sz w:val="18"/>
          <w:szCs w:val="18"/>
        </w:rPr>
        <w:t>SMAD4 体细胞突变，并且与肿瘤分级相关[PMID: 12821112</w:t>
      </w:r>
      <w:r>
        <w:rPr>
          <w:rFonts w:hint="eastAsia" w:ascii="Times New Roman" w:hAnsi="Times New Roman" w:cs="Times New Roman"/>
          <w:sz w:val="18"/>
          <w:szCs w:val="18"/>
        </w:rPr>
        <w:t>]</w:t>
      </w:r>
      <w:r>
        <w:rPr>
          <w:rFonts w:ascii="Times New Roman" w:hAnsi="Times New Roman" w:cs="Times New Roman"/>
          <w:sz w:val="18"/>
          <w:szCs w:val="18"/>
        </w:rPr>
        <w:t>。在包括结肠和肺腺癌在内的多种肿瘤类型中，以较低频率观察到SMAD4的体细胞改变[PMID: 25890228]。</w:t>
      </w:r>
    </w:p>
    <w:p w14:paraId="2569FBE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0641074">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eastAsia"/>
        </w:rPr>
        <w:t>。</w:t>
      </w:r>
      <w:r>
        <w:rPr>
          <w:rFonts w:hint="eastAsia" w:ascii="Times New Roman" w:hAnsi="Times New Roman" w:cs="Times New Roman"/>
          <w:sz w:val="18"/>
          <w:szCs w:val="18"/>
        </w:rPr>
        <w:t>一项结直肠癌相关研究报道，</w:t>
      </w:r>
      <w:r>
        <w:rPr>
          <w:rFonts w:ascii="Times New Roman" w:hAnsi="Times New Roman" w:cs="Times New Roman"/>
          <w:sz w:val="18"/>
          <w:szCs w:val="18"/>
        </w:rPr>
        <w:t>SMAD4的缺失与较差的临床结果、对化疗的耐药性和免疫浸润的减少相关[PMID: 30587545]。</w:t>
      </w:r>
      <w:r>
        <w:rPr>
          <w:rFonts w:hint="eastAsia" w:ascii="Times New Roman" w:hAnsi="Times New Roman" w:cs="Times New Roman"/>
          <w:sz w:val="18"/>
          <w:szCs w:val="18"/>
        </w:rPr>
        <w:t>究报道，</w:t>
      </w:r>
      <w:r>
        <w:rPr>
          <w:rFonts w:ascii="Times New Roman" w:hAnsi="Times New Roman" w:cs="Times New Roman"/>
          <w:sz w:val="18"/>
          <w:szCs w:val="18"/>
        </w:rPr>
        <w:t>SMAD4表达降低与结直肠癌不良预后相关[PMID: 25749173; PMID: 19478385; PMID: 25681512; PMID: 26861460]。</w:t>
      </w:r>
      <w:r>
        <w:rPr>
          <w:rFonts w:hint="eastAsia" w:ascii="Times New Roman" w:hAnsi="Times New Roman" w:cs="Times New Roman"/>
          <w:sz w:val="18"/>
          <w:szCs w:val="18"/>
        </w:rPr>
        <w:t>临床前研究表明，</w:t>
      </w:r>
      <w:r>
        <w:rPr>
          <w:rFonts w:ascii="Times New Roman" w:hAnsi="Times New Roman" w:cs="Times New Roman"/>
          <w:sz w:val="18"/>
          <w:szCs w:val="18"/>
        </w:rPr>
        <w:t>SMAD4缺失促进肺癌的形成，但增加了对DNA拓扑异构酶抑制剂的敏感性[PMID: 25893305]。</w:t>
      </w:r>
      <w:r>
        <w:rPr>
          <w:rFonts w:hint="eastAsia" w:ascii="Times New Roman" w:hAnsi="Times New Roman" w:cs="Times New Roman"/>
          <w:sz w:val="18"/>
          <w:szCs w:val="18"/>
        </w:rPr>
        <w:t>肺腺癌中，</w:t>
      </w:r>
      <w:r>
        <w:rPr>
          <w:rFonts w:ascii="Times New Roman" w:hAnsi="Times New Roman" w:cs="Times New Roman"/>
          <w:sz w:val="18"/>
          <w:szCs w:val="18"/>
        </w:rPr>
        <w:t>SMAD4表达缺失与肿瘤大小（P=0.033）、淋巴结转移（P=0.014）、病理分期（P=0.017）和肿瘤分化（P=0.022）有关，p16或SMAD4表达的缺失（P&lt;0.001）与总生存时间缩短显著相关[PMID: 25890228]。</w:t>
      </w:r>
    </w:p>
    <w:p w14:paraId="582A2226">
      <w:pPr>
        <w:rPr>
          <w:rFonts w:hint="default" w:ascii="Times New Roman" w:hAnsi="Times New Roman" w:eastAsia="微软雅黑" w:cs="Times New Roman"/>
          <w:b/>
          <w:sz w:val="13"/>
          <w:lang w:val="en-US" w:eastAsia="zh-CN"/>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Segoe Print"/>
    <w:panose1 w:val="00000000000000000000"/>
    <w:charset w:val="00"/>
    <w:family w:val="auto"/>
    <w:pitch w:val="default"/>
    <w:sig w:usb0="00000000" w:usb1="00000000" w:usb2="00000000" w:usb3="00000000" w:csb0="00000000" w:csb1="00000000"/>
  </w:font>
  <w:font w:name="FZLTXHJW--GB1-0">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36DAC">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656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4B640">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59E4B640">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ED238">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93972">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377BF2"/>
    <w:rsid w:val="02711243"/>
    <w:rsid w:val="030A1074"/>
    <w:rsid w:val="035C523B"/>
    <w:rsid w:val="03643579"/>
    <w:rsid w:val="03B74961"/>
    <w:rsid w:val="041F4A7D"/>
    <w:rsid w:val="0618781B"/>
    <w:rsid w:val="066A44EA"/>
    <w:rsid w:val="09E27E40"/>
    <w:rsid w:val="0ACD30F7"/>
    <w:rsid w:val="0B697485"/>
    <w:rsid w:val="0B773DCE"/>
    <w:rsid w:val="0F6A208A"/>
    <w:rsid w:val="0F97095C"/>
    <w:rsid w:val="10286214"/>
    <w:rsid w:val="10952DF6"/>
    <w:rsid w:val="130C6140"/>
    <w:rsid w:val="134645CE"/>
    <w:rsid w:val="175A7638"/>
    <w:rsid w:val="1836136A"/>
    <w:rsid w:val="18377229"/>
    <w:rsid w:val="1A627D5C"/>
    <w:rsid w:val="1B125754"/>
    <w:rsid w:val="1C46724D"/>
    <w:rsid w:val="1DEC0A98"/>
    <w:rsid w:val="1EDA2B4A"/>
    <w:rsid w:val="20A0049E"/>
    <w:rsid w:val="21E4370A"/>
    <w:rsid w:val="22496E75"/>
    <w:rsid w:val="271D2C97"/>
    <w:rsid w:val="27792A1B"/>
    <w:rsid w:val="2818563C"/>
    <w:rsid w:val="293140D5"/>
    <w:rsid w:val="29CF0D5E"/>
    <w:rsid w:val="2C2C457C"/>
    <w:rsid w:val="2CAB7CC5"/>
    <w:rsid w:val="2CF7541B"/>
    <w:rsid w:val="2E375BE2"/>
    <w:rsid w:val="2E57008F"/>
    <w:rsid w:val="2F2B0C86"/>
    <w:rsid w:val="2F5F153D"/>
    <w:rsid w:val="31EE517C"/>
    <w:rsid w:val="32A777DC"/>
    <w:rsid w:val="32E07F1D"/>
    <w:rsid w:val="340C0A8D"/>
    <w:rsid w:val="343949EB"/>
    <w:rsid w:val="352F54A6"/>
    <w:rsid w:val="387A7805"/>
    <w:rsid w:val="39FA584D"/>
    <w:rsid w:val="3A0504C9"/>
    <w:rsid w:val="3A670D93"/>
    <w:rsid w:val="3B361E49"/>
    <w:rsid w:val="3C573483"/>
    <w:rsid w:val="3CE47669"/>
    <w:rsid w:val="3ED529B9"/>
    <w:rsid w:val="3F2D78C6"/>
    <w:rsid w:val="40000DB3"/>
    <w:rsid w:val="40581B86"/>
    <w:rsid w:val="41146FE8"/>
    <w:rsid w:val="415617C0"/>
    <w:rsid w:val="42AB2BD6"/>
    <w:rsid w:val="430C6805"/>
    <w:rsid w:val="43C2164A"/>
    <w:rsid w:val="43E31A09"/>
    <w:rsid w:val="44D12FF3"/>
    <w:rsid w:val="451832ED"/>
    <w:rsid w:val="452D092C"/>
    <w:rsid w:val="45F85206"/>
    <w:rsid w:val="4ACE6BD0"/>
    <w:rsid w:val="4BAD2017"/>
    <w:rsid w:val="4C7F4215"/>
    <w:rsid w:val="4D1F7D6E"/>
    <w:rsid w:val="4DCF77C6"/>
    <w:rsid w:val="4F1700B8"/>
    <w:rsid w:val="4FA06224"/>
    <w:rsid w:val="4FC374CC"/>
    <w:rsid w:val="4FEB0A35"/>
    <w:rsid w:val="500619DA"/>
    <w:rsid w:val="5081012C"/>
    <w:rsid w:val="52DA0153"/>
    <w:rsid w:val="55A2154F"/>
    <w:rsid w:val="56D35F07"/>
    <w:rsid w:val="570B25AE"/>
    <w:rsid w:val="57117FB5"/>
    <w:rsid w:val="57307DE4"/>
    <w:rsid w:val="57974C8E"/>
    <w:rsid w:val="58162B65"/>
    <w:rsid w:val="58E35061"/>
    <w:rsid w:val="58FC26D7"/>
    <w:rsid w:val="5A33044A"/>
    <w:rsid w:val="5ACB2D46"/>
    <w:rsid w:val="5B356BDD"/>
    <w:rsid w:val="5B976FC1"/>
    <w:rsid w:val="5D6D5411"/>
    <w:rsid w:val="5DF53F95"/>
    <w:rsid w:val="5E0448E8"/>
    <w:rsid w:val="5E3877B6"/>
    <w:rsid w:val="5E490546"/>
    <w:rsid w:val="5E59788A"/>
    <w:rsid w:val="5EAC6BDE"/>
    <w:rsid w:val="60095BA6"/>
    <w:rsid w:val="600A6729"/>
    <w:rsid w:val="60654544"/>
    <w:rsid w:val="635147E4"/>
    <w:rsid w:val="645F5CDC"/>
    <w:rsid w:val="654F43C0"/>
    <w:rsid w:val="65933096"/>
    <w:rsid w:val="65B34677"/>
    <w:rsid w:val="65B53A3E"/>
    <w:rsid w:val="65ED32AC"/>
    <w:rsid w:val="672664B0"/>
    <w:rsid w:val="680E1E3E"/>
    <w:rsid w:val="6822110B"/>
    <w:rsid w:val="68A12EED"/>
    <w:rsid w:val="69182419"/>
    <w:rsid w:val="69DB74AC"/>
    <w:rsid w:val="6BFA5082"/>
    <w:rsid w:val="6CE161F0"/>
    <w:rsid w:val="6DDC33FB"/>
    <w:rsid w:val="6E75472D"/>
    <w:rsid w:val="6F4C2AA5"/>
    <w:rsid w:val="70CF12BD"/>
    <w:rsid w:val="71BA61B5"/>
    <w:rsid w:val="71DF3A36"/>
    <w:rsid w:val="71F44ACA"/>
    <w:rsid w:val="723E266C"/>
    <w:rsid w:val="72653CB7"/>
    <w:rsid w:val="73BB2205"/>
    <w:rsid w:val="73F9408B"/>
    <w:rsid w:val="74692B38"/>
    <w:rsid w:val="74C23FF5"/>
    <w:rsid w:val="74DC1521"/>
    <w:rsid w:val="765B0A6B"/>
    <w:rsid w:val="76CD26D9"/>
    <w:rsid w:val="77FCF607"/>
    <w:rsid w:val="78BA0E7B"/>
    <w:rsid w:val="7A082CD3"/>
    <w:rsid w:val="7A9C7AB4"/>
    <w:rsid w:val="7B3E7DA0"/>
    <w:rsid w:val="7BA16014"/>
    <w:rsid w:val="7C735456"/>
    <w:rsid w:val="7CF05549"/>
    <w:rsid w:val="7DC37B21"/>
    <w:rsid w:val="7F9B0356"/>
    <w:rsid w:val="7FCE7BBB"/>
    <w:rsid w:val="FBFDEC2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autoRedefine/>
    <w:semiHidden/>
    <w:unhideWhenUsed/>
    <w:qFormat/>
    <w:uiPriority w:val="1"/>
  </w:style>
  <w:style w:type="table" w:default="1" w:styleId="19">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Char"/>
    <w:basedOn w:val="21"/>
    <w:link w:val="4"/>
    <w:autoRedefine/>
    <w:qFormat/>
    <w:uiPriority w:val="0"/>
    <w:rPr>
      <w:rFonts w:ascii="宋体" w:hAnsi="宋体" w:cs="宋体"/>
      <w:sz w:val="30"/>
      <w:szCs w:val="30"/>
    </w:rPr>
  </w:style>
  <w:style w:type="character" w:customStyle="1" w:styleId="25">
    <w:name w:val="批注文字 Char"/>
    <w:basedOn w:val="21"/>
    <w:link w:val="9"/>
    <w:autoRedefine/>
    <w:qFormat/>
    <w:uiPriority w:val="0"/>
    <w:rPr>
      <w:rFonts w:ascii="宋体" w:hAnsi="宋体" w:cs="宋体"/>
      <w:sz w:val="22"/>
      <w:szCs w:val="22"/>
    </w:rPr>
  </w:style>
  <w:style w:type="character" w:customStyle="1" w:styleId="26">
    <w:name w:val="批注框文本 Char"/>
    <w:link w:val="12"/>
    <w:autoRedefine/>
    <w:qFormat/>
    <w:uiPriority w:val="0"/>
    <w:rPr>
      <w:rFonts w:hint="default" w:ascii="宋体" w:hAnsi="宋体" w:cs="宋体"/>
      <w:sz w:val="18"/>
      <w:szCs w:val="18"/>
      <w:lang w:eastAsia="en-US"/>
    </w:rPr>
  </w:style>
  <w:style w:type="character" w:customStyle="1" w:styleId="27">
    <w:name w:val="页脚 Char"/>
    <w:link w:val="13"/>
    <w:autoRedefine/>
    <w:qFormat/>
    <w:uiPriority w:val="0"/>
    <w:rPr>
      <w:rFonts w:hint="default" w:ascii="宋体" w:hAnsi="宋体" w:eastAsia="宋体" w:cs="宋体"/>
      <w:sz w:val="18"/>
      <w:szCs w:val="18"/>
    </w:rPr>
  </w:style>
  <w:style w:type="character" w:customStyle="1" w:styleId="28">
    <w:name w:val="页眉 Char"/>
    <w:link w:val="14"/>
    <w:autoRedefine/>
    <w:qFormat/>
    <w:uiPriority w:val="0"/>
    <w:rPr>
      <w:rFonts w:hint="default" w:ascii="宋体" w:hAnsi="宋体" w:eastAsia="宋体" w:cs="宋体"/>
      <w:sz w:val="18"/>
      <w:szCs w:val="18"/>
    </w:rPr>
  </w:style>
  <w:style w:type="character" w:customStyle="1" w:styleId="29">
    <w:name w:val="批注主题 Char"/>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Grid Table 4 Accent 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49">
    <w:name w:val="font41"/>
    <w:basedOn w:val="21"/>
    <w:qFormat/>
    <w:uiPriority w:val="0"/>
    <w:rPr>
      <w:rFonts w:ascii="宋体" w:hAnsi="宋体" w:eastAsia="宋体" w:cs="宋体"/>
      <w:b/>
      <w:bCs/>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31</Pages>
  <Words>2670</Words>
  <Characters>8131</Characters>
  <Lines>524</Lines>
  <Paragraphs>147</Paragraphs>
  <TotalTime>0</TotalTime>
  <ScaleCrop>false</ScaleCrop>
  <LinksUpToDate>false</LinksUpToDate>
  <CharactersWithSpaces>9003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2021-06-30T10:32:00Z</dcterms:created>
  <dc:creator>Administrator</dc:creator>
  <cp:lastModifiedBy>yolo</cp:lastModifiedBy>
  <dcterms:modified xsi:type="dcterms:W3CDTF">2025-11-28T02:37:04Z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D8067B79DB7549E69B5AB4B4C10E9CA6_13</vt:lpwstr>
  </property>
  <property fmtid="{D5CDD505-2E9C-101B-9397-08002B2CF9AE}" pid="4" name="KSOTemplateDocerSaveRecord">
    <vt:lpwstr>eyJoZGlkIjoiNzhjODRmNWJhZTVkNTI1OGI2YWZlNjVkNDIwMWYwMDkiLCJ1c2VySWQiOiIzMTAxODgzOTQifQ==</vt:lpwstr>
  </property>
</Properties>
</file>