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66792C">
      <w:pPr>
        <w:rPr>
          <w:rFonts w:ascii="Times New Roman" w:hAnsi="Times New Roman" w:eastAsia="微软雅黑" w:cs="Times New Roman"/>
        </w:rPr>
      </w:pPr>
      <w:r>
        <w:rPr>
          <w:rFonts w:ascii="Times New Roman" w:hAnsi="Times New Roman" w:eastAsia="微软雅黑" w:cs="Times New Roman"/>
        </w:rPr>
        <w:drawing>
          <wp:anchor distT="0" distB="0" distL="114300" distR="114300" simplePos="0" relativeHeight="251660288" behindDoc="1" locked="0" layoutInCell="1" allowOverlap="1">
            <wp:simplePos x="0" y="0"/>
            <wp:positionH relativeFrom="column">
              <wp:posOffset>-705485</wp:posOffset>
            </wp:positionH>
            <wp:positionV relativeFrom="paragraph">
              <wp:posOffset>-917575</wp:posOffset>
            </wp:positionV>
            <wp:extent cx="7559040" cy="6556375"/>
            <wp:effectExtent l="0" t="0" r="3810" b="15875"/>
            <wp:wrapNone/>
            <wp:docPr id="83" name="图片 140" descr="C:\Users\lenovo\Desktop\ek5HNuXrVw3ZsHYCwc-b-A==_79168806436858424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40" descr="C:\Users\lenovo\Desktop\ek5HNuXrVw3ZsHYCwc-b-A==_7916880643685842401.jpg"/>
                    <pic:cNvPicPr>
                      <a:picLocks noChangeAspect="1"/>
                    </pic:cNvPicPr>
                  </pic:nvPicPr>
                  <pic:blipFill>
                    <a:blip r:embed="rId8"/>
                    <a:stretch>
                      <a:fillRect/>
                    </a:stretch>
                  </pic:blipFill>
                  <pic:spPr>
                    <a:xfrm>
                      <a:off x="0" y="0"/>
                      <a:ext cx="7559040" cy="6556375"/>
                    </a:xfrm>
                    <a:prstGeom prst="rect">
                      <a:avLst/>
                    </a:prstGeom>
                    <a:noFill/>
                    <a:ln>
                      <a:noFill/>
                    </a:ln>
                  </pic:spPr>
                </pic:pic>
              </a:graphicData>
            </a:graphic>
          </wp:anchor>
        </w:drawing>
      </w:r>
      <w:r>
        <w:rPr>
          <w:rFonts w:hint="eastAsia" w:ascii="Times New Roman" w:hAnsi="Times New Roman" w:eastAsia="微软雅黑" w:cs="Times New Roman"/>
        </w:rPr>
        <w:tab/>
      </w:r>
    </w:p>
    <w:p w14:paraId="32437A4F">
      <w:pPr>
        <w:rPr>
          <w:rFonts w:ascii="Times New Roman" w:hAnsi="Times New Roman" w:eastAsia="微软雅黑" w:cs="Times New Roman"/>
        </w:rPr>
      </w:pPr>
    </w:p>
    <w:p w14:paraId="61B7E850">
      <w:pPr>
        <w:rPr>
          <w:rFonts w:ascii="Times New Roman" w:hAnsi="Times New Roman" w:eastAsia="微软雅黑" w:cs="Times New Roman"/>
        </w:rPr>
      </w:pPr>
    </w:p>
    <w:p w14:paraId="67582711">
      <w:pPr>
        <w:rPr>
          <w:rFonts w:ascii="Times New Roman" w:hAnsi="Times New Roman" w:eastAsia="微软雅黑" w:cs="Times New Roman"/>
        </w:rPr>
      </w:pPr>
    </w:p>
    <w:p w14:paraId="3BDFA77E">
      <w:pPr>
        <w:rPr>
          <w:rFonts w:ascii="Times New Roman" w:hAnsi="Times New Roman" w:eastAsia="微软雅黑" w:cs="Times New Roman"/>
        </w:rPr>
      </w:pPr>
    </w:p>
    <w:p w14:paraId="0E297155">
      <w:pPr>
        <w:rPr>
          <w:rFonts w:ascii="Times New Roman" w:hAnsi="Times New Roman" w:eastAsia="微软雅黑" w:cs="Times New Roman"/>
        </w:rPr>
      </w:pPr>
    </w:p>
    <w:p w14:paraId="66ED7436">
      <w:pPr>
        <w:rPr>
          <w:rFonts w:ascii="Times New Roman" w:hAnsi="Times New Roman" w:eastAsia="微软雅黑" w:cs="Times New Roman"/>
        </w:rPr>
      </w:pPr>
    </w:p>
    <w:p w14:paraId="3E902D82">
      <w:pPr>
        <w:rPr>
          <w:rFonts w:ascii="Times New Roman" w:hAnsi="Times New Roman" w:eastAsia="微软雅黑" w:cs="Times New Roman"/>
        </w:rPr>
      </w:pPr>
    </w:p>
    <w:p w14:paraId="3C2EB1AA">
      <w:pPr>
        <w:rPr>
          <w:rFonts w:ascii="Times New Roman" w:hAnsi="Times New Roman" w:eastAsia="微软雅黑" w:cs="Times New Roman"/>
        </w:rPr>
      </w:pPr>
    </w:p>
    <w:p w14:paraId="66628DA3">
      <w:pPr>
        <w:rPr>
          <w:rFonts w:ascii="Times New Roman" w:hAnsi="Times New Roman" w:eastAsia="微软雅黑" w:cs="Times New Roman"/>
        </w:rPr>
      </w:pPr>
    </w:p>
    <w:p w14:paraId="6DE09FF9">
      <w:pPr>
        <w:rPr>
          <w:rFonts w:ascii="Times New Roman" w:hAnsi="Times New Roman" w:eastAsia="微软雅黑" w:cs="Times New Roman"/>
        </w:rPr>
      </w:pPr>
    </w:p>
    <w:p w14:paraId="5D65F3AA">
      <w:pPr>
        <w:jc w:val="center"/>
        <w:rPr>
          <w:rFonts w:ascii="Times New Roman" w:hAnsi="Times New Roman" w:eastAsia="微软雅黑" w:cs="Times New Roman"/>
        </w:rPr>
      </w:pPr>
    </w:p>
    <w:p w14:paraId="2B41A34A">
      <w:pPr>
        <w:rPr>
          <w:rFonts w:ascii="Times New Roman" w:hAnsi="Times New Roman" w:eastAsia="微软雅黑" w:cs="Times New Roman"/>
        </w:rPr>
      </w:pPr>
    </w:p>
    <w:p w14:paraId="10222241">
      <w:pPr>
        <w:rPr>
          <w:rFonts w:ascii="Times New Roman" w:hAnsi="Times New Roman" w:eastAsia="微软雅黑" w:cs="Times New Roman"/>
        </w:rPr>
      </w:pPr>
    </w:p>
    <w:p w14:paraId="0888DF53">
      <w:pPr>
        <w:rPr>
          <w:rFonts w:ascii="Times New Roman" w:hAnsi="Times New Roman" w:eastAsia="微软雅黑" w:cs="Times New Roman"/>
        </w:rPr>
      </w:pPr>
    </w:p>
    <w:p w14:paraId="05EC201D">
      <w:pPr>
        <w:rPr>
          <w:rFonts w:ascii="Times New Roman" w:hAnsi="Times New Roman" w:eastAsia="微软雅黑" w:cs="Times New Roman"/>
        </w:rPr>
      </w:pPr>
    </w:p>
    <w:p w14:paraId="4E98AB69">
      <w:pPr>
        <w:jc w:val="center"/>
        <w:rPr>
          <w:rFonts w:ascii="Times New Roman" w:hAnsi="Times New Roman" w:eastAsia="微软雅黑" w:cs="Times New Roman"/>
          <w:b/>
          <w:sz w:val="48"/>
          <w:szCs w:val="48"/>
        </w:rPr>
      </w:pPr>
      <w:r>
        <w:rPr>
          <w:rFonts w:ascii="Times New Roman" w:hAnsi="Times New Roman" w:eastAsia="微软雅黑" w:cs="Times New Roman"/>
          <w:b/>
          <w:sz w:val="48"/>
          <w:szCs w:val="48"/>
        </w:rPr>
        <w:t xml:space="preserve">             </w:t>
      </w:r>
    </w:p>
    <w:p w14:paraId="51F4C1CC">
      <w:pPr>
        <w:jc w:val="center"/>
        <w:rPr>
          <w:rFonts w:ascii="Times New Roman" w:hAnsi="Times New Roman" w:eastAsia="微软雅黑" w:cs="Times New Roman"/>
          <w:b/>
          <w:sz w:val="48"/>
          <w:szCs w:val="48"/>
        </w:rPr>
      </w:pPr>
    </w:p>
    <w:p w14:paraId="35BB831B">
      <w:pPr>
        <w:jc w:val="center"/>
        <w:rPr>
          <w:rFonts w:ascii="Times New Roman" w:hAnsi="Times New Roman" w:eastAsia="微软雅黑" w:cs="Times New Roman"/>
          <w:b/>
          <w:sz w:val="48"/>
          <w:szCs w:val="48"/>
        </w:rPr>
      </w:pPr>
    </w:p>
    <w:p w14:paraId="75A16E09">
      <w:pPr>
        <w:jc w:val="center"/>
        <w:rPr>
          <w:rFonts w:ascii="Times New Roman" w:hAnsi="Times New Roman" w:eastAsia="微软雅黑" w:cs="Times New Roman"/>
          <w:b/>
          <w:sz w:val="48"/>
          <w:szCs w:val="48"/>
        </w:rPr>
      </w:pPr>
    </w:p>
    <w:p w14:paraId="4D073732">
      <w:pPr>
        <w:jc w:val="center"/>
        <w:rPr>
          <w:rFonts w:ascii="Times New Roman" w:hAnsi="Times New Roman" w:eastAsia="微软雅黑" w:cs="Times New Roman"/>
          <w:b/>
          <w:sz w:val="48"/>
          <w:szCs w:val="48"/>
        </w:rPr>
      </w:pPr>
    </w:p>
    <w:p w14:paraId="28DD509B">
      <w:pPr>
        <w:jc w:val="center"/>
        <w:rPr>
          <w:rFonts w:ascii="Times New Roman" w:hAnsi="Times New Roman" w:eastAsia="微软雅黑" w:cs="Times New Roman"/>
          <w:b/>
          <w:color w:val="1F497D"/>
          <w:sz w:val="36"/>
          <w:szCs w:val="36"/>
        </w:rPr>
      </w:pPr>
    </w:p>
    <w:p w14:paraId="4D6A232C">
      <w:pPr>
        <w:jc w:val="center"/>
        <w:rPr>
          <w:rFonts w:ascii="Times New Roman" w:hAnsi="Times New Roman" w:eastAsia="微软雅黑" w:cs="Times New Roman"/>
          <w:b/>
          <w:bCs/>
          <w:color w:val="1F497D"/>
          <w:sz w:val="36"/>
          <w:szCs w:val="36"/>
        </w:rPr>
      </w:pPr>
    </w:p>
    <w:p w14:paraId="7BD43928">
      <w:pPr>
        <w:jc w:val="center"/>
        <w:rPr>
          <w:rFonts w:ascii="Times New Roman" w:hAnsi="Times New Roman" w:eastAsia="微软雅黑" w:cs="Times New Roman"/>
          <w:b/>
          <w:bCs/>
          <w:color w:val="1F497D"/>
          <w:sz w:val="36"/>
          <w:szCs w:val="36"/>
        </w:rPr>
      </w:pPr>
    </w:p>
    <w:p w14:paraId="17A19C22">
      <w:pPr>
        <w:jc w:val="center"/>
        <w:rPr>
          <w:rFonts w:ascii="Times New Roman" w:hAnsi="Times New Roman" w:eastAsia="微软雅黑" w:cs="Times New Roman"/>
          <w:b/>
          <w:bCs/>
          <w:color w:val="1F497D"/>
          <w:sz w:val="36"/>
          <w:szCs w:val="36"/>
        </w:rPr>
      </w:pPr>
    </w:p>
    <w:p w14:paraId="2DEF8DB5">
      <w:pPr>
        <w:jc w:val="center"/>
        <w:rPr>
          <w:rFonts w:ascii="Times New Roman" w:hAnsi="Times New Roman" w:eastAsia="微软雅黑" w:cs="Times New Roman"/>
          <w:b/>
          <w:bCs/>
          <w:color w:val="1F497D"/>
          <w:sz w:val="36"/>
          <w:szCs w:val="36"/>
        </w:rPr>
      </w:pPr>
    </w:p>
    <w:p w14:paraId="5A1C2BEC">
      <w:pPr>
        <w:jc w:val="center"/>
        <w:rPr>
          <w:rFonts w:ascii="Times New Roman" w:hAnsi="Times New Roman" w:eastAsia="微软雅黑" w:cs="Times New Roman"/>
          <w:b/>
          <w:bCs/>
          <w:color w:val="1F497D"/>
          <w:sz w:val="36"/>
          <w:szCs w:val="36"/>
        </w:rPr>
      </w:pPr>
    </w:p>
    <w:p w14:paraId="05CDEE68">
      <w:pPr>
        <w:jc w:val="center"/>
        <w:rPr>
          <w:rFonts w:ascii="Times New Roman" w:hAnsi="Times New Roman" w:eastAsia="微软雅黑" w:cs="Times New Roman"/>
          <w:b/>
          <w:bCs/>
          <w:color w:val="1F497D"/>
          <w:sz w:val="36"/>
          <w:szCs w:val="36"/>
        </w:rPr>
      </w:pPr>
    </w:p>
    <w:p w14:paraId="483FADF3">
      <w:pPr>
        <w:jc w:val="center"/>
        <w:rPr>
          <w:rFonts w:ascii="Times New Roman" w:hAnsi="Times New Roman" w:eastAsia="微软雅黑" w:cs="Times New Roman"/>
          <w:b/>
          <w:bCs/>
          <w:color w:val="1F497D"/>
          <w:sz w:val="36"/>
          <w:szCs w:val="36"/>
        </w:rPr>
      </w:pPr>
    </w:p>
    <w:p w14:paraId="4E011686">
      <w:pPr>
        <w:jc w:val="center"/>
        <w:rPr>
          <w:rFonts w:ascii="黑体" w:hAnsi="黑体" w:eastAsia="黑体" w:cs="黑体"/>
          <w:b/>
          <w:bCs/>
          <w:color w:val="1F497D"/>
          <w:sz w:val="36"/>
          <w:szCs w:val="36"/>
        </w:rPr>
      </w:pPr>
      <w:r>
        <w:rPr>
          <w:rFonts w:hint="eastAsia" w:ascii="黑体" w:hAnsi="黑体" w:eastAsia="黑体" w:cs="黑体"/>
          <w:b/>
          <w:bCs/>
          <w:color w:val="1F497D"/>
          <w:sz w:val="36"/>
          <w:szCs w:val="36"/>
        </w:rPr>
        <w:drawing>
          <wp:anchor distT="0" distB="0" distL="114300" distR="114300" simplePos="0" relativeHeight="251662336" behindDoc="0" locked="0" layoutInCell="1" allowOverlap="0">
            <wp:simplePos x="0" y="0"/>
            <wp:positionH relativeFrom="column">
              <wp:posOffset>78105</wp:posOffset>
            </wp:positionH>
            <wp:positionV relativeFrom="paragraph">
              <wp:posOffset>-120650</wp:posOffset>
            </wp:positionV>
            <wp:extent cx="781050" cy="781050"/>
            <wp:effectExtent l="0" t="0" r="11430" b="11430"/>
            <wp:wrapSquare wrapText="bothSides"/>
            <wp:docPr id="84" name="图片 83" descr="无标题.png"/>
            <wp:cNvGraphicFramePr/>
            <a:graphic xmlns:a="http://schemas.openxmlformats.org/drawingml/2006/main">
              <a:graphicData uri="http://schemas.openxmlformats.org/drawingml/2006/picture">
                <pic:pic xmlns:pic="http://schemas.openxmlformats.org/drawingml/2006/picture">
                  <pic:nvPicPr>
                    <pic:cNvPr id="84" name="图片 83" descr="无标题.png"/>
                    <pic:cNvPicPr preferRelativeResize="0"/>
                  </pic:nvPicPr>
                  <pic:blipFill>
                    <a:blip r:embed="rId9"/>
                    <a:stretch>
                      <a:fillRect/>
                    </a:stretch>
                  </pic:blipFill>
                  <pic:spPr>
                    <a:xfrm>
                      <a:off x="0" y="0"/>
                      <a:ext cx="781050" cy="781050"/>
                    </a:xfrm>
                    <a:prstGeom prst="rect">
                      <a:avLst/>
                    </a:prstGeom>
                    <a:noFill/>
                    <a:ln>
                      <a:noFill/>
                    </a:ln>
                  </pic:spPr>
                </pic:pic>
              </a:graphicData>
            </a:graphic>
          </wp:anchor>
        </w:drawing>
      </w:r>
      <w:r>
        <w:rPr>
          <w:rFonts w:ascii="黑体" w:hAnsi="黑体" w:eastAsia="黑体" w:cs="黑体"/>
          <w:b/>
          <w:bCs/>
          <w:color w:val="1F497D"/>
          <w:sz w:val="36"/>
          <w:szCs w:val="36"/>
        </w:rPr>
        <w:t>重庆大学附属肿瘤医院 重庆市肿瘤医院 病理科</w:t>
      </w:r>
    </w:p>
    <w:p w14:paraId="1AC9E4F4">
      <w:pPr>
        <w:ind w:firstLine="1265" w:firstLineChars="350"/>
        <w:jc w:val="both"/>
        <w:rPr>
          <w:rFonts w:ascii="Times New Roman" w:hAnsi="Times New Roman" w:eastAsia="微软雅黑" w:cs="Times New Roman"/>
          <w:b/>
          <w:color w:val="1F497D"/>
          <w:sz w:val="36"/>
          <w:szCs w:val="36"/>
        </w:rPr>
      </w:pPr>
      <w:r>
        <w:rPr>
          <w:rFonts w:ascii="黑体" w:hAnsi="黑体" w:eastAsia="黑体" w:cs="黑体"/>
          <w:b/>
          <w:bCs/>
          <w:color w:val="1F497D"/>
          <w:sz w:val="36"/>
          <w:szCs w:val="36"/>
        </w:rPr>
        <w:t>肺癌13驱动基因检测报告</w:t>
      </w:r>
    </w:p>
    <w:p w14:paraId="4E61290D">
      <w:pPr>
        <w:rPr>
          <w:rFonts w:ascii="Times New Roman" w:hAnsi="Times New Roman" w:eastAsia="微软雅黑" w:cs="Times New Roman"/>
        </w:rPr>
      </w:pPr>
    </w:p>
    <w:tbl>
      <w:tblPr>
        <w:tblStyle w:val="19"/>
        <w:tblW w:w="9672" w:type="dxa"/>
        <w:tblInd w:w="0" w:type="dxa"/>
        <w:tblLayout w:type="fixed"/>
        <w:tblCellMar>
          <w:top w:w="0" w:type="dxa"/>
          <w:left w:w="0" w:type="dxa"/>
          <w:bottom w:w="0" w:type="dxa"/>
          <w:right w:w="0" w:type="dxa"/>
        </w:tblCellMar>
      </w:tblPr>
      <w:tblGrid>
        <w:gridCol w:w="1182"/>
        <w:gridCol w:w="951"/>
        <w:gridCol w:w="764"/>
        <w:gridCol w:w="704"/>
        <w:gridCol w:w="779"/>
        <w:gridCol w:w="779"/>
        <w:gridCol w:w="1334"/>
        <w:gridCol w:w="1395"/>
        <w:gridCol w:w="1784"/>
      </w:tblGrid>
      <w:tr w14:paraId="271ED5EF">
        <w:tblPrEx>
          <w:tblCellMar>
            <w:top w:w="0" w:type="dxa"/>
            <w:left w:w="0" w:type="dxa"/>
            <w:bottom w:w="0" w:type="dxa"/>
            <w:right w:w="0" w:type="dxa"/>
          </w:tblCellMar>
        </w:tblPrEx>
        <w:trPr>
          <w:trHeight w:val="402" w:hRule="atLeast"/>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0070AB59">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D6A1DB7">
            <w:pPr>
              <w:widowControl/>
              <w:jc w:val="center"/>
              <w:textAlignment w:val="center"/>
              <w:rPr>
                <w:b/>
                <w:color w:val="000000"/>
                <w:sz w:val="21"/>
                <w:szCs w:val="21"/>
                <w:lang w:bidi="ar"/>
              </w:rPr>
            </w:pPr>
            <w:r>
              <w:rPr>
                <w:rFonts w:ascii="Times New Roman" w:hAnsi="Times New Roman" w:eastAsia="微软雅黑" w:cs="Times New Roman"/>
                <w:b/>
                <w:color w:val="000000"/>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B02F203">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B0B3E1F">
            <w:pPr>
              <w:widowControl/>
              <w:jc w:val="center"/>
              <w:textAlignment w:val="center"/>
              <w:rPr>
                <w:b/>
                <w:color w:val="000000"/>
                <w:sz w:val="21"/>
                <w:szCs w:val="21"/>
                <w:lang w:bidi="ar"/>
              </w:rPr>
            </w:pP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95B0DCB">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52CF931">
            <w:pPr>
              <w:widowControl/>
              <w:jc w:val="center"/>
              <w:textAlignment w:val="center"/>
              <w:rPr>
                <w:b/>
                <w:color w:val="000000"/>
                <w:sz w:val="21"/>
                <w:szCs w:val="21"/>
                <w:lang w:bidi="ar"/>
              </w:rPr>
            </w:pPr>
            <w:r>
              <w:rPr>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9609B7A">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1A396686">
            <w:pPr>
              <w:widowControl/>
              <w:jc w:val="center"/>
              <w:textAlignment w:val="center"/>
              <w:rPr>
                <w:rFonts w:ascii="Times New Roman" w:hAnsi="Times New Roman" w:cs="Times New Roman"/>
                <w:b/>
                <w:bCs/>
                <w:kern w:val="2"/>
              </w:rPr>
            </w:pPr>
          </w:p>
        </w:tc>
      </w:tr>
      <w:tr w14:paraId="2E61EFCA">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501EE97">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62AFC9C">
            <w:pPr>
              <w:widowControl/>
              <w:jc w:val="center"/>
              <w:textAlignment w:val="center"/>
              <w:rPr>
                <w:b/>
                <w:color w:val="000000"/>
                <w:sz w:val="21"/>
                <w:szCs w:val="21"/>
                <w:lang w:bidi="ar"/>
              </w:rPr>
            </w:pP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A29B9C7">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DC8B73E">
            <w:pPr>
              <w:jc w:val="center"/>
              <w:rPr>
                <w:b/>
                <w:color w:val="000000"/>
                <w:sz w:val="21"/>
                <w:szCs w:val="21"/>
                <w:lang w:bidi="ar"/>
              </w:rPr>
            </w:pP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82ACF52">
            <w:pPr>
              <w:widowControl/>
              <w:jc w:val="center"/>
              <w:textAlignment w:val="center"/>
              <w:rPr>
                <w:b/>
                <w:color w:val="000000"/>
                <w:sz w:val="21"/>
                <w:szCs w:val="21"/>
                <w:lang w:bidi="ar"/>
              </w:rPr>
            </w:pPr>
            <w:r>
              <w:rPr>
                <w:b/>
                <w:color w:val="000000"/>
                <w:sz w:val="21"/>
                <w:szCs w:val="21"/>
                <w:lang w:bidi="ar"/>
              </w:rPr>
              <w:t>科室</w:t>
            </w:r>
          </w:p>
        </w:tc>
        <w:tc>
          <w:tcPr>
            <w:tcW w:w="4513" w:type="dxa"/>
            <w:gridSpan w:val="3"/>
            <w:tcBorders>
              <w:top w:val="nil"/>
              <w:left w:val="single" w:color="000000" w:sz="8" w:space="0"/>
              <w:bottom w:val="single" w:color="000000" w:sz="8" w:space="0"/>
              <w:right w:val="nil"/>
            </w:tcBorders>
            <w:noWrap/>
            <w:tcMar>
              <w:top w:w="15" w:type="dxa"/>
              <w:left w:w="15" w:type="dxa"/>
              <w:right w:w="15" w:type="dxa"/>
            </w:tcMar>
            <w:vAlign w:val="center"/>
          </w:tcPr>
          <w:p w14:paraId="3D6031C4">
            <w:pPr>
              <w:widowControl/>
              <w:jc w:val="center"/>
              <w:textAlignment w:val="center"/>
              <w:rPr>
                <w:b/>
                <w:color w:val="000000"/>
                <w:sz w:val="21"/>
                <w:szCs w:val="21"/>
                <w:lang w:bidi="ar"/>
              </w:rPr>
            </w:pPr>
          </w:p>
        </w:tc>
      </w:tr>
      <w:tr w14:paraId="77B546ED">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E38EC13">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8C590FB">
            <w:pPr>
              <w:widowControl/>
              <w:jc w:val="center"/>
              <w:textAlignment w:val="center"/>
              <w:rPr>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E57E597">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D0FCE17">
            <w:pPr>
              <w:widowControl/>
              <w:jc w:val="center"/>
              <w:textAlignment w:val="center"/>
              <w:rPr>
                <w:rFonts w:ascii="Times New Roman" w:hAnsi="Times New Roman" w:cs="Times New Roman"/>
                <w:b/>
                <w:bCs/>
              </w:rPr>
            </w:pPr>
            <w:r>
              <w:rPr>
                <w:rFonts w:ascii="Times New Roman" w:hAnsi="Times New Roman" w:cs="Times New Roman"/>
                <w:b/>
                <w:bCs/>
              </w:rPr>
              <w:t>{{ template_subbarcode }}</w:t>
            </w:r>
          </w:p>
        </w:tc>
        <w:tc>
          <w:tcPr>
            <w:tcW w:w="1395"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2620220">
            <w:pPr>
              <w:widowControl/>
              <w:jc w:val="center"/>
              <w:textAlignment w:val="center"/>
              <w:rPr>
                <w:b/>
                <w:color w:val="000000"/>
                <w:sz w:val="21"/>
                <w:szCs w:val="21"/>
                <w:lang w:bidi="ar"/>
              </w:rPr>
            </w:pPr>
            <w:r>
              <w:rPr>
                <w:b/>
                <w:color w:val="000000"/>
                <w:sz w:val="21"/>
                <w:szCs w:val="21"/>
                <w:lang w:bidi="ar"/>
              </w:rPr>
              <w:t>送检日期</w:t>
            </w:r>
          </w:p>
        </w:tc>
        <w:tc>
          <w:tcPr>
            <w:tcW w:w="1784" w:type="dxa"/>
            <w:tcBorders>
              <w:top w:val="nil"/>
              <w:left w:val="single" w:color="000000" w:sz="8" w:space="0"/>
              <w:bottom w:val="single" w:color="000000" w:sz="8" w:space="0"/>
              <w:right w:val="nil"/>
            </w:tcBorders>
            <w:noWrap/>
            <w:tcMar>
              <w:top w:w="15" w:type="dxa"/>
              <w:left w:w="15" w:type="dxa"/>
              <w:right w:w="15" w:type="dxa"/>
            </w:tcMar>
            <w:vAlign w:val="center"/>
          </w:tcPr>
          <w:p w14:paraId="74F8612F">
            <w:pPr>
              <w:widowControl/>
              <w:jc w:val="center"/>
              <w:textAlignment w:val="center"/>
              <w:rPr>
                <w:rFonts w:ascii="Times New Roman" w:hAnsi="Times New Roman" w:cs="Times New Roman"/>
                <w:b/>
                <w:bCs/>
                <w:kern w:val="2"/>
              </w:rPr>
            </w:pPr>
            <w:r>
              <w:rPr>
                <w:rFonts w:ascii="Times New Roman" w:hAnsi="Times New Roman" w:cs="Times New Roman"/>
                <w:b/>
                <w:bCs/>
                <w:kern w:val="2"/>
              </w:rPr>
              <w:t>{{ commission_date }}</w:t>
            </w:r>
          </w:p>
        </w:tc>
      </w:tr>
    </w:tbl>
    <w:p w14:paraId="006EDFDF">
      <w:pPr>
        <w:rPr>
          <w:rFonts w:ascii="Times New Roman" w:hAnsi="Times New Roman" w:eastAsia="微软雅黑" w:cs="Times New Roman"/>
        </w:rPr>
      </w:pPr>
    </w:p>
    <w:p w14:paraId="70925229">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r>
        <w:rPr>
          <w:rFonts w:ascii="Times New Roman" w:hAnsi="Times New Roman" w:eastAsia="微软雅黑" w:cs="Times New Roman"/>
          <w:b/>
          <w:color w:val="00B050"/>
          <w:sz w:val="48"/>
          <w:szCs w:val="48"/>
        </w:rPr>
        <mc:AlternateContent>
          <mc:Choice Requires="wps">
            <w:drawing>
              <wp:anchor distT="0" distB="0" distL="114300" distR="114300" simplePos="0" relativeHeight="251661312" behindDoc="0" locked="0" layoutInCell="1" allowOverlap="1">
                <wp:simplePos x="0" y="0"/>
                <wp:positionH relativeFrom="column">
                  <wp:posOffset>3259455</wp:posOffset>
                </wp:positionH>
                <wp:positionV relativeFrom="paragraph">
                  <wp:posOffset>189230</wp:posOffset>
                </wp:positionV>
                <wp:extent cx="2907030" cy="195516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2907030" cy="1955165"/>
                        </a:xfrm>
                        <a:prstGeom prst="rect">
                          <a:avLst/>
                        </a:prstGeom>
                        <a:noFill/>
                        <a:ln>
                          <a:noFill/>
                        </a:ln>
                      </wps:spPr>
                      <wps:txbx>
                        <w:txbxContent>
                          <w:p w14:paraId="0F41B3BC">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wps:txbx>
                      <wps:bodyPr upright="1">
                        <a:spAutoFit/>
                      </wps:bodyPr>
                    </wps:wsp>
                  </a:graphicData>
                </a:graphic>
                <wp14:sizeRelH relativeFrom="page">
                  <wp14:pctWidth>0</wp14:pctWidth>
                </wp14:sizeRelH>
                <wp14:sizeRelV relativeFrom="margin">
                  <wp14:pctHeight>20000</wp14:pctHeight>
                </wp14:sizeRelV>
              </wp:anchor>
            </w:drawing>
          </mc:Choice>
          <mc:Fallback>
            <w:pict>
              <v:shape id="_x0000_s1026" o:spid="_x0000_s1026" o:spt="202" type="#_x0000_t202" style="position:absolute;left:0pt;margin-left:256.65pt;margin-top:14.9pt;height:153.95pt;width:228.9pt;z-index:251661312;mso-width-relative:page;mso-height-relative:margin;mso-height-percent:200;" filled="f" stroked="f" coordsize="21600,21600" o:gfxdata="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J/BUf2AAAAAoBAAAPAAAAAAAAAAEAIAAAACIAAABkcnMvZG93bnJldi54bWxQSwEC&#10;FAAUAAAACACHTuJAKn3h77sBAABrAwAADgAAAAAAAAABACAAAAAnAQAAZHJzL2Uyb0RvYy54bWxQ&#10;SwUGAAAAAAYABgBZAQAAVAUAAAAA&#10;">
                <v:fill on="f" focussize="0,0"/>
                <v:stroke on="f"/>
                <v:imagedata o:title=""/>
                <o:lock v:ext="edit" aspectratio="f"/>
                <v:textbox style="mso-fit-shape-to-text:t;">
                  <w:txbxContent>
                    <w:p w14:paraId="0F41B3BC">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v:textbox>
              </v:shape>
            </w:pict>
          </mc:Fallback>
        </mc:AlternateContent>
      </w:r>
    </w:p>
    <w:tbl>
      <w:tblPr>
        <w:tblStyle w:val="19"/>
        <w:tblW w:w="9791" w:type="dxa"/>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549"/>
      </w:tblGrid>
      <w:tr w14:paraId="6CFA423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tcPr>
          <w:p w14:paraId="669FC319">
            <w:pPr>
              <w:pStyle w:val="17"/>
              <w:rPr>
                <w:rFonts w:asciiTheme="minorEastAsia" w:hAnsiTheme="minorEastAsia" w:eastAsiaTheme="minorEastAsia"/>
                <w:b/>
                <w:sz w:val="21"/>
                <w:szCs w:val="21"/>
              </w:rPr>
            </w:pPr>
            <w:bookmarkStart w:id="0" w:name="_Toc526855031"/>
            <w:bookmarkStart w:id="1" w:name="_Toc527112379"/>
            <w:r>
              <w:rPr>
                <w:rFonts w:hint="eastAsia" w:asciiTheme="minorEastAsia" w:hAnsiTheme="minorEastAsia" w:eastAsiaTheme="minorEastAsia"/>
                <w:b/>
                <w:sz w:val="21"/>
                <w:szCs w:val="21"/>
              </w:rPr>
              <w:t>检测方法</w:t>
            </w:r>
          </w:p>
        </w:tc>
        <w:tc>
          <w:tcPr>
            <w:tcW w:w="8549" w:type="dxa"/>
            <w:vAlign w:val="center"/>
          </w:tcPr>
          <w:p w14:paraId="1A0C8295">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脱氧核糖核酸(DNA)测序</w:t>
            </w:r>
          </w:p>
        </w:tc>
      </w:tr>
      <w:tr w14:paraId="6B7ADCF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tcPr>
          <w:p w14:paraId="57CAA7F2">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549" w:type="dxa"/>
            <w:vAlign w:val="center"/>
          </w:tcPr>
          <w:p w14:paraId="1499CDDA">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组织学样本,肿瘤细胞比例&gt;20%</w:t>
            </w:r>
          </w:p>
        </w:tc>
      </w:tr>
      <w:tr w14:paraId="2502F03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242" w:type="dxa"/>
          </w:tcPr>
          <w:p w14:paraId="637CC9F9">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检测平台</w:t>
            </w:r>
          </w:p>
        </w:tc>
        <w:tc>
          <w:tcPr>
            <w:tcW w:w="8549" w:type="dxa"/>
            <w:vAlign w:val="center"/>
          </w:tcPr>
          <w:p w14:paraId="455D3D3C">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Life ion torrent DA8600</w:t>
            </w:r>
          </w:p>
        </w:tc>
      </w:tr>
      <w:tr w14:paraId="1479B70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trPr>
        <w:tc>
          <w:tcPr>
            <w:tcW w:w="1242" w:type="dxa"/>
          </w:tcPr>
          <w:p w14:paraId="7CC6BB35">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549" w:type="dxa"/>
          </w:tcPr>
          <w:p w14:paraId="6F08CDCC">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基于DNA，RNA水平，用二代测序平台检测肺癌个体化用药相关的16个基因以及附加的44个治疗相关基因的特定变异。</w:t>
            </w:r>
          </w:p>
          <w:p w14:paraId="3FCBFA87">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可检测ALK, EGFR, KRAS, BRAF, ERBB2/3/4, RET, MET, ROS1, NRAS, HRAS, PIK3CA, PTEN, TP53, UGT1A1, IDH1/2, JAK1/2/3, FGFR2/3, PDGFRA 等43基因的全外显子或热点区域，提供基因的点突变（SNV）和插入缺失（INDEL）两种变异类型的检出情况。</w:t>
            </w:r>
          </w:p>
          <w:p w14:paraId="0F56EAC8">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同时，还能检测ALK、MET、BRAF、CCND1、KRAS、MYC等19个基因的拷贝数变异（CNV）。并包括ALK, ROS1, RET, NTRK1/2/3, FGFR1/2/3, MET, BRAF, RAF1, ERG, ETV1/4/5, ABL1, AKT3, AXL, EGFR, PPARG, ERBB2, PDGFRA共23个基因的融合检测（RNA水平）。</w:t>
            </w:r>
          </w:p>
        </w:tc>
      </w:tr>
      <w:tr w14:paraId="73177A6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1242" w:type="dxa"/>
          </w:tcPr>
          <w:p w14:paraId="1C7030A3">
            <w:pPr>
              <w:pStyle w:val="17"/>
              <w:rPr>
                <w:rFonts w:asciiTheme="minorEastAsia" w:hAnsiTheme="minorEastAsia" w:eastAsiaTheme="minorEastAsia"/>
                <w:b/>
                <w:sz w:val="21"/>
                <w:szCs w:val="21"/>
              </w:rPr>
            </w:pPr>
            <w:r>
              <w:rPr>
                <w:rFonts w:hint="eastAsia"/>
                <w:b/>
                <w:color w:val="000000"/>
                <w:sz w:val="21"/>
                <w:szCs w:val="21"/>
                <w:lang w:bidi="ar"/>
              </w:rPr>
              <w:t>病理诊断</w:t>
            </w:r>
          </w:p>
        </w:tc>
        <w:tc>
          <w:tcPr>
            <w:tcW w:w="8549" w:type="dxa"/>
            <w:vAlign w:val="center"/>
          </w:tcPr>
          <w:p w14:paraId="17069890">
            <w:pPr>
              <w:pStyle w:val="17"/>
              <w:tabs>
                <w:tab w:val="left" w:pos="1114"/>
              </w:tabs>
              <w:spacing w:before="0" w:beforeAutospacing="0" w:after="0" w:afterAutospacing="0"/>
              <w:jc w:val="both"/>
              <w:rPr>
                <w:rFonts w:asciiTheme="minorEastAsia" w:hAnsiTheme="minorEastAsia" w:eastAsiaTheme="minorEastAsia"/>
                <w:color w:val="000000" w:themeColor="text1"/>
                <w:sz w:val="21"/>
                <w:szCs w:val="21"/>
                <w14:textFill>
                  <w14:solidFill>
                    <w14:schemeClr w14:val="tx1"/>
                  </w14:solidFill>
                </w14:textFill>
              </w:rPr>
            </w:pPr>
          </w:p>
        </w:tc>
      </w:tr>
    </w:tbl>
    <w:p w14:paraId="66BF435D">
      <w:pPr>
        <w:rPr>
          <w:rFonts w:ascii="Times New Roman" w:hAnsi="Times New Roman" w:eastAsia="微软雅黑" w:cs="Times New Roman"/>
          <w:b/>
          <w:bCs/>
          <w:sz w:val="28"/>
          <w:szCs w:val="28"/>
        </w:rPr>
      </w:pPr>
    </w:p>
    <w:p w14:paraId="52883C7F">
      <w:pPr>
        <w:rPr>
          <w:b/>
          <w:bCs/>
          <w:sz w:val="28"/>
          <w:szCs w:val="28"/>
        </w:rPr>
      </w:pPr>
      <w:r>
        <w:rPr>
          <w:b/>
          <w:bCs/>
          <w:sz w:val="28"/>
          <w:szCs w:val="28"/>
        </w:rPr>
        <w:t>本报告涉及样本数据质控情况：</w:t>
      </w:r>
    </w:p>
    <w:tbl>
      <w:tblPr>
        <w:tblStyle w:val="47"/>
        <w:tblW w:w="7054" w:type="dxa"/>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2581"/>
        <w:gridCol w:w="3197"/>
        <w:gridCol w:w="1276"/>
      </w:tblGrid>
      <w:tr w14:paraId="4C50469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4F85BBB0">
            <w:pPr>
              <w:jc w:val="center"/>
              <w:rPr>
                <w:rFonts w:asciiTheme="minorEastAsia" w:hAnsiTheme="minorEastAsia" w:eastAsiaTheme="minorEastAsia"/>
                <w:b w:val="0"/>
                <w:bCs w:val="0"/>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数据质控指标</w:t>
            </w:r>
          </w:p>
        </w:tc>
        <w:tc>
          <w:tcPr>
            <w:tcW w:w="3197" w:type="dxa"/>
            <w:tcBorders>
              <w:top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587E29D3">
            <w:pPr>
              <w:jc w:val="center"/>
              <w:rPr>
                <w:rFonts w:asciiTheme="minorEastAsia" w:hAnsiTheme="minorEastAsia" w:eastAsiaTheme="minorEastAsia"/>
                <w:b w:val="0"/>
                <w:bCs w:val="0"/>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实际值</w:t>
            </w:r>
          </w:p>
        </w:tc>
        <w:tc>
          <w:tcPr>
            <w:tcW w:w="1276"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1F497D" w:themeFill="text2"/>
            <w:vAlign w:val="center"/>
          </w:tcPr>
          <w:p w14:paraId="7B176A27">
            <w:pPr>
              <w:jc w:val="center"/>
              <w:rPr>
                <w:rFonts w:asciiTheme="minorEastAsia" w:hAnsiTheme="minorEastAsia" w:eastAsiaTheme="minorEastAsia"/>
                <w:b w:val="0"/>
                <w:bCs w:val="0"/>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质控标准</w:t>
            </w:r>
          </w:p>
        </w:tc>
      </w:tr>
      <w:tr w14:paraId="5318860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shd w:val="clear" w:color="auto" w:fill="auto"/>
            <w:vAlign w:val="center"/>
          </w:tcPr>
          <w:p w14:paraId="3EB0E267">
            <w:pPr>
              <w:jc w:val="center"/>
              <w:rPr>
                <w:rFonts w:asciiTheme="minorEastAsia" w:hAnsiTheme="minorEastAsia" w:eastAsiaTheme="minorEastAsia"/>
                <w:b w:val="0"/>
                <w:bCs w:val="0"/>
              </w:rPr>
            </w:pPr>
            <w:r>
              <w:rPr>
                <w:rFonts w:asciiTheme="minorEastAsia" w:hAnsiTheme="minorEastAsia" w:eastAsiaTheme="minorEastAsia"/>
                <w:b/>
                <w:bCs/>
              </w:rPr>
              <w:t>目标区域平均测序深度</w:t>
            </w:r>
            <w:r>
              <w:rPr>
                <w:rFonts w:hint="eastAsia" w:asciiTheme="minorEastAsia" w:hAnsiTheme="minorEastAsia" w:eastAsiaTheme="minorEastAsia"/>
                <w:b/>
                <w:bCs/>
              </w:rPr>
              <w:t>*</w:t>
            </w:r>
          </w:p>
        </w:tc>
        <w:tc>
          <w:tcPr>
            <w:tcW w:w="3197" w:type="dxa"/>
            <w:shd w:val="clear" w:color="auto" w:fill="auto"/>
            <w:vAlign w:val="center"/>
          </w:tcPr>
          <w:p w14:paraId="22EA5134">
            <w:pPr>
              <w:jc w:val="center"/>
              <w:rPr>
                <w:rFonts w:ascii="Times New Roman" w:hAnsi="Times New Roman" w:eastAsia="微软雅黑" w:cs="Times New Roman"/>
              </w:rPr>
            </w:pPr>
            <w:r>
              <w:rPr>
                <w:rFonts w:ascii="Times New Roman" w:hAnsi="Times New Roman" w:eastAsia="微软雅黑" w:cs="Times New Roman"/>
                <w:kern w:val="2"/>
                <w:sz w:val="24"/>
                <w:szCs w:val="24"/>
              </w:rPr>
              <w:t>{{ meanSequencingDepth }}</w:t>
            </w:r>
            <w:r>
              <w:rPr>
                <w:rFonts w:ascii="Times New Roman" w:hAnsi="Times New Roman" w:eastAsia="微软雅黑" w:cs="Times New Roman"/>
                <w:color w:val="000000"/>
                <w:kern w:val="2"/>
                <w:sz w:val="24"/>
                <w:szCs w:val="24"/>
              </w:rPr>
              <w:t>X</w:t>
            </w:r>
          </w:p>
        </w:tc>
        <w:tc>
          <w:tcPr>
            <w:tcW w:w="1276" w:type="dxa"/>
            <w:shd w:val="clear" w:color="auto" w:fill="auto"/>
            <w:vAlign w:val="center"/>
          </w:tcPr>
          <w:p w14:paraId="1239EBD2">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≥3000X</w:t>
            </w:r>
          </w:p>
        </w:tc>
      </w:tr>
      <w:tr w14:paraId="5023344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vAlign w:val="center"/>
          </w:tcPr>
          <w:p w14:paraId="6EDB3B05">
            <w:pPr>
              <w:jc w:val="center"/>
              <w:rPr>
                <w:rFonts w:asciiTheme="minorEastAsia" w:hAnsiTheme="minorEastAsia" w:eastAsiaTheme="minorEastAsia"/>
                <w:b w:val="0"/>
                <w:bCs w:val="0"/>
              </w:rPr>
            </w:pPr>
            <w:r>
              <w:rPr>
                <w:rFonts w:asciiTheme="minorEastAsia" w:hAnsiTheme="minorEastAsia" w:eastAsiaTheme="minorEastAsia"/>
                <w:b/>
                <w:bCs/>
              </w:rPr>
              <w:t>覆盖度</w:t>
            </w:r>
          </w:p>
        </w:tc>
        <w:tc>
          <w:tcPr>
            <w:tcW w:w="3197" w:type="dxa"/>
            <w:vAlign w:val="center"/>
          </w:tcPr>
          <w:p w14:paraId="6B7425A6">
            <w:pPr>
              <w:jc w:val="center"/>
              <w:rPr>
                <w:rFonts w:ascii="Times New Roman" w:hAnsi="Times New Roman" w:eastAsia="微软雅黑" w:cs="Times New Roman"/>
              </w:rPr>
            </w:pPr>
            <w:r>
              <w:rPr>
                <w:rFonts w:ascii="Times New Roman" w:hAnsi="Times New Roman" w:eastAsia="微软雅黑" w:cs="Times New Roman"/>
                <w:kern w:val="2"/>
                <w:sz w:val="24"/>
                <w:szCs w:val="24"/>
              </w:rPr>
              <w:t>{{ targetAreaCoverage }}</w:t>
            </w:r>
            <w:r>
              <w:rPr>
                <w:rFonts w:ascii="Times New Roman" w:hAnsi="Times New Roman" w:eastAsia="微软雅黑" w:cs="Times New Roman"/>
                <w:color w:val="000000"/>
                <w:kern w:val="2"/>
                <w:sz w:val="24"/>
                <w:szCs w:val="24"/>
              </w:rPr>
              <w:t>%</w:t>
            </w:r>
          </w:p>
        </w:tc>
        <w:tc>
          <w:tcPr>
            <w:tcW w:w="1276" w:type="dxa"/>
            <w:vAlign w:val="center"/>
          </w:tcPr>
          <w:p w14:paraId="61D554CD">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≥95%</w:t>
            </w:r>
          </w:p>
        </w:tc>
      </w:tr>
    </w:tbl>
    <w:p w14:paraId="71999900">
      <w:pPr>
        <w:pStyle w:val="2"/>
        <w:ind w:firstLine="900" w:firstLineChars="500"/>
        <w:jc w:val="left"/>
        <w:rPr>
          <w:rFonts w:ascii="Times New Roman" w:hAnsi="Times New Roman" w:eastAsia="微软雅黑" w:cs="Times New Roman"/>
          <w:b w:val="0"/>
          <w:sz w:val="22"/>
          <w:szCs w:val="22"/>
        </w:rPr>
      </w:pPr>
      <w:bookmarkStart w:id="2" w:name="_Toc534637492"/>
      <w:r>
        <w:rPr>
          <w:rFonts w:hint="eastAsia" w:ascii="宋体" w:hAnsi="宋体" w:eastAsia="宋体" w:cs="Times New Roman"/>
          <w:b w:val="0"/>
          <w:sz w:val="18"/>
          <w:szCs w:val="18"/>
        </w:rPr>
        <w:t>注：结合本平台试剂扩增效率和生物信息学统计结果，建议平均测序深度质控标准不低于</w:t>
      </w:r>
      <w:r>
        <w:rPr>
          <w:rFonts w:hint="eastAsia" w:ascii="Times New Roman" w:hAnsi="Times New Roman" w:eastAsia="微软雅黑" w:cs="Times New Roman"/>
          <w:b w:val="0"/>
          <w:sz w:val="18"/>
          <w:szCs w:val="18"/>
        </w:rPr>
        <w:t>3000X</w:t>
      </w:r>
    </w:p>
    <w:p w14:paraId="2C8F95F4">
      <w:pPr>
        <w:jc w:val="center"/>
        <w:rPr>
          <w:rFonts w:ascii="Times New Roman" w:hAnsi="Times New Roman" w:eastAsia="微软雅黑" w:cs="Times New Roman"/>
          <w:b/>
          <w:color w:val="FFFFFF"/>
          <w:sz w:val="36"/>
          <w:szCs w:val="30"/>
          <w:shd w:val="clear" w:color="auto" w:fill="17365D"/>
        </w:rPr>
      </w:pPr>
    </w:p>
    <w:p w14:paraId="1B787C59">
      <w:pPr>
        <w:pStyle w:val="2"/>
        <w:rPr>
          <w:rFonts w:ascii="Times New Roman" w:hAnsi="Times New Roman" w:eastAsia="微软雅黑" w:cs="Times New Roman"/>
          <w:color w:val="FFFFFF"/>
          <w:szCs w:val="30"/>
          <w:shd w:val="clear" w:color="auto" w:fill="17365D"/>
        </w:rPr>
      </w:pPr>
      <w:r>
        <w:rPr>
          <w:rFonts w:ascii="Times New Roman" w:hAnsi="Times New Roman" w:eastAsia="宋体" w:cs="Times New Roman"/>
          <w:color w:val="FFFFFF"/>
          <w:szCs w:val="30"/>
          <w:shd w:val="clear" w:color="auto" w:fill="17365D"/>
        </w:rPr>
        <w:t>检测结果</w:t>
      </w:r>
      <w:bookmarkEnd w:id="0"/>
      <w:bookmarkEnd w:id="1"/>
      <w:bookmarkEnd w:id="2"/>
    </w:p>
    <w:p w14:paraId="7847197A">
      <w:pPr>
        <w:rPr>
          <w:rFonts w:ascii="Times New Roman" w:hAnsi="Times New Roman" w:eastAsia="微软雅黑" w:cs="Times New Roman"/>
        </w:rPr>
      </w:pPr>
    </w:p>
    <w:tbl>
      <w:tblPr>
        <w:tblStyle w:val="19"/>
        <w:tblpPr w:leftFromText="180" w:rightFromText="180" w:vertAnchor="text" w:horzAnchor="page" w:tblpXSpec="center" w:tblpY="1"/>
        <w:tblOverlap w:val="never"/>
        <w:tblW w:w="506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92"/>
        <w:gridCol w:w="1493"/>
        <w:gridCol w:w="1493"/>
        <w:gridCol w:w="1493"/>
        <w:gridCol w:w="1497"/>
        <w:gridCol w:w="1738"/>
      </w:tblGrid>
      <w:tr w14:paraId="28930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5AA95188">
            <w:pPr>
              <w:adjustRightInd w:val="0"/>
              <w:snapToGrid w:val="0"/>
              <w:jc w:val="center"/>
              <w:rPr>
                <w:rFonts w:ascii="Times New Roman" w:hAnsi="Times New Roman"/>
                <w:kern w:val="2"/>
                <w:sz w:val="28"/>
                <w:szCs w:val="28"/>
              </w:rPr>
            </w:pPr>
            <w:r>
              <w:rPr>
                <w:rFonts w:hint="eastAsia" w:ascii="Times New Roman" w:hAnsi="Times New Roman"/>
                <w:kern w:val="2"/>
                <w:sz w:val="28"/>
                <w:szCs w:val="28"/>
              </w:rPr>
              <w:t>变异分级</w:t>
            </w:r>
          </w:p>
        </w:tc>
        <w:tc>
          <w:tcPr>
            <w:tcW w:w="811" w:type="pct"/>
            <w:tcBorders>
              <w:tl2br w:val="nil"/>
              <w:tr2bl w:val="nil"/>
            </w:tcBorders>
            <w:vAlign w:val="center"/>
          </w:tcPr>
          <w:p w14:paraId="2CA9C41F">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I</w:t>
            </w:r>
          </w:p>
        </w:tc>
        <w:tc>
          <w:tcPr>
            <w:tcW w:w="3378" w:type="pct"/>
            <w:gridSpan w:val="4"/>
            <w:tcBorders>
              <w:tl2br w:val="nil"/>
              <w:tr2bl w:val="nil"/>
            </w:tcBorders>
            <w:vAlign w:val="center"/>
          </w:tcPr>
          <w:p w14:paraId="07D59A74">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有重要的临床意义</w:t>
            </w:r>
          </w:p>
        </w:tc>
      </w:tr>
      <w:tr w14:paraId="45350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2BC04843">
            <w:pPr>
              <w:jc w:val="center"/>
              <w:rPr>
                <w:rFonts w:ascii="Calibri" w:hAnsi="Calibri" w:cs="Times New Roman"/>
                <w:b/>
                <w:bCs/>
                <w:sz w:val="18"/>
                <w:szCs w:val="18"/>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0AA0F867">
            <w:pPr>
              <w:jc w:val="center"/>
              <w:rPr>
                <w:rFonts w:ascii="Calibri" w:hAnsi="Calibri" w:cs="Times New Roman"/>
                <w:b/>
                <w:bCs/>
                <w:sz w:val="18"/>
                <w:szCs w:val="18"/>
              </w:rPr>
            </w:pPr>
            <w:r>
              <w:rPr>
                <w:rFonts w:hint="eastAsia" w:ascii="Calibri" w:hAnsi="Calibri" w:cs="Times New Roman"/>
                <w:b/>
                <w:bCs/>
                <w:sz w:val="18"/>
                <w:szCs w:val="18"/>
              </w:rPr>
              <w:t>转录本</w:t>
            </w:r>
          </w:p>
        </w:tc>
        <w:tc>
          <w:tcPr>
            <w:tcW w:w="811" w:type="pct"/>
            <w:tcBorders>
              <w:tl2br w:val="nil"/>
              <w:tr2bl w:val="nil"/>
            </w:tcBorders>
            <w:shd w:val="clear" w:color="auto" w:fill="1F497D" w:themeFill="text2"/>
            <w:vAlign w:val="center"/>
          </w:tcPr>
          <w:p w14:paraId="5C663486">
            <w:pPr>
              <w:jc w:val="center"/>
              <w:rPr>
                <w:rFonts w:ascii="Calibri" w:hAnsi="Calibri" w:cs="Times New Roman"/>
                <w:b/>
                <w:bCs/>
                <w:sz w:val="18"/>
                <w:szCs w:val="18"/>
              </w:rPr>
            </w:pPr>
            <w:r>
              <w:rPr>
                <w:rFonts w:hint="eastAsia" w:ascii="Calibri" w:hAnsi="Calibri" w:cs="Times New Roman"/>
                <w:b/>
                <w:bCs/>
                <w:sz w:val="18"/>
                <w:szCs w:val="18"/>
              </w:rPr>
              <w:t>外显子/内含子</w:t>
            </w:r>
          </w:p>
        </w:tc>
        <w:tc>
          <w:tcPr>
            <w:tcW w:w="811" w:type="pct"/>
            <w:tcBorders>
              <w:tl2br w:val="nil"/>
              <w:tr2bl w:val="nil"/>
            </w:tcBorders>
            <w:shd w:val="clear" w:color="auto" w:fill="1F497D" w:themeFill="text2"/>
            <w:vAlign w:val="center"/>
          </w:tcPr>
          <w:p w14:paraId="57F9DFDB">
            <w:pPr>
              <w:jc w:val="center"/>
              <w:rPr>
                <w:rFonts w:ascii="Calibri" w:hAnsi="Calibri" w:cs="Times New Roman"/>
                <w:b/>
                <w:bCs/>
                <w:sz w:val="18"/>
                <w:szCs w:val="18"/>
              </w:rPr>
            </w:pPr>
            <w:r>
              <w:rPr>
                <w:rFonts w:hint="eastAsia" w:ascii="Calibri" w:hAnsi="Calibri" w:cs="Times New Roman"/>
                <w:b/>
                <w:bCs/>
                <w:sz w:val="18"/>
                <w:szCs w:val="18"/>
              </w:rPr>
              <w:t>核苷酸变化</w:t>
            </w:r>
          </w:p>
        </w:tc>
        <w:tc>
          <w:tcPr>
            <w:tcW w:w="811" w:type="pct"/>
            <w:tcBorders>
              <w:tl2br w:val="nil"/>
              <w:tr2bl w:val="nil"/>
            </w:tcBorders>
            <w:shd w:val="clear" w:color="auto" w:fill="1F497D" w:themeFill="text2"/>
            <w:vAlign w:val="center"/>
          </w:tcPr>
          <w:p w14:paraId="280DB2F8">
            <w:pPr>
              <w:jc w:val="center"/>
              <w:rPr>
                <w:rFonts w:ascii="Calibri" w:hAnsi="Calibri" w:cs="Times New Roman"/>
                <w:b/>
                <w:bCs/>
                <w:sz w:val="18"/>
                <w:szCs w:val="18"/>
              </w:rPr>
            </w:pPr>
            <w:r>
              <w:rPr>
                <w:rFonts w:hint="eastAsia" w:ascii="Calibri" w:hAnsi="Calibri" w:cs="Times New Roman"/>
                <w:b/>
                <w:bCs/>
                <w:sz w:val="18"/>
                <w:szCs w:val="18"/>
              </w:rPr>
              <w:t>氨基酸变化</w:t>
            </w:r>
          </w:p>
        </w:tc>
        <w:tc>
          <w:tcPr>
            <w:tcW w:w="943" w:type="pct"/>
            <w:tcBorders>
              <w:tl2br w:val="nil"/>
              <w:tr2bl w:val="nil"/>
            </w:tcBorders>
            <w:shd w:val="clear" w:color="auto" w:fill="1F497D" w:themeFill="text2"/>
            <w:vAlign w:val="center"/>
          </w:tcPr>
          <w:p w14:paraId="3097A8D7">
            <w:pPr>
              <w:jc w:val="center"/>
              <w:rPr>
                <w:rFonts w:ascii="Calibri" w:hAnsi="Calibri" w:cs="Times New Roman"/>
                <w:b/>
                <w:bCs/>
                <w:sz w:val="18"/>
                <w:szCs w:val="18"/>
              </w:rPr>
            </w:pPr>
            <w:r>
              <w:rPr>
                <w:rFonts w:hint="eastAsia" w:ascii="Calibri" w:hAnsi="Calibri" w:cs="Times New Roman"/>
                <w:b/>
                <w:bCs/>
                <w:sz w:val="18"/>
                <w:szCs w:val="18"/>
              </w:rPr>
              <w:t>变异丰度</w:t>
            </w:r>
            <w:r>
              <w:rPr>
                <w:rFonts w:ascii="Calibri" w:hAnsi="Calibri" w:cs="Times New Roman"/>
                <w:b/>
                <w:bCs/>
                <w:sz w:val="18"/>
                <w:szCs w:val="18"/>
              </w:rPr>
              <w:t>/</w:t>
            </w:r>
            <w:r>
              <w:rPr>
                <w:rFonts w:hint="eastAsia" w:ascii="Calibri" w:hAnsi="Calibri" w:cs="Times New Roman"/>
                <w:b/>
                <w:bCs/>
                <w:sz w:val="18"/>
                <w:szCs w:val="18"/>
              </w:rPr>
              <w:t>拷贝数</w:t>
            </w:r>
          </w:p>
        </w:tc>
      </w:tr>
      <w:tr w14:paraId="78BE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1DF26FF7">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rPr>
              <w:t xml:space="preserve"> variationGrading.variationGrading1</w:t>
            </w:r>
            <w:r>
              <w:rPr>
                <w:rFonts w:ascii="Times New Roman" w:hAnsi="Times New Roman"/>
                <w:kern w:val="2"/>
                <w:sz w:val="18"/>
                <w:szCs w:val="18"/>
              </w:rPr>
              <w:t xml:space="preserve"> != [] %}</w:t>
            </w:r>
          </w:p>
        </w:tc>
      </w:tr>
      <w:tr w14:paraId="69CBB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2DCB42BB">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rPr>
              <w:t xml:space="preserve"> vg</w:t>
            </w:r>
            <w:r>
              <w:rPr>
                <w:rFonts w:ascii="Times New Roman" w:hAnsi="Times New Roman"/>
                <w:kern w:val="2"/>
                <w:sz w:val="18"/>
                <w:szCs w:val="18"/>
              </w:rPr>
              <w:t xml:space="preserve"> in </w:t>
            </w:r>
            <w:r>
              <w:rPr>
                <w:rFonts w:hint="eastAsia" w:ascii="Times New Roman" w:hAnsi="Times New Roman"/>
                <w:kern w:val="2"/>
                <w:sz w:val="18"/>
                <w:szCs w:val="18"/>
              </w:rPr>
              <w:t>variationGrading.variationGrading1</w:t>
            </w:r>
            <w:r>
              <w:rPr>
                <w:rFonts w:ascii="Times New Roman" w:hAnsi="Times New Roman"/>
                <w:kern w:val="2"/>
                <w:sz w:val="18"/>
                <w:szCs w:val="18"/>
              </w:rPr>
              <w:t xml:space="preserve"> %}</w:t>
            </w:r>
          </w:p>
        </w:tc>
      </w:tr>
      <w:tr w14:paraId="61AAA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47A009F4">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rPr>
              <w:t xml:space="preserve"> vg.flag =</w:t>
            </w:r>
            <w:r>
              <w:rPr>
                <w:rFonts w:ascii="Times New Roman" w:hAnsi="Times New Roman"/>
                <w:kern w:val="2"/>
                <w:sz w:val="18"/>
                <w:szCs w:val="18"/>
              </w:rPr>
              <w:t xml:space="preserve">= </w:t>
            </w:r>
            <w:r>
              <w:rPr>
                <w:rFonts w:hint="eastAsia" w:ascii="Times New Roman" w:hAnsi="Times New Roman"/>
                <w:kern w:val="2"/>
                <w:sz w:val="18"/>
                <w:szCs w:val="18"/>
              </w:rPr>
              <w:t>False</w:t>
            </w:r>
            <w:r>
              <w:rPr>
                <w:rFonts w:ascii="Times New Roman" w:hAnsi="Times New Roman"/>
                <w:kern w:val="2"/>
                <w:sz w:val="18"/>
                <w:szCs w:val="18"/>
              </w:rPr>
              <w:t xml:space="preserve"> %}</w:t>
            </w:r>
          </w:p>
        </w:tc>
      </w:tr>
      <w:tr w14:paraId="391E3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6BE715A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811" w:type="pct"/>
            <w:tcBorders>
              <w:tl2br w:val="nil"/>
              <w:tr2bl w:val="nil"/>
            </w:tcBorders>
            <w:vAlign w:val="center"/>
          </w:tcPr>
          <w:p w14:paraId="1B37B16B">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Transcript </w:t>
            </w:r>
            <w:r>
              <w:rPr>
                <w:rFonts w:ascii="Times New Roman" w:hAnsi="Times New Roman"/>
                <w:kern w:val="2"/>
                <w:sz w:val="18"/>
                <w:szCs w:val="18"/>
              </w:rPr>
              <w:t>}}</w:t>
            </w:r>
          </w:p>
        </w:tc>
        <w:tc>
          <w:tcPr>
            <w:tcW w:w="811" w:type="pct"/>
            <w:tcBorders>
              <w:tl2br w:val="nil"/>
              <w:tr2bl w:val="nil"/>
            </w:tcBorders>
            <w:vAlign w:val="center"/>
          </w:tcPr>
          <w:p w14:paraId="429E1D6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Exon </w:t>
            </w:r>
            <w:r>
              <w:rPr>
                <w:rFonts w:ascii="Times New Roman" w:hAnsi="Times New Roman"/>
                <w:kern w:val="2"/>
                <w:sz w:val="18"/>
                <w:szCs w:val="18"/>
              </w:rPr>
              <w:t>}}</w:t>
            </w:r>
          </w:p>
        </w:tc>
        <w:tc>
          <w:tcPr>
            <w:tcW w:w="811" w:type="pct"/>
            <w:tcBorders>
              <w:tl2br w:val="nil"/>
              <w:tr2bl w:val="nil"/>
            </w:tcBorders>
            <w:vAlign w:val="center"/>
          </w:tcPr>
          <w:p w14:paraId="46DBCA58">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cHGVS </w:t>
            </w:r>
            <w:r>
              <w:rPr>
                <w:rFonts w:ascii="Times New Roman" w:hAnsi="Times New Roman"/>
                <w:kern w:val="2"/>
                <w:sz w:val="18"/>
                <w:szCs w:val="18"/>
              </w:rPr>
              <w:t>}}</w:t>
            </w:r>
          </w:p>
        </w:tc>
        <w:tc>
          <w:tcPr>
            <w:tcW w:w="811" w:type="pct"/>
            <w:tcBorders>
              <w:tl2br w:val="nil"/>
              <w:tr2bl w:val="nil"/>
            </w:tcBorders>
            <w:vAlign w:val="center"/>
          </w:tcPr>
          <w:p w14:paraId="78EE7373">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pHGVS </w:t>
            </w:r>
            <w:r>
              <w:rPr>
                <w:rFonts w:ascii="Times New Roman" w:hAnsi="Times New Roman"/>
                <w:kern w:val="2"/>
                <w:sz w:val="18"/>
                <w:szCs w:val="18"/>
              </w:rPr>
              <w:t>}}</w:t>
            </w:r>
          </w:p>
        </w:tc>
        <w:tc>
          <w:tcPr>
            <w:tcW w:w="943" w:type="pct"/>
            <w:tcBorders>
              <w:tl2br w:val="nil"/>
              <w:tr2bl w:val="nil"/>
            </w:tcBorders>
            <w:vAlign w:val="center"/>
          </w:tcPr>
          <w:p w14:paraId="6ECFE8A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35D34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57140366">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30540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05F8D9F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3246" w:type="pct"/>
            <w:gridSpan w:val="4"/>
            <w:tcBorders>
              <w:tl2br w:val="nil"/>
              <w:tr2bl w:val="nil"/>
            </w:tcBorders>
            <w:vAlign w:val="center"/>
          </w:tcPr>
          <w:p w14:paraId="36CF9F6B">
            <w:pPr>
              <w:pStyle w:val="49"/>
              <w:keepNext w:val="0"/>
              <w:keepLines w:val="0"/>
              <w:widowControl/>
              <w:suppressLineNumbers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default" w:ascii="Times New Roman" w:hAnsi="Times New Roman"/>
                <w:kern w:val="2"/>
                <w:sz w:val="18"/>
                <w:szCs w:val="18"/>
                <w:lang w:val="en-US" w:eastAsia="en-US"/>
              </w:rPr>
              <w:t xml:space="preserve">{% if </w:t>
            </w:r>
            <w:r>
              <w:rPr>
                <w:rFonts w:hint="eastAsia" w:ascii="Times New Roman" w:hAnsi="Times New Roman"/>
                <w:kern w:val="2"/>
                <w:sz w:val="18"/>
                <w:szCs w:val="18"/>
                <w:lang w:val="en-US" w:eastAsia="zh-CN"/>
              </w:rPr>
              <w:t>vg.ori_variant</w:t>
            </w:r>
            <w:r>
              <w:rPr>
                <w:rFonts w:hint="default" w:ascii="Times New Roman" w:hAnsi="Times New Roman"/>
                <w:kern w:val="2"/>
                <w:sz w:val="18"/>
                <w:szCs w:val="18"/>
                <w:lang w:val="en-US" w:eastAsia="zh-CN"/>
              </w:rPr>
              <w:t xml:space="preserve"> == ‘</w:t>
            </w:r>
            <w:r>
              <w:rPr>
                <w:rFonts w:hint="eastAsia" w:ascii="Times New Roman" w:hAnsi="Times New Roman"/>
                <w:kern w:val="2"/>
                <w:sz w:val="18"/>
                <w:szCs w:val="18"/>
                <w:lang w:val="en-US" w:eastAsia="zh-CN"/>
              </w:rPr>
              <w:t>MET-MET Fusion M13:M15</w:t>
            </w:r>
            <w:r>
              <w:rPr>
                <w:rFonts w:hint="default" w:ascii="Times New Roman" w:hAnsi="Times New Roman"/>
                <w:kern w:val="2"/>
                <w:sz w:val="18"/>
                <w:szCs w:val="18"/>
                <w:lang w:val="en-US" w:eastAsia="zh-CN"/>
              </w:rPr>
              <w:t>’ %</w:t>
            </w:r>
            <w:r>
              <w:rPr>
                <w:rFonts w:hint="default" w:ascii="Times New Roman" w:hAnsi="Times New Roman"/>
                <w:kern w:val="2"/>
                <w:sz w:val="18"/>
                <w:szCs w:val="18"/>
                <w:lang w:val="en-US" w:eastAsia="en-US"/>
              </w:rPr>
              <w:t>}14号外显子跳跃突变{% else %}</w:t>
            </w:r>
            <w:r>
              <w:rPr>
                <w:rFonts w:hint="eastAsia" w:ascii="Times New Roman" w:hAnsi="Times New Roman"/>
                <w:kern w:val="2"/>
                <w:sz w:val="18"/>
                <w:szCs w:val="18"/>
                <w:lang w:val="en-US" w:eastAsia="zh-CN"/>
              </w:rPr>
              <w:t>{{ vg.ori_variant }}</w:t>
            </w:r>
            <w:r>
              <w:rPr>
                <w:rFonts w:hint="default" w:ascii="Times New Roman" w:hAnsi="Times New Roman"/>
                <w:kern w:val="2"/>
                <w:sz w:val="18"/>
                <w:szCs w:val="18"/>
                <w:lang w:val="en-US" w:eastAsia="zh-CN"/>
              </w:rPr>
              <w:t>{% endif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943" w:type="pct"/>
            <w:tcBorders>
              <w:tl2br w:val="nil"/>
              <w:tr2bl w:val="nil"/>
            </w:tcBorders>
            <w:vAlign w:val="center"/>
          </w:tcPr>
          <w:p w14:paraId="5623A3E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C302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23591966">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582BC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4DC6A16D">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6287B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218E1350">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F9DC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0BD800BE">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8A12321">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58CDAC56">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6559491D">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2D56D0A0">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943" w:type="pct"/>
            <w:tcBorders>
              <w:tl2br w:val="nil"/>
              <w:tr2bl w:val="nil"/>
            </w:tcBorders>
            <w:vAlign w:val="center"/>
          </w:tcPr>
          <w:p w14:paraId="768E63F6">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r>
      <w:tr w14:paraId="5DA8E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73B764F4">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33B92048">
      <w:pPr>
        <w:rPr>
          <w:sz w:val="13"/>
          <w:szCs w:val="13"/>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7"/>
        <w:gridCol w:w="1489"/>
        <w:gridCol w:w="1489"/>
        <w:gridCol w:w="1489"/>
        <w:gridCol w:w="1489"/>
        <w:gridCol w:w="1737"/>
      </w:tblGrid>
      <w:tr w14:paraId="4F3A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601844D1">
            <w:pPr>
              <w:adjustRightInd w:val="0"/>
              <w:snapToGrid w:val="0"/>
              <w:jc w:val="center"/>
              <w:rPr>
                <w:rFonts w:ascii="Times New Roman" w:hAnsi="Times New Roman"/>
                <w:kern w:val="2"/>
                <w:sz w:val="28"/>
                <w:szCs w:val="28"/>
              </w:rPr>
            </w:pPr>
            <w:r>
              <w:rPr>
                <w:rFonts w:hint="eastAsia" w:ascii="Times New Roman" w:hAnsi="Times New Roman"/>
                <w:kern w:val="2"/>
                <w:sz w:val="28"/>
                <w:szCs w:val="28"/>
              </w:rPr>
              <w:t>变异分级</w:t>
            </w:r>
          </w:p>
        </w:tc>
        <w:tc>
          <w:tcPr>
            <w:tcW w:w="811" w:type="pct"/>
            <w:tcBorders>
              <w:tl2br w:val="nil"/>
              <w:tr2bl w:val="nil"/>
            </w:tcBorders>
            <w:vAlign w:val="center"/>
          </w:tcPr>
          <w:p w14:paraId="1E14FDE3">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II</w:t>
            </w:r>
          </w:p>
        </w:tc>
        <w:tc>
          <w:tcPr>
            <w:tcW w:w="3378" w:type="pct"/>
            <w:gridSpan w:val="4"/>
            <w:tcBorders>
              <w:tl2br w:val="nil"/>
              <w:tr2bl w:val="nil"/>
            </w:tcBorders>
            <w:vAlign w:val="center"/>
          </w:tcPr>
          <w:p w14:paraId="265CBFE3">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有潜在的临床意义</w:t>
            </w:r>
          </w:p>
        </w:tc>
      </w:tr>
      <w:tr w14:paraId="26BF0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07C8ABF2">
            <w:pPr>
              <w:jc w:val="center"/>
              <w:rPr>
                <w:rFonts w:ascii="Calibri" w:hAnsi="Calibri" w:cs="Times New Roman"/>
                <w:b/>
                <w:bCs/>
                <w:sz w:val="18"/>
                <w:szCs w:val="18"/>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38790C0D">
            <w:pPr>
              <w:jc w:val="center"/>
              <w:rPr>
                <w:rFonts w:ascii="Calibri" w:hAnsi="Calibri" w:cs="Times New Roman"/>
                <w:b/>
                <w:bCs/>
                <w:sz w:val="18"/>
                <w:szCs w:val="18"/>
              </w:rPr>
            </w:pPr>
            <w:r>
              <w:rPr>
                <w:rFonts w:hint="eastAsia" w:ascii="Calibri" w:hAnsi="Calibri" w:cs="Times New Roman"/>
                <w:b/>
                <w:bCs/>
                <w:sz w:val="18"/>
                <w:szCs w:val="18"/>
              </w:rPr>
              <w:t>转录本</w:t>
            </w:r>
          </w:p>
        </w:tc>
        <w:tc>
          <w:tcPr>
            <w:tcW w:w="811" w:type="pct"/>
            <w:tcBorders>
              <w:tl2br w:val="nil"/>
              <w:tr2bl w:val="nil"/>
            </w:tcBorders>
            <w:shd w:val="clear" w:color="auto" w:fill="1F497D" w:themeFill="text2"/>
            <w:vAlign w:val="center"/>
          </w:tcPr>
          <w:p w14:paraId="16D01DDA">
            <w:pPr>
              <w:jc w:val="center"/>
              <w:rPr>
                <w:rFonts w:ascii="Calibri" w:hAnsi="Calibri" w:cs="Times New Roman"/>
                <w:b/>
                <w:bCs/>
                <w:sz w:val="18"/>
                <w:szCs w:val="18"/>
              </w:rPr>
            </w:pPr>
            <w:r>
              <w:rPr>
                <w:rFonts w:hint="eastAsia" w:ascii="Calibri" w:hAnsi="Calibri" w:cs="Times New Roman"/>
                <w:b/>
                <w:bCs/>
                <w:sz w:val="18"/>
                <w:szCs w:val="18"/>
              </w:rPr>
              <w:t>外显子/内含子</w:t>
            </w:r>
          </w:p>
        </w:tc>
        <w:tc>
          <w:tcPr>
            <w:tcW w:w="811" w:type="pct"/>
            <w:tcBorders>
              <w:tl2br w:val="nil"/>
              <w:tr2bl w:val="nil"/>
            </w:tcBorders>
            <w:shd w:val="clear" w:color="auto" w:fill="1F497D" w:themeFill="text2"/>
            <w:vAlign w:val="center"/>
          </w:tcPr>
          <w:p w14:paraId="4915E07A">
            <w:pPr>
              <w:jc w:val="center"/>
              <w:rPr>
                <w:rFonts w:ascii="Calibri" w:hAnsi="Calibri" w:cs="Times New Roman"/>
                <w:b/>
                <w:bCs/>
                <w:sz w:val="18"/>
                <w:szCs w:val="18"/>
              </w:rPr>
            </w:pPr>
            <w:r>
              <w:rPr>
                <w:rFonts w:hint="eastAsia" w:ascii="Calibri" w:hAnsi="Calibri" w:cs="Times New Roman"/>
                <w:b/>
                <w:bCs/>
                <w:sz w:val="18"/>
                <w:szCs w:val="18"/>
              </w:rPr>
              <w:t>核苷酸变化</w:t>
            </w:r>
          </w:p>
        </w:tc>
        <w:tc>
          <w:tcPr>
            <w:tcW w:w="811" w:type="pct"/>
            <w:tcBorders>
              <w:tl2br w:val="nil"/>
              <w:tr2bl w:val="nil"/>
            </w:tcBorders>
            <w:shd w:val="clear" w:color="auto" w:fill="1F497D" w:themeFill="text2"/>
            <w:vAlign w:val="center"/>
          </w:tcPr>
          <w:p w14:paraId="67518F92">
            <w:pPr>
              <w:jc w:val="center"/>
              <w:rPr>
                <w:rFonts w:ascii="Calibri" w:hAnsi="Calibri" w:cs="Times New Roman"/>
                <w:b/>
                <w:bCs/>
                <w:sz w:val="18"/>
                <w:szCs w:val="18"/>
              </w:rPr>
            </w:pPr>
            <w:r>
              <w:rPr>
                <w:rFonts w:hint="eastAsia" w:ascii="Calibri" w:hAnsi="Calibri" w:cs="Times New Roman"/>
                <w:b/>
                <w:bCs/>
                <w:sz w:val="18"/>
                <w:szCs w:val="18"/>
              </w:rPr>
              <w:t>氨基酸变化</w:t>
            </w:r>
          </w:p>
        </w:tc>
        <w:tc>
          <w:tcPr>
            <w:tcW w:w="942" w:type="pct"/>
            <w:tcBorders>
              <w:tl2br w:val="nil"/>
              <w:tr2bl w:val="nil"/>
            </w:tcBorders>
            <w:shd w:val="clear" w:color="auto" w:fill="1F497D" w:themeFill="text2"/>
            <w:vAlign w:val="center"/>
          </w:tcPr>
          <w:p w14:paraId="3EFDB96B">
            <w:pPr>
              <w:jc w:val="center"/>
              <w:rPr>
                <w:rFonts w:ascii="Calibri" w:hAnsi="Calibri" w:cs="Times New Roman"/>
                <w:b/>
                <w:bCs/>
                <w:sz w:val="18"/>
                <w:szCs w:val="18"/>
              </w:rPr>
            </w:pPr>
            <w:r>
              <w:rPr>
                <w:rFonts w:hint="eastAsia" w:ascii="Calibri" w:hAnsi="Calibri" w:cs="Times New Roman"/>
                <w:b/>
                <w:bCs/>
                <w:sz w:val="18"/>
                <w:szCs w:val="18"/>
              </w:rPr>
              <w:t>变异丰度</w:t>
            </w:r>
            <w:r>
              <w:rPr>
                <w:rFonts w:ascii="Calibri" w:hAnsi="Calibri" w:cs="Times New Roman"/>
                <w:b/>
                <w:bCs/>
                <w:sz w:val="18"/>
                <w:szCs w:val="18"/>
              </w:rPr>
              <w:t>/</w:t>
            </w:r>
            <w:r>
              <w:rPr>
                <w:rFonts w:hint="eastAsia" w:ascii="Calibri" w:hAnsi="Calibri" w:cs="Times New Roman"/>
                <w:b/>
                <w:bCs/>
                <w:sz w:val="18"/>
                <w:szCs w:val="18"/>
              </w:rPr>
              <w:t>拷贝数</w:t>
            </w:r>
          </w:p>
        </w:tc>
      </w:tr>
      <w:tr w14:paraId="1954A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0A9BE2B3">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rPr>
              <w:t xml:space="preserve"> variationGrading.variationGrading2</w:t>
            </w:r>
            <w:r>
              <w:rPr>
                <w:rFonts w:ascii="Times New Roman" w:hAnsi="Times New Roman"/>
                <w:kern w:val="2"/>
                <w:sz w:val="18"/>
                <w:szCs w:val="18"/>
              </w:rPr>
              <w:t xml:space="preserve"> != [] %}</w:t>
            </w:r>
          </w:p>
        </w:tc>
      </w:tr>
      <w:tr w14:paraId="57596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5FC65937">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rPr>
              <w:t xml:space="preserve"> vg</w:t>
            </w:r>
            <w:r>
              <w:rPr>
                <w:rFonts w:ascii="Times New Roman" w:hAnsi="Times New Roman"/>
                <w:kern w:val="2"/>
                <w:sz w:val="18"/>
                <w:szCs w:val="18"/>
              </w:rPr>
              <w:t xml:space="preserve"> in </w:t>
            </w:r>
            <w:r>
              <w:rPr>
                <w:rFonts w:hint="eastAsia" w:ascii="Times New Roman" w:hAnsi="Times New Roman"/>
                <w:kern w:val="2"/>
                <w:sz w:val="18"/>
                <w:szCs w:val="18"/>
              </w:rPr>
              <w:t>variationGrading.variationGrading2</w:t>
            </w:r>
            <w:r>
              <w:rPr>
                <w:rFonts w:ascii="Times New Roman" w:hAnsi="Times New Roman"/>
                <w:kern w:val="2"/>
                <w:sz w:val="18"/>
                <w:szCs w:val="18"/>
              </w:rPr>
              <w:t xml:space="preserve"> %}</w:t>
            </w:r>
          </w:p>
        </w:tc>
      </w:tr>
      <w:tr w14:paraId="6E55E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1C406B02">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rPr>
              <w:t xml:space="preserve"> vg.flag =</w:t>
            </w:r>
            <w:r>
              <w:rPr>
                <w:rFonts w:ascii="Times New Roman" w:hAnsi="Times New Roman"/>
                <w:kern w:val="2"/>
                <w:sz w:val="18"/>
                <w:szCs w:val="18"/>
              </w:rPr>
              <w:t xml:space="preserve">= </w:t>
            </w:r>
            <w:r>
              <w:rPr>
                <w:rFonts w:hint="eastAsia" w:ascii="Times New Roman" w:hAnsi="Times New Roman"/>
                <w:kern w:val="2"/>
                <w:sz w:val="18"/>
                <w:szCs w:val="18"/>
              </w:rPr>
              <w:t>False</w:t>
            </w:r>
            <w:r>
              <w:rPr>
                <w:rFonts w:ascii="Times New Roman" w:hAnsi="Times New Roman"/>
                <w:kern w:val="2"/>
                <w:sz w:val="18"/>
                <w:szCs w:val="18"/>
              </w:rPr>
              <w:t xml:space="preserve"> %}</w:t>
            </w:r>
          </w:p>
        </w:tc>
      </w:tr>
      <w:tr w14:paraId="5278F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706633CB">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1489" w:type="dxa"/>
            <w:tcBorders>
              <w:tl2br w:val="nil"/>
              <w:tr2bl w:val="nil"/>
            </w:tcBorders>
            <w:vAlign w:val="center"/>
          </w:tcPr>
          <w:p w14:paraId="1BDDD4D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Transcript </w:t>
            </w:r>
            <w:r>
              <w:rPr>
                <w:rFonts w:ascii="Times New Roman" w:hAnsi="Times New Roman"/>
                <w:kern w:val="2"/>
                <w:sz w:val="18"/>
                <w:szCs w:val="18"/>
              </w:rPr>
              <w:t>}}</w:t>
            </w:r>
          </w:p>
        </w:tc>
        <w:tc>
          <w:tcPr>
            <w:tcW w:w="1490" w:type="dxa"/>
            <w:tcBorders>
              <w:tl2br w:val="nil"/>
              <w:tr2bl w:val="nil"/>
            </w:tcBorders>
            <w:vAlign w:val="center"/>
          </w:tcPr>
          <w:p w14:paraId="283A9A0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Exon </w:t>
            </w:r>
            <w:r>
              <w:rPr>
                <w:rFonts w:ascii="Times New Roman" w:hAnsi="Times New Roman"/>
                <w:kern w:val="2"/>
                <w:sz w:val="18"/>
                <w:szCs w:val="18"/>
              </w:rPr>
              <w:t>}}</w:t>
            </w:r>
          </w:p>
        </w:tc>
        <w:tc>
          <w:tcPr>
            <w:tcW w:w="1490" w:type="dxa"/>
            <w:tcBorders>
              <w:tl2br w:val="nil"/>
              <w:tr2bl w:val="nil"/>
            </w:tcBorders>
            <w:vAlign w:val="center"/>
          </w:tcPr>
          <w:p w14:paraId="6B334C7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cHGVS </w:t>
            </w:r>
            <w:r>
              <w:rPr>
                <w:rFonts w:ascii="Times New Roman" w:hAnsi="Times New Roman"/>
                <w:kern w:val="2"/>
                <w:sz w:val="18"/>
                <w:szCs w:val="18"/>
              </w:rPr>
              <w:t>}}</w:t>
            </w:r>
          </w:p>
        </w:tc>
        <w:tc>
          <w:tcPr>
            <w:tcW w:w="1490" w:type="dxa"/>
            <w:tcBorders>
              <w:tl2br w:val="nil"/>
              <w:tr2bl w:val="nil"/>
            </w:tcBorders>
            <w:vAlign w:val="center"/>
          </w:tcPr>
          <w:p w14:paraId="2A0A4ABA">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pHGVS </w:t>
            </w:r>
            <w:r>
              <w:rPr>
                <w:rFonts w:ascii="Times New Roman" w:hAnsi="Times New Roman"/>
                <w:kern w:val="2"/>
                <w:sz w:val="18"/>
                <w:szCs w:val="18"/>
              </w:rPr>
              <w:t>}}</w:t>
            </w:r>
          </w:p>
        </w:tc>
        <w:tc>
          <w:tcPr>
            <w:tcW w:w="1733" w:type="dxa"/>
            <w:tcBorders>
              <w:tl2br w:val="nil"/>
              <w:tr2bl w:val="nil"/>
            </w:tcBorders>
            <w:vAlign w:val="center"/>
          </w:tcPr>
          <w:p w14:paraId="67E18A06">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5619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063B20AF">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7DB29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2CE840D1">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5959" w:type="dxa"/>
            <w:gridSpan w:val="4"/>
            <w:tcBorders>
              <w:tl2br w:val="nil"/>
              <w:tr2bl w:val="nil"/>
            </w:tcBorders>
            <w:vAlign w:val="center"/>
          </w:tcPr>
          <w:p w14:paraId="650B4EEA">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tcBorders>
              <w:tl2br w:val="nil"/>
              <w:tr2bl w:val="nil"/>
            </w:tcBorders>
            <w:vAlign w:val="center"/>
          </w:tcPr>
          <w:p w14:paraId="7DDF61A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799F4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85ED85D">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52653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6D82EA59">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0FC5D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10E0811D">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34C2B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34D11D8D">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55676DF5">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BF231A2">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156707B2">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2C9EE43F">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942" w:type="pct"/>
            <w:tcBorders>
              <w:tl2br w:val="nil"/>
              <w:tr2bl w:val="nil"/>
            </w:tcBorders>
            <w:vAlign w:val="center"/>
          </w:tcPr>
          <w:p w14:paraId="66A721A5">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r>
      <w:tr w14:paraId="73605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2C3B20A6">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52E209F0">
      <w:pPr>
        <w:kinsoku w:val="0"/>
        <w:overflowPunct w:val="0"/>
        <w:spacing w:before="5" w:line="160" w:lineRule="auto"/>
        <w:rPr>
          <w:rFonts w:ascii="Times New Roman" w:hAnsi="Times New Roman" w:eastAsia="微软雅黑" w:cs="Times New Roman"/>
          <w:sz w:val="20"/>
          <w:szCs w:val="28"/>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7"/>
        <w:gridCol w:w="1489"/>
        <w:gridCol w:w="1489"/>
        <w:gridCol w:w="1489"/>
        <w:gridCol w:w="1489"/>
        <w:gridCol w:w="1737"/>
      </w:tblGrid>
      <w:tr w14:paraId="707BA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44A430B3">
            <w:pPr>
              <w:adjustRightInd w:val="0"/>
              <w:snapToGrid w:val="0"/>
              <w:jc w:val="center"/>
              <w:rPr>
                <w:rFonts w:ascii="Times New Roman" w:hAnsi="Times New Roman"/>
                <w:kern w:val="2"/>
                <w:sz w:val="28"/>
                <w:szCs w:val="28"/>
              </w:rPr>
            </w:pPr>
            <w:r>
              <w:rPr>
                <w:rFonts w:hint="eastAsia" w:ascii="Times New Roman" w:hAnsi="Times New Roman"/>
                <w:kern w:val="2"/>
                <w:sz w:val="28"/>
                <w:szCs w:val="28"/>
              </w:rPr>
              <w:t>变异分级</w:t>
            </w:r>
          </w:p>
        </w:tc>
        <w:tc>
          <w:tcPr>
            <w:tcW w:w="811" w:type="pct"/>
            <w:tcBorders>
              <w:tl2br w:val="nil"/>
              <w:tr2bl w:val="nil"/>
            </w:tcBorders>
            <w:vAlign w:val="center"/>
          </w:tcPr>
          <w:p w14:paraId="69ED2E2C">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III&amp;IV</w:t>
            </w:r>
          </w:p>
        </w:tc>
        <w:tc>
          <w:tcPr>
            <w:tcW w:w="3378" w:type="pct"/>
            <w:gridSpan w:val="4"/>
            <w:tcBorders>
              <w:tl2br w:val="nil"/>
              <w:tr2bl w:val="nil"/>
            </w:tcBorders>
            <w:vAlign w:val="center"/>
          </w:tcPr>
          <w:p w14:paraId="4B114472">
            <w:pPr>
              <w:adjustRightInd w:val="0"/>
              <w:snapToGrid w:val="0"/>
              <w:jc w:val="center"/>
              <w:rPr>
                <w:rFonts w:ascii="Times New Roman" w:hAnsi="Times New Roman"/>
                <w:kern w:val="2"/>
                <w:sz w:val="21"/>
                <w:szCs w:val="21"/>
              </w:rPr>
            </w:pPr>
            <w:r>
              <w:rPr>
                <w:rFonts w:hint="eastAsia" w:ascii="Times New Roman" w:hAnsi="Times New Roman"/>
                <w:kern w:val="2"/>
                <w:sz w:val="28"/>
                <w:szCs w:val="28"/>
              </w:rPr>
              <w:t>临床意义不明或已知无临床意义</w:t>
            </w:r>
          </w:p>
        </w:tc>
      </w:tr>
      <w:tr w14:paraId="25CF0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53329AC6">
            <w:pPr>
              <w:jc w:val="center"/>
              <w:rPr>
                <w:rFonts w:ascii="Calibri" w:hAnsi="Calibri" w:cs="Times New Roman"/>
                <w:b/>
                <w:bCs/>
                <w:sz w:val="18"/>
                <w:szCs w:val="18"/>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57688840">
            <w:pPr>
              <w:jc w:val="center"/>
              <w:rPr>
                <w:rFonts w:ascii="Calibri" w:hAnsi="Calibri" w:cs="Times New Roman"/>
                <w:b/>
                <w:bCs/>
                <w:sz w:val="18"/>
                <w:szCs w:val="18"/>
              </w:rPr>
            </w:pPr>
            <w:r>
              <w:rPr>
                <w:rFonts w:hint="eastAsia" w:ascii="Calibri" w:hAnsi="Calibri" w:cs="Times New Roman"/>
                <w:b/>
                <w:bCs/>
                <w:sz w:val="18"/>
                <w:szCs w:val="18"/>
              </w:rPr>
              <w:t>转录本</w:t>
            </w:r>
          </w:p>
        </w:tc>
        <w:tc>
          <w:tcPr>
            <w:tcW w:w="811" w:type="pct"/>
            <w:tcBorders>
              <w:tl2br w:val="nil"/>
              <w:tr2bl w:val="nil"/>
            </w:tcBorders>
            <w:shd w:val="clear" w:color="auto" w:fill="1F497D" w:themeFill="text2"/>
            <w:vAlign w:val="center"/>
          </w:tcPr>
          <w:p w14:paraId="603FF5C9">
            <w:pPr>
              <w:jc w:val="center"/>
              <w:rPr>
                <w:rFonts w:ascii="Calibri" w:hAnsi="Calibri" w:cs="Times New Roman"/>
                <w:b/>
                <w:bCs/>
                <w:sz w:val="18"/>
                <w:szCs w:val="18"/>
              </w:rPr>
            </w:pPr>
            <w:r>
              <w:rPr>
                <w:rFonts w:hint="eastAsia" w:ascii="Calibri" w:hAnsi="Calibri" w:cs="Times New Roman"/>
                <w:b/>
                <w:bCs/>
                <w:sz w:val="18"/>
                <w:szCs w:val="18"/>
              </w:rPr>
              <w:t>外显子/内含子</w:t>
            </w:r>
          </w:p>
        </w:tc>
        <w:tc>
          <w:tcPr>
            <w:tcW w:w="811" w:type="pct"/>
            <w:tcBorders>
              <w:tl2br w:val="nil"/>
              <w:tr2bl w:val="nil"/>
            </w:tcBorders>
            <w:shd w:val="clear" w:color="auto" w:fill="1F497D" w:themeFill="text2"/>
            <w:vAlign w:val="center"/>
          </w:tcPr>
          <w:p w14:paraId="10C50780">
            <w:pPr>
              <w:jc w:val="center"/>
              <w:rPr>
                <w:rFonts w:ascii="Calibri" w:hAnsi="Calibri" w:cs="Times New Roman"/>
                <w:b/>
                <w:bCs/>
                <w:sz w:val="18"/>
                <w:szCs w:val="18"/>
              </w:rPr>
            </w:pPr>
            <w:r>
              <w:rPr>
                <w:rFonts w:hint="eastAsia" w:ascii="Calibri" w:hAnsi="Calibri" w:cs="Times New Roman"/>
                <w:b/>
                <w:bCs/>
                <w:sz w:val="18"/>
                <w:szCs w:val="18"/>
              </w:rPr>
              <w:t>核苷酸变化</w:t>
            </w:r>
          </w:p>
        </w:tc>
        <w:tc>
          <w:tcPr>
            <w:tcW w:w="811" w:type="pct"/>
            <w:tcBorders>
              <w:tl2br w:val="nil"/>
              <w:tr2bl w:val="nil"/>
            </w:tcBorders>
            <w:shd w:val="clear" w:color="auto" w:fill="1F497D" w:themeFill="text2"/>
            <w:vAlign w:val="center"/>
          </w:tcPr>
          <w:p w14:paraId="71BD670E">
            <w:pPr>
              <w:jc w:val="center"/>
              <w:rPr>
                <w:rFonts w:ascii="Calibri" w:hAnsi="Calibri" w:cs="Times New Roman"/>
                <w:b/>
                <w:bCs/>
                <w:sz w:val="18"/>
                <w:szCs w:val="18"/>
              </w:rPr>
            </w:pPr>
            <w:r>
              <w:rPr>
                <w:rFonts w:hint="eastAsia" w:ascii="Calibri" w:hAnsi="Calibri" w:cs="Times New Roman"/>
                <w:b/>
                <w:bCs/>
                <w:sz w:val="18"/>
                <w:szCs w:val="18"/>
              </w:rPr>
              <w:t>氨基酸变化</w:t>
            </w:r>
          </w:p>
        </w:tc>
        <w:tc>
          <w:tcPr>
            <w:tcW w:w="942" w:type="pct"/>
            <w:tcBorders>
              <w:tl2br w:val="nil"/>
              <w:tr2bl w:val="nil"/>
            </w:tcBorders>
            <w:shd w:val="clear" w:color="auto" w:fill="1F497D" w:themeFill="text2"/>
            <w:vAlign w:val="center"/>
          </w:tcPr>
          <w:p w14:paraId="0A276EB6">
            <w:pPr>
              <w:jc w:val="center"/>
              <w:rPr>
                <w:rFonts w:ascii="Calibri" w:hAnsi="Calibri" w:cs="Times New Roman"/>
                <w:b/>
                <w:bCs/>
                <w:sz w:val="18"/>
                <w:szCs w:val="18"/>
              </w:rPr>
            </w:pPr>
            <w:r>
              <w:rPr>
                <w:rFonts w:hint="eastAsia" w:ascii="Calibri" w:hAnsi="Calibri" w:cs="Times New Roman"/>
                <w:b/>
                <w:bCs/>
                <w:sz w:val="18"/>
                <w:szCs w:val="18"/>
              </w:rPr>
              <w:t>变异丰度</w:t>
            </w:r>
            <w:r>
              <w:rPr>
                <w:rFonts w:ascii="Calibri" w:hAnsi="Calibri" w:cs="Times New Roman"/>
                <w:b/>
                <w:bCs/>
                <w:sz w:val="18"/>
                <w:szCs w:val="18"/>
              </w:rPr>
              <w:t>/</w:t>
            </w:r>
            <w:r>
              <w:rPr>
                <w:rFonts w:hint="eastAsia" w:ascii="Calibri" w:hAnsi="Calibri" w:cs="Times New Roman"/>
                <w:b/>
                <w:bCs/>
                <w:sz w:val="18"/>
                <w:szCs w:val="18"/>
              </w:rPr>
              <w:t>拷贝数</w:t>
            </w:r>
          </w:p>
        </w:tc>
      </w:tr>
      <w:tr w14:paraId="21B6D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1187CC57">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rPr>
              <w:t xml:space="preserve"> variationGrading.variationGrading3</w:t>
            </w:r>
            <w:r>
              <w:rPr>
                <w:rFonts w:ascii="Times New Roman" w:hAnsi="Times New Roman"/>
                <w:kern w:val="2"/>
                <w:sz w:val="18"/>
                <w:szCs w:val="18"/>
              </w:rPr>
              <w:t xml:space="preserve"> != [] %}</w:t>
            </w:r>
          </w:p>
        </w:tc>
      </w:tr>
      <w:tr w14:paraId="10F95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7D6B1B0A">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rPr>
              <w:t xml:space="preserve"> vg</w:t>
            </w:r>
            <w:r>
              <w:rPr>
                <w:rFonts w:ascii="Times New Roman" w:hAnsi="Times New Roman"/>
                <w:kern w:val="2"/>
                <w:sz w:val="18"/>
                <w:szCs w:val="18"/>
              </w:rPr>
              <w:t xml:space="preserve"> in </w:t>
            </w:r>
            <w:r>
              <w:rPr>
                <w:rFonts w:hint="eastAsia" w:ascii="Times New Roman" w:hAnsi="Times New Roman"/>
                <w:kern w:val="2"/>
                <w:sz w:val="18"/>
                <w:szCs w:val="18"/>
              </w:rPr>
              <w:t>variationGrading.variationGrading3</w:t>
            </w:r>
            <w:r>
              <w:rPr>
                <w:rFonts w:ascii="Times New Roman" w:hAnsi="Times New Roman"/>
                <w:kern w:val="2"/>
                <w:sz w:val="18"/>
                <w:szCs w:val="18"/>
              </w:rPr>
              <w:t xml:space="preserve"> %}</w:t>
            </w:r>
          </w:p>
        </w:tc>
      </w:tr>
      <w:tr w14:paraId="6975F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8AB29F8">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rPr>
              <w:t xml:space="preserve"> vg.flag =</w:t>
            </w:r>
            <w:r>
              <w:rPr>
                <w:rFonts w:ascii="Times New Roman" w:hAnsi="Times New Roman"/>
                <w:kern w:val="2"/>
                <w:sz w:val="18"/>
                <w:szCs w:val="18"/>
              </w:rPr>
              <w:t xml:space="preserve">= </w:t>
            </w:r>
            <w:r>
              <w:rPr>
                <w:rFonts w:hint="eastAsia" w:ascii="Times New Roman" w:hAnsi="Times New Roman"/>
                <w:kern w:val="2"/>
                <w:sz w:val="18"/>
                <w:szCs w:val="18"/>
              </w:rPr>
              <w:t>False</w:t>
            </w:r>
            <w:r>
              <w:rPr>
                <w:rFonts w:ascii="Times New Roman" w:hAnsi="Times New Roman"/>
                <w:kern w:val="2"/>
                <w:sz w:val="18"/>
                <w:szCs w:val="18"/>
              </w:rPr>
              <w:t xml:space="preserve"> %}</w:t>
            </w:r>
          </w:p>
        </w:tc>
      </w:tr>
      <w:tr w14:paraId="0FBFA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6D10F80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1489" w:type="dxa"/>
            <w:tcBorders>
              <w:tl2br w:val="nil"/>
              <w:tr2bl w:val="nil"/>
            </w:tcBorders>
            <w:vAlign w:val="center"/>
          </w:tcPr>
          <w:p w14:paraId="3F0709E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Transcript </w:t>
            </w:r>
            <w:r>
              <w:rPr>
                <w:rFonts w:ascii="Times New Roman" w:hAnsi="Times New Roman"/>
                <w:kern w:val="2"/>
                <w:sz w:val="18"/>
                <w:szCs w:val="18"/>
              </w:rPr>
              <w:t>}}</w:t>
            </w:r>
          </w:p>
        </w:tc>
        <w:tc>
          <w:tcPr>
            <w:tcW w:w="1490" w:type="dxa"/>
            <w:tcBorders>
              <w:tl2br w:val="nil"/>
              <w:tr2bl w:val="nil"/>
            </w:tcBorders>
            <w:vAlign w:val="center"/>
          </w:tcPr>
          <w:p w14:paraId="0C134D4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Exon </w:t>
            </w:r>
            <w:r>
              <w:rPr>
                <w:rFonts w:ascii="Times New Roman" w:hAnsi="Times New Roman"/>
                <w:kern w:val="2"/>
                <w:sz w:val="18"/>
                <w:szCs w:val="18"/>
              </w:rPr>
              <w:t>}}</w:t>
            </w:r>
          </w:p>
        </w:tc>
        <w:tc>
          <w:tcPr>
            <w:tcW w:w="1490" w:type="dxa"/>
            <w:tcBorders>
              <w:tl2br w:val="nil"/>
              <w:tr2bl w:val="nil"/>
            </w:tcBorders>
            <w:vAlign w:val="center"/>
          </w:tcPr>
          <w:p w14:paraId="5B87F095">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cHGVS </w:t>
            </w:r>
            <w:r>
              <w:rPr>
                <w:rFonts w:ascii="Times New Roman" w:hAnsi="Times New Roman"/>
                <w:kern w:val="2"/>
                <w:sz w:val="18"/>
                <w:szCs w:val="18"/>
              </w:rPr>
              <w:t>}}</w:t>
            </w:r>
          </w:p>
        </w:tc>
        <w:tc>
          <w:tcPr>
            <w:tcW w:w="1490" w:type="dxa"/>
            <w:tcBorders>
              <w:tl2br w:val="nil"/>
              <w:tr2bl w:val="nil"/>
            </w:tcBorders>
            <w:vAlign w:val="center"/>
          </w:tcPr>
          <w:p w14:paraId="09257DE4">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w:t>
            </w:r>
            <w:r>
              <w:rPr>
                <w:rFonts w:hint="eastAsia" w:ascii="Times New Roman" w:hAnsi="Times New Roman"/>
                <w:kern w:val="2"/>
                <w:sz w:val="18"/>
                <w:szCs w:val="18"/>
              </w:rPr>
              <w:t xml:space="preserve">pHGVS </w:t>
            </w:r>
            <w:r>
              <w:rPr>
                <w:rFonts w:ascii="Times New Roman" w:hAnsi="Times New Roman"/>
                <w:kern w:val="2"/>
                <w:sz w:val="18"/>
                <w:szCs w:val="18"/>
              </w:rPr>
              <w:t>}}</w:t>
            </w:r>
          </w:p>
        </w:tc>
        <w:tc>
          <w:tcPr>
            <w:tcW w:w="1733" w:type="dxa"/>
            <w:tcBorders>
              <w:tl2br w:val="nil"/>
              <w:tr2bl w:val="nil"/>
            </w:tcBorders>
            <w:vAlign w:val="center"/>
          </w:tcPr>
          <w:p w14:paraId="7E5B4DAB">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34E1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45B747E6">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3C08C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04F7D3A3">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.gene }}</w:t>
            </w:r>
          </w:p>
        </w:tc>
        <w:tc>
          <w:tcPr>
            <w:tcW w:w="5959" w:type="dxa"/>
            <w:gridSpan w:val="4"/>
            <w:tcBorders>
              <w:tl2br w:val="nil"/>
              <w:tr2bl w:val="nil"/>
            </w:tcBorders>
            <w:vAlign w:val="center"/>
          </w:tcPr>
          <w:p w14:paraId="327EC778">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tcBorders>
              <w:tl2br w:val="nil"/>
              <w:tr2bl w:val="nil"/>
            </w:tcBorders>
            <w:vAlign w:val="center"/>
          </w:tcPr>
          <w:p w14:paraId="44B7035C">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rPr>
              <w:t>vg</w:t>
            </w:r>
            <w:r>
              <w:rPr>
                <w:rFonts w:ascii="Times New Roman" w:hAnsi="Times New Roman"/>
                <w:kern w:val="2"/>
                <w:sz w:val="18"/>
                <w:szCs w:val="18"/>
              </w:rPr>
              <w:t>.mutFreq }}</w:t>
            </w:r>
          </w:p>
        </w:tc>
      </w:tr>
      <w:tr w14:paraId="2EEB0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6"/>
            <w:tcBorders>
              <w:tl2br w:val="nil"/>
              <w:tr2bl w:val="nil"/>
            </w:tcBorders>
            <w:vAlign w:val="center"/>
          </w:tcPr>
          <w:p w14:paraId="37A77973">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762B1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097C0727">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3AB60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6E472727">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1EA4B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7361689E">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AF7742D">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0230C914">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249EB8F1">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811" w:type="pct"/>
            <w:tcBorders>
              <w:tl2br w:val="nil"/>
              <w:tr2bl w:val="nil"/>
            </w:tcBorders>
            <w:vAlign w:val="center"/>
          </w:tcPr>
          <w:p w14:paraId="7829C3A0">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c>
          <w:tcPr>
            <w:tcW w:w="942" w:type="pct"/>
            <w:tcBorders>
              <w:tl2br w:val="nil"/>
              <w:tr2bl w:val="nil"/>
            </w:tcBorders>
            <w:vAlign w:val="center"/>
          </w:tcPr>
          <w:p w14:paraId="7542CC4E">
            <w:pPr>
              <w:adjustRightInd w:val="0"/>
              <w:snapToGrid w:val="0"/>
              <w:jc w:val="center"/>
              <w:rPr>
                <w:rFonts w:ascii="Times New Roman" w:hAnsi="Times New Roman"/>
                <w:kern w:val="2"/>
                <w:sz w:val="18"/>
                <w:szCs w:val="18"/>
              </w:rPr>
            </w:pPr>
            <w:r>
              <w:rPr>
                <w:rFonts w:hint="eastAsia" w:ascii="Times New Roman" w:hAnsi="Times New Roman"/>
                <w:kern w:val="2"/>
                <w:sz w:val="18"/>
                <w:szCs w:val="18"/>
              </w:rPr>
              <w:t>/</w:t>
            </w:r>
          </w:p>
        </w:tc>
      </w:tr>
      <w:tr w14:paraId="6F4AD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3114353B">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24C80C72">
      <w:pPr>
        <w:pStyle w:val="10"/>
        <w:spacing w:before="7"/>
        <w:rPr>
          <w:rFonts w:ascii="Times New Roman" w:hAnsi="Times New Roman" w:eastAsia="微软雅黑" w:cs="Times New Roman"/>
        </w:rPr>
      </w:pPr>
    </w:p>
    <w:p w14:paraId="29923D51">
      <w:pPr>
        <w:pStyle w:val="8"/>
        <w:spacing w:line="276" w:lineRule="auto"/>
        <w:jc w:val="both"/>
        <w:rPr>
          <w:rFonts w:ascii="Times New Roman" w:hAnsi="Times New Roman" w:cs="Times New Roman"/>
        </w:rPr>
      </w:pPr>
      <w:bookmarkStart w:id="3" w:name="_Toc534637496"/>
      <w:bookmarkStart w:id="4" w:name="_Toc527112383"/>
      <w:bookmarkStart w:id="5" w:name="_Toc526855035"/>
      <w:r>
        <w:rPr>
          <w:rFonts w:ascii="Times New Roman" w:hAnsi="Times New Roman" w:cs="Times New Roman"/>
        </w:rPr>
        <w:t>注：</w:t>
      </w:r>
    </w:p>
    <w:p w14:paraId="6A472656">
      <w:pPr>
        <w:pStyle w:val="41"/>
        <w:numPr>
          <w:ilvl w:val="0"/>
          <w:numId w:val="1"/>
        </w:numPr>
        <w:adjustRightInd w:val="0"/>
        <w:snapToGrid w:val="0"/>
        <w:rPr>
          <w:sz w:val="18"/>
          <w:szCs w:val="18"/>
        </w:rPr>
      </w:pPr>
      <w:r>
        <w:rPr>
          <w:sz w:val="18"/>
          <w:szCs w:val="18"/>
        </w:rPr>
        <w:t>变异丰度：在某位点产生突变的等位基因在该位点全部等位基因中所占比率。本试剂的检测下限为1%变异丰度，对于低于1%丰度的突变位点，验证后报出</w:t>
      </w:r>
      <w:r>
        <w:rPr>
          <w:rFonts w:hint="eastAsia"/>
          <w:sz w:val="18"/>
          <w:szCs w:val="18"/>
          <w:lang w:eastAsia="zh-CN"/>
        </w:rPr>
        <w:t>；</w:t>
      </w:r>
    </w:p>
    <w:p w14:paraId="4696B03F">
      <w:pPr>
        <w:pStyle w:val="41"/>
        <w:numPr>
          <w:ilvl w:val="0"/>
          <w:numId w:val="1"/>
        </w:numPr>
        <w:adjustRightInd w:val="0"/>
        <w:snapToGrid w:val="0"/>
        <w:rPr>
          <w:sz w:val="18"/>
          <w:szCs w:val="18"/>
        </w:rPr>
      </w:pPr>
      <w:r>
        <w:rPr>
          <w:sz w:val="18"/>
          <w:szCs w:val="18"/>
        </w:rPr>
        <w:t>拷贝数：是指某⼀种基因或某⼀段特定的DNA序列在单倍体基因组中出现的数目</w:t>
      </w:r>
      <w:r>
        <w:rPr>
          <w:rFonts w:hint="eastAsia"/>
          <w:sz w:val="18"/>
          <w:szCs w:val="18"/>
        </w:rPr>
        <w:t>；</w:t>
      </w:r>
    </w:p>
    <w:p w14:paraId="1DF43628">
      <w:pPr>
        <w:pStyle w:val="41"/>
        <w:numPr>
          <w:ilvl w:val="0"/>
          <w:numId w:val="1"/>
        </w:numPr>
        <w:adjustRightInd w:val="0"/>
        <w:snapToGrid w:val="0"/>
        <w:rPr>
          <w:sz w:val="18"/>
          <w:szCs w:val="18"/>
        </w:rPr>
      </w:pPr>
      <w:bookmarkStart w:id="17" w:name="_GoBack"/>
      <w:bookmarkEnd w:id="17"/>
      <w:r>
        <w:rPr>
          <w:sz w:val="18"/>
          <w:szCs w:val="18"/>
        </w:rPr>
        <w:t>检测结果与采集的标本病变（靶组织）比例有关，靶组织含量过低可能出现假阴性；</w:t>
      </w:r>
    </w:p>
    <w:p w14:paraId="3CCE6B22">
      <w:pPr>
        <w:pStyle w:val="41"/>
        <w:numPr>
          <w:ilvl w:val="0"/>
          <w:numId w:val="1"/>
        </w:numPr>
        <w:adjustRightInd w:val="0"/>
        <w:snapToGrid w:val="0"/>
        <w:rPr>
          <w:sz w:val="18"/>
          <w:szCs w:val="18"/>
        </w:rPr>
      </w:pPr>
      <w:r>
        <w:rPr>
          <w:sz w:val="18"/>
          <w:szCs w:val="18"/>
        </w:rPr>
        <w:t>本报告仅对所检测标本负责，检测结果的解释及建议基于当前的科学研究水平，仅供临床医师参考，勿作他用；</w:t>
      </w:r>
    </w:p>
    <w:p w14:paraId="55F0BF95">
      <w:pPr>
        <w:pStyle w:val="41"/>
        <w:numPr>
          <w:ilvl w:val="0"/>
          <w:numId w:val="1"/>
        </w:numPr>
        <w:adjustRightInd w:val="0"/>
        <w:snapToGrid w:val="0"/>
        <w:rPr>
          <w:sz w:val="18"/>
          <w:szCs w:val="18"/>
        </w:rPr>
      </w:pPr>
      <w:r>
        <w:rPr>
          <w:sz w:val="18"/>
          <w:szCs w:val="18"/>
        </w:rPr>
        <w:t>本检测只检测60个肺癌个体化基因的特定突变，不排除受检者携带检测列表以外的突变位点；</w:t>
      </w:r>
    </w:p>
    <w:p w14:paraId="0FF294DE">
      <w:pPr>
        <w:pStyle w:val="41"/>
        <w:numPr>
          <w:ilvl w:val="0"/>
          <w:numId w:val="1"/>
        </w:numPr>
        <w:adjustRightInd w:val="0"/>
        <w:snapToGrid w:val="0"/>
        <w:rPr>
          <w:sz w:val="18"/>
          <w:szCs w:val="18"/>
        </w:rPr>
      </w:pPr>
      <w:r>
        <w:rPr>
          <w:sz w:val="18"/>
          <w:szCs w:val="18"/>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合并III类报出）。</w:t>
      </w:r>
    </w:p>
    <w:p w14:paraId="6845C50A">
      <w:pPr>
        <w:pStyle w:val="10"/>
        <w:rPr>
          <w:rFonts w:ascii="Times New Roman" w:hAnsi="Times New Roman" w:eastAsia="微软雅黑" w:cs="Times New Roman"/>
          <w:sz w:val="20"/>
        </w:rPr>
      </w:pPr>
    </w:p>
    <w:p w14:paraId="57A4F9E8">
      <w:pPr>
        <w:pStyle w:val="10"/>
        <w:rPr>
          <w:rFonts w:ascii="Times New Roman" w:hAnsi="Times New Roman" w:eastAsia="微软雅黑" w:cs="Times New Roman"/>
          <w:sz w:val="20"/>
        </w:rPr>
      </w:pPr>
    </w:p>
    <w:p w14:paraId="6F141AFC">
      <w:pPr>
        <w:ind w:right="105" w:firstLine="110" w:firstLineChars="50"/>
        <w:jc w:val="center"/>
        <w:rPr>
          <w:rFonts w:ascii="Times New Roman" w:hAnsi="Times New Roman" w:eastAsia="微软雅黑" w:cs="Times New Roman"/>
        </w:rPr>
      </w:pPr>
      <w:r>
        <w:t>检测师：</w:t>
      </w:r>
      <w:r>
        <w:rPr>
          <w:rFonts w:ascii="Times New Roman" w:hAnsi="Times New Roman" w:eastAsia="微软雅黑" w:cs="Times New Roman"/>
        </w:rPr>
        <w:t xml:space="preserve">   </w:t>
      </w:r>
      <w:r>
        <w:rPr>
          <w:rFonts w:ascii="Times New Roman" w:hAnsi="Times New Roman" w:eastAsia="微软雅黑" w:cs="Times New Roman"/>
          <w:sz w:val="24"/>
          <w:szCs w:val="24"/>
        </w:rPr>
        <w:t xml:space="preserve"> </w:t>
      </w:r>
      <w:r>
        <w:rPr>
          <w:rFonts w:ascii="Times New Roman" w:hAnsi="Times New Roman" w:eastAsia="微软雅黑" w:cs="Times New Roman"/>
        </w:rPr>
        <w:t xml:space="preserve">                     </w:t>
      </w:r>
      <w:r>
        <w:t>报告审核医师：</w:t>
      </w:r>
      <w:r>
        <w:rPr>
          <w:rFonts w:ascii="Times New Roman" w:hAnsi="Times New Roman" w:eastAsia="微软雅黑" w:cs="Times New Roman"/>
        </w:rPr>
        <w:t xml:space="preserve"> </w:t>
      </w:r>
    </w:p>
    <w:p w14:paraId="715C305A">
      <w:pPr>
        <w:ind w:right="105" w:firstLine="110" w:firstLineChars="50"/>
        <w:rPr>
          <w:rFonts w:ascii="Times New Roman" w:hAnsi="Times New Roman" w:eastAsia="微软雅黑" w:cs="Times New Roman"/>
        </w:rPr>
      </w:pPr>
      <w:r>
        <w:rPr>
          <w:rFonts w:ascii="Times New Roman" w:hAnsi="Times New Roman" w:eastAsia="微软雅黑" w:cs="Times New Roman"/>
        </w:rPr>
        <w:t xml:space="preserve">   </w:t>
      </w:r>
    </w:p>
    <w:p w14:paraId="78B7E1CE">
      <w:pPr>
        <w:wordWrap w:val="0"/>
        <w:ind w:right="105" w:firstLine="110" w:firstLineChars="50"/>
        <w:jc w:val="center"/>
        <w:rPr>
          <w:rFonts w:ascii="Times New Roman" w:hAnsi="Times New Roman" w:eastAsia="微软雅黑" w:cs="Times New Roman"/>
        </w:rPr>
      </w:pPr>
      <w:r>
        <w:rPr>
          <w:rFonts w:ascii="Times New Roman" w:hAnsi="Times New Roman" w:eastAsia="微软雅黑" w:cs="Times New Roman"/>
        </w:rPr>
        <w:t xml:space="preserve">                                </w:t>
      </w:r>
      <w:r>
        <w:rPr>
          <w:rFonts w:hint="eastAsia" w:ascii="Times New Roman" w:hAnsi="Times New Roman" w:eastAsia="微软雅黑" w:cs="Times New Roman"/>
        </w:rPr>
        <w:t xml:space="preserve">       </w:t>
      </w:r>
      <w:r>
        <w:rPr>
          <w:rFonts w:ascii="Times New Roman" w:hAnsi="Times New Roman" w:eastAsia="微软雅黑" w:cs="Times New Roman"/>
        </w:rPr>
        <w:t xml:space="preserve">          </w:t>
      </w:r>
      <w:r>
        <w:t>报 告 日 期：</w:t>
      </w:r>
      <w:r>
        <w:rPr>
          <w:rFonts w:ascii="Times New Roman" w:hAnsi="Times New Roman" w:cs="Times New Roman"/>
          <w:kern w:val="2"/>
          <w:sz w:val="24"/>
          <w:szCs w:val="24"/>
        </w:rPr>
        <w:t>{{ reportdate }}</w:t>
      </w:r>
    </w:p>
    <w:p w14:paraId="415E9871">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650B0396">
      <w:pPr>
        <w:keepNext/>
        <w:widowControl/>
        <w:spacing w:before="360" w:beforeLines="150" w:line="260" w:lineRule="auto"/>
        <w:rPr>
          <w:rFonts w:ascii="Times New Roman" w:hAnsi="Times New Roman" w:eastAsia="微软雅黑" w:cs="Times New Roman"/>
          <w:b/>
          <w:color w:val="1F497D"/>
          <w:sz w:val="28"/>
          <w:szCs w:val="28"/>
        </w:rPr>
      </w:pPr>
      <w:r>
        <w:rPr>
          <w:rFonts w:hint="eastAsia" w:ascii="Times New Roman" w:hAnsi="Times New Roman" w:eastAsia="微软雅黑" w:cs="Times New Roman"/>
          <w:b/>
          <w:color w:val="1F497D"/>
          <w:sz w:val="28"/>
          <w:szCs w:val="28"/>
        </w:rPr>
        <w:t>附录1 靶向药物结果解析</w:t>
      </w:r>
    </w:p>
    <w:p w14:paraId="729577D7">
      <w:pPr>
        <w:pStyle w:val="10"/>
        <w:rPr>
          <w:rFonts w:ascii="微软雅黑" w:hAnsi="微软雅黑" w:eastAsia="微软雅黑" w:cs="微软雅黑"/>
          <w:b/>
          <w:bCs/>
          <w:sz w:val="20"/>
          <w:szCs w:val="20"/>
        </w:rPr>
      </w:pPr>
      <w:r>
        <w:rPr>
          <w:rFonts w:hint="eastAsia" w:ascii="微软雅黑" w:hAnsi="微软雅黑" w:eastAsia="微软雅黑" w:cs="微软雅黑"/>
          <w:b/>
          <w:bCs/>
          <w:sz w:val="20"/>
          <w:szCs w:val="20"/>
        </w:rPr>
        <w:t>下述用药信息仅供参考，具体用药方案请遵照临床医生指导</w:t>
      </w:r>
    </w:p>
    <w:bookmarkEnd w:id="3"/>
    <w:bookmarkEnd w:id="4"/>
    <w:bookmarkEnd w:id="5"/>
    <w:p w14:paraId="6B2377F3">
      <w:pPr>
        <w:widowControl/>
        <w:spacing w:after="160" w:line="259" w:lineRule="auto"/>
        <w:rPr>
          <w:rFonts w:ascii="Times New Roman" w:hAnsi="Times New Roman" w:eastAsia="微软雅黑" w:cs="Times New Roman"/>
          <w:bCs/>
          <w:sz w:val="18"/>
          <w:szCs w:val="18"/>
        </w:rPr>
      </w:pPr>
      <w:r>
        <w:rPr>
          <w:rFonts w:ascii="Times New Roman" w:hAnsi="Times New Roman" w:eastAsia="微软雅黑" w:cs="Times New Roman"/>
          <w:bCs/>
          <w:sz w:val="18"/>
          <w:szCs w:val="18"/>
        </w:rPr>
        <w:t>{% if BodyDrugDrugDetectionStr == [] and unknownVarAnalysisStr == []%}</w:t>
      </w:r>
      <w:r>
        <w:rPr>
          <w:color w:val="000000" w:themeColor="text1"/>
          <w:sz w:val="21"/>
          <w:szCs w:val="21"/>
          <w14:textFill>
            <w14:solidFill>
              <w14:schemeClr w14:val="tx1"/>
            </w14:solidFill>
          </w14:textFill>
        </w:rPr>
        <w:t>未检出靶向用药相关的</w:t>
      </w:r>
      <w:r>
        <w:rPr>
          <w:rFonts w:hint="eastAsia"/>
          <w:color w:val="000000" w:themeColor="text1"/>
          <w:sz w:val="21"/>
          <w:szCs w:val="21"/>
          <w14:textFill>
            <w14:solidFill>
              <w14:schemeClr w14:val="tx1"/>
            </w14:solidFill>
          </w14:textFill>
        </w:rPr>
        <w:t>变异位点</w:t>
      </w:r>
      <w:r>
        <w:rPr>
          <w:color w:val="000000" w:themeColor="text1"/>
          <w:sz w:val="21"/>
          <w:szCs w:val="21"/>
          <w14:textFill>
            <w14:solidFill>
              <w14:schemeClr w14:val="tx1"/>
            </w14:solidFill>
          </w14:textFill>
        </w:rPr>
        <w:t>；未检出未知临床意义</w:t>
      </w:r>
      <w:r>
        <w:rPr>
          <w:rFonts w:hint="eastAsia"/>
          <w:color w:val="000000" w:themeColor="text1"/>
          <w:sz w:val="21"/>
          <w:szCs w:val="21"/>
          <w14:textFill>
            <w14:solidFill>
              <w14:schemeClr w14:val="tx1"/>
            </w14:solidFill>
          </w14:textFill>
        </w:rPr>
        <w:t>变异位点</w:t>
      </w:r>
      <w:r>
        <w:rPr>
          <w:color w:val="000000" w:themeColor="text1"/>
          <w:sz w:val="21"/>
          <w:szCs w:val="21"/>
          <w14:textFill>
            <w14:solidFill>
              <w14:schemeClr w14:val="tx1"/>
            </w14:solidFill>
          </w14:textFill>
        </w:rPr>
        <w:t>。</w:t>
      </w:r>
      <w:r>
        <w:rPr>
          <w:rFonts w:ascii="Times New Roman" w:hAnsi="Times New Roman" w:eastAsia="微软雅黑" w:cs="Times New Roman"/>
          <w:bCs/>
          <w:sz w:val="18"/>
          <w:szCs w:val="18"/>
        </w:rPr>
        <w:t>{% endif %}</w:t>
      </w:r>
    </w:p>
    <w:p w14:paraId="4ABDA76D">
      <w:pPr>
        <w:widowControl/>
        <w:spacing w:after="160" w:line="259" w:lineRule="auto"/>
        <w:rPr>
          <w:rFonts w:ascii="Times New Roman" w:hAnsi="Times New Roman" w:eastAsia="微软雅黑" w:cs="Times New Roman"/>
          <w:b/>
          <w:color w:val="1F497D"/>
          <w:sz w:val="24"/>
          <w:szCs w:val="24"/>
        </w:rPr>
      </w:pPr>
      <w:bookmarkStart w:id="6" w:name="_Toc4331_WPSOffice_Level2"/>
      <w:bookmarkStart w:id="7" w:name="_Toc32443_WPSOffice_Level2"/>
      <w:bookmarkStart w:id="8" w:name="_Toc30582"/>
      <w:bookmarkStart w:id="9" w:name="_Toc23606"/>
      <w:r>
        <w:rPr>
          <w:rFonts w:ascii="Times New Roman" w:hAnsi="Times New Roman" w:eastAsia="微软雅黑" w:cs="Times New Roman"/>
          <w:b/>
          <w:color w:val="1F497D"/>
          <w:sz w:val="24"/>
          <w:szCs w:val="24"/>
        </w:rPr>
        <w:t>{%if BodyDrugDrugDetectionStr or unknownVarAnalysisStr %}</w:t>
      </w:r>
      <w:r>
        <w:rPr>
          <w:rFonts w:hint="eastAsia"/>
          <w:b/>
          <w:color w:val="1F497D"/>
          <w:sz w:val="24"/>
          <w:szCs w:val="24"/>
        </w:rPr>
        <w:t>变异位点结果解析</w:t>
      </w:r>
      <w:bookmarkEnd w:id="6"/>
      <w:bookmarkEnd w:id="7"/>
      <w:bookmarkEnd w:id="8"/>
      <w:bookmarkEnd w:id="9"/>
      <w:r>
        <w:rPr>
          <w:rFonts w:ascii="Times New Roman" w:hAnsi="Times New Roman" w:eastAsia="微软雅黑" w:cs="Times New Roman"/>
          <w:b/>
          <w:color w:val="1F497D"/>
          <w:sz w:val="24"/>
          <w:szCs w:val="24"/>
        </w:rPr>
        <w:t xml:space="preserve">{% for tdd in </w:t>
      </w:r>
      <w:r>
        <w:rPr>
          <w:rFonts w:ascii="Times New Roman" w:hAnsi="Times New Roman" w:eastAsia="微软雅黑" w:cs="Times New Roman"/>
          <w:b/>
          <w:color w:val="1F497D" w:themeColor="text2"/>
          <w:sz w:val="24"/>
          <w:szCs w:val="24"/>
          <w14:textFill>
            <w14:solidFill>
              <w14:schemeClr w14:val="tx2"/>
            </w14:solidFill>
          </w14:textFill>
        </w:rPr>
        <w:t xml:space="preserve">BodyDrugNoComplexStr </w:t>
      </w:r>
      <w:r>
        <w:rPr>
          <w:rFonts w:ascii="Times New Roman" w:hAnsi="Times New Roman" w:eastAsia="微软雅黑" w:cs="Times New Roman"/>
          <w:b/>
          <w:color w:val="1F497D"/>
          <w:sz w:val="24"/>
          <w:szCs w:val="24"/>
        </w:rPr>
        <w:t>%}</w:t>
      </w:r>
    </w:p>
    <w:p w14:paraId="68CCEE11">
      <w:pPr>
        <w:keepNext/>
        <w:widowControl/>
        <w:spacing w:before="360" w:beforeLines="150" w:line="260" w:lineRule="auto"/>
        <w:rPr>
          <w:rFonts w:ascii="Times New Roman" w:hAnsi="Times New Roman" w:cs="Times New Roman"/>
          <w:b/>
          <w:color w:val="1F497D"/>
          <w:sz w:val="24"/>
          <w:szCs w:val="24"/>
        </w:rPr>
      </w:pPr>
      <w:r>
        <w:rPr>
          <w:rFonts w:ascii="Times New Roman" w:hAnsi="Times New Roman" w:cs="Times New Roman"/>
          <w:b/>
          <w:color w:val="1F497D"/>
          <w:sz w:val="24"/>
          <w:szCs w:val="24"/>
        </w:rPr>
        <w:t>{{ tdd.gene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3F1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666A3" w:sz="18" w:space="0"/>
              <w:left w:val="nil"/>
              <w:bottom w:val="dotted" w:color="2666A3" w:sz="4" w:space="0"/>
              <w:right w:val="dotted" w:color="2666A3" w:sz="4" w:space="0"/>
            </w:tcBorders>
            <w:shd w:val="clear" w:color="auto" w:fill="auto"/>
            <w:vAlign w:val="center"/>
          </w:tcPr>
          <w:p w14:paraId="18D5EA7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突变形式</w:t>
            </w:r>
          </w:p>
        </w:tc>
        <w:tc>
          <w:tcPr>
            <w:tcW w:w="8247" w:type="dxa"/>
            <w:tcBorders>
              <w:top w:val="single" w:color="2666A3" w:sz="18" w:space="0"/>
              <w:left w:val="dotted" w:color="2666A3" w:sz="4" w:space="0"/>
              <w:bottom w:val="dotted" w:color="2666A3" w:sz="4" w:space="0"/>
              <w:right w:val="nil"/>
            </w:tcBorders>
            <w:vAlign w:val="center"/>
          </w:tcPr>
          <w:p w14:paraId="61911E2A">
            <w:pPr>
              <w:keepNext/>
              <w:spacing w:before="26"/>
              <w:jc w:val="center"/>
              <w:rPr>
                <w:rFonts w:ascii="Times New Roman" w:hAnsi="Times New Roman" w:cs="Times New Roman"/>
                <w:bCs/>
                <w:sz w:val="18"/>
                <w:szCs w:val="18"/>
              </w:rPr>
            </w:pPr>
            <w:r>
              <w:rPr>
                <w:rFonts w:hint="eastAsia" w:ascii="Times New Roman" w:hAnsi="Times New Roman" w:eastAsia="宋体" w:cs="Times New Roman"/>
                <w:bCs/>
                <w:sz w:val="18"/>
                <w:szCs w:val="18"/>
                <w:lang w:val="en-US" w:eastAsia="zh-CN"/>
              </w:rPr>
              <w:t xml:space="preserve">{% if </w:t>
            </w:r>
            <w:r>
              <w:rPr>
                <w:rFonts w:hint="default" w:ascii="Times New Roman" w:hAnsi="Times New Roman" w:eastAsia="宋体" w:cs="Times New Roman"/>
                <w:bCs/>
                <w:sz w:val="18"/>
                <w:szCs w:val="18"/>
                <w:lang w:eastAsia="zh-CN"/>
              </w:rPr>
              <w:t>tdd.ori_variant</w:t>
            </w:r>
            <w:r>
              <w:rPr>
                <w:rFonts w:hint="eastAsia" w:ascii="Times New Roman" w:hAnsi="Times New Roman" w:eastAsia="宋体" w:cs="Times New Roman"/>
                <w:bCs/>
                <w:sz w:val="18"/>
                <w:szCs w:val="18"/>
                <w:lang w:val="en-US" w:eastAsia="zh-CN"/>
              </w:rPr>
              <w:t xml:space="preserve"> == </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Amplification</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 xml:space="preserve"> %}扩增</w:t>
            </w:r>
            <w:r>
              <w:rPr>
                <w:rFonts w:hint="eastAsia" w:ascii="Times New Roman" w:hAnsi="Times New Roman" w:eastAsia="宋体" w:cs="Times New Roman"/>
                <w:bCs/>
                <w:sz w:val="18"/>
                <w:szCs w:val="18"/>
                <w:lang w:val="en-US" w:eastAsia="en-US"/>
              </w:rPr>
              <w:t xml:space="preserve">{% </w:t>
            </w:r>
            <w:r>
              <w:rPr>
                <w:rFonts w:hint="default" w:ascii="Times New Roman" w:hAnsi="Times New Roman" w:eastAsia="宋体" w:cs="Times New Roman"/>
                <w:bCs/>
                <w:sz w:val="18"/>
                <w:szCs w:val="18"/>
                <w:lang w:eastAsia="zh-CN"/>
              </w:rPr>
              <w:t>else</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r>
              <w:rPr>
                <w:rFonts w:hint="eastAsia"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eastAsia="zh-CN"/>
              </w:rPr>
              <w:t>tdd</w:t>
            </w:r>
            <w:r>
              <w:rPr>
                <w:rFonts w:hint="eastAsia" w:ascii="Times New Roman" w:hAnsi="Times New Roman" w:eastAsia="宋体" w:cs="Times New Roman"/>
                <w:bCs/>
                <w:sz w:val="18"/>
                <w:szCs w:val="18"/>
                <w:lang w:val="en-US" w:eastAsia="zh-CN"/>
              </w:rPr>
              <w:t>.ori_variant }}</w:t>
            </w:r>
            <w:r>
              <w:rPr>
                <w:rFonts w:hint="eastAsia" w:ascii="Times New Roman" w:hAnsi="Times New Roman" w:eastAsia="宋体" w:cs="Times New Roman"/>
                <w:bCs/>
                <w:sz w:val="18"/>
                <w:szCs w:val="18"/>
                <w:lang w:val="en-US" w:eastAsia="en-US"/>
              </w:rPr>
              <w:t>{% endif</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p>
        </w:tc>
      </w:tr>
      <w:tr w14:paraId="0CBC0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6A121EC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变异丰度</w:t>
            </w:r>
          </w:p>
        </w:tc>
        <w:tc>
          <w:tcPr>
            <w:tcW w:w="8247" w:type="dxa"/>
            <w:tcBorders>
              <w:top w:val="dotted" w:color="2666A3" w:sz="4" w:space="0"/>
              <w:left w:val="dotted" w:color="2666A3" w:sz="4" w:space="0"/>
              <w:bottom w:val="dotted" w:color="2666A3" w:sz="4" w:space="0"/>
              <w:right w:val="nil"/>
            </w:tcBorders>
            <w:vAlign w:val="center"/>
          </w:tcPr>
          <w:p w14:paraId="5434E82E">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tdd.mutFreq }}</w:t>
            </w:r>
          </w:p>
        </w:tc>
      </w:tr>
      <w:tr w14:paraId="2D0E4A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2431A273">
            <w:pPr>
              <w:spacing w:before="1" w:line="250" w:lineRule="auto"/>
              <w:jc w:val="center"/>
              <w:rPr>
                <w:rFonts w:ascii="Times New Roman" w:hAnsi="Times New Roman" w:cs="Times New Roman"/>
                <w:color w:val="2666A3"/>
                <w:sz w:val="18"/>
                <w:szCs w:val="18"/>
              </w:rPr>
            </w:pPr>
            <w:r>
              <w:rPr>
                <w:rFonts w:ascii="Times New Roman" w:hAnsi="Times New Roman" w:cs="Times New Roman"/>
                <w:b/>
                <w:color w:val="2666A3"/>
                <w:sz w:val="18"/>
                <w:szCs w:val="18"/>
              </w:rPr>
              <w:t>潜在获益药物</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F31D3E5">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59AC1EB">
            <w:pPr>
              <w:spacing w:before="1" w:line="250" w:lineRule="auto"/>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tdd.drugaStr == [] %}无{% else%}{% for d in tdd.drugaStr %}{%if loop.last%}{{ d.nameLevel }}{%else%}{{ d.nameLevel }}，{%endif%}{% endfor %}{% endif%}</w:t>
            </w:r>
          </w:p>
        </w:tc>
      </w:tr>
      <w:tr w14:paraId="4B7C15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8486EAA">
            <w:pPr>
              <w:spacing w:before="1" w:line="250" w:lineRule="auto"/>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2DCA3A2A">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2261EE5">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tdd.drugbStr == [] %}无{% else%}{% for d in tdd.drugbStr %}{%if loop.last%}{{ d.nameLevel }}{%else%}{{ d.nameLevel }}，{%endif%}{% endfor %}{% endif%}</w:t>
            </w:r>
          </w:p>
        </w:tc>
      </w:tr>
      <w:tr w14:paraId="1E2DC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252A9D1">
            <w:pPr>
              <w:spacing w:before="1" w:line="250" w:lineRule="auto"/>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849A598">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6C629CFF">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tdd.drugcStr == [] %}无{% else%}{% for d in tdd.drugcStr %}{%if loop.last%}{{ d.nameLevel }}{%else%}{{ d.nameLevel }}，{%endif%}{% endfor %}{% endif%}</w:t>
            </w:r>
          </w:p>
        </w:tc>
      </w:tr>
      <w:tr w14:paraId="776459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5D67B1B0">
            <w:pPr>
              <w:spacing w:before="1" w:line="250" w:lineRule="auto"/>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E188B7F">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3EAC69D1">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tdd.drugdStr == [] %}无{% else%}{% for d in tdd.drugdStr %}{%if loop.last%}{{ d.nameLevel }}{%else%}{{ d.nameLevel }}，{%endif%}{% endfor %}{% endif%}</w:t>
            </w:r>
          </w:p>
        </w:tc>
      </w:tr>
      <w:tr w14:paraId="43D902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5FC2F221">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潜在耐药信息</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4CFD24D">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3C3A68B">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tdd.resistantaStr == [] %}无{% else%}{% for d in tdd.resistantaStr %}{%if loop.last%}{{ d.nameLevel }}{%else%}{{ d.nameLevel }}，{%endif%}{% endfor %}{% endif%}</w:t>
            </w:r>
          </w:p>
        </w:tc>
      </w:tr>
      <w:tr w14:paraId="51CC2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74C75CA">
            <w:pPr>
              <w:keepNext/>
              <w:spacing w:before="26"/>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4B4FBCFE">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D124ACB">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tdd.resistantbStr == [] %}无{% else%}{% for d in tdd.resistantbStr %}{%if loop.last%}{{ d.nameLevel }}{%else%}{{ d.nameLevel }}，{%endif%}{% endfor %}{% endif%}</w:t>
            </w:r>
          </w:p>
        </w:tc>
      </w:tr>
      <w:tr w14:paraId="49EB7C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FA19C78">
            <w:pPr>
              <w:keepNext/>
              <w:spacing w:before="26"/>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5FC6A2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0F805938">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tdd.resistantcStr == [] %}无{% else%}{% for d in tdd.resistantcStr %}{%if loop.last%}{{ d.nameLevel }}{%else%}{{ d.nameLevel }}，{%endif%}{% endfor %}{% endif%}</w:t>
            </w:r>
          </w:p>
        </w:tc>
      </w:tr>
      <w:tr w14:paraId="271B6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6A020BB5">
            <w:pPr>
              <w:keepNext/>
              <w:spacing w:before="26"/>
              <w:jc w:val="center"/>
              <w:rPr>
                <w:rFonts w:ascii="Times New Roman" w:hAnsi="Times New Roman" w:cs="Times New Roman"/>
                <w:b/>
                <w:color w:val="2666A3"/>
                <w:sz w:val="18"/>
                <w:szCs w:val="18"/>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6B87FF8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B6404DD">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tdd.resistantdStr == [] %}无{% else%}{% for d in tdd.resistantdStr %}{%if loop.last%}{{ d.nameLevel }}{%else%}{{ d.nameLevel }}，{%endif%}{% endfor %}{% endif%}</w:t>
            </w:r>
          </w:p>
        </w:tc>
      </w:tr>
      <w:tr w14:paraId="2A3874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620FD94C">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基因突变相关说明</w:t>
            </w:r>
          </w:p>
        </w:tc>
        <w:tc>
          <w:tcPr>
            <w:tcW w:w="8247" w:type="dxa"/>
            <w:tcBorders>
              <w:top w:val="dotted" w:color="2666A3" w:sz="4" w:space="0"/>
              <w:left w:val="dotted" w:color="2666A3" w:sz="4" w:space="0"/>
              <w:bottom w:val="dotted" w:color="2666A3" w:sz="4" w:space="0"/>
              <w:right w:val="nil"/>
            </w:tcBorders>
            <w:vAlign w:val="center"/>
          </w:tcPr>
          <w:p w14:paraId="15101200">
            <w:pPr>
              <w:keepNext/>
              <w:spacing w:before="26"/>
              <w:rPr>
                <w:rFonts w:ascii="Times New Roman" w:hAnsi="Times New Roman" w:cs="Times New Roman"/>
                <w:sz w:val="18"/>
                <w:szCs w:val="18"/>
              </w:rPr>
            </w:pPr>
            <w:r>
              <w:rPr>
                <w:rFonts w:ascii="Times New Roman" w:hAnsi="Times New Roman" w:cs="Times New Roman"/>
                <w:sz w:val="18"/>
                <w:szCs w:val="18"/>
              </w:rPr>
              <w:t>{% for md in tdd.medicationDescription %}{% if md.key == '突变说明:' %}</w:t>
            </w:r>
            <w:r>
              <w:rPr>
                <w:rFonts w:ascii="Times New Roman" w:hAnsi="Times New Roman" w:cs="Times New Roman"/>
                <w:b/>
                <w:bCs/>
                <w:sz w:val="18"/>
                <w:szCs w:val="18"/>
              </w:rPr>
              <w:t>{{md.key}}</w:t>
            </w:r>
            <w:r>
              <w:rPr>
                <w:rFonts w:ascii="Times New Roman" w:hAnsi="Times New Roman" w:cs="Times New Roman"/>
                <w:sz w:val="18"/>
                <w:szCs w:val="18"/>
              </w:rPr>
              <w:t>{{md.value}}{% elif md.value == '' %}{% else%}</w:t>
            </w:r>
            <w:r>
              <w:rPr>
                <w:rFonts w:ascii="Times New Roman" w:hAnsi="Times New Roman" w:cs="Times New Roman"/>
                <w:b/>
                <w:bCs/>
                <w:sz w:val="18"/>
                <w:szCs w:val="18"/>
              </w:rPr>
              <w:t>{{md.key}}</w:t>
            </w:r>
            <w:r>
              <w:rPr>
                <w:rFonts w:ascii="Times New Roman" w:hAnsi="Times New Roman" w:cs="Times New Roman"/>
                <w:sz w:val="18"/>
                <w:szCs w:val="18"/>
              </w:rPr>
              <w:t>{{md.value}}</w:t>
            </w:r>
          </w:p>
          <w:p w14:paraId="248F583A">
            <w:pPr>
              <w:keepNext/>
              <w:spacing w:before="26"/>
              <w:rPr>
                <w:rFonts w:ascii="Times New Roman" w:hAnsi="Times New Roman" w:cs="Times New Roman"/>
                <w:sz w:val="18"/>
                <w:szCs w:val="18"/>
              </w:rPr>
            </w:pPr>
            <w:r>
              <w:rPr>
                <w:rFonts w:ascii="Times New Roman" w:hAnsi="Times New Roman" w:cs="Times New Roman"/>
                <w:sz w:val="18"/>
                <w:szCs w:val="18"/>
              </w:rPr>
              <w:t>{% endif %}{% endfor %}</w:t>
            </w:r>
          </w:p>
        </w:tc>
      </w:tr>
    </w:tbl>
    <w:p w14:paraId="52E68EA1">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{%if tdd.drugResearchList != [] %}</w:t>
      </w:r>
    </w:p>
    <w:p w14:paraId="71FA975E">
      <w:pPr>
        <w:keepNext/>
        <w:spacing w:before="26"/>
        <w:rPr>
          <w:rFonts w:ascii="Times New Roman" w:hAnsi="Times New Roman" w:cs="Times New Roman"/>
          <w:b/>
          <w:color w:val="1F497D"/>
          <w:sz w:val="24"/>
        </w:rPr>
      </w:pPr>
      <w:r>
        <w:rPr>
          <w:rFonts w:ascii="Times New Roman" w:hAnsi="Times New Roman" w:cs="Times New Roman"/>
          <w:b/>
          <w:color w:val="1F497D"/>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F5D4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358DEC08">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0A4C48D">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32"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C15204C">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95" w:type="dxa"/>
            <w:tcBorders>
              <w:top w:val="single" w:color="2666A3" w:sz="18" w:space="0"/>
              <w:left w:val="dotted" w:color="2666A3" w:sz="4" w:space="0"/>
              <w:bottom w:val="dotted" w:color="2666A3" w:sz="4" w:space="0"/>
              <w:right w:val="nil"/>
            </w:tcBorders>
            <w:shd w:val="clear" w:color="auto" w:fill="auto"/>
            <w:vAlign w:val="center"/>
          </w:tcPr>
          <w:p w14:paraId="018503F7">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220FE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7FD4CED6">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tdd.drugResearchList %}</w:t>
            </w:r>
          </w:p>
        </w:tc>
      </w:tr>
      <w:tr w14:paraId="62211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56BAE6AA">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5B2FE305">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32" w:type="dxa"/>
            <w:tcBorders>
              <w:top w:val="dotted" w:color="2666A3" w:sz="4" w:space="0"/>
              <w:left w:val="dotted" w:color="2666A3" w:sz="4" w:space="0"/>
              <w:bottom w:val="dotted" w:color="2666A3" w:sz="4" w:space="0"/>
              <w:right w:val="dotted" w:color="2666A3" w:sz="4" w:space="0"/>
            </w:tcBorders>
            <w:vAlign w:val="center"/>
          </w:tcPr>
          <w:p w14:paraId="572519CC">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95" w:type="dxa"/>
            <w:tcBorders>
              <w:top w:val="dotted" w:color="2666A3" w:sz="4" w:space="0"/>
              <w:left w:val="dotted" w:color="2666A3" w:sz="4" w:space="0"/>
              <w:bottom w:val="dotted" w:color="2666A3" w:sz="4" w:space="0"/>
              <w:right w:val="nil"/>
            </w:tcBorders>
            <w:vAlign w:val="center"/>
          </w:tcPr>
          <w:p w14:paraId="455B7EED">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00F12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2BC0079F">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3DD3A31F">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tdd.potentialDrugList != [] %}</w:t>
      </w:r>
    </w:p>
    <w:p w14:paraId="7B25BB7E">
      <w:pPr>
        <w:keepNext/>
        <w:spacing w:before="26"/>
        <w:rPr>
          <w:rFonts w:ascii="Times New Roman" w:hAnsi="Times New Roman" w:cs="Times New Roman"/>
          <w:b/>
          <w:color w:val="1F497D"/>
          <w:sz w:val="24"/>
        </w:rPr>
      </w:pPr>
      <w:r>
        <w:rPr>
          <w:rFonts w:ascii="Times New Roman" w:hAnsi="Times New Roman" w:cs="Times New Roman"/>
          <w:b/>
          <w:color w:val="1F497D"/>
          <w:sz w:val="24"/>
        </w:rPr>
        <w:t>潜在耐药研究信息：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22E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7196D744">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2CD4DB4">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61"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92AD1EC">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66" w:type="dxa"/>
            <w:tcBorders>
              <w:top w:val="single" w:color="2666A3" w:sz="18" w:space="0"/>
              <w:left w:val="dotted" w:color="2666A3" w:sz="4" w:space="0"/>
              <w:bottom w:val="dotted" w:color="2666A3" w:sz="4" w:space="0"/>
              <w:right w:val="nil"/>
            </w:tcBorders>
            <w:shd w:val="clear" w:color="auto" w:fill="auto"/>
            <w:vAlign w:val="center"/>
          </w:tcPr>
          <w:p w14:paraId="5AC43B46">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4910B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16DA202A">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tdd.potentialDrugList %}</w:t>
            </w:r>
          </w:p>
        </w:tc>
      </w:tr>
      <w:tr w14:paraId="5C50C9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216C3884">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4FC0F5BF">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61" w:type="dxa"/>
            <w:tcBorders>
              <w:top w:val="dotted" w:color="2666A3" w:sz="4" w:space="0"/>
              <w:left w:val="dotted" w:color="2666A3" w:sz="4" w:space="0"/>
              <w:bottom w:val="dotted" w:color="2666A3" w:sz="4" w:space="0"/>
              <w:right w:val="dotted" w:color="2666A3" w:sz="4" w:space="0"/>
            </w:tcBorders>
            <w:vAlign w:val="center"/>
          </w:tcPr>
          <w:p w14:paraId="38A07967">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66" w:type="dxa"/>
            <w:tcBorders>
              <w:top w:val="dotted" w:color="2666A3" w:sz="4" w:space="0"/>
              <w:left w:val="dotted" w:color="2666A3" w:sz="4" w:space="0"/>
              <w:bottom w:val="dotted" w:color="2666A3" w:sz="4" w:space="0"/>
              <w:right w:val="nil"/>
            </w:tcBorders>
            <w:vAlign w:val="center"/>
          </w:tcPr>
          <w:p w14:paraId="7F5E3629">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77E1EC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22537CA8">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3143A883">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tdd.clinicalTrialInformationStr!= [] %}</w:t>
      </w:r>
    </w:p>
    <w:p w14:paraId="0BA476B2">
      <w:pPr>
        <w:keepNext/>
        <w:spacing w:before="26"/>
        <w:rPr>
          <w:rFonts w:ascii="Times New Roman" w:hAnsi="Times New Roman" w:cs="Times New Roman"/>
          <w:b/>
          <w:color w:val="1F497D"/>
          <w:sz w:val="24"/>
        </w:rPr>
      </w:pPr>
      <w:r>
        <w:rPr>
          <w:rFonts w:ascii="Times New Roman" w:hAnsi="Times New Roman" w:cs="Times New Roman"/>
          <w:b/>
          <w:color w:val="1F497D"/>
          <w:sz w:val="24"/>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951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F6A3A9E">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957A2D3">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20E7A47">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075D8C6">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409FBB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2E0BA3B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地点</w:t>
            </w:r>
          </w:p>
        </w:tc>
      </w:tr>
      <w:tr w14:paraId="71C00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64F3A2F9">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for cti in tdd.clinicalTrialInformationStr %}</w:t>
            </w:r>
          </w:p>
        </w:tc>
      </w:tr>
      <w:tr w14:paraId="4C4D0F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6F1581E8">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27259C64">
            <w:pPr>
              <w:keepNext/>
              <w:jc w:val="center"/>
              <w:rPr>
                <w:rFonts w:ascii="Times New Roman" w:hAnsi="Times New Roman" w:cs="Times New Roman"/>
                <w:bCs/>
                <w:sz w:val="18"/>
                <w:szCs w:val="18"/>
              </w:rPr>
            </w:pPr>
            <w:r>
              <w:rPr>
                <w:rFonts w:ascii="Times New Roman" w:hAnsi="Times New Roman" w:cs="Times New Roman"/>
                <w:bCs/>
                <w:sz w:val="18"/>
                <w:szCs w:val="18"/>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68ED6C96">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776BA289">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77475F1F">
            <w:pPr>
              <w:spacing w:before="1" w:line="249" w:lineRule="auto"/>
              <w:ind w:right="131"/>
              <w:jc w:val="center"/>
              <w:rPr>
                <w:rFonts w:ascii="Times New Roman" w:hAnsi="Times New Roman" w:cs="Times New Roman"/>
                <w:sz w:val="18"/>
                <w:szCs w:val="18"/>
              </w:rPr>
            </w:pPr>
            <w:r>
              <w:rPr>
                <w:rFonts w:ascii="Times New Roman" w:hAnsi="Times New Roman" w:cs="Times New Roman"/>
                <w:sz w:val="18"/>
                <w:szCs w:val="18"/>
              </w:rPr>
              <w:t xml:space="preserve">{% for d in </w:t>
            </w:r>
            <w:r>
              <w:rPr>
                <w:rFonts w:ascii="Times New Roman" w:hAnsi="Times New Roman" w:cs="Times New Roman"/>
                <w:bCs/>
                <w:sz w:val="18"/>
                <w:szCs w:val="18"/>
              </w:rPr>
              <w:t>cti.drug_name_chinese</w:t>
            </w:r>
            <w:r>
              <w:rPr>
                <w:rFonts w:ascii="Times New Roman" w:hAnsi="Times New Roman" w:cs="Times New Roman"/>
                <w:sz w:val="18"/>
                <w:szCs w:val="18"/>
              </w:rPr>
              <w:t xml:space="preserve"> %}{%if loop.last%}{{ d.name }}{%else%}{{ d.name }}</w:t>
            </w:r>
          </w:p>
          <w:p w14:paraId="0819241F">
            <w:pPr>
              <w:keepNext/>
              <w:jc w:val="center"/>
              <w:rPr>
                <w:rFonts w:ascii="Times New Roman" w:hAnsi="Times New Roman" w:cs="Times New Roman"/>
                <w:sz w:val="18"/>
                <w:szCs w:val="18"/>
              </w:rPr>
            </w:pPr>
            <w:r>
              <w:rPr>
                <w:rFonts w:ascii="Times New Roman" w:hAnsi="Times New Roman" w:cs="Times New Roman"/>
                <w:sz w:val="18"/>
                <w:szCs w:val="18"/>
              </w:rPr>
              <w:t>{%endif%}{% endfor %}</w:t>
            </w:r>
          </w:p>
        </w:tc>
        <w:tc>
          <w:tcPr>
            <w:tcW w:w="856" w:type="dxa"/>
            <w:tcBorders>
              <w:top w:val="dotted" w:color="2666A3" w:sz="4" w:space="0"/>
              <w:left w:val="dotted" w:color="2666A3" w:sz="4" w:space="0"/>
              <w:bottom w:val="dotted" w:color="2666A3" w:sz="4" w:space="0"/>
            </w:tcBorders>
            <w:vAlign w:val="center"/>
          </w:tcPr>
          <w:p w14:paraId="478B767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cti.location_chinese }}</w:t>
            </w:r>
          </w:p>
        </w:tc>
      </w:tr>
      <w:tr w14:paraId="5161B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43593C0E">
            <w:pPr>
              <w:keepNext/>
              <w:spacing w:before="26"/>
              <w:jc w:val="center"/>
              <w:rPr>
                <w:rFonts w:ascii="Times New Roman" w:hAnsi="Times New Roman" w:cs="Times New Roman"/>
                <w:bCs/>
                <w:sz w:val="18"/>
                <w:szCs w:val="18"/>
              </w:rPr>
            </w:pPr>
            <w:r>
              <w:rPr>
                <w:rFonts w:ascii="Times New Roman" w:hAnsi="Times New Roman" w:cs="Times New Roman"/>
                <w:bCs/>
                <w:color w:val="2666A3"/>
                <w:sz w:val="18"/>
                <w:szCs w:val="18"/>
              </w:rPr>
              <w:t>{%tr endfor %}</w:t>
            </w:r>
          </w:p>
        </w:tc>
      </w:tr>
    </w:tbl>
    <w:p w14:paraId="2DB57DF8">
      <w:pPr>
        <w:pStyle w:val="48"/>
        <w:rPr>
          <w:rFonts w:eastAsia="宋体"/>
          <w:color w:val="2666A3"/>
        </w:rPr>
      </w:pPr>
      <w:r>
        <w:rPr>
          <w:rFonts w:eastAsia="宋体"/>
          <w:color w:val="2666A3"/>
        </w:rPr>
        <w:t>{% endif %}{% endfor %}{% for vus in unknownVarAnalysisStr %}</w:t>
      </w:r>
    </w:p>
    <w:p w14:paraId="26AE65D1">
      <w:pPr>
        <w:keepNext/>
        <w:widowControl/>
        <w:spacing w:before="240" w:beforeLines="100" w:line="260" w:lineRule="auto"/>
        <w:rPr>
          <w:rFonts w:ascii="Times New Roman" w:hAnsi="Times New Roman" w:cs="Times New Roman"/>
          <w:b/>
          <w:color w:val="1F497D"/>
          <w:sz w:val="24"/>
          <w:szCs w:val="24"/>
        </w:rPr>
      </w:pPr>
      <w:r>
        <w:rPr>
          <w:rFonts w:ascii="Times New Roman" w:hAnsi="Times New Roman" w:cs="Times New Roman"/>
          <w:b/>
          <w:color w:val="1F497D"/>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05B51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single" w:color="2666A3" w:sz="18" w:space="0"/>
              <w:left w:val="nil"/>
              <w:bottom w:val="dotted" w:color="2666A3" w:sz="4" w:space="0"/>
              <w:right w:val="dotted" w:color="2666A3" w:sz="4" w:space="0"/>
            </w:tcBorders>
            <w:shd w:val="clear" w:color="auto" w:fill="auto"/>
            <w:vAlign w:val="center"/>
          </w:tcPr>
          <w:p w14:paraId="0B84CAC9">
            <w:pPr>
              <w:keepNext/>
              <w:rPr>
                <w:rFonts w:ascii="Times New Roman" w:hAnsi="Times New Roman" w:cs="Times New Roman"/>
                <w:b/>
                <w:color w:val="2666A3"/>
                <w:sz w:val="18"/>
                <w:szCs w:val="18"/>
              </w:rPr>
            </w:pPr>
            <w:r>
              <w:rPr>
                <w:rFonts w:ascii="Times New Roman" w:hAnsi="Times New Roman" w:cs="Times New Roman"/>
                <w:b/>
                <w:color w:val="2666A3"/>
                <w:sz w:val="18"/>
                <w:szCs w:val="18"/>
              </w:rPr>
              <w:t>突变形式</w:t>
            </w:r>
          </w:p>
        </w:tc>
        <w:tc>
          <w:tcPr>
            <w:tcW w:w="8027" w:type="dxa"/>
            <w:tcBorders>
              <w:top w:val="single" w:color="2666A3" w:sz="18" w:space="0"/>
              <w:left w:val="dotted" w:color="2666A3" w:sz="4" w:space="0"/>
              <w:bottom w:val="dotted" w:color="2666A3" w:sz="4" w:space="0"/>
              <w:right w:val="nil"/>
            </w:tcBorders>
            <w:vAlign w:val="center"/>
          </w:tcPr>
          <w:p w14:paraId="00643BEB">
            <w:pPr>
              <w:keepNext/>
              <w:rPr>
                <w:rFonts w:ascii="Times New Roman" w:hAnsi="Times New Roman" w:cs="Times New Roman"/>
                <w:sz w:val="18"/>
                <w:szCs w:val="18"/>
              </w:rPr>
            </w:pPr>
            <w:r>
              <w:rPr>
                <w:rFonts w:hint="eastAsia" w:ascii="Times New Roman" w:hAnsi="Times New Roman" w:eastAsia="宋体" w:cs="Times New Roman"/>
                <w:color w:val="000000"/>
                <w:sz w:val="18"/>
                <w:szCs w:val="18"/>
                <w:lang w:val="en-US" w:eastAsia="zh-CN"/>
              </w:rPr>
              <w:t xml:space="preserve">{% if </w:t>
            </w:r>
            <w:r>
              <w:rPr>
                <w:rFonts w:hint="default" w:ascii="Times New Roman" w:hAnsi="Times New Roman" w:eastAsia="宋体" w:cs="Times New Roman"/>
                <w:color w:val="000000"/>
                <w:sz w:val="18"/>
                <w:szCs w:val="18"/>
                <w:lang w:eastAsia="zh-CN"/>
              </w:rPr>
              <w:t>vus.ori_variant</w:t>
            </w:r>
            <w:r>
              <w:rPr>
                <w:rFonts w:hint="eastAsia" w:ascii="Times New Roman" w:hAnsi="Times New Roman" w:eastAsia="宋体" w:cs="Times New Roman"/>
                <w:color w:val="000000"/>
                <w:sz w:val="18"/>
                <w:szCs w:val="18"/>
                <w:lang w:val="en-US" w:eastAsia="zh-CN"/>
              </w:rPr>
              <w:t xml:space="preserve"> == </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Amplification</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 xml:space="preserve"> %}扩增</w:t>
            </w:r>
            <w:r>
              <w:rPr>
                <w:rFonts w:hint="eastAsia" w:ascii="Times New Roman" w:hAnsi="Times New Roman" w:eastAsia="宋体" w:cs="Times New Roman"/>
                <w:color w:val="000000"/>
                <w:sz w:val="18"/>
                <w:szCs w:val="18"/>
                <w:lang w:val="en-US" w:eastAsia="en-US"/>
              </w:rPr>
              <w:t xml:space="preserve">{% </w:t>
            </w:r>
            <w:r>
              <w:rPr>
                <w:rFonts w:hint="default" w:ascii="Times New Roman" w:hAnsi="Times New Roman" w:eastAsia="宋体" w:cs="Times New Roman"/>
                <w:color w:val="000000"/>
                <w:sz w:val="18"/>
                <w:szCs w:val="18"/>
                <w:lang w:eastAsia="zh-CN"/>
              </w:rPr>
              <w:t>else</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r>
              <w:rPr>
                <w:rFonts w:hint="eastAsia"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eastAsia="zh-CN"/>
              </w:rPr>
              <w:t>vus</w:t>
            </w:r>
            <w:r>
              <w:rPr>
                <w:rFonts w:hint="eastAsia" w:ascii="Times New Roman" w:hAnsi="Times New Roman" w:eastAsia="宋体" w:cs="Times New Roman"/>
                <w:color w:val="000000"/>
                <w:sz w:val="18"/>
                <w:szCs w:val="18"/>
                <w:lang w:val="en-US" w:eastAsia="zh-CN"/>
              </w:rPr>
              <w:t>.ori_variant }}</w:t>
            </w:r>
            <w:r>
              <w:rPr>
                <w:rFonts w:hint="eastAsia" w:ascii="Times New Roman" w:hAnsi="Times New Roman" w:eastAsia="宋体" w:cs="Times New Roman"/>
                <w:color w:val="000000"/>
                <w:sz w:val="18"/>
                <w:szCs w:val="18"/>
                <w:lang w:val="en-US" w:eastAsia="en-US"/>
              </w:rPr>
              <w:t>{% endif</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p>
        </w:tc>
      </w:tr>
      <w:tr w14:paraId="0CFD74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6A3F7AC3">
            <w:pPr>
              <w:keepNext/>
              <w:rPr>
                <w:rFonts w:ascii="Times New Roman" w:hAnsi="Times New Roman" w:cs="Times New Roman"/>
                <w:b/>
                <w:color w:val="2666A3"/>
                <w:sz w:val="18"/>
                <w:szCs w:val="18"/>
              </w:rPr>
            </w:pPr>
            <w:r>
              <w:rPr>
                <w:rFonts w:ascii="Times New Roman" w:hAnsi="Times New Roman" w:cs="Times New Roman"/>
                <w:b/>
                <w:color w:val="2666A3"/>
                <w:sz w:val="18"/>
                <w:szCs w:val="18"/>
              </w:rPr>
              <w:t>突变说明</w:t>
            </w:r>
          </w:p>
        </w:tc>
        <w:tc>
          <w:tcPr>
            <w:tcW w:w="8027" w:type="dxa"/>
            <w:tcBorders>
              <w:top w:val="dotted" w:color="2666A3" w:sz="4" w:space="0"/>
              <w:left w:val="dotted" w:color="2666A3" w:sz="4" w:space="0"/>
              <w:bottom w:val="dotted" w:color="2666A3" w:sz="4" w:space="0"/>
              <w:right w:val="nil"/>
            </w:tcBorders>
            <w:vAlign w:val="center"/>
          </w:tcPr>
          <w:p w14:paraId="20558C8B">
            <w:pPr>
              <w:keepNext/>
              <w:rPr>
                <w:rFonts w:ascii="Times New Roman" w:hAnsi="Times New Roman" w:cs="Times New Roman"/>
                <w:sz w:val="18"/>
                <w:szCs w:val="18"/>
              </w:rPr>
            </w:pPr>
            <w:r>
              <w:rPr>
                <w:rFonts w:ascii="Times New Roman" w:hAnsi="Times New Roman" w:cs="Times New Roman"/>
                <w:color w:val="000000"/>
                <w:sz w:val="18"/>
                <w:szCs w:val="18"/>
              </w:rPr>
              <w:t>{{ vus.mutDesc }}</w:t>
            </w:r>
          </w:p>
        </w:tc>
      </w:tr>
      <w:tr w14:paraId="648D1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725B1D52">
            <w:pPr>
              <w:keepNext/>
              <w:rPr>
                <w:rFonts w:ascii="Times New Roman" w:hAnsi="Times New Roman" w:cs="Times New Roman"/>
                <w:b/>
                <w:color w:val="2666A3"/>
                <w:sz w:val="18"/>
                <w:szCs w:val="18"/>
              </w:rPr>
            </w:pPr>
            <w:r>
              <w:rPr>
                <w:rFonts w:ascii="Times New Roman" w:hAnsi="Times New Roman" w:cs="Times New Roman"/>
                <w:b/>
                <w:color w:val="2666A3"/>
                <w:sz w:val="18"/>
                <w:szCs w:val="18"/>
              </w:rPr>
              <w:t>基因说明</w:t>
            </w:r>
          </w:p>
        </w:tc>
        <w:tc>
          <w:tcPr>
            <w:tcW w:w="8027" w:type="dxa"/>
            <w:tcBorders>
              <w:top w:val="dotted" w:color="2666A3" w:sz="4" w:space="0"/>
              <w:left w:val="dotted" w:color="2666A3" w:sz="4" w:space="0"/>
              <w:bottom w:val="dotted" w:color="2666A3" w:sz="4" w:space="0"/>
              <w:right w:val="nil"/>
            </w:tcBorders>
            <w:vAlign w:val="center"/>
          </w:tcPr>
          <w:p w14:paraId="2C80CEDF">
            <w:pPr>
              <w:keepNext/>
              <w:rPr>
                <w:rFonts w:ascii="Times New Roman" w:hAnsi="Times New Roman" w:cs="Times New Roman"/>
                <w:sz w:val="18"/>
                <w:szCs w:val="18"/>
              </w:rPr>
            </w:pPr>
            <w:r>
              <w:rPr>
                <w:rFonts w:ascii="Times New Roman" w:hAnsi="Times New Roman" w:cs="Times New Roman"/>
                <w:sz w:val="18"/>
                <w:szCs w:val="18"/>
              </w:rPr>
              <w:t>{{ vus.gene_description_chinese }}</w:t>
            </w:r>
          </w:p>
        </w:tc>
      </w:tr>
    </w:tbl>
    <w:p w14:paraId="1320FC52">
      <w:pPr>
        <w:rPr>
          <w:rFonts w:ascii="Times New Roman" w:hAnsi="Times New Roman" w:cs="Times New Roman"/>
          <w:b/>
          <w:color w:val="2666A3"/>
          <w:sz w:val="24"/>
          <w:szCs w:val="24"/>
        </w:rPr>
      </w:pPr>
      <w:r>
        <w:rPr>
          <w:rFonts w:ascii="Times New Roman" w:hAnsi="Times New Roman" w:cs="Times New Roman"/>
          <w:b/>
          <w:color w:val="2666A3"/>
          <w:sz w:val="24"/>
          <w:szCs w:val="24"/>
        </w:rPr>
        <w:t>{% endfor %}{% for tdd in ComplexDrugStr %}</w:t>
      </w:r>
    </w:p>
    <w:p w14:paraId="737C8F68">
      <w:pPr>
        <w:keepNext/>
        <w:widowControl/>
        <w:spacing w:before="240" w:beforeLines="100" w:line="260" w:lineRule="auto"/>
        <w:rPr>
          <w:rFonts w:ascii="Times New Roman" w:hAnsi="Times New Roman" w:cs="Times New Roman"/>
          <w:b/>
          <w:color w:val="1F497D"/>
          <w:sz w:val="24"/>
          <w:szCs w:val="24"/>
        </w:rPr>
      </w:pPr>
      <w:r>
        <w:rPr>
          <w:rFonts w:ascii="Times New Roman" w:hAnsi="Times New Roman" w:cs="Times New Roman"/>
          <w:b/>
          <w:color w:val="1F497D"/>
          <w:sz w:val="24"/>
          <w:szCs w:val="24"/>
        </w:rPr>
        <w:t>{{ tdd.comutation }}</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432"/>
        <w:gridCol w:w="1191"/>
        <w:gridCol w:w="8247"/>
      </w:tblGrid>
      <w:tr w14:paraId="4456BA8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0C967CC6">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突变形式</w:t>
            </w:r>
          </w:p>
        </w:tc>
        <w:tc>
          <w:tcPr>
            <w:tcW w:w="8247" w:type="dxa"/>
            <w:tcBorders>
              <w:tl2br w:val="nil"/>
              <w:tr2bl w:val="nil"/>
            </w:tcBorders>
            <w:vAlign w:val="center"/>
          </w:tcPr>
          <w:p w14:paraId="043D724E">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w:t>
            </w:r>
          </w:p>
        </w:tc>
      </w:tr>
      <w:tr w14:paraId="0F7D3C8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4E3FB778">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变异丰度</w:t>
            </w:r>
          </w:p>
        </w:tc>
        <w:tc>
          <w:tcPr>
            <w:tcW w:w="8247" w:type="dxa"/>
            <w:tcBorders>
              <w:tl2br w:val="nil"/>
              <w:tr2bl w:val="nil"/>
            </w:tcBorders>
            <w:vAlign w:val="center"/>
          </w:tcPr>
          <w:p w14:paraId="7D6E6748">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tdd.mutFreq }}</w:t>
            </w:r>
          </w:p>
        </w:tc>
      </w:tr>
      <w:tr w14:paraId="1F21F6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288CFC1">
            <w:pPr>
              <w:spacing w:before="1" w:line="250" w:lineRule="auto"/>
              <w:jc w:val="center"/>
              <w:rPr>
                <w:rFonts w:ascii="Times New Roman" w:hAnsi="Times New Roman" w:cs="Times New Roman"/>
                <w:color w:val="2666A3"/>
                <w:sz w:val="18"/>
                <w:szCs w:val="18"/>
              </w:rPr>
            </w:pPr>
            <w:r>
              <w:rPr>
                <w:rFonts w:ascii="Times New Roman" w:hAnsi="Times New Roman" w:cs="Times New Roman"/>
                <w:b/>
                <w:color w:val="2666A3"/>
                <w:sz w:val="18"/>
                <w:szCs w:val="18"/>
              </w:rPr>
              <w:t>潜在获益药物</w:t>
            </w:r>
          </w:p>
        </w:tc>
        <w:tc>
          <w:tcPr>
            <w:tcW w:w="1191" w:type="dxa"/>
            <w:tcBorders>
              <w:tl2br w:val="nil"/>
              <w:tr2bl w:val="nil"/>
            </w:tcBorders>
            <w:shd w:val="clear" w:color="auto" w:fill="auto"/>
            <w:vAlign w:val="center"/>
          </w:tcPr>
          <w:p w14:paraId="6596F37B">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l2br w:val="nil"/>
              <w:tr2bl w:val="nil"/>
            </w:tcBorders>
            <w:shd w:val="clear" w:color="auto" w:fill="auto"/>
            <w:vAlign w:val="center"/>
          </w:tcPr>
          <w:p w14:paraId="6B07A3C0">
            <w:pPr>
              <w:spacing w:before="1" w:line="250" w:lineRule="auto"/>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tdd.drugaStr == [] %}无{% else%}{% for d in tdd.drugaStr %}{%if loop.last%}{{ d.nameLevel }}{%else%}{{ d.nameLevel }}，{%endif%}{% endfor %}{% endif%}</w:t>
            </w:r>
          </w:p>
        </w:tc>
      </w:tr>
      <w:tr w14:paraId="6FB68C89">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4F7D990">
            <w:pPr>
              <w:spacing w:before="1" w:line="250" w:lineRule="auto"/>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63624FF6">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l2br w:val="nil"/>
              <w:tr2bl w:val="nil"/>
            </w:tcBorders>
            <w:shd w:val="clear" w:color="auto" w:fill="auto"/>
            <w:vAlign w:val="center"/>
          </w:tcPr>
          <w:p w14:paraId="4DA28AE0">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tdd.drugbStr == [] %}无{% else%}{% for d in tdd.drugbStr %}{%if loop.last%}{{ d.nameLevel }}{%else%}{{ d.nameLevel }}，{%endif%}{% endfor %}{% endif%}</w:t>
            </w:r>
          </w:p>
        </w:tc>
      </w:tr>
      <w:tr w14:paraId="642D912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93A69D1">
            <w:pPr>
              <w:spacing w:before="1" w:line="250" w:lineRule="auto"/>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60FA4F1D">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l2br w:val="nil"/>
              <w:tr2bl w:val="nil"/>
            </w:tcBorders>
            <w:shd w:val="clear" w:color="auto" w:fill="auto"/>
            <w:vAlign w:val="center"/>
          </w:tcPr>
          <w:p w14:paraId="7DBA03B7">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tdd.drugcStr == [] %}无{% else%}{% for d in tdd.drugcStr %}{%if loop.last%}{{ d.nameLevel }}{%else%}{{ d.nameLevel }}，{%endif%}{% endfor %}{% endif%}</w:t>
            </w:r>
          </w:p>
        </w:tc>
      </w:tr>
      <w:tr w14:paraId="1B3BF832">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3270B0B">
            <w:pPr>
              <w:spacing w:before="1" w:line="250" w:lineRule="auto"/>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4BDF7877">
            <w:pPr>
              <w:spacing w:before="1" w:line="250" w:lineRule="auto"/>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l2br w:val="nil"/>
              <w:tr2bl w:val="nil"/>
            </w:tcBorders>
            <w:shd w:val="clear" w:color="auto" w:fill="auto"/>
            <w:vAlign w:val="center"/>
          </w:tcPr>
          <w:p w14:paraId="571D5468">
            <w:pPr>
              <w:keepNext/>
              <w:spacing w:before="26"/>
              <w:jc w:val="center"/>
              <w:rPr>
                <w:rFonts w:ascii="Times New Roman" w:hAnsi="Times New Roman" w:cs="Times New Roman"/>
                <w:b/>
                <w:color w:val="FFFFFF" w:themeColor="background1"/>
                <w:sz w:val="18"/>
                <w:szCs w:val="18"/>
                <w14:textFill>
                  <w14:solidFill>
                    <w14:schemeClr w14:val="bg1"/>
                  </w14:solidFill>
                </w14:textFill>
              </w:rPr>
            </w:pPr>
            <w:r>
              <w:rPr>
                <w:rFonts w:ascii="Times New Roman" w:hAnsi="Times New Roman" w:cs="Times New Roman"/>
                <w:sz w:val="18"/>
                <w:szCs w:val="18"/>
              </w:rPr>
              <w:t>{% if tdd.drugdStr == [] %}无{% else%}{% for d in tdd.drugdStr %}{%if loop.last%}{{ d.nameLevel }}{%else%}{{ d.nameLevel }}，{%endif%}{% endfor %}{% endif%}</w:t>
            </w:r>
          </w:p>
        </w:tc>
      </w:tr>
      <w:tr w14:paraId="3AFE7E0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6AD448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潜在耐药信息</w:t>
            </w:r>
          </w:p>
        </w:tc>
        <w:tc>
          <w:tcPr>
            <w:tcW w:w="1191" w:type="dxa"/>
            <w:tcBorders>
              <w:tl2br w:val="nil"/>
              <w:tr2bl w:val="nil"/>
            </w:tcBorders>
            <w:shd w:val="clear" w:color="auto" w:fill="auto"/>
            <w:vAlign w:val="center"/>
          </w:tcPr>
          <w:p w14:paraId="202B730C">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A级</w:t>
            </w:r>
          </w:p>
        </w:tc>
        <w:tc>
          <w:tcPr>
            <w:tcW w:w="8247" w:type="dxa"/>
            <w:tcBorders>
              <w:tl2br w:val="nil"/>
              <w:tr2bl w:val="nil"/>
            </w:tcBorders>
            <w:shd w:val="clear" w:color="auto" w:fill="auto"/>
            <w:vAlign w:val="center"/>
          </w:tcPr>
          <w:p w14:paraId="3DE95213">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tdd.resistantaStr == [] %}无{% else%}{% for d in tdd.resistantaStr %}{%if loop.last%}{{ d.nameLevel }}{%else%}{{ d.nameLevel }}，{%endif%}{% endfor %}{% endif%}</w:t>
            </w:r>
          </w:p>
        </w:tc>
      </w:tr>
      <w:tr w14:paraId="65B6E516">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035347F">
            <w:pPr>
              <w:keepNext/>
              <w:spacing w:before="26"/>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242BCC3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B级</w:t>
            </w:r>
          </w:p>
        </w:tc>
        <w:tc>
          <w:tcPr>
            <w:tcW w:w="8247" w:type="dxa"/>
            <w:tcBorders>
              <w:tl2br w:val="nil"/>
              <w:tr2bl w:val="nil"/>
            </w:tcBorders>
            <w:shd w:val="clear" w:color="auto" w:fill="auto"/>
            <w:vAlign w:val="center"/>
          </w:tcPr>
          <w:p w14:paraId="3F456EC2">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tdd.resistantbStr == [] %}无{% else%}{% for d in tdd.resistantbStr %}{%if loop.last%}{{ d.nameLevel }}{%else%}{{ d.nameLevel }}，{%endif%}{% endfor %}{% endif%}</w:t>
            </w:r>
          </w:p>
        </w:tc>
      </w:tr>
      <w:tr w14:paraId="3F90CA7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47F6A50">
            <w:pPr>
              <w:keepNext/>
              <w:spacing w:before="26"/>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171E596E">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C级</w:t>
            </w:r>
          </w:p>
        </w:tc>
        <w:tc>
          <w:tcPr>
            <w:tcW w:w="8247" w:type="dxa"/>
            <w:tcBorders>
              <w:tl2br w:val="nil"/>
              <w:tr2bl w:val="nil"/>
            </w:tcBorders>
            <w:shd w:val="clear" w:color="auto" w:fill="auto"/>
            <w:vAlign w:val="center"/>
          </w:tcPr>
          <w:p w14:paraId="025986B0">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tdd.resistantcStr == [] %}无{% else%}{% for d in tdd.resistantcStr %}{%if loop.last%}{{ d.nameLevel }}{%else%}{{ d.nameLevel }}，{%endif%}{% endfor %}{% endif%}</w:t>
            </w:r>
          </w:p>
        </w:tc>
      </w:tr>
      <w:tr w14:paraId="760AA451">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0B4A189">
            <w:pPr>
              <w:keepNext/>
              <w:spacing w:before="26"/>
              <w:jc w:val="center"/>
              <w:rPr>
                <w:rFonts w:ascii="Times New Roman" w:hAnsi="Times New Roman" w:cs="Times New Roman"/>
                <w:b/>
                <w:color w:val="2666A3"/>
                <w:sz w:val="18"/>
                <w:szCs w:val="18"/>
              </w:rPr>
            </w:pPr>
          </w:p>
        </w:tc>
        <w:tc>
          <w:tcPr>
            <w:tcW w:w="1191" w:type="dxa"/>
            <w:tcBorders>
              <w:tl2br w:val="nil"/>
              <w:tr2bl w:val="nil"/>
            </w:tcBorders>
            <w:shd w:val="clear" w:color="auto" w:fill="auto"/>
            <w:vAlign w:val="center"/>
          </w:tcPr>
          <w:p w14:paraId="1CA5CEE0">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D级</w:t>
            </w:r>
          </w:p>
        </w:tc>
        <w:tc>
          <w:tcPr>
            <w:tcW w:w="8247" w:type="dxa"/>
            <w:tcBorders>
              <w:tl2br w:val="nil"/>
              <w:tr2bl w:val="nil"/>
            </w:tcBorders>
            <w:shd w:val="clear" w:color="auto" w:fill="auto"/>
            <w:vAlign w:val="center"/>
          </w:tcPr>
          <w:p w14:paraId="1FFE3381">
            <w:pPr>
              <w:keepNext/>
              <w:spacing w:before="26"/>
              <w:jc w:val="center"/>
              <w:rPr>
                <w:rFonts w:ascii="Times New Roman" w:hAnsi="Times New Roman" w:cs="Times New Roman"/>
                <w:sz w:val="18"/>
                <w:szCs w:val="18"/>
              </w:rPr>
            </w:pPr>
            <w:r>
              <w:rPr>
                <w:rFonts w:ascii="Times New Roman" w:hAnsi="Times New Roman" w:cs="Times New Roman"/>
                <w:sz w:val="18"/>
                <w:szCs w:val="18"/>
              </w:rPr>
              <w:t>{% if tdd.resistantdStr == [] %}无{% else%}{% for d in tdd.resistantdStr %}{%if loop.last%}{{ d.nameLevel }}{%else%}{{ d.nameLevel }}，{%endif%}{% endfor %}{% endif%}</w:t>
            </w:r>
          </w:p>
        </w:tc>
      </w:tr>
      <w:tr w14:paraId="1977B8D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114EAA1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基因突变相关说明</w:t>
            </w:r>
          </w:p>
        </w:tc>
        <w:tc>
          <w:tcPr>
            <w:tcW w:w="8247" w:type="dxa"/>
            <w:tcBorders>
              <w:tl2br w:val="nil"/>
              <w:tr2bl w:val="nil"/>
            </w:tcBorders>
            <w:vAlign w:val="center"/>
          </w:tcPr>
          <w:p w14:paraId="11DF24B9">
            <w:pPr>
              <w:keepNext/>
              <w:spacing w:before="26"/>
              <w:rPr>
                <w:rFonts w:ascii="Times New Roman" w:hAnsi="Times New Roman" w:cs="Times New Roman"/>
                <w:sz w:val="18"/>
                <w:szCs w:val="18"/>
              </w:rPr>
            </w:pPr>
            <w:r>
              <w:rPr>
                <w:rFonts w:ascii="Times New Roman" w:hAnsi="Times New Roman" w:cs="Times New Roman"/>
                <w:sz w:val="18"/>
                <w:szCs w:val="18"/>
              </w:rPr>
              <w:t>{% for md in tdd.medicationDescription %}{% if md.key == '突变说明:' %}</w:t>
            </w:r>
            <w:r>
              <w:rPr>
                <w:rFonts w:ascii="Times New Roman" w:hAnsi="Times New Roman" w:cs="Times New Roman"/>
                <w:b/>
                <w:bCs/>
                <w:sz w:val="18"/>
                <w:szCs w:val="18"/>
              </w:rPr>
              <w:t>{{md.key}}</w:t>
            </w:r>
            <w:r>
              <w:rPr>
                <w:rFonts w:ascii="Times New Roman" w:hAnsi="Times New Roman" w:cs="Times New Roman"/>
                <w:sz w:val="18"/>
                <w:szCs w:val="18"/>
              </w:rPr>
              <w:t>{{md.value}}{% elif md.value == '' %}{% else%}</w:t>
            </w:r>
            <w:r>
              <w:rPr>
                <w:rFonts w:ascii="Times New Roman" w:hAnsi="Times New Roman" w:cs="Times New Roman"/>
                <w:b/>
                <w:bCs/>
                <w:sz w:val="18"/>
                <w:szCs w:val="18"/>
              </w:rPr>
              <w:t>{{md.key}}</w:t>
            </w:r>
            <w:r>
              <w:rPr>
                <w:rFonts w:ascii="Times New Roman" w:hAnsi="Times New Roman" w:cs="Times New Roman"/>
                <w:sz w:val="18"/>
                <w:szCs w:val="18"/>
              </w:rPr>
              <w:t>{{md.value}}</w:t>
            </w:r>
          </w:p>
          <w:p w14:paraId="389078D1">
            <w:pPr>
              <w:keepNext/>
              <w:spacing w:before="26"/>
              <w:rPr>
                <w:rFonts w:ascii="Times New Roman" w:hAnsi="Times New Roman" w:cs="Times New Roman"/>
                <w:sz w:val="18"/>
                <w:szCs w:val="18"/>
              </w:rPr>
            </w:pPr>
            <w:r>
              <w:rPr>
                <w:rFonts w:ascii="Times New Roman" w:hAnsi="Times New Roman" w:cs="Times New Roman"/>
                <w:sz w:val="18"/>
                <w:szCs w:val="18"/>
              </w:rPr>
              <w:t>{% endif %}{% endfor %}</w:t>
            </w:r>
          </w:p>
        </w:tc>
      </w:tr>
    </w:tbl>
    <w:p w14:paraId="20FA5AC2">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{%if tdd.drugResearchList != [] %}</w:t>
      </w:r>
    </w:p>
    <w:p w14:paraId="3F7891BA">
      <w:pPr>
        <w:keepNext/>
        <w:spacing w:before="26"/>
        <w:rPr>
          <w:rFonts w:ascii="Times New Roman" w:hAnsi="Times New Roman" w:cs="Times New Roman"/>
          <w:b/>
          <w:color w:val="1F497D"/>
          <w:sz w:val="24"/>
        </w:rPr>
      </w:pPr>
      <w:r>
        <w:rPr>
          <w:rFonts w:ascii="Times New Roman" w:hAnsi="Times New Roman" w:cs="Times New Roman"/>
          <w:b/>
          <w:color w:val="1F497D"/>
          <w:sz w:val="24"/>
        </w:rPr>
        <w:t>潜在受益药物研究信息：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32"/>
        <w:gridCol w:w="5695"/>
      </w:tblGrid>
      <w:tr w14:paraId="5D3C19C9">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F7B70D4">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l2br w:val="nil"/>
              <w:tr2bl w:val="nil"/>
            </w:tcBorders>
            <w:shd w:val="clear" w:color="auto" w:fill="auto"/>
            <w:vAlign w:val="center"/>
          </w:tcPr>
          <w:p w14:paraId="0DA429D8">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32" w:type="dxa"/>
            <w:tcBorders>
              <w:tl2br w:val="nil"/>
              <w:tr2bl w:val="nil"/>
            </w:tcBorders>
            <w:shd w:val="clear" w:color="auto" w:fill="auto"/>
            <w:vAlign w:val="center"/>
          </w:tcPr>
          <w:p w14:paraId="6DE5F91D">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95" w:type="dxa"/>
            <w:tcBorders>
              <w:tl2br w:val="nil"/>
              <w:tr2bl w:val="nil"/>
            </w:tcBorders>
            <w:shd w:val="clear" w:color="auto" w:fill="auto"/>
            <w:vAlign w:val="center"/>
          </w:tcPr>
          <w:p w14:paraId="2A92CFD6">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152D17DD">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5B61413">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tdd.drugResearchList %}</w:t>
            </w:r>
          </w:p>
        </w:tc>
      </w:tr>
      <w:tr w14:paraId="5F29D9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DF92F88">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l2br w:val="nil"/>
              <w:tr2bl w:val="nil"/>
            </w:tcBorders>
            <w:vAlign w:val="center"/>
          </w:tcPr>
          <w:p w14:paraId="5BA161BA">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32" w:type="dxa"/>
            <w:tcBorders>
              <w:tl2br w:val="nil"/>
              <w:tr2bl w:val="nil"/>
            </w:tcBorders>
            <w:vAlign w:val="center"/>
          </w:tcPr>
          <w:p w14:paraId="592EF702">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95" w:type="dxa"/>
            <w:tcBorders>
              <w:tl2br w:val="nil"/>
              <w:tr2bl w:val="nil"/>
            </w:tcBorders>
            <w:vAlign w:val="center"/>
          </w:tcPr>
          <w:p w14:paraId="79C6EAC7">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6379543E">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879559">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40A1B15B">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tdd.potentialDrugList != [] %}</w:t>
      </w:r>
    </w:p>
    <w:p w14:paraId="161DB9F1">
      <w:pPr>
        <w:keepNext/>
        <w:spacing w:before="26"/>
        <w:rPr>
          <w:rFonts w:ascii="Times New Roman" w:hAnsi="Times New Roman" w:cs="Times New Roman"/>
          <w:b/>
          <w:color w:val="1F497D"/>
          <w:sz w:val="24"/>
        </w:rPr>
      </w:pPr>
      <w:r>
        <w:rPr>
          <w:rFonts w:ascii="Times New Roman" w:hAnsi="Times New Roman" w:cs="Times New Roman"/>
          <w:b/>
          <w:color w:val="1F497D"/>
          <w:sz w:val="24"/>
        </w:rPr>
        <w:t>潜在耐药研究信息：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61"/>
        <w:gridCol w:w="5666"/>
      </w:tblGrid>
      <w:tr w14:paraId="1A731C0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D7309C7">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药物名称</w:t>
            </w:r>
          </w:p>
        </w:tc>
        <w:tc>
          <w:tcPr>
            <w:tcW w:w="1417" w:type="dxa"/>
            <w:tcBorders>
              <w:tl2br w:val="nil"/>
              <w:tr2bl w:val="nil"/>
            </w:tcBorders>
            <w:shd w:val="clear" w:color="auto" w:fill="auto"/>
            <w:vAlign w:val="center"/>
          </w:tcPr>
          <w:p w14:paraId="114AC5C0">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相关疾病</w:t>
            </w:r>
          </w:p>
        </w:tc>
        <w:tc>
          <w:tcPr>
            <w:tcW w:w="1261" w:type="dxa"/>
            <w:tcBorders>
              <w:tl2br w:val="nil"/>
              <w:tr2bl w:val="nil"/>
            </w:tcBorders>
            <w:shd w:val="clear" w:color="auto" w:fill="auto"/>
            <w:vAlign w:val="center"/>
          </w:tcPr>
          <w:p w14:paraId="7C9121E6">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证据等级</w:t>
            </w:r>
          </w:p>
        </w:tc>
        <w:tc>
          <w:tcPr>
            <w:tcW w:w="5666" w:type="dxa"/>
            <w:tcBorders>
              <w:tl2br w:val="nil"/>
              <w:tr2bl w:val="nil"/>
            </w:tcBorders>
            <w:shd w:val="clear" w:color="auto" w:fill="auto"/>
            <w:vAlign w:val="center"/>
          </w:tcPr>
          <w:p w14:paraId="66CE7BE0">
            <w:pPr>
              <w:keepNext/>
              <w:jc w:val="center"/>
              <w:rPr>
                <w:rFonts w:ascii="Times New Roman" w:hAnsi="Times New Roman" w:cs="Times New Roman"/>
                <w:b/>
                <w:color w:val="2666A3"/>
                <w:sz w:val="18"/>
                <w:szCs w:val="18"/>
              </w:rPr>
            </w:pPr>
            <w:r>
              <w:rPr>
                <w:rFonts w:ascii="Times New Roman" w:hAnsi="Times New Roman" w:cs="Times New Roman"/>
                <w:b/>
                <w:color w:val="2666A3"/>
                <w:sz w:val="18"/>
                <w:szCs w:val="18"/>
              </w:rPr>
              <w:t>循证医学信息</w:t>
            </w:r>
          </w:p>
        </w:tc>
      </w:tr>
      <w:tr w14:paraId="0D31AA7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D067E8C">
            <w:pPr>
              <w:keepNext/>
              <w:spacing w:before="26"/>
              <w:jc w:val="center"/>
              <w:rPr>
                <w:rFonts w:ascii="Times New Roman" w:hAnsi="Times New Roman" w:cs="Times New Roman"/>
                <w:bCs/>
                <w:sz w:val="18"/>
                <w:szCs w:val="18"/>
                <w:highlight w:val="yellow"/>
              </w:rPr>
            </w:pPr>
            <w:r>
              <w:rPr>
                <w:rFonts w:ascii="Times New Roman" w:hAnsi="Times New Roman" w:cs="Times New Roman"/>
                <w:b/>
                <w:color w:val="2666A3"/>
                <w:sz w:val="18"/>
                <w:szCs w:val="18"/>
              </w:rPr>
              <w:t>{%tr for dis in tdd.potentialDrugList %}</w:t>
            </w:r>
          </w:p>
        </w:tc>
      </w:tr>
      <w:tr w14:paraId="7E708325">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5643B8A">
            <w:pPr>
              <w:spacing w:before="1" w:line="249" w:lineRule="auto"/>
              <w:ind w:right="131"/>
              <w:jc w:val="center"/>
              <w:rPr>
                <w:rFonts w:ascii="Times New Roman" w:hAnsi="Times New Roman" w:cs="Times New Roman"/>
                <w:b/>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dis.drug_name_chinese3</w:t>
            </w:r>
            <w:r>
              <w:rPr>
                <w:rFonts w:ascii="Times New Roman" w:hAnsi="Times New Roman" w:cs="Times New Roman"/>
                <w:sz w:val="18"/>
                <w:szCs w:val="18"/>
              </w:rPr>
              <w:t xml:space="preserve"> }}</w:t>
            </w:r>
          </w:p>
        </w:tc>
        <w:tc>
          <w:tcPr>
            <w:tcW w:w="1417" w:type="dxa"/>
            <w:tcBorders>
              <w:tl2br w:val="nil"/>
              <w:tr2bl w:val="nil"/>
            </w:tcBorders>
            <w:vAlign w:val="center"/>
          </w:tcPr>
          <w:p w14:paraId="314D0775">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{{dis.</w:t>
            </w:r>
            <w:r>
              <w:rPr>
                <w:rFonts w:ascii="Times New Roman" w:hAnsi="Times New Roman" w:cs="Times New Roman"/>
                <w:bCs/>
                <w:sz w:val="18"/>
                <w:szCs w:val="18"/>
              </w:rPr>
              <w:t>disease_name_chinese</w:t>
            </w:r>
            <w:r>
              <w:rPr>
                <w:rFonts w:ascii="Times New Roman" w:hAnsi="Times New Roman" w:cs="Times New Roman"/>
                <w:sz w:val="18"/>
                <w:szCs w:val="18"/>
              </w:rPr>
              <w:t>}}</w:t>
            </w:r>
          </w:p>
        </w:tc>
        <w:tc>
          <w:tcPr>
            <w:tcW w:w="1261" w:type="dxa"/>
            <w:tcBorders>
              <w:tl2br w:val="nil"/>
              <w:tr2bl w:val="nil"/>
            </w:tcBorders>
            <w:vAlign w:val="center"/>
          </w:tcPr>
          <w:p w14:paraId="7323E3AD">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dis.evidence_phase_chinese</w:t>
            </w:r>
            <w:r>
              <w:rPr>
                <w:rFonts w:ascii="Times New Roman" w:hAnsi="Times New Roman" w:cs="Times New Roman"/>
                <w:sz w:val="18"/>
                <w:szCs w:val="18"/>
              </w:rPr>
              <w:t>}}</w:t>
            </w:r>
          </w:p>
        </w:tc>
        <w:tc>
          <w:tcPr>
            <w:tcW w:w="5666" w:type="dxa"/>
            <w:tcBorders>
              <w:tl2br w:val="nil"/>
              <w:tr2bl w:val="nil"/>
            </w:tcBorders>
            <w:vAlign w:val="center"/>
          </w:tcPr>
          <w:p w14:paraId="42E24B53">
            <w:pPr>
              <w:keepNext/>
              <w:spacing w:before="26"/>
              <w:jc w:val="center"/>
              <w:rPr>
                <w:rFonts w:ascii="Times New Roman" w:hAnsi="Times New Roman" w:cs="Times New Roman"/>
                <w:bCs/>
                <w:sz w:val="18"/>
                <w:szCs w:val="18"/>
                <w:highlight w:val="yellow"/>
              </w:rPr>
            </w:pPr>
            <w:r>
              <w:rPr>
                <w:rFonts w:ascii="Times New Roman" w:hAnsi="Times New Roman" w:cs="Times New Roman"/>
                <w:sz w:val="18"/>
                <w:szCs w:val="18"/>
              </w:rPr>
              <w:t>{{</w:t>
            </w:r>
            <w:r>
              <w:rPr>
                <w:rFonts w:ascii="Times New Roman" w:hAnsi="Times New Roman" w:cs="Times New Roman"/>
                <w:bCs/>
                <w:sz w:val="18"/>
                <w:szCs w:val="18"/>
              </w:rPr>
              <w:t>dis.annotation_chinese</w:t>
            </w:r>
            <w:r>
              <w:rPr>
                <w:rFonts w:ascii="Times New Roman" w:hAnsi="Times New Roman" w:cs="Times New Roman"/>
                <w:sz w:val="18"/>
                <w:szCs w:val="18"/>
              </w:rPr>
              <w:t>}}</w:t>
            </w:r>
          </w:p>
        </w:tc>
      </w:tr>
      <w:tr w14:paraId="43615ED5">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D641408">
            <w:pPr>
              <w:keepNext/>
              <w:spacing w:before="26"/>
              <w:jc w:val="center"/>
              <w:rPr>
                <w:rFonts w:ascii="Times New Roman" w:hAnsi="Times New Roman" w:cs="Times New Roman"/>
                <w:bCs/>
                <w:sz w:val="18"/>
                <w:szCs w:val="18"/>
              </w:rPr>
            </w:pPr>
            <w:r>
              <w:rPr>
                <w:rFonts w:ascii="Times New Roman" w:hAnsi="Times New Roman" w:cs="Times New Roman"/>
                <w:b/>
                <w:color w:val="2666A3"/>
                <w:sz w:val="18"/>
                <w:szCs w:val="18"/>
              </w:rPr>
              <w:t>{%tr endfor %}</w:t>
            </w:r>
          </w:p>
        </w:tc>
      </w:tr>
    </w:tbl>
    <w:p w14:paraId="097FE8C0">
      <w:pPr>
        <w:spacing w:before="26"/>
        <w:rPr>
          <w:rFonts w:ascii="Times New Roman" w:hAnsi="Times New Roman" w:cs="Times New Roman"/>
          <w:b/>
          <w:color w:val="2666A3"/>
          <w:sz w:val="24"/>
          <w:szCs w:val="24"/>
        </w:rPr>
      </w:pPr>
      <w:r>
        <w:rPr>
          <w:rFonts w:ascii="Times New Roman" w:hAnsi="Times New Roman" w:cs="Times New Roman"/>
          <w:b/>
          <w:color w:val="2666A3"/>
          <w:sz w:val="24"/>
          <w:szCs w:val="24"/>
        </w:rPr>
        <w:t>{% endif %}{%if tdd.clinicalTrialInformationStr!= [] %}</w:t>
      </w:r>
    </w:p>
    <w:p w14:paraId="0B10B949">
      <w:pPr>
        <w:keepNext/>
        <w:spacing w:before="26"/>
        <w:rPr>
          <w:rFonts w:ascii="Times New Roman" w:hAnsi="Times New Roman" w:cs="Times New Roman"/>
          <w:b/>
          <w:color w:val="1F497D"/>
          <w:sz w:val="24"/>
        </w:rPr>
      </w:pPr>
      <w:r>
        <w:rPr>
          <w:rFonts w:ascii="Times New Roman" w:hAnsi="Times New Roman" w:cs="Times New Roman"/>
          <w:b/>
          <w:color w:val="1F497D"/>
          <w:sz w:val="24"/>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7353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1BA0ED74">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7C23D02">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1AB1C3D">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C6737EF">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7ED9BB9D">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01FF768B">
            <w:pPr>
              <w:keepNext/>
              <w:spacing w:before="26"/>
              <w:jc w:val="center"/>
              <w:rPr>
                <w:rFonts w:ascii="Times New Roman" w:hAnsi="Times New Roman" w:cs="Times New Roman"/>
                <w:b/>
                <w:color w:val="2666A3"/>
                <w:sz w:val="18"/>
                <w:szCs w:val="18"/>
              </w:rPr>
            </w:pPr>
            <w:r>
              <w:rPr>
                <w:rFonts w:ascii="Times New Roman" w:hAnsi="Times New Roman" w:cs="Times New Roman"/>
                <w:b/>
                <w:color w:val="2666A3"/>
                <w:sz w:val="18"/>
                <w:szCs w:val="18"/>
              </w:rPr>
              <w:t>地点</w:t>
            </w:r>
          </w:p>
        </w:tc>
      </w:tr>
      <w:tr w14:paraId="4048F4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2352F335">
            <w:pPr>
              <w:keepNext/>
              <w:spacing w:before="26"/>
              <w:jc w:val="center"/>
              <w:rPr>
                <w:rFonts w:ascii="Times New Roman" w:hAnsi="Times New Roman" w:cs="Times New Roman"/>
                <w:bCs/>
                <w:sz w:val="18"/>
                <w:szCs w:val="18"/>
              </w:rPr>
            </w:pPr>
            <w:r>
              <w:rPr>
                <w:rFonts w:ascii="Times New Roman" w:hAnsi="Times New Roman" w:cs="Times New Roman"/>
                <w:b/>
                <w:sz w:val="18"/>
                <w:szCs w:val="18"/>
              </w:rPr>
              <w:t>{%tr for cti in tdd.clinicalTrialInformationStr %}</w:t>
            </w:r>
          </w:p>
        </w:tc>
      </w:tr>
      <w:tr w14:paraId="1E44D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49D88779">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12D216E9">
            <w:pPr>
              <w:keepNext/>
              <w:jc w:val="center"/>
              <w:rPr>
                <w:rFonts w:ascii="Times New Roman" w:hAnsi="Times New Roman" w:cs="Times New Roman"/>
                <w:bCs/>
                <w:sz w:val="18"/>
                <w:szCs w:val="18"/>
              </w:rPr>
            </w:pPr>
            <w:r>
              <w:rPr>
                <w:rFonts w:ascii="Times New Roman" w:hAnsi="Times New Roman" w:cs="Times New Roman"/>
                <w:bCs/>
                <w:sz w:val="18"/>
                <w:szCs w:val="18"/>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20C595F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7176D8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38D2192E">
            <w:pPr>
              <w:spacing w:before="1" w:line="249" w:lineRule="auto"/>
              <w:ind w:right="131"/>
              <w:jc w:val="center"/>
              <w:rPr>
                <w:rFonts w:ascii="Times New Roman" w:hAnsi="Times New Roman" w:cs="Times New Roman"/>
                <w:sz w:val="18"/>
                <w:szCs w:val="18"/>
              </w:rPr>
            </w:pPr>
            <w:r>
              <w:rPr>
                <w:rFonts w:ascii="Times New Roman" w:hAnsi="Times New Roman" w:cs="Times New Roman"/>
                <w:sz w:val="18"/>
                <w:szCs w:val="18"/>
              </w:rPr>
              <w:t xml:space="preserve">{% for d in </w:t>
            </w:r>
            <w:r>
              <w:rPr>
                <w:rFonts w:ascii="Times New Roman" w:hAnsi="Times New Roman" w:cs="Times New Roman"/>
                <w:bCs/>
                <w:sz w:val="18"/>
                <w:szCs w:val="18"/>
              </w:rPr>
              <w:t>cti.drug_name_chinese</w:t>
            </w:r>
            <w:r>
              <w:rPr>
                <w:rFonts w:ascii="Times New Roman" w:hAnsi="Times New Roman" w:cs="Times New Roman"/>
                <w:sz w:val="18"/>
                <w:szCs w:val="18"/>
              </w:rPr>
              <w:t xml:space="preserve"> %}{%if loop.last%}{{ d.name }}{%else%}{{ d.name }}</w:t>
            </w:r>
          </w:p>
          <w:p w14:paraId="6F1CCF94">
            <w:pPr>
              <w:keepNext/>
              <w:jc w:val="center"/>
              <w:rPr>
                <w:rFonts w:ascii="Times New Roman" w:hAnsi="Times New Roman" w:cs="Times New Roman"/>
                <w:sz w:val="18"/>
                <w:szCs w:val="18"/>
              </w:rPr>
            </w:pPr>
            <w:r>
              <w:rPr>
                <w:rFonts w:ascii="Times New Roman" w:hAnsi="Times New Roman" w:cs="Times New Roman"/>
                <w:sz w:val="18"/>
                <w:szCs w:val="18"/>
              </w:rPr>
              <w:t>{%endif%}{% endfor %}</w:t>
            </w:r>
          </w:p>
        </w:tc>
        <w:tc>
          <w:tcPr>
            <w:tcW w:w="856" w:type="dxa"/>
            <w:tcBorders>
              <w:top w:val="dotted" w:color="2666A3" w:sz="4" w:space="0"/>
              <w:left w:val="dotted" w:color="2666A3" w:sz="4" w:space="0"/>
              <w:bottom w:val="dotted" w:color="2666A3" w:sz="4" w:space="0"/>
            </w:tcBorders>
            <w:vAlign w:val="center"/>
          </w:tcPr>
          <w:p w14:paraId="3F5440C0">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 cti.location_chinese }}</w:t>
            </w:r>
          </w:p>
        </w:tc>
      </w:tr>
      <w:tr w14:paraId="6F149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5170CA7A">
            <w:pPr>
              <w:keepNext/>
              <w:spacing w:before="26"/>
              <w:jc w:val="center"/>
              <w:rPr>
                <w:rFonts w:ascii="Times New Roman" w:hAnsi="Times New Roman" w:cs="Times New Roman"/>
                <w:bCs/>
                <w:sz w:val="18"/>
                <w:szCs w:val="18"/>
              </w:rPr>
            </w:pPr>
            <w:r>
              <w:rPr>
                <w:rFonts w:ascii="Times New Roman" w:hAnsi="Times New Roman" w:cs="Times New Roman"/>
                <w:bCs/>
                <w:sz w:val="18"/>
                <w:szCs w:val="18"/>
              </w:rPr>
              <w:t>{%tr endfor %}</w:t>
            </w:r>
          </w:p>
        </w:tc>
      </w:tr>
    </w:tbl>
    <w:p w14:paraId="035DD0B5">
      <w:pPr>
        <w:rPr>
          <w:rFonts w:ascii="Times New Roman" w:hAnsi="Times New Roman" w:cs="Times New Roman"/>
          <w:b/>
          <w:color w:val="2666A3"/>
          <w:sz w:val="24"/>
          <w:szCs w:val="24"/>
        </w:rPr>
      </w:pPr>
      <w:r>
        <w:rPr>
          <w:rFonts w:ascii="Times New Roman" w:hAnsi="Times New Roman" w:cs="Times New Roman"/>
          <w:b/>
          <w:color w:val="2666A3"/>
          <w:sz w:val="24"/>
          <w:szCs w:val="24"/>
        </w:rPr>
        <w:t>{% endif %}{% endfor %}</w:t>
      </w:r>
    </w:p>
    <w:p w14:paraId="411C5059">
      <w:pPr>
        <w:rPr>
          <w:rFonts w:ascii="Times New Roman" w:hAnsi="Times New Roman" w:cs="Times New Roman"/>
          <w:b/>
          <w:sz w:val="18"/>
        </w:rPr>
      </w:pPr>
      <w:r>
        <w:rPr>
          <w:rFonts w:ascii="Times New Roman" w:hAnsi="Times New Roman" w:cs="Times New Roman"/>
          <w:b/>
          <w:sz w:val="18"/>
        </w:rPr>
        <w:t>注：</w:t>
      </w:r>
    </w:p>
    <w:p w14:paraId="764340B1">
      <w:pPr>
        <w:pStyle w:val="41"/>
        <w:numPr>
          <w:ilvl w:val="0"/>
          <w:numId w:val="2"/>
        </w:numPr>
        <w:adjustRightInd w:val="0"/>
        <w:snapToGrid w:val="0"/>
        <w:rPr>
          <w:sz w:val="18"/>
          <w:szCs w:val="18"/>
        </w:rPr>
      </w:pPr>
      <w:r>
        <w:rPr>
          <w:sz w:val="18"/>
          <w:szCs w:val="18"/>
        </w:rPr>
        <w:t>获批上市指靶向药物已被批准用于表格中对应的相关疾病，包含FDA或NMPA获批上市，在“基因变异信息及用药指导”表格中标注* 的靶向药物为NMPA 批准的药物。获批上市药物的循证医学证据为该靶向药物的批文等相关信息。</w:t>
      </w:r>
    </w:p>
    <w:p w14:paraId="0D15C8C1">
      <w:pPr>
        <w:pStyle w:val="41"/>
        <w:numPr>
          <w:ilvl w:val="0"/>
          <w:numId w:val="2"/>
        </w:numPr>
        <w:adjustRightInd w:val="0"/>
        <w:snapToGrid w:val="0"/>
        <w:rPr>
          <w:sz w:val="18"/>
          <w:szCs w:val="18"/>
        </w:rPr>
      </w:pPr>
      <w:r>
        <w:rPr>
          <w:sz w:val="18"/>
          <w:szCs w:val="18"/>
        </w:rPr>
        <w:t>指南推荐指在NCCN\CSCO\ASCO\ESMO指南中有明确的表格或文字说明，有本癌种该位点突变可获益的靶向药。</w:t>
      </w:r>
    </w:p>
    <w:p w14:paraId="17C350BC">
      <w:pPr>
        <w:pStyle w:val="41"/>
        <w:numPr>
          <w:ilvl w:val="0"/>
          <w:numId w:val="2"/>
        </w:numPr>
        <w:adjustRightInd w:val="0"/>
        <w:snapToGrid w:val="0"/>
        <w:rPr>
          <w:sz w:val="18"/>
          <w:szCs w:val="18"/>
        </w:rPr>
      </w:pPr>
      <w:r>
        <w:rPr>
          <w:sz w:val="18"/>
          <w:szCs w:val="18"/>
        </w:rPr>
        <w:t>正在开放招募的临床试验药物信息来自www.clinicaltrials.gov 和www.chinadrugtrials.org.cn。临床试验信息实时更新，使用相关结果时，请务必确认其最新状态。</w:t>
      </w:r>
    </w:p>
    <w:p w14:paraId="3AFCEDC0">
      <w:pPr>
        <w:pStyle w:val="41"/>
        <w:numPr>
          <w:ilvl w:val="0"/>
          <w:numId w:val="2"/>
        </w:numPr>
        <w:adjustRightInd w:val="0"/>
        <w:snapToGrid w:val="0"/>
        <w:rPr>
          <w:sz w:val="18"/>
          <w:szCs w:val="18"/>
        </w:rPr>
      </w:pPr>
      <w:r>
        <w:rPr>
          <w:sz w:val="18"/>
          <w:szCs w:val="18"/>
        </w:rPr>
        <w:t>潜在受益药物：根据AMP/ASCO/CAP相关指南[PMID: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439B419">
      <w:pPr>
        <w:pStyle w:val="41"/>
        <w:numPr>
          <w:ilvl w:val="0"/>
          <w:numId w:val="2"/>
        </w:numPr>
        <w:adjustRightInd w:val="0"/>
        <w:snapToGrid w:val="0"/>
        <w:rPr>
          <w:sz w:val="18"/>
          <w:szCs w:val="18"/>
        </w:rPr>
      </w:pPr>
      <w:r>
        <w:rPr>
          <w:sz w:val="18"/>
          <w:szCs w:val="18"/>
        </w:rPr>
        <w:t>潜在耐药信息：FDA/NMPA已经批准的、NCCN指南推荐的、临床试验或者临床研究有明确结果的、药物敏感性可能降低或产生耐药的靶向药物。</w:t>
      </w:r>
    </w:p>
    <w:p w14:paraId="04BED24A">
      <w:pPr>
        <w:pStyle w:val="41"/>
        <w:numPr>
          <w:ilvl w:val="0"/>
          <w:numId w:val="2"/>
        </w:numPr>
        <w:adjustRightInd w:val="0"/>
        <w:snapToGrid w:val="0"/>
        <w:rPr>
          <w:sz w:val="18"/>
          <w:szCs w:val="18"/>
        </w:rPr>
      </w:pPr>
      <w:r>
        <w:rPr>
          <w:sz w:val="18"/>
          <w:szCs w:val="18"/>
        </w:rPr>
        <w:t>* 标注的药物：NMPA批准的靶向药物。</w:t>
      </w:r>
    </w:p>
    <w:p w14:paraId="279624FF">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46160262">
      <w:pPr>
        <w:wordWrap w:val="0"/>
        <w:ind w:right="105"/>
        <w:jc w:val="both"/>
        <w:rPr>
          <w:rFonts w:ascii="Times New Roman" w:hAnsi="Times New Roman" w:eastAsia="微软雅黑" w:cs="Times New Roman"/>
          <w:b/>
          <w:color w:val="1F497D"/>
          <w:sz w:val="28"/>
          <w:szCs w:val="28"/>
        </w:rPr>
      </w:pPr>
      <w:bookmarkStart w:id="10" w:name="_Toc534637499"/>
      <w:bookmarkStart w:id="11" w:name="_Toc526855038"/>
      <w:bookmarkStart w:id="12" w:name="_Toc527112386"/>
      <w:r>
        <w:rPr>
          <w:rFonts w:ascii="Times New Roman" w:hAnsi="Times New Roman" w:eastAsia="微软雅黑" w:cs="Times New Roman"/>
          <w:b/>
          <w:color w:val="1F497D"/>
          <w:sz w:val="24"/>
          <w:szCs w:val="24"/>
        </w:rPr>
        <w:t>{% endif %}</w:t>
      </w:r>
      <w:r>
        <w:rPr>
          <w:rFonts w:hint="eastAsia" w:ascii="Times New Roman" w:hAnsi="Times New Roman" w:eastAsia="微软雅黑" w:cs="Times New Roman"/>
          <w:b/>
          <w:color w:val="1F497D"/>
          <w:sz w:val="28"/>
          <w:szCs w:val="28"/>
        </w:rPr>
        <w:t>附录2 结果附图</w:t>
      </w:r>
    </w:p>
    <w:p w14:paraId="556648D6">
      <w:pPr>
        <w:jc w:val="center"/>
        <w:rPr>
          <w:rFonts w:ascii="Times New Roman" w:hAnsi="Times New Roman" w:eastAsia="微软雅黑" w:cs="Times New Roman"/>
        </w:rPr>
      </w:pPr>
    </w:p>
    <w:p w14:paraId="50050E69">
      <w:pPr>
        <w:jc w:val="center"/>
        <w:rPr>
          <w:rFonts w:ascii="Times New Roman" w:hAnsi="Times New Roman" w:eastAsia="微软雅黑" w:cs="Times New Roman"/>
        </w:rPr>
      </w:pPr>
    </w:p>
    <w:p w14:paraId="6D06B5B9">
      <w:pPr>
        <w:jc w:val="center"/>
        <w:rPr>
          <w:rFonts w:ascii="Times New Roman" w:hAnsi="Times New Roman" w:eastAsia="微软雅黑" w:cs="Times New Roman"/>
        </w:rPr>
      </w:pPr>
    </w:p>
    <w:p w14:paraId="35766368">
      <w:pPr>
        <w:jc w:val="center"/>
        <w:rPr>
          <w:rFonts w:ascii="Times New Roman" w:hAnsi="Times New Roman" w:eastAsia="微软雅黑" w:cs="Times New Roman"/>
        </w:rPr>
      </w:pPr>
    </w:p>
    <w:p w14:paraId="19D06786">
      <w:pPr>
        <w:jc w:val="center"/>
        <w:rPr>
          <w:rFonts w:ascii="Times New Roman" w:hAnsi="Times New Roman" w:eastAsia="微软雅黑" w:cs="Times New Roman"/>
        </w:rPr>
      </w:pPr>
    </w:p>
    <w:p w14:paraId="6B2031E1">
      <w:pPr>
        <w:jc w:val="center"/>
        <w:rPr>
          <w:rFonts w:ascii="Times New Roman" w:hAnsi="Times New Roman" w:eastAsia="微软雅黑" w:cs="Times New Roman"/>
        </w:rPr>
      </w:pPr>
    </w:p>
    <w:p w14:paraId="4D267967">
      <w:pPr>
        <w:jc w:val="center"/>
        <w:rPr>
          <w:rFonts w:ascii="Times New Roman" w:hAnsi="Times New Roman" w:eastAsia="微软雅黑" w:cs="Times New Roman"/>
        </w:rPr>
      </w:pPr>
    </w:p>
    <w:p w14:paraId="580C3736">
      <w:pPr>
        <w:jc w:val="center"/>
        <w:rPr>
          <w:rFonts w:ascii="Times New Roman" w:hAnsi="Times New Roman" w:eastAsia="微软雅黑" w:cs="Times New Roman"/>
        </w:rPr>
      </w:pPr>
    </w:p>
    <w:p w14:paraId="67AF07CE">
      <w:pPr>
        <w:jc w:val="center"/>
        <w:rPr>
          <w:rFonts w:ascii="Times New Roman" w:hAnsi="Times New Roman" w:eastAsia="微软雅黑" w:cs="Times New Roman"/>
        </w:rPr>
      </w:pPr>
    </w:p>
    <w:p w14:paraId="40CB46F9">
      <w:pPr>
        <w:jc w:val="center"/>
        <w:rPr>
          <w:rFonts w:ascii="Times New Roman" w:hAnsi="Times New Roman" w:eastAsia="微软雅黑" w:cs="Times New Roman"/>
        </w:rPr>
      </w:pPr>
    </w:p>
    <w:p w14:paraId="516E8FD4">
      <w:pPr>
        <w:jc w:val="center"/>
        <w:rPr>
          <w:rFonts w:ascii="Times New Roman" w:hAnsi="Times New Roman" w:eastAsia="微软雅黑" w:cs="Times New Roman"/>
        </w:rPr>
      </w:pPr>
    </w:p>
    <w:p w14:paraId="19909BE6">
      <w:pPr>
        <w:jc w:val="center"/>
        <w:rPr>
          <w:rFonts w:ascii="Times New Roman" w:hAnsi="Times New Roman" w:eastAsia="微软雅黑" w:cs="Times New Roman"/>
        </w:rPr>
      </w:pPr>
    </w:p>
    <w:p w14:paraId="5BB97EE6">
      <w:pPr>
        <w:jc w:val="center"/>
        <w:rPr>
          <w:rFonts w:ascii="Times New Roman" w:hAnsi="Times New Roman" w:eastAsia="微软雅黑" w:cs="Times New Roman"/>
        </w:rPr>
      </w:pPr>
    </w:p>
    <w:p w14:paraId="76462E2B">
      <w:pPr>
        <w:jc w:val="center"/>
        <w:rPr>
          <w:rFonts w:ascii="Times New Roman" w:hAnsi="Times New Roman" w:eastAsia="微软雅黑" w:cs="Times New Roman"/>
        </w:rPr>
      </w:pPr>
    </w:p>
    <w:p w14:paraId="7D66280B">
      <w:pPr>
        <w:jc w:val="center"/>
        <w:rPr>
          <w:rFonts w:ascii="Times New Roman" w:hAnsi="Times New Roman" w:eastAsia="微软雅黑" w:cs="Times New Roman"/>
        </w:rPr>
      </w:pPr>
    </w:p>
    <w:p w14:paraId="531B3B16">
      <w:pPr>
        <w:jc w:val="center"/>
        <w:rPr>
          <w:rFonts w:ascii="Times New Roman" w:hAnsi="Times New Roman" w:eastAsia="微软雅黑" w:cs="Times New Roman"/>
        </w:rPr>
      </w:pPr>
    </w:p>
    <w:p w14:paraId="56B69607">
      <w:pPr>
        <w:jc w:val="center"/>
        <w:rPr>
          <w:rFonts w:ascii="Times New Roman" w:hAnsi="Times New Roman" w:eastAsia="微软雅黑" w:cs="Times New Roman"/>
        </w:rPr>
      </w:pPr>
    </w:p>
    <w:p w14:paraId="35A67EFC">
      <w:pPr>
        <w:keepNext/>
        <w:widowControl/>
        <w:spacing w:before="360" w:beforeLines="150" w:line="260" w:lineRule="auto"/>
        <w:rPr>
          <w:rFonts w:ascii="Times New Roman" w:hAnsi="Times New Roman" w:eastAsia="微软雅黑" w:cs="Times New Roman"/>
          <w:b/>
          <w:color w:val="1F497D"/>
          <w:sz w:val="28"/>
          <w:szCs w:val="28"/>
        </w:rPr>
      </w:pPr>
      <w:r>
        <w:rPr>
          <w:rFonts w:hint="eastAsia" w:ascii="Times New Roman" w:hAnsi="Times New Roman" w:eastAsia="微软雅黑" w:cs="Times New Roman"/>
          <w:b/>
          <w:color w:val="1F497D"/>
          <w:sz w:val="28"/>
          <w:szCs w:val="28"/>
        </w:rPr>
        <w:t>附录3 检测基因总表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3"/>
        <w:gridCol w:w="1033"/>
        <w:gridCol w:w="1032"/>
        <w:gridCol w:w="1032"/>
        <w:gridCol w:w="1032"/>
        <w:gridCol w:w="1032"/>
        <w:gridCol w:w="1032"/>
        <w:gridCol w:w="1032"/>
        <w:gridCol w:w="1032"/>
      </w:tblGrid>
      <w:tr w14:paraId="08588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038" w:hRule="atLeast"/>
        </w:trPr>
        <w:tc>
          <w:tcPr>
            <w:tcW w:w="9290" w:type="dxa"/>
            <w:gridSpan w:val="9"/>
          </w:tcPr>
          <w:p w14:paraId="4F62475D">
            <w:pPr>
              <w:widowControl/>
              <w:jc w:val="center"/>
              <w:textAlignment w:val="top"/>
              <w:rPr>
                <w:rFonts w:ascii="Times New Roman" w:hAnsi="Times New Roman" w:eastAsia="微软雅黑" w:cs="Times New Roman"/>
              </w:rPr>
            </w:pPr>
            <w:r>
              <w:rPr>
                <w:rFonts w:hint="eastAsia" w:ascii="Times New Roman" w:hAnsi="Times New Roman" w:eastAsia="微软雅黑" w:cs="Times New Roman"/>
                <w:sz w:val="18"/>
                <w:szCs w:val="18"/>
              </w:rPr>
              <w:t xml:space="preserve">{%tr for Gene in </w:t>
            </w:r>
            <w:r>
              <w:rPr>
                <w:rFonts w:ascii="Times New Roman" w:hAnsi="Times New Roman" w:eastAsia="微软雅黑" w:cs="Times New Roman"/>
                <w:sz w:val="18"/>
                <w:szCs w:val="18"/>
              </w:rPr>
              <w:t>“ABL1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ALK</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AXL</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BRAF</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CCND1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CDK6</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CTNNB1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DDR2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EGFR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ESR1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ETV5</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FBXW7</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GNAQ</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HRAS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KIT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MTOR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NOTCH1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PDGFRA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PIK3CA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PPARG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PTEN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RAF1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ROS1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SMAD4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STK11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TP53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UGT1A1”</w:t>
            </w:r>
            <w:r>
              <w:rPr>
                <w:rFonts w:hint="eastAsia" w:ascii="Times New Roman" w:hAnsi="Times New Roman" w:eastAsia="微软雅黑" w:cs="Times New Roman"/>
                <w:sz w:val="18"/>
                <w:szCs w:val="18"/>
              </w:rPr>
              <w:t xml:space="preserve"> | red(9,22,false) %}</w:t>
            </w:r>
          </w:p>
        </w:tc>
      </w:tr>
      <w:tr w14:paraId="7C15C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3" w:type="dxa"/>
            <w:vAlign w:val="center"/>
          </w:tcPr>
          <w:p w14:paraId="4872F97F">
            <w:pPr>
              <w:widowControl/>
              <w:jc w:val="center"/>
              <w:rPr>
                <w:rFonts w:ascii="Times New Roman" w:hAnsi="Times New Roman" w:eastAsia="微软雅黑" w:cs="Times New Roman"/>
                <w:sz w:val="18"/>
                <w:szCs w:val="18"/>
              </w:rPr>
            </w:pPr>
            <w:bookmarkStart w:id="13" w:name="OLE_LINK2" w:colFirst="0" w:colLast="5"/>
            <w:r>
              <w:rPr>
                <w:rFonts w:hint="eastAsia" w:ascii="Times New Roman" w:hAnsi="Times New Roman" w:eastAsia="微软雅黑" w:cs="Times New Roman"/>
                <w:sz w:val="18"/>
                <w:szCs w:val="18"/>
              </w:rPr>
              <w:t>{{r Gene[0] }}</w:t>
            </w:r>
          </w:p>
        </w:tc>
        <w:tc>
          <w:tcPr>
            <w:tcW w:w="1033" w:type="dxa"/>
            <w:vAlign w:val="center"/>
          </w:tcPr>
          <w:p w14:paraId="7DDA58B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32" w:type="dxa"/>
            <w:vAlign w:val="center"/>
          </w:tcPr>
          <w:p w14:paraId="3C89A38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032" w:type="dxa"/>
            <w:vAlign w:val="center"/>
          </w:tcPr>
          <w:p w14:paraId="0752ECB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32" w:type="dxa"/>
            <w:vAlign w:val="center"/>
          </w:tcPr>
          <w:p w14:paraId="1350530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32" w:type="dxa"/>
            <w:vAlign w:val="center"/>
          </w:tcPr>
          <w:p w14:paraId="0B8DAA2E">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032" w:type="dxa"/>
            <w:vAlign w:val="center"/>
          </w:tcPr>
          <w:p w14:paraId="54C6658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032" w:type="dxa"/>
            <w:vAlign w:val="center"/>
          </w:tcPr>
          <w:p w14:paraId="5A30C194">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32" w:type="dxa"/>
            <w:vAlign w:val="center"/>
          </w:tcPr>
          <w:p w14:paraId="1B7F420E">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342A2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90" w:type="dxa"/>
            <w:gridSpan w:val="9"/>
          </w:tcPr>
          <w:p w14:paraId="6B6C489A">
            <w:pPr>
              <w:jc w:val="center"/>
              <w:rPr>
                <w:rFonts w:ascii="Times New Roman" w:hAnsi="Times New Roman" w:eastAsia="微软雅黑" w:cs="Times New Roman"/>
              </w:rPr>
            </w:pPr>
            <w:r>
              <w:rPr>
                <w:rFonts w:hint="eastAsia" w:ascii="Times New Roman" w:hAnsi="Times New Roman" w:eastAsia="微软雅黑" w:cs="Times New Roman"/>
                <w:sz w:val="18"/>
                <w:szCs w:val="18"/>
              </w:rPr>
              <w:t>{%tr endfor%}</w:t>
            </w:r>
          </w:p>
        </w:tc>
      </w:tr>
      <w:bookmarkEnd w:id="13"/>
    </w:tbl>
    <w:p w14:paraId="50ABEE12">
      <w:pPr>
        <w:widowControl/>
        <w:rPr>
          <w:rFonts w:ascii="Times New Roman" w:hAnsi="Times New Roman" w:eastAsia="微软雅黑" w:cs="Times New Roman"/>
        </w:rPr>
      </w:pPr>
      <w:r>
        <w:rPr>
          <w:rFonts w:ascii="Times New Roman" w:hAnsi="Times New Roman" w:eastAsia="微软雅黑" w:cs="Times New Roman"/>
        </w:rPr>
        <w:br w:type="page"/>
      </w:r>
    </w:p>
    <w:bookmarkEnd w:id="10"/>
    <w:bookmarkEnd w:id="11"/>
    <w:bookmarkEnd w:id="12"/>
    <w:p w14:paraId="113968B6">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8"/>
          <w:szCs w:val="28"/>
        </w:rPr>
        <w:t>附录4 试剂盒</w:t>
      </w:r>
      <w:r>
        <w:rPr>
          <w:rFonts w:hint="eastAsia" w:ascii="Times New Roman" w:hAnsi="Times New Roman" w:eastAsia="微软雅黑" w:cs="Times New Roman"/>
          <w:b/>
          <w:color w:val="1F497D"/>
          <w:sz w:val="28"/>
          <w:szCs w:val="28"/>
          <w:lang w:val="en-US" w:eastAsia="zh-CN"/>
        </w:rPr>
        <w:t>部分</w:t>
      </w:r>
      <w:r>
        <w:rPr>
          <w:rFonts w:hint="eastAsia" w:ascii="Times New Roman" w:hAnsi="Times New Roman" w:eastAsia="微软雅黑" w:cs="Times New Roman"/>
          <w:b/>
          <w:color w:val="1F497D"/>
          <w:sz w:val="28"/>
          <w:szCs w:val="28"/>
        </w:rPr>
        <w:t>检测</w:t>
      </w:r>
      <w:r>
        <w:rPr>
          <w:rFonts w:hint="eastAsia" w:ascii="Times New Roman" w:hAnsi="Times New Roman" w:eastAsia="微软雅黑" w:cs="Times New Roman"/>
          <w:b/>
          <w:color w:val="1F497D"/>
          <w:sz w:val="28"/>
          <w:szCs w:val="28"/>
          <w:lang w:val="en-US" w:eastAsia="zh-CN"/>
        </w:rPr>
        <w:t>位点列表</w:t>
      </w:r>
    </w:p>
    <w:tbl>
      <w:tblPr>
        <w:tblStyle w:val="19"/>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98"/>
        <w:gridCol w:w="808"/>
        <w:gridCol w:w="3053"/>
        <w:gridCol w:w="2956"/>
        <w:gridCol w:w="1171"/>
      </w:tblGrid>
      <w:tr w14:paraId="3BB714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l2br w:val="nil"/>
            </w:tcBorders>
            <w:shd w:val="clear" w:color="auto" w:fill="1F3864"/>
            <w:vAlign w:val="center"/>
          </w:tcPr>
          <w:p w14:paraId="3970BDE1">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b/>
                <w:bCs w:val="0"/>
                <w:color w:val="FFFFFF" w:themeColor="background1"/>
                <w:sz w:val="18"/>
                <w:szCs w:val="18"/>
                <w:lang w:val="en-US" w:eastAsia="zh-CN" w:bidi="ar"/>
                <w14:textFill>
                  <w14:solidFill>
                    <w14:schemeClr w14:val="bg1"/>
                  </w14:solidFill>
                </w14:textFill>
              </w:rPr>
              <w:t>基因名称</w:t>
            </w:r>
          </w:p>
        </w:tc>
        <w:tc>
          <w:tcPr>
            <w:tcW w:w="435"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0D952C7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b/>
                <w:bCs w:val="0"/>
                <w:color w:val="FFFFFF" w:themeColor="background1"/>
                <w:sz w:val="18"/>
                <w:szCs w:val="18"/>
                <w:lang w:val="en-US" w:eastAsia="zh-CN" w:bidi="ar"/>
                <w14:textFill>
                  <w14:solidFill>
                    <w14:schemeClr w14:val="bg1"/>
                  </w14:solidFill>
                </w14:textFill>
              </w:rPr>
              <w:t>外显子</w:t>
            </w:r>
          </w:p>
        </w:tc>
        <w:tc>
          <w:tcPr>
            <w:tcW w:w="1643"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0F4157C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b/>
                <w:bCs w:val="0"/>
                <w:color w:val="FFFFFF" w:themeColor="background1"/>
                <w:sz w:val="18"/>
                <w:szCs w:val="18"/>
                <w:lang w:val="en-US" w:eastAsia="zh-CN" w:bidi="ar"/>
                <w14:textFill>
                  <w14:solidFill>
                    <w14:schemeClr w14:val="bg1"/>
                  </w14:solidFill>
                </w14:textFill>
              </w:rPr>
              <w:t>碱基变化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50"/>
                <w:b/>
                <w:bCs w:val="0"/>
                <w:color w:val="FFFFFF" w:themeColor="background1"/>
                <w:sz w:val="18"/>
                <w:szCs w:val="18"/>
                <w:lang w:val="en-US" w:eastAsia="zh-CN" w:bidi="ar"/>
                <w14:textFill>
                  <w14:solidFill>
                    <w14:schemeClr w14:val="bg1"/>
                  </w14:solidFill>
                </w14:textFill>
              </w:rPr>
              <w:t>融合类型</w:t>
            </w:r>
          </w:p>
        </w:tc>
        <w:tc>
          <w:tcPr>
            <w:tcW w:w="1591"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5A6B7451">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50"/>
                <w:b/>
                <w:bCs w:val="0"/>
                <w:color w:val="FFFFFF" w:themeColor="background1"/>
                <w:sz w:val="18"/>
                <w:szCs w:val="18"/>
                <w:lang w:val="en-US" w:eastAsia="zh-CN" w:bidi="ar"/>
                <w14:textFill>
                  <w14:solidFill>
                    <w14:schemeClr w14:val="bg1"/>
                  </w14:solidFill>
                </w14:textFill>
              </w:rPr>
              <w:t>氨基酸变化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50"/>
                <w:b/>
                <w:bCs w:val="0"/>
                <w:color w:val="FFFFFF" w:themeColor="background1"/>
                <w:sz w:val="18"/>
                <w:szCs w:val="18"/>
                <w:lang w:val="en-US" w:eastAsia="zh-CN" w:bidi="ar"/>
                <w14:textFill>
                  <w14:solidFill>
                    <w14:schemeClr w14:val="bg1"/>
                  </w14:solidFill>
                </w14:textFill>
              </w:rPr>
              <w:t>融合形式</w:t>
            </w:r>
          </w:p>
        </w:tc>
        <w:tc>
          <w:tcPr>
            <w:tcW w:w="630"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73255375">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Cosmic ID</w:t>
            </w:r>
          </w:p>
        </w:tc>
      </w:tr>
      <w:tr w14:paraId="49A28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53BC0A3F">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EGFR</w:t>
            </w:r>
          </w:p>
        </w:tc>
        <w:tc>
          <w:tcPr>
            <w:tcW w:w="435" w:type="pct"/>
            <w:tcBorders>
              <w:top w:val="single" w:color="FFFFFF" w:sz="8" w:space="0"/>
              <w:left w:val="single" w:color="FFFFFF" w:sz="8" w:space="0"/>
              <w:bottom w:val="single" w:color="000000" w:sz="4" w:space="0"/>
              <w:right w:val="single" w:color="000000" w:sz="4" w:space="0"/>
            </w:tcBorders>
            <w:shd w:val="clear" w:color="auto" w:fill="FFFFFF"/>
            <w:vAlign w:val="center"/>
          </w:tcPr>
          <w:p w14:paraId="0987647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2124610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c.2156G&gt;C</w:t>
            </w:r>
          </w:p>
        </w:tc>
        <w:tc>
          <w:tcPr>
            <w:tcW w:w="1591"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3198BFB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p.G719A</w:t>
            </w:r>
          </w:p>
        </w:tc>
        <w:tc>
          <w:tcPr>
            <w:tcW w:w="630"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3D9451F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6239 </w:t>
            </w:r>
          </w:p>
        </w:tc>
      </w:tr>
      <w:tr w14:paraId="66BC3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0255D3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518AB8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7EA30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F4993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120E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6253 </w:t>
            </w:r>
          </w:p>
        </w:tc>
      </w:tr>
      <w:tr w14:paraId="4434B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19AD35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B85617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FE03F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6DCC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B8CF5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6252 </w:t>
            </w:r>
          </w:p>
        </w:tc>
      </w:tr>
      <w:tr w14:paraId="5D3BD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A00D12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564D7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0D284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c.2235_2249del15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465A0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4466B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6223 </w:t>
            </w:r>
          </w:p>
        </w:tc>
      </w:tr>
      <w:tr w14:paraId="5CE8E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EAA21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021BD2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4D70E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c.2236_2250del15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5EA31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FBF1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6225 </w:t>
            </w:r>
          </w:p>
        </w:tc>
      </w:tr>
      <w:tr w14:paraId="68D2A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CB3F37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7D95F0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00A17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lang w:val="en-US"/>
              </w:rPr>
            </w:pPr>
            <w:r>
              <w:rPr>
                <w:rFonts w:hint="default" w:ascii="Times New Roman" w:hAnsi="Times New Roman" w:eastAsia="宋体" w:cs="Times New Roman"/>
                <w:b w:val="0"/>
                <w:bCs/>
                <w:i w:val="0"/>
                <w:iCs w:val="0"/>
                <w:color w:val="000000"/>
                <w:kern w:val="0"/>
                <w:sz w:val="18"/>
                <w:szCs w:val="18"/>
                <w:u w:val="none"/>
                <w:lang w:val="en-US" w:eastAsia="zh-CN" w:bidi="ar"/>
              </w:rPr>
              <w:t>c.2239_2253del15/c.2240_2254del</w:t>
            </w:r>
            <w:r>
              <w:rPr>
                <w:rFonts w:hint="eastAsia" w:ascii="Times New Roman" w:hAnsi="Times New Roman" w:cs="Times New Roman"/>
                <w:b w:val="0"/>
                <w:bCs/>
                <w:i w:val="0"/>
                <w:iCs w:val="0"/>
                <w:color w:val="000000"/>
                <w:kern w:val="0"/>
                <w:sz w:val="18"/>
                <w:szCs w:val="18"/>
                <w:u w:val="none"/>
                <w:lang w:val="en-US" w:eastAsia="zh-CN" w:bidi="ar"/>
              </w:rPr>
              <w:t>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2D16C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p.L747_T751delLREAT</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1810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6254/12369</w:t>
            </w:r>
          </w:p>
        </w:tc>
      </w:tr>
      <w:tr w14:paraId="5B36C1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08A5BEF">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39EB3F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0802E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c.2239_2256del18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CECE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p.L747_S752delLREATS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49412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6255 </w:t>
            </w:r>
          </w:p>
        </w:tc>
      </w:tr>
      <w:tr w14:paraId="6D981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B858E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6469B7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117E5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c.2239_2247delTTAAGAGAA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7A33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p.L747_E749delLRE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971F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6218 </w:t>
            </w:r>
          </w:p>
        </w:tc>
      </w:tr>
      <w:tr w14:paraId="3B69D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F1D679D">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89886E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343F8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c.2237_2251del15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84A63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p.E746_T751&gt;A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5AD54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12678 </w:t>
            </w:r>
          </w:p>
        </w:tc>
      </w:tr>
      <w:tr w14:paraId="616754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E326EA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76915B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CF9FF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c.2240_2257del18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7019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p.L747_P753&gt;S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4181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12370 </w:t>
            </w:r>
          </w:p>
        </w:tc>
      </w:tr>
      <w:tr w14:paraId="6FA1E2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8BC53E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21C164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EFBEE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c.2239_2248TTAAGAGAAG&gt;C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82B56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p.L747_A750&gt;P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A1FC4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6254 </w:t>
            </w:r>
          </w:p>
        </w:tc>
      </w:tr>
      <w:tr w14:paraId="00A96C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E8866B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FB4D49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F29C6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c.2237_2255&gt;T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1633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p.E746_S752&gt;V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C0BC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12384 </w:t>
            </w:r>
          </w:p>
        </w:tc>
      </w:tr>
      <w:tr w14:paraId="05E58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FA45C9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6201F1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085F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c.2239_2251&gt;C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0BEE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p.L747_T75I&gt;P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E39B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12383 </w:t>
            </w:r>
          </w:p>
        </w:tc>
      </w:tr>
      <w:tr w14:paraId="1AF4D8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65E3D2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655498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7CD63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c.2369C&gt;T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99874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p.T790M</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D3C79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6240 </w:t>
            </w:r>
          </w:p>
        </w:tc>
      </w:tr>
      <w:tr w14:paraId="2E0C66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5F99AD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CC0CB1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707CF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c.2303G&gt;T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414F6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p.S7681</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BC74A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6241 </w:t>
            </w:r>
          </w:p>
        </w:tc>
      </w:tr>
      <w:tr w14:paraId="152DB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21A062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A15A2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F29D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c.2307_2308insGCCAGCGTG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94766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p.V769_D770insASV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C5502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12376 </w:t>
            </w:r>
          </w:p>
        </w:tc>
      </w:tr>
      <w:tr w14:paraId="2592F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5D4E621">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5AFAE3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DC878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c.2310_231</w:t>
            </w:r>
            <w:r>
              <w:rPr>
                <w:rFonts w:hint="eastAsia" w:ascii="Times New Roman" w:hAnsi="Times New Roman" w:cs="Times New Roman"/>
                <w:b w:val="0"/>
                <w:bCs/>
                <w:i w:val="0"/>
                <w:iCs w:val="0"/>
                <w:color w:val="000000"/>
                <w:kern w:val="0"/>
                <w:sz w:val="18"/>
                <w:szCs w:val="18"/>
                <w:u w:val="none"/>
                <w:lang w:val="en-US" w:eastAsia="zh-CN" w:bidi="ar"/>
              </w:rPr>
              <w:t>1</w:t>
            </w:r>
            <w:r>
              <w:rPr>
                <w:rFonts w:hint="default" w:ascii="Times New Roman" w:hAnsi="Times New Roman" w:eastAsia="宋体" w:cs="Times New Roman"/>
                <w:b w:val="0"/>
                <w:bCs/>
                <w:i w:val="0"/>
                <w:iCs w:val="0"/>
                <w:color w:val="000000"/>
                <w:kern w:val="0"/>
                <w:sz w:val="18"/>
                <w:szCs w:val="18"/>
                <w:u w:val="none"/>
                <w:lang w:val="en-US" w:eastAsia="zh-CN" w:bidi="ar"/>
              </w:rPr>
              <w:t>insGGT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C9E5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p.D770_N771insG</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7569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12378 </w:t>
            </w:r>
          </w:p>
        </w:tc>
      </w:tr>
      <w:tr w14:paraId="6F1C6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2469F0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85AEB1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F3B2A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c.2319_2320insCAC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60F50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p.H773_V774insH</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754A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12377 </w:t>
            </w:r>
          </w:p>
        </w:tc>
      </w:tr>
      <w:tr w14:paraId="00B29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8A3E3E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819A69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990CD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c.2573T&gt;G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8CEF7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p.L858R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613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6224 </w:t>
            </w:r>
          </w:p>
        </w:tc>
      </w:tr>
      <w:tr w14:paraId="20CC5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E93E8F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B3A26D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1C9D6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c.2582T&gt;A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DCD74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p.L861Q</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70DB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6213 </w:t>
            </w:r>
          </w:p>
        </w:tc>
      </w:tr>
      <w:tr w14:paraId="07477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3E9EB157">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KRAS</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07E40D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090E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1C20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0D42B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521 </w:t>
            </w:r>
          </w:p>
        </w:tc>
      </w:tr>
      <w:tr w14:paraId="059565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0D2D41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941541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C355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05C8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C5AFE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520 </w:t>
            </w:r>
          </w:p>
        </w:tc>
      </w:tr>
      <w:tr w14:paraId="2519F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22A9EF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DF6B9A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072F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F2AA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8E2F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516 </w:t>
            </w:r>
          </w:p>
        </w:tc>
      </w:tr>
      <w:tr w14:paraId="74C701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0F80E0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CA580D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25B23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B0D5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3B019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517 </w:t>
            </w:r>
          </w:p>
        </w:tc>
      </w:tr>
      <w:tr w14:paraId="72839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F0218AC">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42818D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B254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c.38G&gt;A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313E0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p.G13D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E8D7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532 </w:t>
            </w:r>
          </w:p>
        </w:tc>
      </w:tr>
      <w:tr w14:paraId="454A4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52A5D40">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497EFB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09037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41476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7DCB7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518 </w:t>
            </w:r>
          </w:p>
        </w:tc>
      </w:tr>
      <w:tr w14:paraId="348236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BDED90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7BEEE1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B96C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83921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FFE4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522 </w:t>
            </w:r>
          </w:p>
        </w:tc>
      </w:tr>
      <w:tr w14:paraId="4028E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5ABEB66D">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BRAF</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6A7A52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15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95A87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c.1799T&gt;A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EF2C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p.V600E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E508E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476 </w:t>
            </w:r>
          </w:p>
        </w:tc>
      </w:tr>
      <w:tr w14:paraId="32463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549022AD">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PIK3CA</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63F084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F0B00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c.1624G&gt;A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CD2B0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p.E542K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24992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760 </w:t>
            </w:r>
          </w:p>
        </w:tc>
      </w:tr>
      <w:tr w14:paraId="7B77C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A21DE9A">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8E9C90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77CB3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c.1633G&gt;A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79AC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p.E545K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771B8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763 </w:t>
            </w:r>
          </w:p>
        </w:tc>
      </w:tr>
      <w:tr w14:paraId="6944B1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A0556EA">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742CB1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CF216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978E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p.H1047L</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113A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776 </w:t>
            </w:r>
          </w:p>
        </w:tc>
      </w:tr>
      <w:tr w14:paraId="57F2DB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0B6A778">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C00EB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F6D6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82BBB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CC9B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775 </w:t>
            </w:r>
          </w:p>
        </w:tc>
      </w:tr>
      <w:tr w14:paraId="193C1A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3F69D7B0">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ALK</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427747D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2621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96E5C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E13A20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53F8E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3A368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0FAE648">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217BFA2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C441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64255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E20A20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F0572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BA6B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BBFBD4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08FDADD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09BE3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DC04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E6aA20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1CA79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24D1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F8D38F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4775AA5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A00B6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2F95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E6bA20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6A2342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BC6A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2B43F492">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ROS1</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6661B62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93397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SLC34A2-ROS1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4A1D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S4R32</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757614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DB27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B3C10D4">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1D501A0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ED637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CD74-ROS1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64C2A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C6R34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1D5AC5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76A7D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A8FCB0A">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5B39F16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13941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EZR-ROS1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BB066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E10R34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7957A6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bl>
    <w:p w14:paraId="6ED91662">
      <w:pPr>
        <w:keepNext/>
        <w:widowControl/>
        <w:spacing w:before="360" w:beforeLines="150" w:line="260" w:lineRule="auto"/>
        <w:rPr>
          <w:rFonts w:ascii="Times New Roman" w:hAnsi="Times New Roman" w:eastAsia="微软雅黑" w:cs="Times New Roman"/>
          <w:b/>
          <w:color w:val="1F497D"/>
          <w:sz w:val="28"/>
          <w:szCs w:val="28"/>
        </w:rPr>
      </w:pPr>
      <w:r>
        <w:rPr>
          <w:rFonts w:hint="eastAsia" w:ascii="Times New Roman" w:hAnsi="Times New Roman" w:eastAsia="微软雅黑" w:cs="Times New Roman"/>
          <w:b/>
          <w:color w:val="1F497D"/>
          <w:sz w:val="28"/>
          <w:szCs w:val="28"/>
          <w:lang w:val="en-US" w:eastAsia="zh-CN"/>
        </w:rPr>
        <w:t xml:space="preserve">附录5 </w:t>
      </w:r>
      <w:r>
        <w:rPr>
          <w:rFonts w:hint="eastAsia" w:ascii="Times New Roman" w:hAnsi="Times New Roman" w:eastAsia="微软雅黑" w:cs="Times New Roman"/>
          <w:b/>
          <w:color w:val="1F497D"/>
          <w:sz w:val="28"/>
          <w:szCs w:val="28"/>
        </w:rPr>
        <w:t>常见靶向药物相关基因检测列表</w:t>
      </w:r>
    </w:p>
    <w:p w14:paraId="193C9262">
      <w:pPr>
        <w:spacing w:line="276" w:lineRule="auto"/>
        <w:rPr>
          <w:rFonts w:ascii="Times New Roman" w:hAnsi="Times New Roman" w:cs="Times New Roman"/>
        </w:rPr>
      </w:pPr>
    </w:p>
    <w:p w14:paraId="43C878EB">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w:t>
      </w:r>
      <w:r>
        <w:rPr>
          <w:rFonts w:hint="eastAsia" w:ascii="Times New Roman" w:hAnsi="Times New Roman" w:cs="Times New Roman"/>
          <w:b/>
          <w:u w:val="thick" w:color="1F3864"/>
        </w:rPr>
        <w:t xml:space="preserve">ALK  </w:t>
      </w:r>
      <w:r>
        <w:rPr>
          <w:rFonts w:ascii="Times New Roman" w:hAnsi="Times New Roman" w:cs="Times New Roman"/>
          <w:b/>
          <w:u w:val="thick" w:color="1F3864"/>
        </w:rPr>
        <w:t xml:space="preserve">                                                                                                                                                                    </w:t>
      </w:r>
    </w:p>
    <w:p w14:paraId="7CD39580">
      <w:pPr>
        <w:spacing w:line="276" w:lineRule="auto"/>
        <w:rPr>
          <w:rFonts w:ascii="Times New Roman" w:hAnsi="Times New Roman" w:cs="Times New Roman"/>
          <w:b/>
          <w:u w:val="thick" w:color="1F3864"/>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3EA034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C1B504D">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1EE47D1B">
            <w:pPr>
              <w:widowControl/>
              <w:spacing w:before="100" w:beforeAutospacing="1" w:line="273" w:lineRule="auto"/>
              <w:rPr>
                <w:rFonts w:ascii="Times New Roman" w:hAnsi="Times New Roman" w:cs="Times New Roman"/>
                <w:color w:val="000000"/>
                <w:sz w:val="18"/>
                <w:szCs w:val="18"/>
              </w:rPr>
            </w:pPr>
            <w:r>
              <w:rPr>
                <w:rFonts w:ascii="Times New Roman" w:hAnsi="Times New Roman" w:cs="Times New Roman"/>
                <w:color w:val="000000"/>
                <w:sz w:val="18"/>
                <w:szCs w:val="18"/>
              </w:rPr>
              <w:t>ALK位于染色体2p23，是致癌驱动基因，该基因编码的蛋白是受体酪氨酸激酶家族的一部分，该蛋白为一种跨膜受体酪氨酸激酶，是胰岛素受体超家族的一员，受体</w:t>
            </w:r>
            <w:r>
              <w:rPr>
                <w:rFonts w:hint="eastAsia" w:ascii="Times New Roman" w:hAnsi="Times New Roman" w:cs="Times New Roman"/>
                <w:color w:val="000000"/>
                <w:sz w:val="18"/>
                <w:szCs w:val="18"/>
              </w:rPr>
              <w:t>酪</w:t>
            </w:r>
            <w:r>
              <w:rPr>
                <w:rFonts w:ascii="Times New Roman" w:hAnsi="Times New Roman" w:cs="Times New Roman"/>
                <w:color w:val="000000"/>
                <w:sz w:val="18"/>
                <w:szCs w:val="18"/>
              </w:rPr>
              <w:t>氨酸激酶通过信号传导将信号从细胞表面传导到细胞内，并通过激活MAPK和PI3K信号通路促进细胞增殖。ALK基因与EML4或其他基因（TFG，KIF5B 等）的融合是非小细胞肺癌中仅次于EGFR突变的第二个分子亚型，约占 7％，在无吸烟史，年轻，及肺腺癌患者人群中占比更高。ALK激活突变、融合、扩增已经在各种癌症中被报道过，包括非小细胞肺癌、结直肠癌、卵巢癌、横纹肌肉瘤等。</w:t>
            </w:r>
          </w:p>
        </w:tc>
      </w:tr>
      <w:tr w14:paraId="5B57DD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2FF55A1">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884D7CE">
            <w:pPr>
              <w:spacing w:before="100" w:beforeAutospacing="1" w:line="256" w:lineRule="auto"/>
              <w:rPr>
                <w:rFonts w:ascii="Times New Roman" w:hAnsi="Times New Roman" w:cs="Times New Roman"/>
                <w:sz w:val="18"/>
                <w:szCs w:val="18"/>
              </w:rPr>
            </w:pPr>
            <w:r>
              <w:rPr>
                <w:rFonts w:ascii="Times New Roman" w:hAnsi="Times New Roman" w:cs="Times New Roman"/>
                <w:b/>
                <w:sz w:val="18"/>
                <w:szCs w:val="18"/>
              </w:rPr>
              <w:t>克唑替尼*</w:t>
            </w:r>
            <w:r>
              <w:rPr>
                <w:rFonts w:ascii="Times New Roman" w:hAnsi="Times New Roman" w:cs="Times New Roman"/>
                <w:sz w:val="18"/>
                <w:szCs w:val="18"/>
              </w:rPr>
              <w:t>、</w:t>
            </w:r>
            <w:r>
              <w:rPr>
                <w:rFonts w:ascii="Times New Roman" w:hAnsi="Times New Roman" w:cs="Times New Roman"/>
                <w:b/>
                <w:sz w:val="18"/>
                <w:szCs w:val="18"/>
              </w:rPr>
              <w:t>塞瑞替尼*</w:t>
            </w:r>
            <w:r>
              <w:rPr>
                <w:rFonts w:ascii="Times New Roman" w:hAnsi="Times New Roman" w:cs="Times New Roman"/>
                <w:sz w:val="18"/>
                <w:szCs w:val="18"/>
              </w:rPr>
              <w:t>、</w:t>
            </w:r>
            <w:r>
              <w:rPr>
                <w:rFonts w:ascii="Times New Roman" w:hAnsi="Times New Roman" w:cs="Times New Roman"/>
                <w:b/>
                <w:sz w:val="18"/>
                <w:szCs w:val="18"/>
              </w:rPr>
              <w:t>布吉他滨</w:t>
            </w:r>
            <w:r>
              <w:rPr>
                <w:rFonts w:ascii="Times New Roman" w:hAnsi="Times New Roman" w:cs="Times New Roman"/>
                <w:sz w:val="18"/>
                <w:szCs w:val="18"/>
              </w:rPr>
              <w:t>、</w:t>
            </w:r>
            <w:r>
              <w:rPr>
                <w:rFonts w:ascii="Times New Roman" w:hAnsi="Times New Roman" w:cs="Times New Roman"/>
                <w:b/>
                <w:sz w:val="18"/>
                <w:szCs w:val="18"/>
              </w:rPr>
              <w:t>阿来替尼*</w:t>
            </w:r>
            <w:r>
              <w:rPr>
                <w:rFonts w:ascii="Times New Roman" w:hAnsi="Times New Roman" w:cs="Times New Roman"/>
                <w:sz w:val="18"/>
                <w:szCs w:val="18"/>
              </w:rPr>
              <w:t>、</w:t>
            </w:r>
            <w:r>
              <w:rPr>
                <w:rFonts w:ascii="Times New Roman" w:hAnsi="Times New Roman" w:cs="Times New Roman"/>
                <w:b/>
                <w:sz w:val="18"/>
                <w:szCs w:val="18"/>
              </w:rPr>
              <w:t>劳拉替尼、</w:t>
            </w:r>
            <w:r>
              <w:rPr>
                <w:rFonts w:hint="eastAsia" w:ascii="Times New Roman" w:hAnsi="Times New Roman" w:cs="Times New Roman"/>
                <w:b/>
                <w:sz w:val="18"/>
                <w:szCs w:val="18"/>
              </w:rPr>
              <w:t>恩沙替尼</w:t>
            </w:r>
            <w:r>
              <w:rPr>
                <w:rFonts w:ascii="Times New Roman" w:hAnsi="Times New Roman" w:cs="Times New Roman"/>
                <w:b/>
                <w:sz w:val="18"/>
                <w:szCs w:val="18"/>
              </w:rPr>
              <w:t>*</w:t>
            </w:r>
          </w:p>
        </w:tc>
      </w:tr>
      <w:tr w14:paraId="5DBE69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449"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4D054F7">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57586AB6">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6029FEE">
            <w:pPr>
              <w:widowControl/>
              <w:spacing w:before="100" w:beforeAutospacing="1" w:line="273" w:lineRule="auto"/>
              <w:rPr>
                <w:rFonts w:ascii="Times New Roman" w:hAnsi="Times New Roman" w:cs="Times New Roman"/>
                <w:color w:val="000000"/>
                <w:sz w:val="18"/>
                <w:szCs w:val="18"/>
              </w:rPr>
            </w:pPr>
            <w:r>
              <w:rPr>
                <w:rFonts w:hint="eastAsia" w:ascii="Times New Roman" w:hAnsi="Times New Roman" w:cs="Times New Roman"/>
                <w:color w:val="000000"/>
                <w:sz w:val="18"/>
                <w:szCs w:val="18"/>
              </w:rPr>
              <w:t>F</w:t>
            </w:r>
            <w:r>
              <w:rPr>
                <w:rFonts w:ascii="Times New Roman" w:hAnsi="Times New Roman" w:cs="Times New Roman"/>
                <w:color w:val="000000"/>
                <w:sz w:val="18"/>
                <w:szCs w:val="18"/>
              </w:rPr>
              <w:t>DA</w:t>
            </w:r>
            <w:r>
              <w:rPr>
                <w:rFonts w:hint="eastAsia" w:ascii="Times New Roman" w:hAnsi="Times New Roman" w:cs="Times New Roman"/>
                <w:color w:val="000000"/>
                <w:sz w:val="18"/>
                <w:szCs w:val="18"/>
              </w:rPr>
              <w:t>批准克唑替尼、塞瑞替尼、阿来替尼、劳拉替尼和布吉他滨用于A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阳性非小细胞肺癌患者的治疗。N</w:t>
            </w:r>
            <w:r>
              <w:rPr>
                <w:rFonts w:ascii="Times New Roman" w:hAnsi="Times New Roman" w:cs="Times New Roman"/>
                <w:color w:val="000000"/>
                <w:sz w:val="18"/>
                <w:szCs w:val="18"/>
              </w:rPr>
              <w:t>MPA</w:t>
            </w:r>
            <w:r>
              <w:rPr>
                <w:rFonts w:hint="eastAsia" w:ascii="Times New Roman" w:hAnsi="Times New Roman" w:cs="Times New Roman"/>
                <w:color w:val="000000"/>
                <w:sz w:val="18"/>
                <w:szCs w:val="18"/>
              </w:rPr>
              <w:t>批准恩沙替尼用于克唑替尼治疗后进展或克唑替尼不耐受的A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阳性非小细胞肺癌患者；批准克唑替尼、阿来替尼和塞瑞替尼用于A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阳性非小细胞肺癌患者的治疗；批准塞瑞替尼用于A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阳性非小细胞肺癌患者的一线治疗或者克唑替尼治疗后进展或克唑替尼不耐受的A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阳性非小细胞肺癌患者的二线治疗。在非小细胞肺癌中，</w:t>
            </w:r>
            <w:r>
              <w:rPr>
                <w:rFonts w:ascii="Times New Roman" w:hAnsi="Times New Roman" w:cs="Times New Roman"/>
                <w:color w:val="000000"/>
                <w:sz w:val="18"/>
                <w:szCs w:val="18"/>
              </w:rPr>
              <w:t>ALK融合对ALK TKIs药物克唑替尼[PMID: 25470694]、塞瑞替尼[PMID: 28126333]、阿来替尼[PMID: 28586279]、布吉他滨[PMID: 30280657]、劳拉替尼[PMID: 33207094]、恩沙替尼敏感[PMID: 29563138]；对EGFR TKIs药物埃克替尼、厄洛替尼、吉非替尼、阿法替尼、奥希替尼、达可替尼产生耐药性[PMID: 19667264]；ALK酪氨酸激酶结构域关键位点（包含1151Tins、L1152R、C1156Y</w:t>
            </w:r>
            <w:r>
              <w:rPr>
                <w:rFonts w:hint="eastAsia" w:ascii="Times New Roman" w:hAnsi="Times New Roman" w:cs="Times New Roman"/>
                <w:color w:val="000000"/>
                <w:sz w:val="18"/>
                <w:szCs w:val="18"/>
              </w:rPr>
              <w:t>、</w:t>
            </w:r>
            <w:r>
              <w:rPr>
                <w:rFonts w:ascii="Times New Roman" w:hAnsi="Times New Roman" w:cs="Times New Roman"/>
                <w:color w:val="000000"/>
                <w:sz w:val="18"/>
                <w:szCs w:val="18"/>
              </w:rPr>
              <w:t>F1174L、L1196M、G1202R、S1206Y、G1269A、F1174V、F1245C）发生突变会导致对一代ALK抑制剂克唑替尼产生耐药性[PMID: 22277784]，L1196M、G1269A、I1171T、S1206Y位点突变对二代ALK抑制剂塞瑞替尼敏感[PMID: 24675041]，L1196M、G1269A、C1156Y、F1174L、1151Tins、L1152R位点突变对二代ALK抑制剂阿来替尼敏感[PMID: 26579422]。ALK拷贝数变异还与结直肠癌的发生及预后有关[PMID: 24129244]。</w:t>
            </w:r>
          </w:p>
        </w:tc>
      </w:tr>
    </w:tbl>
    <w:p w14:paraId="6CD56C43">
      <w:pPr>
        <w:spacing w:line="276" w:lineRule="auto"/>
        <w:rPr>
          <w:rFonts w:ascii="Times New Roman" w:hAnsi="Times New Roman" w:cs="Times New Roman"/>
        </w:rPr>
      </w:pPr>
    </w:p>
    <w:p w14:paraId="52A737C8">
      <w:pPr>
        <w:spacing w:line="276" w:lineRule="auto"/>
        <w:rPr>
          <w:rFonts w:ascii="Times New Roman" w:hAnsi="Times New Roman" w:cs="Times New Roman"/>
          <w:u w:val="thick" w:color="2DB8B5"/>
        </w:rPr>
      </w:pPr>
    </w:p>
    <w:p w14:paraId="7413CDCB">
      <w:pPr>
        <w:spacing w:line="276" w:lineRule="auto"/>
        <w:rPr>
          <w:rFonts w:ascii="Times New Roman" w:hAnsi="Times New Roman" w:cs="Times New Roman"/>
          <w:b/>
        </w:rPr>
      </w:pPr>
      <w:r>
        <w:rPr>
          <w:rFonts w:hint="eastAsia" w:ascii="Times New Roman" w:hAnsi="Times New Roman" w:cs="Times New Roman"/>
          <w:b/>
          <w:u w:val="thick" w:color="1F3864"/>
        </w:rPr>
        <w:t xml:space="preserve">EGFR          </w:t>
      </w:r>
      <w:r>
        <w:rPr>
          <w:rFonts w:ascii="Times New Roman" w:hAnsi="Times New Roman" w:cs="Times New Roman"/>
          <w:b/>
          <w:u w:val="thick" w:color="1F3864"/>
        </w:rPr>
        <w:t xml:space="preserve">                                                                                                                                                          </w:t>
      </w:r>
      <w:r>
        <w:rPr>
          <w:rFonts w:ascii="Times New Roman" w:hAnsi="Times New Roman" w:cs="Times New Roman"/>
          <w:b/>
        </w:rPr>
        <w:t xml:space="preserve">       </w:t>
      </w:r>
    </w:p>
    <w:p w14:paraId="36CAD24B">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82"/>
        <w:gridCol w:w="6627"/>
      </w:tblGrid>
      <w:tr w14:paraId="2A9D5D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980"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DF2504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73FF77A1">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ascii="Times New Roman" w:hAnsi="Times New Roman" w:cs="Times New Roman"/>
                <w:color w:val="000000"/>
                <w:sz w:val="18"/>
                <w:szCs w:val="18"/>
              </w:rPr>
              <w:t>EGFR基因位于7p11，是原癌基因c-erbB1的表达产物，表皮生长因子受体（HER）家族的跨膜受体酪氨酸激酶之一。该蛋白由胞外的结合区、跨膜区及胞内区（包含酪氨酸激酶结构域）组成，通过与多种表皮生长因子结合，其自身发生二聚化并磷酸化，进而引发细胞内信号通路，影响细胞增殖等生物学过程。EGFR基因突变、扩增或过表达会导致EGFR蛋白的表达量过高或活性过强，引起细胞的异常增殖、分化以及血管增生，并能抑制肿瘤细胞的凋亡。数据显示，EGFR突变占西方NSCLC的10-20%，这一比例在东亚、女性、无吸烟史的肺腺癌患者中尤其高，中国肺腺癌患者EGFR突变率高达50%，EGFR热点突变集中于激酶结构域18~21号外显子，与EGFR相关的疾病还包括头颈部实体瘤、鳞状细胞癌、结直肠癌、鼻咽癌等。</w:t>
            </w:r>
          </w:p>
        </w:tc>
      </w:tr>
      <w:tr w14:paraId="3DCBDD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9"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21E23A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094BD8E1">
            <w:pPr>
              <w:spacing w:before="100" w:beforeAutospacing="1" w:line="256" w:lineRule="auto"/>
              <w:rPr>
                <w:rFonts w:ascii="Times New Roman" w:hAnsi="Times New Roman" w:cs="Times New Roman"/>
                <w:sz w:val="18"/>
                <w:szCs w:val="18"/>
              </w:rPr>
            </w:pPr>
            <w:r>
              <w:rPr>
                <w:rFonts w:ascii="Times New Roman" w:hAnsi="Times New Roman" w:cs="Times New Roman"/>
                <w:b/>
                <w:sz w:val="18"/>
                <w:szCs w:val="18"/>
              </w:rPr>
              <w:t>厄洛替尼*</w:t>
            </w:r>
            <w:r>
              <w:rPr>
                <w:rFonts w:ascii="Times New Roman" w:hAnsi="Times New Roman" w:cs="Times New Roman"/>
                <w:sz w:val="18"/>
                <w:szCs w:val="18"/>
              </w:rPr>
              <w:t>、</w:t>
            </w:r>
            <w:r>
              <w:rPr>
                <w:rFonts w:ascii="Times New Roman" w:hAnsi="Times New Roman" w:cs="Times New Roman"/>
                <w:b/>
                <w:sz w:val="18"/>
                <w:szCs w:val="18"/>
              </w:rPr>
              <w:t>吉非替尼*</w:t>
            </w:r>
            <w:r>
              <w:rPr>
                <w:rFonts w:ascii="Times New Roman" w:hAnsi="Times New Roman" w:cs="Times New Roman"/>
                <w:sz w:val="18"/>
                <w:szCs w:val="18"/>
              </w:rPr>
              <w:t>、</w:t>
            </w:r>
            <w:r>
              <w:rPr>
                <w:rFonts w:ascii="Times New Roman" w:hAnsi="Times New Roman" w:cs="Times New Roman"/>
                <w:b/>
                <w:sz w:val="18"/>
                <w:szCs w:val="18"/>
              </w:rPr>
              <w:t>阿法替尼*</w:t>
            </w:r>
            <w:r>
              <w:rPr>
                <w:rFonts w:ascii="Times New Roman" w:hAnsi="Times New Roman" w:cs="Times New Roman"/>
                <w:sz w:val="18"/>
                <w:szCs w:val="18"/>
              </w:rPr>
              <w:t>、</w:t>
            </w:r>
            <w:r>
              <w:rPr>
                <w:rFonts w:ascii="Times New Roman" w:hAnsi="Times New Roman" w:cs="Times New Roman"/>
                <w:b/>
                <w:sz w:val="18"/>
                <w:szCs w:val="18"/>
              </w:rPr>
              <w:t>达可替尼*</w:t>
            </w:r>
            <w:r>
              <w:rPr>
                <w:rFonts w:ascii="Times New Roman" w:hAnsi="Times New Roman" w:cs="Times New Roman"/>
                <w:sz w:val="18"/>
                <w:szCs w:val="18"/>
              </w:rPr>
              <w:t>、</w:t>
            </w:r>
            <w:r>
              <w:rPr>
                <w:rFonts w:ascii="Times New Roman" w:hAnsi="Times New Roman" w:cs="Times New Roman"/>
                <w:b/>
                <w:sz w:val="18"/>
                <w:szCs w:val="18"/>
              </w:rPr>
              <w:t>奥希替尼*</w:t>
            </w:r>
            <w:r>
              <w:rPr>
                <w:rFonts w:ascii="Times New Roman" w:hAnsi="Times New Roman" w:cs="Times New Roman"/>
                <w:sz w:val="18"/>
                <w:szCs w:val="18"/>
              </w:rPr>
              <w:t>、</w:t>
            </w:r>
            <w:r>
              <w:rPr>
                <w:rFonts w:ascii="Times New Roman" w:hAnsi="Times New Roman" w:cs="Times New Roman"/>
                <w:b/>
                <w:sz w:val="18"/>
                <w:szCs w:val="18"/>
              </w:rPr>
              <w:t>埃克替尼*、阿美替尼*、西妥昔单抗*、帕尼单抗、</w:t>
            </w:r>
            <w:r>
              <w:rPr>
                <w:rFonts w:hint="eastAsia" w:ascii="Times New Roman" w:hAnsi="Times New Roman" w:cs="Times New Roman"/>
                <w:b/>
                <w:sz w:val="18"/>
                <w:szCs w:val="18"/>
              </w:rPr>
              <w:t>伏美替尼</w:t>
            </w:r>
            <w:r>
              <w:rPr>
                <w:rFonts w:ascii="Times New Roman" w:hAnsi="Times New Roman" w:cs="Times New Roman"/>
                <w:b/>
                <w:sz w:val="18"/>
                <w:szCs w:val="18"/>
              </w:rPr>
              <w:t>*</w:t>
            </w:r>
            <w:r>
              <w:rPr>
                <w:rFonts w:hint="eastAsia" w:ascii="Times New Roman" w:hAnsi="Times New Roman" w:cs="Times New Roman"/>
                <w:b/>
                <w:sz w:val="18"/>
                <w:szCs w:val="18"/>
              </w:rPr>
              <w:t>、奈西单抗</w:t>
            </w:r>
            <w:r>
              <w:rPr>
                <w:rFonts w:ascii="Times New Roman" w:hAnsi="Times New Roman" w:cs="Times New Roman"/>
                <w:b/>
                <w:sz w:val="18"/>
                <w:szCs w:val="18"/>
              </w:rPr>
              <w:t>+吉西他滨+顺铂</w:t>
            </w:r>
            <w:r>
              <w:rPr>
                <w:rFonts w:hint="eastAsia" w:ascii="Times New Roman" w:hAnsi="Times New Roman" w:cs="Times New Roman"/>
                <w:b/>
                <w:sz w:val="18"/>
                <w:szCs w:val="18"/>
              </w:rPr>
              <w:t>、厄洛替尼</w:t>
            </w:r>
            <w:r>
              <w:rPr>
                <w:rFonts w:ascii="Times New Roman" w:hAnsi="Times New Roman" w:cs="Times New Roman"/>
                <w:b/>
                <w:sz w:val="18"/>
                <w:szCs w:val="18"/>
              </w:rPr>
              <w:t>+雷莫芦单抗</w:t>
            </w:r>
            <w:r>
              <w:rPr>
                <w:rFonts w:hint="eastAsia" w:ascii="Times New Roman" w:hAnsi="Times New Roman" w:cs="Times New Roman"/>
                <w:b/>
                <w:sz w:val="18"/>
                <w:szCs w:val="18"/>
              </w:rPr>
              <w:t>、</w:t>
            </w:r>
            <w:r>
              <w:rPr>
                <w:rFonts w:hint="eastAsia" w:ascii="Times New Roman" w:hAnsi="Times New Roman" w:cs="Times New Roman"/>
                <w:sz w:val="18"/>
                <w:szCs w:val="18"/>
              </w:rPr>
              <w:t>厄洛替尼</w:t>
            </w:r>
            <w:r>
              <w:rPr>
                <w:rFonts w:ascii="Times New Roman" w:hAnsi="Times New Roman" w:cs="Times New Roman"/>
                <w:sz w:val="18"/>
                <w:szCs w:val="18"/>
              </w:rPr>
              <w:t>+贝伐珠单抗</w:t>
            </w:r>
            <w:r>
              <w:rPr>
                <w:rFonts w:hint="eastAsia" w:ascii="Times New Roman" w:hAnsi="Times New Roman" w:cs="Times New Roman"/>
                <w:sz w:val="18"/>
                <w:szCs w:val="18"/>
              </w:rPr>
              <w:t>、</w:t>
            </w:r>
            <w:r>
              <w:rPr>
                <w:rFonts w:ascii="Times New Roman" w:hAnsi="Times New Roman" w:cs="Times New Roman"/>
                <w:sz w:val="18"/>
                <w:szCs w:val="18"/>
              </w:rPr>
              <w:t>凡德他尼+多西他赛</w:t>
            </w:r>
            <w:r>
              <w:rPr>
                <w:rFonts w:hint="eastAsia" w:ascii="Times New Roman" w:hAnsi="Times New Roman" w:cs="Times New Roman"/>
                <w:sz w:val="18"/>
                <w:szCs w:val="18"/>
              </w:rPr>
              <w:t>、</w:t>
            </w:r>
            <w:r>
              <w:rPr>
                <w:rFonts w:ascii="Times New Roman" w:hAnsi="Times New Roman" w:cs="Times New Roman"/>
                <w:sz w:val="18"/>
                <w:szCs w:val="18"/>
              </w:rPr>
              <w:t>Poziotinib</w:t>
            </w:r>
          </w:p>
        </w:tc>
      </w:tr>
      <w:tr w14:paraId="3450A2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64"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0F290F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04B176C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27279374">
            <w:pPr>
              <w:widowControl/>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EGFR 基因是非小细胞肺癌</w:t>
            </w:r>
            <w:r>
              <w:rPr>
                <w:rFonts w:hint="eastAsia" w:ascii="Times New Roman" w:hAnsi="Times New Roman" w:cs="Times New Roman"/>
                <w:sz w:val="18"/>
                <w:szCs w:val="18"/>
              </w:rPr>
              <w:t>（</w:t>
            </w:r>
            <w:r>
              <w:rPr>
                <w:rFonts w:ascii="Times New Roman" w:hAnsi="Times New Roman" w:cs="Times New Roman"/>
                <w:sz w:val="18"/>
                <w:szCs w:val="18"/>
              </w:rPr>
              <w:t>NSCLC</w:t>
            </w:r>
            <w:r>
              <w:rPr>
                <w:rFonts w:hint="eastAsia" w:ascii="Times New Roman" w:hAnsi="Times New Roman" w:cs="Times New Roman"/>
                <w:sz w:val="18"/>
                <w:szCs w:val="18"/>
              </w:rPr>
              <w:t>）</w:t>
            </w:r>
            <w:r>
              <w:rPr>
                <w:rFonts w:ascii="Times New Roman" w:hAnsi="Times New Roman" w:cs="Times New Roman"/>
                <w:sz w:val="18"/>
                <w:szCs w:val="18"/>
              </w:rPr>
              <w:t>中最常见的驱动基因之一。EGFR基因中exon19 del，exon19 ins，exon21（L858R，L861Q），exon 18（G719X），exon20（S768I） 的突变与EGFR TKI [ PMID: 16531062]</w:t>
            </w:r>
            <w:r>
              <w:rPr>
                <w:rFonts w:hint="eastAsia" w:ascii="Times New Roman" w:hAnsi="Times New Roman" w:cs="Times New Roman"/>
                <w:sz w:val="18"/>
                <w:szCs w:val="18"/>
              </w:rPr>
              <w:t>、</w:t>
            </w:r>
            <w:r>
              <w:rPr>
                <w:rFonts w:ascii="Times New Roman" w:hAnsi="Times New Roman" w:cs="Times New Roman"/>
                <w:sz w:val="18"/>
                <w:szCs w:val="18"/>
              </w:rPr>
              <w:t>厄洛替尼+雷莫芦单抗[PMID: 31591063]的敏感性相关。EGFR exon20的插入突变通常与EGFR TKI的耐药预后相关[PMID: 19418618; PMID: 16299703]。研究发现，EGFR TKI 的原发耐药通常与KRAS 的突变相关；获得性耐药通常与EGFR 基因的次</w:t>
            </w:r>
            <w:r>
              <w:rPr>
                <w:rFonts w:hint="eastAsia" w:ascii="Times New Roman" w:hAnsi="Times New Roman" w:cs="Times New Roman"/>
                <w:sz w:val="18"/>
                <w:szCs w:val="18"/>
              </w:rPr>
              <w:t>级</w:t>
            </w:r>
            <w:r>
              <w:rPr>
                <w:rFonts w:ascii="Times New Roman" w:hAnsi="Times New Roman" w:cs="Times New Roman"/>
                <w:sz w:val="18"/>
                <w:szCs w:val="18"/>
              </w:rPr>
              <w:t>突变（如T790M）、旁路激酶的扩增（如MET 基因）、从非小细胞肺癌向小细胞肺癌的组织学转变以及上皮细胞-间充质转化（EMT）相关。</w:t>
            </w:r>
            <w:r>
              <w:rPr>
                <w:rFonts w:hint="eastAsia" w:ascii="Times New Roman" w:hAnsi="Times New Roman" w:cs="Times New Roman"/>
                <w:sz w:val="18"/>
                <w:szCs w:val="18"/>
              </w:rPr>
              <w:t>在非小细胞肺癌中，</w:t>
            </w:r>
            <w:r>
              <w:rPr>
                <w:rFonts w:ascii="Times New Roman" w:hAnsi="Times New Roman" w:cs="Times New Roman"/>
                <w:sz w:val="18"/>
                <w:szCs w:val="18"/>
              </w:rPr>
              <w:t>EGFR T790M对EGFR TKIs产生耐药性，但EGFR T790M对EGFR TKIs（奥希替尼[PMID: 29151359]、阿美替尼[PMID: 32916310]、伏美替尼[J Clin Oncol. 2020; 38(suppl 15): abstr 9602]）</w:t>
            </w:r>
            <w:r>
              <w:rPr>
                <w:rFonts w:hint="eastAsia" w:ascii="Times New Roman" w:hAnsi="Times New Roman" w:cs="Times New Roman"/>
                <w:sz w:val="18"/>
                <w:szCs w:val="18"/>
              </w:rPr>
              <w:t>敏感，携带</w:t>
            </w:r>
            <w:r>
              <w:rPr>
                <w:rFonts w:ascii="Times New Roman" w:hAnsi="Times New Roman" w:cs="Times New Roman"/>
                <w:sz w:val="18"/>
                <w:szCs w:val="18"/>
              </w:rPr>
              <w:t>EGFR 20号外显子插入突变的患者对Poziotinib敏感[PMID: 29686424; PMID: 29162564]，EGFR扩增的患者对凡德他尼+多西他赛[PMID: 25057173]敏感；在非鳞非小细胞肺癌中，EGFR敏感突变对厄洛替尼+贝伐珠单抗敏感[PMID: 30975627]</w:t>
            </w:r>
            <w:r>
              <w:rPr>
                <w:rFonts w:hint="eastAsia" w:ascii="Times New Roman" w:hAnsi="Times New Roman" w:cs="Times New Roman"/>
                <w:sz w:val="18"/>
                <w:szCs w:val="18"/>
              </w:rPr>
              <w:t>。</w:t>
            </w:r>
            <w:r>
              <w:rPr>
                <w:rFonts w:ascii="Times New Roman" w:hAnsi="Times New Roman" w:cs="Times New Roman"/>
                <w:sz w:val="18"/>
                <w:szCs w:val="18"/>
              </w:rPr>
              <w:t>在肺鳞癌中，EGFR扩增的患者对奈西单抗+吉西他滨+顺铂敏感[PMID: 29158193]。在结肠癌中，EGFR扩增与抗EGFR抗体如西妥昔单抗的疗效正相关，而部分EGFR突变特别是胞外域点突变与抗 EGFR 抗体如西妥昔单抗耐药相关。FDA批准西妥昔单抗用于KRAS突变阴性（野生型），EGFR表达阳性的转移性结直肠癌患者；NMPA批准西妥昔单抗单药用于表皮生长因子受体过度表达的，对以伊立替康为基础的化疗方案耐药的转移性结直肠癌的治疗。在结直肠癌中，EGFR扩增的患者对帕尼单抗敏感[PMID: 17664472]</w:t>
            </w:r>
            <w:r>
              <w:rPr>
                <w:rFonts w:hint="eastAsia" w:ascii="Times New Roman" w:hAnsi="Times New Roman" w:cs="Times New Roman"/>
                <w:sz w:val="18"/>
                <w:szCs w:val="18"/>
              </w:rPr>
              <w:t>。</w:t>
            </w:r>
            <w:r>
              <w:rPr>
                <w:rFonts w:ascii="Times New Roman" w:hAnsi="Times New Roman" w:cs="Times New Roman"/>
                <w:sz w:val="18"/>
                <w:szCs w:val="18"/>
              </w:rPr>
              <w:t>另外，凡德他尼是一种多靶点（EGFR, RET, VEGFR2 等）激酶抑制剂；尼妥珠单抗、西妥昔单抗等EGFR 的单克隆抗体[ PMID: 24493829</w:t>
            </w:r>
            <w:r>
              <w:rPr>
                <w:rFonts w:hint="eastAsia" w:ascii="Times New Roman" w:hAnsi="Times New Roman" w:cs="Times New Roman"/>
                <w:sz w:val="18"/>
                <w:szCs w:val="18"/>
              </w:rPr>
              <w:t>; PMID: 23359171; PMID: 22215752; PMID: 22588155</w:t>
            </w:r>
            <w:r>
              <w:rPr>
                <w:rFonts w:ascii="Times New Roman" w:hAnsi="Times New Roman" w:cs="Times New Roman"/>
                <w:sz w:val="18"/>
                <w:szCs w:val="18"/>
              </w:rPr>
              <w:t>]，联合其他靶向药、单抗以及化疗药用于肺癌的治疗的临床试验正在开展。</w:t>
            </w:r>
          </w:p>
        </w:tc>
      </w:tr>
    </w:tbl>
    <w:p w14:paraId="1466CA69">
      <w:pPr>
        <w:spacing w:line="276" w:lineRule="auto"/>
        <w:rPr>
          <w:rFonts w:ascii="Times New Roman" w:hAnsi="Times New Roman" w:cs="Times New Roman"/>
          <w:u w:val="thick" w:color="2DB8B5"/>
        </w:rPr>
      </w:pPr>
    </w:p>
    <w:p w14:paraId="466FDC43">
      <w:pPr>
        <w:spacing w:line="276" w:lineRule="auto"/>
        <w:rPr>
          <w:rFonts w:ascii="Times New Roman" w:hAnsi="Times New Roman" w:cs="Times New Roman"/>
          <w:u w:val="thick" w:color="2DB8B5"/>
        </w:rPr>
      </w:pPr>
    </w:p>
    <w:p w14:paraId="4C61C012">
      <w:pPr>
        <w:spacing w:line="276" w:lineRule="auto"/>
        <w:rPr>
          <w:rFonts w:ascii="Times New Roman" w:hAnsi="Times New Roman" w:cs="Times New Roman"/>
          <w:b/>
          <w:u w:val="thick" w:color="538135"/>
        </w:rPr>
      </w:pPr>
      <w:r>
        <w:rPr>
          <w:rFonts w:ascii="Times New Roman" w:hAnsi="Times New Roman" w:cs="Times New Roman"/>
          <w:b/>
          <w:u w:val="thick" w:color="1F3864"/>
        </w:rPr>
        <w:t xml:space="preserve"> </w:t>
      </w:r>
      <w:r>
        <w:rPr>
          <w:rFonts w:hint="eastAsia" w:ascii="Times New Roman" w:hAnsi="Times New Roman" w:cs="Times New Roman"/>
          <w:b/>
          <w:u w:val="thick" w:color="1F3864"/>
        </w:rPr>
        <w:t xml:space="preserve">KRAS </w:t>
      </w:r>
      <w:r>
        <w:rPr>
          <w:rFonts w:ascii="Times New Roman" w:hAnsi="Times New Roman" w:cs="Times New Roman"/>
          <w:b/>
          <w:u w:val="thick" w:color="1F3864"/>
        </w:rPr>
        <w:t xml:space="preserve">                                                                                                                                                         </w:t>
      </w:r>
      <w:r>
        <w:rPr>
          <w:rFonts w:ascii="Times New Roman" w:hAnsi="Times New Roman" w:cs="Times New Roman"/>
          <w:b/>
          <w:sz w:val="24"/>
          <w:u w:val="thick" w:color="538135"/>
        </w:rPr>
        <w:t xml:space="preserve">              </w:t>
      </w:r>
    </w:p>
    <w:p w14:paraId="5D124230">
      <w:pPr>
        <w:spacing w:line="276" w:lineRule="auto"/>
        <w:rPr>
          <w:rFonts w:ascii="Times New Roman" w:hAnsi="Times New Roman" w:cs="Times New Roman"/>
          <w:b/>
          <w:u w:val="single" w:color="2DB8B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329CE5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7"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0820880">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78CE0E8">
            <w:pPr>
              <w:widowControl/>
              <w:spacing w:before="100" w:beforeAutospacing="1" w:line="273" w:lineRule="auto"/>
              <w:rPr>
                <w:rFonts w:ascii="Times New Roman" w:hAnsi="Times New Roman" w:cs="Times New Roman"/>
                <w:color w:val="000000"/>
                <w:sz w:val="18"/>
                <w:szCs w:val="18"/>
              </w:rPr>
            </w:pPr>
            <w:r>
              <w:rPr>
                <w:rFonts w:hint="eastAsia" w:ascii="Times New Roman" w:hAnsi="Times New Roman" w:cs="Times New Roman"/>
                <w:sz w:val="18"/>
                <w:szCs w:val="18"/>
              </w:rPr>
              <w:t>KRAS基因位于12p12，是一种原癌基因，编码K-Ras蛋白质，它是信号传导通路中EGFR下游的关键调节因子，发生突变后导致自身的持续活化，进而持续激活下游Ras/Raf/MEK/ERK和PI3K/Akt信号通路。因此KRAS突变后将不受上游EGFR信号的调控，使EGFR靶向药物无效。KRAS突变常发生在密码子12, 13, 61, 117和146。在人类恶性肿瘤中KRAS基因是最常见的突变基因，在胰腺癌、结直肠癌和肺癌中突变频率很高，约6.7%的亚洲肺癌患者有KRAS基因突变。NCCN 指南指出，K</w:t>
            </w:r>
            <w:r>
              <w:rPr>
                <w:rFonts w:ascii="Times New Roman" w:hAnsi="Times New Roman" w:cs="Times New Roman"/>
                <w:sz w:val="18"/>
                <w:szCs w:val="18"/>
              </w:rPr>
              <w:t>RAS</w:t>
            </w:r>
            <w:r>
              <w:rPr>
                <w:rFonts w:hint="eastAsia" w:ascii="Times New Roman" w:hAnsi="Times New Roman" w:cs="Times New Roman"/>
                <w:sz w:val="18"/>
                <w:szCs w:val="18"/>
              </w:rPr>
              <w:t>突变更容易出现在非亚裔、吸烟、和粘液型肺腺癌患者中[PMID:19767090</w:t>
            </w:r>
            <w:r>
              <w:rPr>
                <w:rFonts w:ascii="Times New Roman" w:hAnsi="Times New Roman" w:cs="Times New Roman"/>
                <w:sz w:val="18"/>
                <w:szCs w:val="18"/>
              </w:rPr>
              <w:t xml:space="preserve">; </w:t>
            </w:r>
            <w:r>
              <w:rPr>
                <w:rFonts w:hint="eastAsia" w:ascii="Times New Roman" w:hAnsi="Times New Roman" w:cs="Times New Roman"/>
                <w:sz w:val="18"/>
                <w:szCs w:val="18"/>
              </w:rPr>
              <w:t>PMID:</w:t>
            </w:r>
            <w:r>
              <w:rPr>
                <w:rFonts w:ascii="Times New Roman" w:hAnsi="Times New Roman" w:cs="Times New Roman"/>
                <w:sz w:val="18"/>
                <w:szCs w:val="18"/>
              </w:rPr>
              <w:t xml:space="preserve"> </w:t>
            </w:r>
            <w:r>
              <w:rPr>
                <w:rFonts w:hint="eastAsia" w:ascii="Times New Roman" w:hAnsi="Times New Roman" w:cs="Times New Roman"/>
                <w:sz w:val="18"/>
                <w:szCs w:val="18"/>
              </w:rPr>
              <w:t>2072410]。在结直肠癌中KRAS突变频率约为36-40%。</w:t>
            </w:r>
          </w:p>
        </w:tc>
      </w:tr>
      <w:tr w14:paraId="380A38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92"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82D46B5">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BFE5B88">
            <w:pPr>
              <w:widowControl/>
              <w:spacing w:before="100" w:beforeAutospacing="1" w:line="273" w:lineRule="auto"/>
              <w:rPr>
                <w:rFonts w:ascii="Times New Roman" w:hAnsi="Times New Roman" w:cs="Times New Roman"/>
                <w:sz w:val="18"/>
                <w:szCs w:val="18"/>
              </w:rPr>
            </w:pPr>
            <w:r>
              <w:rPr>
                <w:rFonts w:ascii="Times New Roman" w:hAnsi="Times New Roman" w:cs="Times New Roman"/>
                <w:b/>
                <w:sz w:val="18"/>
                <w:szCs w:val="18"/>
              </w:rPr>
              <w:t>Sotorasib</w:t>
            </w:r>
            <w:r>
              <w:rPr>
                <w:rFonts w:hint="eastAsia" w:ascii="Times New Roman" w:hAnsi="Times New Roman" w:cs="Times New Roman"/>
                <w:b/>
                <w:sz w:val="18"/>
                <w:szCs w:val="18"/>
              </w:rPr>
              <w:t>、</w:t>
            </w:r>
            <w:r>
              <w:rPr>
                <w:rFonts w:ascii="Times New Roman" w:hAnsi="Times New Roman" w:cs="Times New Roman"/>
                <w:sz w:val="18"/>
                <w:szCs w:val="18"/>
              </w:rPr>
              <w:t>Adagrasib</w:t>
            </w:r>
            <w:r>
              <w:rPr>
                <w:rFonts w:hint="eastAsia" w:ascii="Times New Roman" w:hAnsi="Times New Roman" w:cs="Times New Roman"/>
                <w:sz w:val="18"/>
                <w:szCs w:val="18"/>
              </w:rPr>
              <w:t>、</w:t>
            </w:r>
            <w:r>
              <w:rPr>
                <w:rFonts w:ascii="Times New Roman" w:hAnsi="Times New Roman" w:cs="Times New Roman"/>
                <w:sz w:val="18"/>
                <w:szCs w:val="18"/>
              </w:rPr>
              <w:t>Defactinib + RO5126766</w:t>
            </w:r>
            <w:r>
              <w:rPr>
                <w:rFonts w:hint="eastAsia" w:ascii="Times New Roman" w:hAnsi="Times New Roman" w:cs="Times New Roman"/>
                <w:sz w:val="18"/>
                <w:szCs w:val="18"/>
              </w:rPr>
              <w:t>、吉非替尼+依维莫司、Belvarafenib</w:t>
            </w:r>
          </w:p>
        </w:tc>
      </w:tr>
      <w:tr w14:paraId="44F848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41"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B2E82D1">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425D90EC">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1A8D9776">
            <w:pPr>
              <w:widowControl/>
              <w:adjustRightInd w:val="0"/>
              <w:snapToGrid w:val="0"/>
              <w:spacing w:before="100" w:beforeAutospacing="1" w:line="273" w:lineRule="auto"/>
              <w:jc w:val="both"/>
              <w:rPr>
                <w:rFonts w:ascii="Times New Roman" w:hAnsi="Times New Roman" w:cs="Times New Roman"/>
                <w:sz w:val="18"/>
                <w:szCs w:val="18"/>
              </w:rPr>
            </w:pPr>
            <w:r>
              <w:rPr>
                <w:rFonts w:ascii="Times New Roman" w:hAnsi="Times New Roman" w:cs="Times New Roman"/>
                <w:sz w:val="18"/>
                <w:szCs w:val="18"/>
              </w:rPr>
              <w:t>在结直肠癌患者中，KRAS发生突变将会对西妥昔单抗、帕尼替尼产生耐药。因此NCCN 指南建议，所有转移性结直肠癌患者都该进行肿瘤组织RAS基因（KARS、NRAS）分型，RAS突变状态是EGFR/ERBB2抑制剂疗效的负向预测因素。</w:t>
            </w:r>
            <w:r>
              <w:rPr>
                <w:rFonts w:hint="eastAsia" w:ascii="Times New Roman" w:hAnsi="Times New Roman" w:cs="Times New Roman"/>
                <w:sz w:val="18"/>
                <w:szCs w:val="18"/>
              </w:rPr>
              <w:t>结直肠癌中，</w:t>
            </w:r>
            <w:r>
              <w:rPr>
                <w:rFonts w:ascii="Times New Roman" w:hAnsi="Times New Roman" w:cs="Times New Roman"/>
                <w:sz w:val="18"/>
                <w:szCs w:val="18"/>
              </w:rPr>
              <w:t>KRAS野生型对EGFR抗体类药物西妥昔单抗和帕尼单抗敏感[PMID: 18202412; PMID: 18316791]，12、13、61密码子突变导致KRAS信号通路持续激活，可能无法从EGFR抗体类药物获益</w:t>
            </w:r>
            <w:r>
              <w:rPr>
                <w:rFonts w:hint="eastAsia" w:ascii="Times New Roman" w:hAnsi="Times New Roman" w:cs="Times New Roman"/>
                <w:sz w:val="18"/>
                <w:szCs w:val="18"/>
              </w:rPr>
              <w:t>。</w:t>
            </w:r>
            <w:r>
              <w:rPr>
                <w:rFonts w:ascii="Times New Roman" w:hAnsi="Times New Roman" w:cs="Times New Roman"/>
                <w:sz w:val="18"/>
                <w:szCs w:val="18"/>
              </w:rPr>
              <w:t>肺癌中，12、13、61密码子突变对EGFR TKI（吉非替尼、厄洛替尼、埃克替尼、阿法替尼</w:t>
            </w:r>
            <w:r>
              <w:rPr>
                <w:rFonts w:hint="eastAsia" w:ascii="Times New Roman" w:hAnsi="Times New Roman" w:cs="Times New Roman"/>
                <w:sz w:val="18"/>
                <w:szCs w:val="18"/>
              </w:rPr>
              <w:t>、奥希替尼</w:t>
            </w:r>
            <w:r>
              <w:rPr>
                <w:rFonts w:ascii="Times New Roman" w:hAnsi="Times New Roman" w:cs="Times New Roman"/>
                <w:sz w:val="18"/>
                <w:szCs w:val="18"/>
              </w:rPr>
              <w:t>等）的敏感性降低[PMID: 18349398; PMID: 23401440; PMID: 18024870]</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w:t>
            </w:r>
            <w:r>
              <w:rPr>
                <w:rFonts w:ascii="Times New Roman" w:hAnsi="Times New Roman" w:cs="Times New Roman"/>
                <w:sz w:val="18"/>
                <w:szCs w:val="18"/>
              </w:rPr>
              <w:t>Sotorasib</w:t>
            </w:r>
            <w:r>
              <w:rPr>
                <w:rFonts w:hint="eastAsia" w:ascii="Times New Roman" w:hAnsi="Times New Roman" w:cs="Times New Roman"/>
                <w:sz w:val="18"/>
                <w:szCs w:val="18"/>
              </w:rPr>
              <w:t>用于K</w:t>
            </w:r>
            <w:r>
              <w:rPr>
                <w:rFonts w:ascii="Times New Roman" w:hAnsi="Times New Roman" w:cs="Times New Roman"/>
                <w:sz w:val="18"/>
                <w:szCs w:val="18"/>
              </w:rPr>
              <w:t>RAS G12C</w:t>
            </w:r>
            <w:r>
              <w:rPr>
                <w:rFonts w:hint="eastAsia" w:ascii="Times New Roman" w:hAnsi="Times New Roman" w:cs="Times New Roman"/>
                <w:sz w:val="18"/>
                <w:szCs w:val="18"/>
              </w:rPr>
              <w:t>突变的至少接受过一种前期全身性治疗的非小细胞肺癌患者的二线治疗。在非小细胞肺癌中，K</w:t>
            </w:r>
            <w:r>
              <w:rPr>
                <w:rFonts w:ascii="Times New Roman" w:hAnsi="Times New Roman" w:cs="Times New Roman"/>
                <w:sz w:val="18"/>
                <w:szCs w:val="18"/>
              </w:rPr>
              <w:t>RAS G12V</w:t>
            </w:r>
            <w:r>
              <w:rPr>
                <w:rFonts w:hint="eastAsia" w:ascii="Times New Roman" w:hAnsi="Times New Roman" w:cs="Times New Roman"/>
                <w:sz w:val="18"/>
                <w:szCs w:val="18"/>
              </w:rPr>
              <w:t>对</w:t>
            </w:r>
            <w:r>
              <w:rPr>
                <w:rFonts w:ascii="Times New Roman" w:hAnsi="Times New Roman" w:cs="Times New Roman"/>
                <w:sz w:val="18"/>
                <w:szCs w:val="18"/>
              </w:rPr>
              <w:t>Defactinib+RO5126766</w:t>
            </w:r>
            <w:r>
              <w:rPr>
                <w:rFonts w:hint="eastAsia" w:ascii="Times New Roman" w:hAnsi="Times New Roman" w:cs="Times New Roman"/>
                <w:sz w:val="18"/>
                <w:szCs w:val="18"/>
              </w:rPr>
              <w:t>敏感</w:t>
            </w:r>
            <w:r>
              <w:rPr>
                <w:rFonts w:ascii="Times New Roman" w:hAnsi="Times New Roman" w:cs="Times New Roman"/>
                <w:sz w:val="18"/>
                <w:szCs w:val="18"/>
              </w:rPr>
              <w:t>[AACR 2020]</w:t>
            </w:r>
            <w:r>
              <w:rPr>
                <w:rFonts w:hint="eastAsia" w:ascii="Times New Roman" w:hAnsi="Times New Roman" w:cs="Times New Roman"/>
                <w:sz w:val="18"/>
                <w:szCs w:val="18"/>
              </w:rPr>
              <w:t>。</w:t>
            </w:r>
            <w:r>
              <w:rPr>
                <w:rFonts w:ascii="Times New Roman" w:hAnsi="Times New Roman" w:cs="Times New Roman"/>
                <w:sz w:val="18"/>
                <w:szCs w:val="18"/>
              </w:rPr>
              <w:t>13%的非小细胞肺癌（NSCLC）患者在接受吉非替尼联合依维莫司治疗后部分缓解，其中2例携带KRAS G12F突变患者有响应[PMID: 20871262]。临床试验表明抑制剂Sotorasib、Adagrasib对KRAS G12C突变的非小细胞肺癌患者有明显的治疗效果，目前还有Belvarafenib</w:t>
            </w:r>
            <w:r>
              <w:rPr>
                <w:rFonts w:hint="eastAsia" w:ascii="Times New Roman" w:hAnsi="Times New Roman" w:cs="Times New Roman"/>
                <w:sz w:val="18"/>
                <w:szCs w:val="18"/>
              </w:rPr>
              <w:t>、</w:t>
            </w:r>
            <w:r>
              <w:rPr>
                <w:rFonts w:ascii="Times New Roman" w:hAnsi="Times New Roman" w:cs="Times New Roman"/>
                <w:sz w:val="18"/>
                <w:szCs w:val="18"/>
              </w:rPr>
              <w:t>司美替尼联合其他用药或治疗方式的临床研究正在进行。</w:t>
            </w:r>
          </w:p>
        </w:tc>
      </w:tr>
    </w:tbl>
    <w:p w14:paraId="0408371E">
      <w:pPr>
        <w:spacing w:line="276" w:lineRule="auto"/>
        <w:rPr>
          <w:rFonts w:ascii="Times New Roman" w:hAnsi="Times New Roman" w:cs="Times New Roman"/>
        </w:rPr>
      </w:pPr>
    </w:p>
    <w:p w14:paraId="4A372475">
      <w:pPr>
        <w:spacing w:line="276" w:lineRule="auto"/>
        <w:rPr>
          <w:rFonts w:ascii="Times New Roman" w:hAnsi="Times New Roman" w:cs="Times New Roman"/>
          <w:u w:val="thick" w:color="2DB8B5"/>
        </w:rPr>
      </w:pPr>
    </w:p>
    <w:p w14:paraId="407E7CF0">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w:t>
      </w:r>
      <w:r>
        <w:rPr>
          <w:rFonts w:hint="eastAsia" w:ascii="Times New Roman" w:hAnsi="Times New Roman" w:cs="Times New Roman"/>
          <w:b/>
          <w:u w:val="thick" w:color="1F3864"/>
        </w:rPr>
        <w:t>BRAF</w:t>
      </w:r>
      <w:r>
        <w:rPr>
          <w:rFonts w:ascii="Times New Roman" w:hAnsi="Times New Roman" w:cs="Times New Roman"/>
          <w:b/>
          <w:u w:val="thick" w:color="1F3864"/>
        </w:rPr>
        <w:t xml:space="preserve">                                                                                                                                                                </w:t>
      </w:r>
    </w:p>
    <w:p w14:paraId="4F8BD442">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277A5D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83"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25AD659">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1DDDD2A">
            <w:pPr>
              <w:widowControl/>
              <w:spacing w:before="100" w:beforeAutospacing="1" w:line="273" w:lineRule="auto"/>
              <w:rPr>
                <w:sz w:val="18"/>
                <w:szCs w:val="18"/>
              </w:rPr>
            </w:pPr>
            <w:r>
              <w:rPr>
                <w:rFonts w:hint="eastAsia" w:ascii="Times New Roman" w:hAnsi="Times New Roman" w:cs="Times New Roman"/>
                <w:sz w:val="18"/>
                <w:szCs w:val="18"/>
              </w:rPr>
              <w:t>BRAF基因位于染色体7q34，该基因编码的蛋白属于丝氨酸/苏氨酸蛋白激酶RAF家族。该蛋白有助于细胞外的化学信号传递到细胞核，在MAP激酶/ERK信号通路中起调节作用，从而影响细胞的分裂、分化和分泌。BRAF的激活突变或扩增会引起细胞增殖不受控制，进而导致肿瘤发生，在肺癌、胃癌、乳腺癌、结直肠癌等中突变率约5%-10%，其中BRAF 在结直肠癌中突变频率4%-10%，以 V600E为主，还可见G466A、G469E、N581I、D594G、K601E等激酶区致癌性突变。</w:t>
            </w:r>
          </w:p>
        </w:tc>
      </w:tr>
      <w:tr w14:paraId="3C387B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28"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C4F243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232E246F">
            <w:pPr>
              <w:widowControl/>
              <w:spacing w:before="100" w:beforeAutospacing="1" w:line="273" w:lineRule="auto"/>
              <w:rPr>
                <w:sz w:val="18"/>
                <w:szCs w:val="18"/>
              </w:rPr>
            </w:pPr>
            <w:r>
              <w:rPr>
                <w:rFonts w:hint="eastAsia"/>
                <w:b/>
                <w:sz w:val="18"/>
                <w:szCs w:val="18"/>
              </w:rPr>
              <w:t>达拉非尼</w:t>
            </w:r>
            <w:r>
              <w:rPr>
                <w:b/>
                <w:sz w:val="18"/>
                <w:szCs w:val="18"/>
              </w:rPr>
              <w:t>+</w:t>
            </w:r>
            <w:r>
              <w:rPr>
                <w:rFonts w:hint="eastAsia"/>
                <w:b/>
                <w:sz w:val="18"/>
                <w:szCs w:val="18"/>
              </w:rPr>
              <w:t>曲美替尼*、西妥昔单抗*、帕尼单抗</w:t>
            </w:r>
            <w:r>
              <w:rPr>
                <w:rFonts w:hint="eastAsia"/>
                <w:sz w:val="18"/>
                <w:szCs w:val="18"/>
              </w:rPr>
              <w:t>、</w:t>
            </w:r>
            <w:r>
              <w:rPr>
                <w:rFonts w:hint="eastAsia"/>
                <w:b/>
                <w:sz w:val="18"/>
                <w:szCs w:val="18"/>
              </w:rPr>
              <w:t>康奈非尼</w:t>
            </w:r>
            <w:r>
              <w:rPr>
                <w:b/>
                <w:sz w:val="18"/>
                <w:szCs w:val="18"/>
              </w:rPr>
              <w:t>+西妥昔单抗</w:t>
            </w:r>
            <w:r>
              <w:rPr>
                <w:rFonts w:hint="eastAsia"/>
                <w:sz w:val="18"/>
                <w:szCs w:val="18"/>
              </w:rPr>
              <w:t>、康奈非尼+帕尼单抗、维莫非尼、康奈非尼</w:t>
            </w:r>
            <w:r>
              <w:rPr>
                <w:sz w:val="18"/>
                <w:szCs w:val="18"/>
              </w:rPr>
              <w:t>+</w:t>
            </w:r>
            <w:r>
              <w:rPr>
                <w:rFonts w:hint="eastAsia"/>
                <w:sz w:val="18"/>
                <w:szCs w:val="18"/>
              </w:rPr>
              <w:t>贝美替尼</w:t>
            </w:r>
            <w:r>
              <w:rPr>
                <w:sz w:val="18"/>
                <w:szCs w:val="18"/>
              </w:rPr>
              <w:t>+</w:t>
            </w:r>
            <w:r>
              <w:rPr>
                <w:rFonts w:hint="eastAsia"/>
                <w:sz w:val="18"/>
                <w:szCs w:val="18"/>
              </w:rPr>
              <w:t>西妥昔单抗、维莫非尼+西妥昔单抗、维莫非尼+伊立替康+西妥昔单抗</w:t>
            </w:r>
          </w:p>
        </w:tc>
      </w:tr>
      <w:tr w14:paraId="127EE9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65"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DF46FFA">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0578A77C">
            <w:pPr>
              <w:widowControl/>
              <w:spacing w:before="100" w:beforeAutospacing="1" w:line="273" w:lineRule="auto"/>
              <w:jc w:val="center"/>
              <w:rPr>
                <w:rFonts w:ascii="Times New Roman" w:hAnsi="Times New Roman" w:cs="Times New Roman"/>
                <w:b/>
                <w:color w:val="000000"/>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0BDF57A">
            <w:pPr>
              <w:widowControl/>
              <w:adjustRightInd w:val="0"/>
              <w:snapToGrid w:val="0"/>
              <w:spacing w:before="100" w:beforeAutospacing="1" w:line="273" w:lineRule="auto"/>
              <w:jc w:val="both"/>
              <w:rPr>
                <w:rFonts w:ascii="Times New Roman" w:hAnsi="Times New Roman" w:cs="Times New Roman"/>
                <w:sz w:val="18"/>
                <w:szCs w:val="18"/>
              </w:rPr>
            </w:pPr>
            <w:r>
              <w:rPr>
                <w:rFonts w:ascii="Times New Roman" w:hAnsi="Times New Roman" w:cs="Times New Roman"/>
                <w:sz w:val="18"/>
                <w:szCs w:val="18"/>
              </w:rPr>
              <w:t>携带BRAF突变的肿瘤中约一半为BRAF V600E突变。BRAF突变病人具有独特的临床病理特征：以吸烟人群为主，预后欠佳，对含铂化疗方案反应率低。FDA批准达拉</w:t>
            </w:r>
            <w:r>
              <w:rPr>
                <w:rFonts w:hint="eastAsia" w:ascii="Times New Roman" w:hAnsi="Times New Roman" w:cs="Times New Roman"/>
                <w:sz w:val="18"/>
                <w:szCs w:val="18"/>
              </w:rPr>
              <w:t>非</w:t>
            </w:r>
            <w:r>
              <w:rPr>
                <w:rFonts w:ascii="Times New Roman" w:hAnsi="Times New Roman" w:cs="Times New Roman"/>
                <w:sz w:val="18"/>
                <w:szCs w:val="18"/>
              </w:rPr>
              <w:t>尼联合曲美替尼的组合疗法用于BRAF V600E突变的晚期非小细胞肺癌患者。NCCN指南推荐达拉非尼联合曲美替尼可作为具有BRAF V600E突变的非鳞非小细胞肺癌患者的一线治疗方案，联合治疗不耐受的患者建议使用单药达拉非尼或维莫非尼进行治疗，EGFR-TKI不适用于携带BRAF V600E突变的非小细胞肺癌患者[NCCN_Non-Small Cell Lung Cancer_2021_V5]。BRAF V600E突变是结直肠癌患者的不良预后因子，携带BRAF V600E的结直肠癌患者获益于西妥昔单或帕尼单抗</w:t>
            </w:r>
            <w:r>
              <w:rPr>
                <w:rFonts w:hint="eastAsia" w:ascii="Times New Roman" w:hAnsi="Times New Roman" w:cs="Times New Roman"/>
                <w:sz w:val="18"/>
                <w:szCs w:val="18"/>
              </w:rPr>
              <w:t>（</w:t>
            </w:r>
            <w:r>
              <w:rPr>
                <w:rFonts w:ascii="Times New Roman" w:hAnsi="Times New Roman" w:cs="Times New Roman"/>
                <w:sz w:val="18"/>
                <w:szCs w:val="18"/>
              </w:rPr>
              <w:t>单药或者联合化疗</w:t>
            </w:r>
            <w:r>
              <w:rPr>
                <w:rFonts w:hint="eastAsia" w:ascii="Times New Roman" w:hAnsi="Times New Roman" w:cs="Times New Roman"/>
                <w:sz w:val="18"/>
                <w:szCs w:val="18"/>
              </w:rPr>
              <w:t>）</w:t>
            </w:r>
            <w:r>
              <w:rPr>
                <w:rFonts w:ascii="Times New Roman" w:hAnsi="Times New Roman" w:cs="Times New Roman"/>
                <w:sz w:val="18"/>
                <w:szCs w:val="18"/>
              </w:rPr>
              <w:t>的可能性极低</w:t>
            </w:r>
            <w:r>
              <w:rPr>
                <w:rFonts w:hint="eastAsia" w:ascii="Times New Roman" w:hAnsi="Times New Roman" w:cs="Times New Roman"/>
                <w:sz w:val="18"/>
                <w:szCs w:val="18"/>
              </w:rPr>
              <w:t>，</w:t>
            </w:r>
            <w:r>
              <w:rPr>
                <w:rFonts w:ascii="Times New Roman" w:hAnsi="Times New Roman" w:cs="Times New Roman"/>
                <w:sz w:val="18"/>
                <w:szCs w:val="18"/>
              </w:rPr>
              <w:t>对BRAF抑制剂单药治疗也不敏感[PMID: 25673558; PMID: 22608338</w:t>
            </w:r>
            <w:r>
              <w:rPr>
                <w:rFonts w:hint="eastAsia" w:ascii="Times New Roman" w:hAnsi="Times New Roman" w:cs="Times New Roman"/>
                <w:sz w:val="18"/>
                <w:szCs w:val="18"/>
              </w:rPr>
              <w:t>;</w:t>
            </w:r>
            <w:r>
              <w:rPr>
                <w:rFonts w:ascii="Times New Roman" w:hAnsi="Times New Roman" w:cs="Times New Roman"/>
                <w:sz w:val="18"/>
                <w:szCs w:val="18"/>
              </w:rPr>
              <w:t xml:space="preserve"> </w:t>
            </w:r>
            <w:r>
              <w:rPr>
                <w:rFonts w:hint="eastAsia" w:ascii="Times New Roman" w:hAnsi="Times New Roman" w:cs="Times New Roman"/>
                <w:sz w:val="18"/>
                <w:szCs w:val="18"/>
              </w:rPr>
              <w:t xml:space="preserve">PMID: </w:t>
            </w:r>
            <w:r>
              <w:rPr>
                <w:rFonts w:ascii="Times New Roman" w:hAnsi="Times New Roman" w:cs="Times New Roman"/>
                <w:sz w:val="18"/>
                <w:szCs w:val="18"/>
              </w:rPr>
              <w:t>26460303]，FDA批准西妥昔单抗和帕尼单抗用于治疗RAS和BRAF野生型的转移性结直肠癌患者</w:t>
            </w:r>
            <w:r>
              <w:rPr>
                <w:rFonts w:hint="eastAsia" w:ascii="Times New Roman" w:hAnsi="Times New Roman" w:cs="Times New Roman"/>
                <w:sz w:val="18"/>
                <w:szCs w:val="18"/>
              </w:rPr>
              <w:t>，批准康奈非尼+西妥昔单抗用于B</w:t>
            </w:r>
            <w:r>
              <w:rPr>
                <w:rFonts w:ascii="Times New Roman" w:hAnsi="Times New Roman" w:cs="Times New Roman"/>
                <w:sz w:val="18"/>
                <w:szCs w:val="18"/>
              </w:rPr>
              <w:t>RAF V600E</w:t>
            </w:r>
            <w:r>
              <w:rPr>
                <w:rFonts w:hint="eastAsia" w:ascii="Times New Roman" w:hAnsi="Times New Roman" w:cs="Times New Roman"/>
                <w:sz w:val="18"/>
                <w:szCs w:val="18"/>
              </w:rPr>
              <w:t>既往治疗进展的结直肠癌患者</w:t>
            </w:r>
            <w:r>
              <w:rPr>
                <w:rFonts w:ascii="Times New Roman" w:hAnsi="Times New Roman" w:cs="Times New Roman"/>
                <w:sz w:val="18"/>
                <w:szCs w:val="18"/>
              </w:rPr>
              <w:t>。</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指南推荐康奈非尼+西妥昔单抗/帕尼单抗治疗携带B</w:t>
            </w:r>
            <w:r>
              <w:rPr>
                <w:rFonts w:ascii="Times New Roman" w:hAnsi="Times New Roman" w:cs="Times New Roman"/>
                <w:sz w:val="18"/>
                <w:szCs w:val="18"/>
              </w:rPr>
              <w:t>RAF V600E</w:t>
            </w:r>
            <w:r>
              <w:rPr>
                <w:rFonts w:hint="eastAsia" w:ascii="Times New Roman" w:hAnsi="Times New Roman" w:cs="Times New Roman"/>
                <w:sz w:val="18"/>
                <w:szCs w:val="18"/>
              </w:rPr>
              <w:t>的不可切除或转移性结直肠癌患者的一线治疗和后续治疗</w:t>
            </w:r>
            <w:r>
              <w:rPr>
                <w:rFonts w:ascii="Times New Roman" w:hAnsi="Times New Roman" w:cs="Times New Roman"/>
                <w:sz w:val="18"/>
                <w:szCs w:val="18"/>
              </w:rPr>
              <w:t>[NCCN_Colon Cancer_2021_V2]</w:t>
            </w:r>
            <w:r>
              <w:rPr>
                <w:rFonts w:hint="eastAsia" w:ascii="Times New Roman" w:hAnsi="Times New Roman" w:cs="Times New Roman"/>
                <w:sz w:val="18"/>
                <w:szCs w:val="18"/>
              </w:rPr>
              <w:t>。</w:t>
            </w:r>
            <w:r>
              <w:rPr>
                <w:rFonts w:ascii="Times New Roman" w:hAnsi="Times New Roman" w:cs="Times New Roman"/>
                <w:sz w:val="18"/>
                <w:szCs w:val="18"/>
              </w:rPr>
              <w:t>在结直肠癌中，BRAF V600E突变的患者对康奈非尼+帕尼单抗、康奈非尼+西妥昔单抗、康奈非尼+贝美替尼+西妥昔单抗敏感[PMID: 30892987; PMID: 31566309; J Clin Oncol. 2020; 38(suppl 4): abstr 8]，携带BRAF V600的患者对维莫非尼+西妥昔单抗敏感[PMID: 26287849]</w:t>
            </w:r>
            <w:r>
              <w:rPr>
                <w:rFonts w:hint="eastAsia" w:ascii="Times New Roman" w:hAnsi="Times New Roman" w:cs="Times New Roman"/>
                <w:sz w:val="18"/>
                <w:szCs w:val="18"/>
              </w:rPr>
              <w:t>。</w:t>
            </w:r>
          </w:p>
        </w:tc>
      </w:tr>
    </w:tbl>
    <w:p w14:paraId="29E3703F">
      <w:pPr>
        <w:spacing w:line="276" w:lineRule="auto"/>
        <w:rPr>
          <w:rFonts w:ascii="Times New Roman" w:hAnsi="Times New Roman" w:cs="Times New Roman"/>
          <w:b/>
          <w:u w:val="thick" w:color="2DB8B5"/>
        </w:rPr>
      </w:pPr>
    </w:p>
    <w:p w14:paraId="1555DDFE">
      <w:pPr>
        <w:spacing w:line="276" w:lineRule="auto"/>
        <w:rPr>
          <w:rFonts w:ascii="Times New Roman" w:hAnsi="Times New Roman" w:cs="Times New Roman"/>
          <w:b/>
          <w:u w:val="thick" w:color="2DB8B5"/>
        </w:rPr>
      </w:pPr>
    </w:p>
    <w:p w14:paraId="1A3224D7">
      <w:pPr>
        <w:spacing w:line="276" w:lineRule="auto"/>
        <w:rPr>
          <w:rFonts w:ascii="Times New Roman" w:hAnsi="Times New Roman" w:cs="Times New Roman"/>
          <w:b/>
          <w:u w:val="thick" w:color="2DB8B5"/>
        </w:rPr>
      </w:pPr>
    </w:p>
    <w:p w14:paraId="10BC19D9">
      <w:pPr>
        <w:spacing w:line="276" w:lineRule="auto"/>
        <w:rPr>
          <w:rFonts w:ascii="Times New Roman" w:hAnsi="Times New Roman" w:cs="Times New Roman"/>
          <w:b/>
          <w:u w:val="thick" w:color="2DB8B5"/>
        </w:rPr>
      </w:pPr>
    </w:p>
    <w:p w14:paraId="1B384B79">
      <w:pPr>
        <w:spacing w:line="276" w:lineRule="auto"/>
        <w:rPr>
          <w:rFonts w:ascii="Times New Roman" w:hAnsi="Times New Roman" w:cs="Times New Roman"/>
          <w:b/>
          <w:sz w:val="24"/>
          <w:szCs w:val="24"/>
          <w:u w:val="thick" w:color="538135"/>
        </w:rPr>
      </w:pPr>
      <w:r>
        <w:rPr>
          <w:rFonts w:ascii="Times New Roman" w:hAnsi="Times New Roman" w:cs="Times New Roman"/>
          <w:b/>
          <w:u w:val="thick" w:color="1F3864"/>
        </w:rPr>
        <w:t xml:space="preserve"> PIK3CA                                                                                                                                                      </w:t>
      </w:r>
      <w:r>
        <w:rPr>
          <w:rFonts w:ascii="Times New Roman" w:hAnsi="Times New Roman" w:cs="Times New Roman"/>
          <w:b/>
          <w:sz w:val="24"/>
          <w:szCs w:val="24"/>
          <w:u w:val="thick" w:color="538135"/>
        </w:rPr>
        <w:t xml:space="preserve">        </w:t>
      </w:r>
    </w:p>
    <w:p w14:paraId="59B4348A">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176308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49"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1507094">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5FBC937">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hint="eastAsia" w:ascii="Times New Roman" w:hAnsi="Times New Roman" w:cs="Times New Roman"/>
                <w:sz w:val="18"/>
                <w:szCs w:val="18"/>
              </w:rPr>
              <w:t>PIK3CA基因位于3q26.32，磷脂酰肌醇 3-激酶由一个 85kDa 的调节亚基和一个 110kDa 的催化亚基组成。PIK3CA编码的p110-alpha蛋白是磷脂酰肌醇3-激酶（PI3K）的催化亚基，以 ATP 依赖的方式磷酸化PtdIns, PtdIns4P 和 PtdIns (4, 5) P2。AKT是PI3K/AKT信号通路中核心因子，异常活化的AKT也会激活相关信号通路—PI3K/Akt/mTOR，可调控细胞的生长、增殖、分化、活力和存活，导致肿瘤发生。PIK3CA基因突变与结肠癌、神经胶质瘤、胃癌、乳腺癌、子宫内膜癌和肺癌等有关。PIK3CA突变主要发生在外显子10和外显子21 内的热点区域。</w:t>
            </w:r>
          </w:p>
        </w:tc>
      </w:tr>
      <w:tr w14:paraId="5ED2E5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37"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D53189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07E45D10">
            <w:pPr>
              <w:widowControl/>
              <w:adjustRightInd w:val="0"/>
              <w:snapToGrid w:val="0"/>
              <w:spacing w:before="100" w:beforeAutospacing="1" w:line="273" w:lineRule="auto"/>
              <w:rPr>
                <w:sz w:val="18"/>
                <w:szCs w:val="18"/>
              </w:rPr>
            </w:pPr>
            <w:bookmarkStart w:id="14" w:name="OLE_LINK6"/>
            <w:r>
              <w:rPr>
                <w:rFonts w:hint="eastAsia"/>
                <w:b/>
                <w:sz w:val="18"/>
                <w:szCs w:val="18"/>
              </w:rPr>
              <w:t>西妥昔单抗*、</w:t>
            </w:r>
            <w:bookmarkEnd w:id="14"/>
            <w:r>
              <w:rPr>
                <w:rFonts w:ascii="Times New Roman" w:hAnsi="Times New Roman" w:cs="Times New Roman"/>
                <w:b/>
                <w:sz w:val="18"/>
                <w:szCs w:val="18"/>
              </w:rPr>
              <w:t>依维莫司</w:t>
            </w:r>
            <w:r>
              <w:rPr>
                <w:rFonts w:hint="eastAsia"/>
                <w:b/>
                <w:sz w:val="18"/>
                <w:szCs w:val="18"/>
              </w:rPr>
              <w:t>*</w:t>
            </w:r>
            <w:r>
              <w:rPr>
                <w:rFonts w:hint="eastAsia"/>
                <w:sz w:val="18"/>
                <w:szCs w:val="18"/>
              </w:rPr>
              <w:t>、</w:t>
            </w:r>
            <w:r>
              <w:rPr>
                <w:rFonts w:ascii="Times New Roman" w:hAnsi="Times New Roman" w:cs="Times New Roman"/>
                <w:b/>
                <w:sz w:val="18"/>
                <w:szCs w:val="18"/>
              </w:rPr>
              <w:t>替西罗莫司</w:t>
            </w:r>
            <w:r>
              <w:rPr>
                <w:rFonts w:hint="eastAsia"/>
                <w:sz w:val="18"/>
                <w:szCs w:val="18"/>
              </w:rPr>
              <w:t>、</w:t>
            </w:r>
            <w:r>
              <w:rPr>
                <w:rFonts w:ascii="Times New Roman" w:hAnsi="Times New Roman" w:cs="Times New Roman"/>
                <w:b/>
                <w:sz w:val="18"/>
                <w:szCs w:val="18"/>
              </w:rPr>
              <w:t>西罗莫司</w:t>
            </w:r>
            <w:r>
              <w:rPr>
                <w:rFonts w:hint="eastAsia"/>
                <w:sz w:val="18"/>
                <w:szCs w:val="18"/>
              </w:rPr>
              <w:t>、</w:t>
            </w:r>
            <w:r>
              <w:rPr>
                <w:rFonts w:hint="eastAsia" w:ascii="Times New Roman" w:hAnsi="Times New Roman" w:cs="Times New Roman"/>
                <w:sz w:val="18"/>
                <w:szCs w:val="18"/>
              </w:rPr>
              <w:t>MK2206</w:t>
            </w:r>
            <w:r>
              <w:rPr>
                <w:rFonts w:hint="eastAsia"/>
                <w:sz w:val="18"/>
                <w:szCs w:val="18"/>
              </w:rPr>
              <w:t>、</w:t>
            </w:r>
            <w:r>
              <w:rPr>
                <w:rFonts w:ascii="Times New Roman" w:hAnsi="Times New Roman" w:cs="Times New Roman"/>
                <w:b/>
                <w:sz w:val="18"/>
                <w:szCs w:val="18"/>
              </w:rPr>
              <w:t>Copanlisib</w:t>
            </w:r>
            <w:r>
              <w:rPr>
                <w:rFonts w:hint="eastAsia" w:ascii="Times New Roman" w:hAnsi="Times New Roman" w:cs="Times New Roman"/>
                <w:sz w:val="18"/>
                <w:szCs w:val="18"/>
              </w:rPr>
              <w:t>、</w:t>
            </w:r>
            <w:r>
              <w:rPr>
                <w:rFonts w:ascii="Times New Roman" w:hAnsi="Times New Roman" w:cs="Times New Roman"/>
                <w:sz w:val="18"/>
                <w:szCs w:val="18"/>
              </w:rPr>
              <w:t>Taselisib</w:t>
            </w:r>
            <w:r>
              <w:rPr>
                <w:rFonts w:hint="eastAsia" w:ascii="Times New Roman" w:hAnsi="Times New Roman" w:cs="Times New Roman"/>
                <w:sz w:val="18"/>
                <w:szCs w:val="18"/>
              </w:rPr>
              <w:t xml:space="preserve"> </w:t>
            </w:r>
          </w:p>
        </w:tc>
      </w:tr>
      <w:tr w14:paraId="518D51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81"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BB5DD40">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6AF5D07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34C4F5B">
            <w:pPr>
              <w:widowControl/>
              <w:adjustRightInd w:val="0"/>
              <w:snapToGrid w:val="0"/>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研究发现PIK3CA突变可以与EGFR突变共存[PMID: 16930767]，有临床前的研究表明，PIK3CA基因位于EGFR信号通路的下游，PIK3CA的激活突变维持PI3K-AKT在细胞内的信号传导，可能影响EGFR TKI</w:t>
            </w:r>
            <w:r>
              <w:rPr>
                <w:rFonts w:hint="eastAsia" w:ascii="Times New Roman" w:hAnsi="Times New Roman" w:cs="Times New Roman"/>
                <w:sz w:val="18"/>
                <w:szCs w:val="18"/>
              </w:rPr>
              <w:t>（</w:t>
            </w:r>
            <w:r>
              <w:rPr>
                <w:rFonts w:ascii="Times New Roman" w:hAnsi="Times New Roman" w:cs="Times New Roman"/>
                <w:sz w:val="18"/>
                <w:szCs w:val="18"/>
              </w:rPr>
              <w:t>吉非替尼与厄洛替尼</w:t>
            </w:r>
            <w:r>
              <w:rPr>
                <w:rFonts w:hint="eastAsia" w:ascii="Times New Roman" w:hAnsi="Times New Roman" w:cs="Times New Roman"/>
                <w:sz w:val="18"/>
                <w:szCs w:val="18"/>
              </w:rPr>
              <w:t>）</w:t>
            </w:r>
            <w:r>
              <w:rPr>
                <w:rFonts w:ascii="Times New Roman" w:hAnsi="Times New Roman" w:cs="Times New Roman"/>
                <w:sz w:val="18"/>
                <w:szCs w:val="18"/>
              </w:rPr>
              <w:t>的疗效[PMID: 20855837]。在一项回顾性研究中，西妥昔单抗治疗携带PIK3CA E542V突变的结直肠癌患者，患者出现6个月的疾病稳定期[PMID: 25714871]。在临床研究中，两个具有PIK3CA E545和KRAS G12共突变的结直肠癌患者在用替西罗莫司治疗后表现出疾病稳定[PMID: 21216929]。</w:t>
            </w:r>
            <w:r>
              <w:rPr>
                <w:rFonts w:hint="eastAsia" w:ascii="Times New Roman" w:hAnsi="Times New Roman" w:cs="Times New Roman"/>
                <w:sz w:val="18"/>
                <w:szCs w:val="18"/>
              </w:rPr>
              <w:t>在一项I期临床研究中，</w:t>
            </w:r>
            <w:r>
              <w:rPr>
                <w:rFonts w:ascii="Times New Roman" w:hAnsi="Times New Roman" w:cs="Times New Roman"/>
                <w:sz w:val="18"/>
                <w:szCs w:val="18"/>
              </w:rPr>
              <w:t>PIK3CA H1047L/Y</w:t>
            </w:r>
            <w:r>
              <w:rPr>
                <w:rFonts w:hint="eastAsia" w:ascii="Times New Roman" w:hAnsi="Times New Roman" w:cs="Times New Roman"/>
                <w:sz w:val="18"/>
                <w:szCs w:val="18"/>
              </w:rPr>
              <w:t>对</w:t>
            </w:r>
            <w:r>
              <w:rPr>
                <w:rFonts w:ascii="Times New Roman" w:hAnsi="Times New Roman" w:cs="Times New Roman"/>
                <w:sz w:val="18"/>
                <w:szCs w:val="18"/>
              </w:rPr>
              <w:t>Taselisib</w:t>
            </w:r>
            <w:r>
              <w:rPr>
                <w:rFonts w:hint="eastAsia" w:ascii="Times New Roman" w:hAnsi="Times New Roman" w:cs="Times New Roman"/>
                <w:sz w:val="18"/>
                <w:szCs w:val="18"/>
              </w:rPr>
              <w:t>敏感</w:t>
            </w:r>
            <w:r>
              <w:rPr>
                <w:rFonts w:ascii="Times New Roman" w:hAnsi="Times New Roman" w:cs="Times New Roman"/>
                <w:sz w:val="18"/>
                <w:szCs w:val="18"/>
              </w:rPr>
              <w:t>[PMID: 28331003]</w:t>
            </w:r>
            <w:r>
              <w:rPr>
                <w:rFonts w:hint="eastAsia" w:ascii="Times New Roman" w:hAnsi="Times New Roman" w:cs="Times New Roman"/>
                <w:sz w:val="18"/>
                <w:szCs w:val="18"/>
              </w:rPr>
              <w:t>。</w:t>
            </w:r>
            <w:r>
              <w:rPr>
                <w:rFonts w:ascii="Times New Roman" w:hAnsi="Times New Roman" w:cs="Times New Roman"/>
                <w:sz w:val="18"/>
                <w:szCs w:val="18"/>
              </w:rPr>
              <w:t>目前PI3K抑制剂对PIK3CA基因突变患者的疗效研究多处于临床前[PMID: 26703889]，如MK2206、依维莫司、替西罗莫司、西罗莫司、Copanlisib等在PIK3CA突变的肺癌或实体肿瘤中正在开展临床试验。</w:t>
            </w:r>
          </w:p>
        </w:tc>
      </w:tr>
    </w:tbl>
    <w:p w14:paraId="357562A0">
      <w:pPr>
        <w:spacing w:line="276" w:lineRule="auto"/>
        <w:rPr>
          <w:rFonts w:ascii="Times New Roman" w:hAnsi="Times New Roman" w:cs="Times New Roman"/>
        </w:rPr>
      </w:pPr>
    </w:p>
    <w:p w14:paraId="73555190">
      <w:pPr>
        <w:spacing w:line="276" w:lineRule="auto"/>
        <w:rPr>
          <w:rFonts w:ascii="Times New Roman" w:hAnsi="Times New Roman" w:cs="Times New Roman"/>
          <w:sz w:val="24"/>
          <w:u w:val="thick" w:color="538135"/>
        </w:rPr>
      </w:pPr>
    </w:p>
    <w:p w14:paraId="2B26FF6B">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ROS1                                                                                                                                                                </w:t>
      </w:r>
    </w:p>
    <w:p w14:paraId="12217A53">
      <w:pPr>
        <w:spacing w:line="276" w:lineRule="auto"/>
        <w:rPr>
          <w:rFonts w:ascii="Times New Roman" w:hAnsi="Times New Roman" w:cs="Times New Roman"/>
          <w:b/>
          <w:u w:val="single" w:color="2DB8B5"/>
        </w:rPr>
      </w:pPr>
    </w:p>
    <w:tbl>
      <w:tblPr>
        <w:tblStyle w:val="19"/>
        <w:tblW w:w="900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08"/>
        <w:gridCol w:w="6700"/>
      </w:tblGrid>
      <w:tr w14:paraId="28FD69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31"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95E7C73">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28D90765">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ascii="Times New Roman" w:hAnsi="Times New Roman" w:cs="Times New Roman"/>
                <w:color w:val="000000"/>
                <w:sz w:val="18"/>
                <w:szCs w:val="18"/>
              </w:rPr>
              <w:t>ROS1基因位于 6q22.1，是一种原癌基因，由该基因编码的蛋白质是I型整合膜蛋白，具有酪氨酸激酶活性，可以充当生长或分化因子受体。ROS1基因的染色体重组最初在胶质母细胞瘤中发现。ROS1融合被认为是非小细胞肺癌和胆管癌的驱动突变。ROS1融合包含一个完整的酪氨酸激酶，其下游信号可激活细胞信号通路，刺激细胞生长和细胞增殖。ROS1是一个潜在的驱动致癌基因，ROS1融合在NSCLC中发生率为1-3%。ROS1基因重排定义了NSCLC的一个特殊分子亚型，目前已经鉴定出9种不同的重排形式，其中以CD74-ROS1最为常见（42%）。</w:t>
            </w:r>
          </w:p>
        </w:tc>
      </w:tr>
      <w:tr w14:paraId="18F8D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4"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CBED233">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5F92ACB7">
            <w:pPr>
              <w:spacing w:before="100" w:beforeAutospacing="1" w:line="256" w:lineRule="auto"/>
              <w:rPr>
                <w:rFonts w:ascii="Times New Roman" w:hAnsi="Times New Roman" w:cs="Times New Roman"/>
                <w:sz w:val="18"/>
                <w:szCs w:val="18"/>
              </w:rPr>
            </w:pPr>
            <w:r>
              <w:rPr>
                <w:rFonts w:hint="eastAsia"/>
                <w:b/>
                <w:sz w:val="18"/>
                <w:szCs w:val="18"/>
              </w:rPr>
              <w:t>克唑替尼</w:t>
            </w:r>
            <w:r>
              <w:rPr>
                <w:rFonts w:ascii="Times New Roman" w:hAnsi="Times New Roman" w:cs="Times New Roman"/>
                <w:b/>
                <w:sz w:val="18"/>
                <w:szCs w:val="18"/>
              </w:rPr>
              <w:t>*</w:t>
            </w:r>
            <w:r>
              <w:rPr>
                <w:rFonts w:hint="eastAsia"/>
                <w:sz w:val="18"/>
                <w:szCs w:val="18"/>
              </w:rPr>
              <w:t>、</w:t>
            </w:r>
            <w:r>
              <w:rPr>
                <w:rFonts w:hint="eastAsia"/>
                <w:b/>
                <w:sz w:val="18"/>
                <w:szCs w:val="18"/>
              </w:rPr>
              <w:t>恩曲替尼</w:t>
            </w:r>
            <w:r>
              <w:rPr>
                <w:rFonts w:hint="eastAsia"/>
                <w:sz w:val="18"/>
                <w:szCs w:val="18"/>
              </w:rPr>
              <w:t>、</w:t>
            </w:r>
            <w:r>
              <w:rPr>
                <w:rFonts w:hint="eastAsia"/>
                <w:b/>
                <w:sz w:val="18"/>
                <w:szCs w:val="18"/>
              </w:rPr>
              <w:t>劳拉替尼、塞瑞替尼</w:t>
            </w:r>
            <w:r>
              <w:rPr>
                <w:rFonts w:ascii="Times New Roman" w:hAnsi="Times New Roman" w:cs="Times New Roman"/>
                <w:b/>
                <w:sz w:val="18"/>
                <w:szCs w:val="18"/>
              </w:rPr>
              <w:t>*</w:t>
            </w:r>
          </w:p>
        </w:tc>
      </w:tr>
      <w:tr w14:paraId="55E20B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57"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EA4A307">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2D0EFA9E">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32B14648">
            <w:pPr>
              <w:widowControl/>
              <w:adjustRightInd w:val="0"/>
              <w:snapToGrid w:val="0"/>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ROS1 基因重排代表一类新的独特的NSCLC分子亚型，一般认为ROS1融合基因阳性的肺癌患者，不伴有EGFR 突变和（或）ALK-EML4 融合基因及KRAS 突变，但随着研究的深入以及实验技术的发展，目前有少量研究发现，ROS1 融合基因可以与其他驱动基因变异共存。肺癌中，ROS1 基因融合对克唑替尼（ALK，MET，ROS1抑制剂）类药物敏感性增加[PMID: 30980071; PMID: 29596029]</w:t>
            </w:r>
            <w:r>
              <w:rPr>
                <w:rFonts w:hint="eastAsia" w:ascii="Times New Roman" w:hAnsi="Times New Roman" w:cs="Times New Roman"/>
                <w:sz w:val="18"/>
                <w:szCs w:val="18"/>
              </w:rPr>
              <w:t>。</w:t>
            </w:r>
            <w:r>
              <w:rPr>
                <w:rFonts w:ascii="Times New Roman" w:hAnsi="Times New Roman" w:cs="Times New Roman"/>
                <w:sz w:val="18"/>
                <w:szCs w:val="18"/>
              </w:rPr>
              <w:t>FDA批准恩曲替尼用于治疗ROS1阳性的转移性非小细胞肺癌（NSCLC）成人患者，克唑替尼可用于ROS1 阳性的晚期非小细胞肺癌（NSCLC）患者的治疗。然而使用克唑替尼治疗后的一段时间，会逐渐出现耐药迹象，进一步活检发现主要耐药位点为G2032R，除此之外，D2033N, L2026M, L1951R 可能也是较为少见的耐药位点[PMID: 25688157]</w:t>
            </w:r>
            <w:r>
              <w:rPr>
                <w:rFonts w:hint="eastAsia" w:ascii="Times New Roman" w:hAnsi="Times New Roman" w:cs="Times New Roman"/>
                <w:sz w:val="18"/>
                <w:szCs w:val="18"/>
              </w:rPr>
              <w:t>，</w:t>
            </w:r>
            <w:r>
              <w:rPr>
                <w:rFonts w:ascii="Times New Roman" w:hAnsi="Times New Roman" w:cs="Times New Roman"/>
                <w:sz w:val="18"/>
                <w:szCs w:val="18"/>
              </w:rPr>
              <w:t>ROS1融合与EGFR TKI的原发性耐药有关[PMID: 30568455; PMID: 31124056]。</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指南推荐克唑替尼、恩曲替尼用于R</w:t>
            </w:r>
            <w:r>
              <w:rPr>
                <w:rFonts w:ascii="Times New Roman" w:hAnsi="Times New Roman" w:cs="Times New Roman"/>
                <w:sz w:val="18"/>
                <w:szCs w:val="18"/>
              </w:rPr>
              <w:t>OS1</w:t>
            </w:r>
            <w:r>
              <w:rPr>
                <w:rFonts w:hint="eastAsia" w:ascii="Times New Roman" w:hAnsi="Times New Roman" w:cs="Times New Roman"/>
                <w:sz w:val="18"/>
                <w:szCs w:val="18"/>
              </w:rPr>
              <w:t>重排阳性的转移性或晚期非小细胞肺癌患者的首先一线治疗，塞瑞替尼用于R</w:t>
            </w:r>
            <w:r>
              <w:rPr>
                <w:rFonts w:ascii="Times New Roman" w:hAnsi="Times New Roman" w:cs="Times New Roman"/>
                <w:sz w:val="18"/>
                <w:szCs w:val="18"/>
              </w:rPr>
              <w:t>OS1</w:t>
            </w:r>
            <w:r>
              <w:rPr>
                <w:rFonts w:hint="eastAsia" w:ascii="Times New Roman" w:hAnsi="Times New Roman" w:cs="Times New Roman"/>
                <w:sz w:val="18"/>
                <w:szCs w:val="18"/>
              </w:rPr>
              <w:t>重排阳性的N</w:t>
            </w:r>
            <w:r>
              <w:rPr>
                <w:rFonts w:ascii="Times New Roman" w:hAnsi="Times New Roman" w:cs="Times New Roman"/>
                <w:sz w:val="18"/>
                <w:szCs w:val="18"/>
              </w:rPr>
              <w:t>SCLC</w:t>
            </w:r>
            <w:r>
              <w:rPr>
                <w:rFonts w:hint="eastAsia" w:ascii="Times New Roman" w:hAnsi="Times New Roman" w:cs="Times New Roman"/>
                <w:sz w:val="18"/>
                <w:szCs w:val="18"/>
              </w:rPr>
              <w:t>患者的一线治疗，劳拉替尼用于经恩曲替尼、克唑替尼或塞瑞替尼治疗后疾病进展的R</w:t>
            </w:r>
            <w:r>
              <w:rPr>
                <w:rFonts w:ascii="Times New Roman" w:hAnsi="Times New Roman" w:cs="Times New Roman"/>
                <w:sz w:val="18"/>
                <w:szCs w:val="18"/>
              </w:rPr>
              <w:t>OS1</w:t>
            </w:r>
            <w:r>
              <w:rPr>
                <w:rFonts w:hint="eastAsia" w:ascii="Times New Roman" w:hAnsi="Times New Roman" w:cs="Times New Roman"/>
                <w:sz w:val="18"/>
                <w:szCs w:val="18"/>
              </w:rPr>
              <w:t>重排的非小细胞肺癌患者的后续治疗。</w:t>
            </w:r>
            <w:r>
              <w:rPr>
                <w:rFonts w:ascii="Times New Roman" w:hAnsi="Times New Roman" w:cs="Times New Roman"/>
                <w:sz w:val="18"/>
                <w:szCs w:val="18"/>
              </w:rPr>
              <w:t>恩曲替尼和克唑替尼治疗ROS1融合的实体瘤患者的临床研究正在开展。</w:t>
            </w:r>
          </w:p>
        </w:tc>
      </w:tr>
    </w:tbl>
    <w:p w14:paraId="5BE2006E">
      <w:pPr>
        <w:spacing w:line="276" w:lineRule="auto"/>
        <w:rPr>
          <w:rFonts w:ascii="Times New Roman" w:hAnsi="Times New Roman" w:cs="Times New Roman"/>
          <w:b/>
          <w:sz w:val="18"/>
          <w:szCs w:val="18"/>
        </w:rPr>
      </w:pPr>
    </w:p>
    <w:p w14:paraId="08375E7F">
      <w:pPr>
        <w:spacing w:line="276" w:lineRule="auto"/>
        <w:rPr>
          <w:rFonts w:ascii="Times New Roman" w:hAnsi="Times New Roman" w:cs="Times New Roman"/>
          <w:b/>
          <w:sz w:val="18"/>
          <w:szCs w:val="18"/>
        </w:rPr>
      </w:pPr>
      <w:r>
        <w:rPr>
          <w:rFonts w:ascii="Times New Roman" w:hAnsi="Times New Roman" w:cs="Times New Roman"/>
          <w:b/>
          <w:sz w:val="18"/>
          <w:szCs w:val="18"/>
        </w:rPr>
        <w:t>注：</w:t>
      </w:r>
    </w:p>
    <w:p w14:paraId="4F30DC24">
      <w:pPr>
        <w:spacing w:line="276" w:lineRule="auto"/>
        <w:rPr>
          <w:rFonts w:ascii="Times New Roman" w:hAnsi="Times New Roman" w:cs="Times New Roman"/>
          <w:sz w:val="18"/>
          <w:szCs w:val="18"/>
        </w:rPr>
      </w:pPr>
      <w:r>
        <w:rPr>
          <w:rFonts w:ascii="Times New Roman" w:hAnsi="Times New Roman" w:cs="Times New Roman"/>
          <w:sz w:val="18"/>
          <w:szCs w:val="18"/>
        </w:rPr>
        <w:t>1.</w:t>
      </w:r>
      <w:r>
        <w:rPr>
          <w:rFonts w:hint="eastAsia" w:ascii="Times New Roman" w:hAnsi="Times New Roman" w:cs="Times New Roman"/>
          <w:sz w:val="18"/>
          <w:szCs w:val="18"/>
        </w:rPr>
        <w:t>加粗</w:t>
      </w:r>
      <w:r>
        <w:rPr>
          <w:rFonts w:ascii="Times New Roman" w:hAnsi="Times New Roman" w:cs="Times New Roman"/>
          <w:sz w:val="18"/>
          <w:szCs w:val="18"/>
        </w:rPr>
        <w:t>药物表示：FDA/NMPA已批准药物，</w:t>
      </w:r>
      <w:r>
        <w:rPr>
          <w:rFonts w:hint="eastAsia" w:ascii="Times New Roman" w:hAnsi="Times New Roman" w:cs="Times New Roman"/>
          <w:sz w:val="18"/>
          <w:szCs w:val="18"/>
        </w:rPr>
        <w:t>未加粗</w:t>
      </w:r>
      <w:r>
        <w:rPr>
          <w:rFonts w:ascii="Times New Roman" w:hAnsi="Times New Roman" w:cs="Times New Roman"/>
          <w:sz w:val="18"/>
          <w:szCs w:val="18"/>
        </w:rPr>
        <w:t>药物为未上市药物。</w:t>
      </w:r>
    </w:p>
    <w:p w14:paraId="207A3F26">
      <w:pPr>
        <w:spacing w:line="276" w:lineRule="auto"/>
        <w:rPr>
          <w:rFonts w:ascii="Times New Roman" w:hAnsi="Times New Roman" w:cs="Times New Roman"/>
          <w:sz w:val="18"/>
          <w:szCs w:val="18"/>
        </w:rPr>
      </w:pPr>
      <w:r>
        <w:rPr>
          <w:rFonts w:ascii="Times New Roman" w:hAnsi="Times New Roman" w:cs="Times New Roman"/>
          <w:sz w:val="18"/>
          <w:szCs w:val="18"/>
        </w:rPr>
        <w:t>2.* 标注的药物表示：NMPA批准的靶向药物。</w:t>
      </w:r>
    </w:p>
    <w:p w14:paraId="0CD56821">
      <w:pPr>
        <w:spacing w:line="276" w:lineRule="auto"/>
        <w:rPr>
          <w:rFonts w:ascii="Times New Roman" w:hAnsi="Times New Roman" w:cs="Times New Roman"/>
          <w:sz w:val="18"/>
          <w:szCs w:val="18"/>
        </w:rPr>
      </w:pPr>
    </w:p>
    <w:p w14:paraId="72086CDD">
      <w:pPr>
        <w:spacing w:line="276" w:lineRule="auto"/>
        <w:rPr>
          <w:rFonts w:ascii="Times New Roman" w:hAnsi="Times New Roman" w:cs="Times New Roman"/>
          <w:sz w:val="18"/>
          <w:szCs w:val="18"/>
        </w:rPr>
      </w:pPr>
    </w:p>
    <w:p w14:paraId="484540F0">
      <w:pPr>
        <w:spacing w:line="276" w:lineRule="auto"/>
        <w:rPr>
          <w:rFonts w:ascii="Times New Roman" w:hAnsi="Times New Roman" w:cs="Times New Roman"/>
          <w:sz w:val="18"/>
          <w:szCs w:val="18"/>
        </w:rPr>
      </w:pPr>
    </w:p>
    <w:p w14:paraId="23D90B56">
      <w:pPr>
        <w:spacing w:line="276" w:lineRule="auto"/>
        <w:rPr>
          <w:rFonts w:ascii="Times New Roman" w:hAnsi="Times New Roman" w:cs="Times New Roman"/>
          <w:sz w:val="18"/>
          <w:szCs w:val="18"/>
        </w:rPr>
      </w:pPr>
    </w:p>
    <w:p w14:paraId="5894950B">
      <w:pPr>
        <w:spacing w:line="276" w:lineRule="auto"/>
        <w:rPr>
          <w:rFonts w:ascii="Times New Roman" w:hAnsi="Times New Roman" w:cs="Times New Roman"/>
          <w:sz w:val="18"/>
          <w:szCs w:val="18"/>
        </w:rPr>
      </w:pPr>
    </w:p>
    <w:p w14:paraId="5726A6AE">
      <w:pPr>
        <w:spacing w:line="276" w:lineRule="auto"/>
        <w:rPr>
          <w:rFonts w:ascii="Times New Roman" w:hAnsi="Times New Roman" w:cs="Times New Roman"/>
          <w:sz w:val="18"/>
          <w:szCs w:val="18"/>
        </w:rPr>
      </w:pPr>
    </w:p>
    <w:p w14:paraId="00D53955">
      <w:pPr>
        <w:spacing w:line="276" w:lineRule="auto"/>
        <w:rPr>
          <w:rFonts w:ascii="Times New Roman" w:hAnsi="Times New Roman" w:cs="Times New Roman"/>
          <w:sz w:val="18"/>
          <w:szCs w:val="18"/>
        </w:rPr>
      </w:pPr>
    </w:p>
    <w:p w14:paraId="0F05165F">
      <w:pPr>
        <w:spacing w:line="276" w:lineRule="auto"/>
        <w:rPr>
          <w:rFonts w:ascii="Times New Roman" w:hAnsi="Times New Roman" w:cs="Times New Roman"/>
          <w:sz w:val="18"/>
          <w:szCs w:val="18"/>
        </w:rPr>
      </w:pPr>
    </w:p>
    <w:p w14:paraId="5137FF99">
      <w:pPr>
        <w:spacing w:line="276" w:lineRule="auto"/>
        <w:rPr>
          <w:rFonts w:ascii="Times New Roman" w:hAnsi="Times New Roman" w:cs="Times New Roman"/>
          <w:sz w:val="18"/>
          <w:szCs w:val="18"/>
        </w:rPr>
      </w:pPr>
    </w:p>
    <w:p w14:paraId="6C5561B1">
      <w:pPr>
        <w:spacing w:line="276" w:lineRule="auto"/>
        <w:rPr>
          <w:rFonts w:ascii="Times New Roman" w:hAnsi="Times New Roman" w:cs="Times New Roman"/>
          <w:sz w:val="18"/>
          <w:szCs w:val="18"/>
        </w:rPr>
      </w:pPr>
    </w:p>
    <w:p w14:paraId="2291A203">
      <w:pPr>
        <w:spacing w:before="26"/>
        <w:rPr>
          <w:rFonts w:ascii="Times New Roman" w:hAnsi="Times New Roman" w:cs="Times New Roman"/>
          <w:sz w:val="15"/>
        </w:rPr>
      </w:pPr>
    </w:p>
    <w:p w14:paraId="48011758">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712512" behindDoc="0" locked="0" layoutInCell="1" allowOverlap="1">
                <wp:simplePos x="0" y="0"/>
                <wp:positionH relativeFrom="column">
                  <wp:posOffset>-34290</wp:posOffset>
                </wp:positionH>
                <wp:positionV relativeFrom="paragraph">
                  <wp:posOffset>167005</wp:posOffset>
                </wp:positionV>
                <wp:extent cx="5758815" cy="21590"/>
                <wp:effectExtent l="0" t="9525" r="3810" b="16510"/>
                <wp:wrapNone/>
                <wp:docPr id="61" name="直线 1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4" o:spid="_x0000_s1026" o:spt="20" style="position:absolute;left:0pt;margin-left:-2.7pt;margin-top:13.15pt;height:1.7pt;width:453.45pt;z-index:251712512;mso-width-relative:page;mso-height-relative:page;" filled="f" stroked="t" coordsize="21600,21600" o:gfxdata="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NbRcFtgAAAAIAQAADwAAAAAAAAABACAAAAAiAAAAZHJzL2Rvd25yZXYueG1sUEsBAhQAFAAAAAgA&#10;h07iQLEWA4XsAQAA4AMAAA4AAAAAAAAAAQAgAAAAJwEAAGRycy9lMm9Eb2MueG1sUEsFBgAAAAAG&#10;AAYAWQEAAIUFAAAAAA==&#10;">
                <v:fill on="f" focussize="0,0"/>
                <v:stroke weight="1.5pt" color="#002060" joinstyle="miter"/>
                <v:imagedata o:title=""/>
                <o:lock v:ext="edit" aspectratio="f"/>
              </v:line>
            </w:pict>
          </mc:Fallback>
        </mc:AlternateContent>
      </w:r>
      <w:r>
        <w:rPr>
          <w:rFonts w:ascii="Times New Roman" w:hAnsi="Times New Roman" w:cs="Times New Roman"/>
          <w:b/>
        </w:rPr>
        <w:t>ABL1</w:t>
      </w:r>
    </w:p>
    <w:p w14:paraId="6CE96508">
      <w:pPr>
        <w:spacing w:line="300" w:lineRule="auto"/>
        <w:ind w:left="420"/>
        <w:rPr>
          <w:rFonts w:ascii="Times New Roman" w:hAnsi="Times New Roman" w:cs="Times New Roman"/>
          <w:b/>
          <w:szCs w:val="18"/>
          <w:highlight w:val="black"/>
        </w:rPr>
      </w:pPr>
      <w:r>
        <w:rPr>
          <w:rFonts w:ascii="Times New Roman" w:hAnsi="Times New Roman" w:cs="Times New Roman"/>
          <w:b/>
          <w:szCs w:val="18"/>
        </w:rPr>
        <w:t>基因说明：</w:t>
      </w:r>
    </w:p>
    <w:p w14:paraId="50D5CA7B">
      <w:pPr>
        <w:spacing w:line="300" w:lineRule="auto"/>
        <w:ind w:left="420"/>
        <w:rPr>
          <w:rFonts w:ascii="Times New Roman" w:hAnsi="Times New Roman" w:cs="Times New Roman"/>
          <w:sz w:val="18"/>
          <w:szCs w:val="18"/>
        </w:rPr>
      </w:pPr>
      <w:r>
        <w:rPr>
          <w:rFonts w:ascii="Times New Roman" w:hAnsi="Times New Roman" w:cs="Times New Roman"/>
          <w:sz w:val="18"/>
          <w:szCs w:val="18"/>
        </w:rPr>
        <w:t>ABL1是原癌基因，编码一种蛋白酪氨酸激酶，参与多种细胞过程，包括细胞分裂、粘附、分化和应激反应。该蛋白的活性受其SH3结构域的负调控，因此该结构域的缺失将导致致癌基因的产生。这种广泛表达的蛋白具有DNA结合活性，并受CDC2介导的磷酸化调控，提示其具有细胞周期功能。在各种白血病中，该基因可能与多种易位伴侣基因发生融合，最常见的是易位导致的与断点簇区的5'端基因BCR</w:t>
      </w:r>
      <w:r>
        <w:rPr>
          <w:rFonts w:hint="eastAsia" w:ascii="Times New Roman" w:hAnsi="Times New Roman" w:cs="Times New Roman"/>
          <w:sz w:val="18"/>
          <w:szCs w:val="18"/>
        </w:rPr>
        <w:t>（</w:t>
      </w:r>
      <w:r>
        <w:rPr>
          <w:rFonts w:ascii="Times New Roman" w:hAnsi="Times New Roman" w:cs="Times New Roman"/>
          <w:sz w:val="18"/>
          <w:szCs w:val="18"/>
        </w:rPr>
        <w:t>MIM: 151410</w:t>
      </w:r>
      <w:r>
        <w:rPr>
          <w:rFonts w:hint="eastAsia" w:ascii="Times New Roman" w:hAnsi="Times New Roman" w:cs="Times New Roman"/>
          <w:sz w:val="18"/>
          <w:szCs w:val="18"/>
        </w:rPr>
        <w:t>）</w:t>
      </w:r>
      <w:r>
        <w:rPr>
          <w:rFonts w:ascii="Times New Roman" w:hAnsi="Times New Roman" w:cs="Times New Roman"/>
          <w:sz w:val="18"/>
          <w:szCs w:val="18"/>
        </w:rPr>
        <w:t>的融合。ABL1的突变常见于肺癌、结肠癌、子宫内膜样腺癌、乳腺浸润性导管癌和皮肤黑色素瘤患者中。</w:t>
      </w:r>
    </w:p>
    <w:p w14:paraId="34C5C42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202BC20">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ABL1在BCR-ABL融合蛋白中的作用与癌症关系最为密切，该融合蛋白已成为慢性</w:t>
      </w:r>
      <w:r>
        <w:rPr>
          <w:rFonts w:hint="eastAsia" w:ascii="Times New Roman" w:hAnsi="Times New Roman" w:cs="Times New Roman"/>
          <w:sz w:val="18"/>
          <w:szCs w:val="18"/>
        </w:rPr>
        <w:t>粒细胞</w:t>
      </w:r>
      <w:r>
        <w:rPr>
          <w:rFonts w:ascii="Times New Roman" w:hAnsi="Times New Roman" w:cs="Times New Roman"/>
          <w:sz w:val="18"/>
          <w:szCs w:val="18"/>
        </w:rPr>
        <w:t>白血病</w:t>
      </w:r>
      <w:r>
        <w:rPr>
          <w:rFonts w:hint="eastAsia" w:ascii="Times New Roman" w:hAnsi="Times New Roman" w:cs="Times New Roman"/>
          <w:sz w:val="18"/>
          <w:szCs w:val="18"/>
        </w:rPr>
        <w:t>（</w:t>
      </w:r>
      <w:r>
        <w:rPr>
          <w:rFonts w:ascii="Times New Roman" w:hAnsi="Times New Roman" w:cs="Times New Roman"/>
          <w:sz w:val="18"/>
          <w:szCs w:val="18"/>
        </w:rPr>
        <w:t>CML</w:t>
      </w:r>
      <w:r>
        <w:rPr>
          <w:rFonts w:hint="eastAsia" w:ascii="Times New Roman" w:hAnsi="Times New Roman" w:cs="Times New Roman"/>
          <w:sz w:val="18"/>
          <w:szCs w:val="18"/>
        </w:rPr>
        <w:t>）</w:t>
      </w:r>
      <w:r>
        <w:rPr>
          <w:rFonts w:ascii="Times New Roman" w:hAnsi="Times New Roman" w:cs="Times New Roman"/>
          <w:sz w:val="18"/>
          <w:szCs w:val="18"/>
        </w:rPr>
        <w:t>的一个特征，含有融合突变的细胞对伊马替尼表现出敏感性，大大改善了疾病的预后。</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指南推荐普纳替尼、尼洛替尼、伊马替尼、达沙替尼、博舒替尼用于</w:t>
      </w:r>
      <w:r>
        <w:rPr>
          <w:rFonts w:ascii="Times New Roman" w:hAnsi="Times New Roman" w:cs="Times New Roman"/>
          <w:sz w:val="18"/>
          <w:szCs w:val="18"/>
        </w:rPr>
        <w:t>ABL1重排的嗜酸性粒细胞增多症的髓系/淋巴系肿瘤患者</w:t>
      </w:r>
      <w:r>
        <w:rPr>
          <w:rFonts w:hint="eastAsia" w:ascii="Times New Roman" w:hAnsi="Times New Roman" w:cs="Times New Roman"/>
          <w:sz w:val="18"/>
          <w:szCs w:val="18"/>
        </w:rPr>
        <w:t>。</w:t>
      </w:r>
      <w:r>
        <w:rPr>
          <w:rFonts w:ascii="Times New Roman" w:hAnsi="Times New Roman" w:cs="Times New Roman"/>
          <w:sz w:val="18"/>
          <w:szCs w:val="18"/>
        </w:rPr>
        <w:t>然而，ABL1中额外的突变已被证明对伊马替尼具有耐药性，含有ABL1 R332W</w:t>
      </w:r>
      <w:r>
        <w:rPr>
          <w:rFonts w:hint="eastAsia" w:ascii="Times New Roman" w:hAnsi="Times New Roman" w:cs="Times New Roman"/>
          <w:sz w:val="18"/>
          <w:szCs w:val="18"/>
        </w:rPr>
        <w:t>（</w:t>
      </w:r>
      <w:r>
        <w:rPr>
          <w:rFonts w:ascii="Times New Roman" w:hAnsi="Times New Roman" w:cs="Times New Roman"/>
          <w:sz w:val="18"/>
          <w:szCs w:val="18"/>
        </w:rPr>
        <w:t>也被报道为R351W</w:t>
      </w:r>
      <w:r>
        <w:rPr>
          <w:rFonts w:hint="eastAsia" w:ascii="Times New Roman" w:hAnsi="Times New Roman" w:cs="Times New Roman"/>
          <w:sz w:val="18"/>
          <w:szCs w:val="18"/>
        </w:rPr>
        <w:t>）</w:t>
      </w:r>
      <w:r>
        <w:rPr>
          <w:rFonts w:ascii="Times New Roman" w:hAnsi="Times New Roman" w:cs="Times New Roman"/>
          <w:sz w:val="18"/>
          <w:szCs w:val="18"/>
        </w:rPr>
        <w:t>和ABL1 T315I的肺腺癌细胞在培养和异种移植模型中表现出对伊马替尼的耐药性[PMID: 26758680]。在这些耐药病例中，第二代酪氨酸激酶抑制剂如达沙替尼已显示出一定的疗效，达沙替尼抑制了含有ABL1 G321L(也被报道为G340L)和ABL1 R332W(也被报道为R351W)的肺腺癌细胞系的生长，并抑制了移植瘤模型中的肿瘤生长[PMID: 26758680]。ABL1重排与B细胞急性淋巴细胞白血病儿科患者的不良预后有关</w:t>
      </w:r>
      <w:r>
        <w:rPr>
          <w:rFonts w:hint="eastAsia" w:ascii="Times New Roman" w:hAnsi="Times New Roman" w:cs="Times New Roman"/>
          <w:sz w:val="18"/>
          <w:szCs w:val="18"/>
        </w:rPr>
        <w:t>。</w:t>
      </w:r>
      <w:r>
        <w:rPr>
          <w:rFonts w:ascii="Times New Roman" w:hAnsi="Times New Roman" w:cs="Times New Roman"/>
          <w:sz w:val="18"/>
          <w:szCs w:val="18"/>
        </w:rPr>
        <w:t>评估尼洛替尼</w:t>
      </w:r>
      <w:r>
        <w:rPr>
          <w:rFonts w:hint="eastAsia" w:ascii="Times New Roman" w:hAnsi="Times New Roman" w:cs="Times New Roman"/>
          <w:sz w:val="18"/>
          <w:szCs w:val="18"/>
        </w:rPr>
        <w:t>、依维莫司</w:t>
      </w:r>
      <w:r>
        <w:rPr>
          <w:rFonts w:ascii="Times New Roman" w:hAnsi="Times New Roman" w:cs="Times New Roman"/>
          <w:sz w:val="18"/>
          <w:szCs w:val="18"/>
        </w:rPr>
        <w:t>治疗ABL1</w:t>
      </w:r>
      <w:r>
        <w:rPr>
          <w:rFonts w:hint="eastAsia" w:ascii="Times New Roman" w:hAnsi="Times New Roman" w:cs="Times New Roman"/>
          <w:sz w:val="18"/>
          <w:szCs w:val="18"/>
        </w:rPr>
        <w:t>融合</w:t>
      </w:r>
      <w:r>
        <w:rPr>
          <w:rFonts w:ascii="Times New Roman" w:hAnsi="Times New Roman" w:cs="Times New Roman"/>
          <w:sz w:val="18"/>
          <w:szCs w:val="18"/>
        </w:rPr>
        <w:t>的实体瘤患者疗效的临床试验正在开展。</w:t>
      </w:r>
    </w:p>
    <w:p w14:paraId="5DF7D4B1">
      <w:pPr>
        <w:adjustRightInd w:val="0"/>
        <w:snapToGrid w:val="0"/>
        <w:spacing w:line="300" w:lineRule="auto"/>
        <w:ind w:left="420"/>
        <w:jc w:val="both"/>
        <w:rPr>
          <w:rFonts w:ascii="Times New Roman" w:hAnsi="Times New Roman" w:cs="Times New Roman"/>
          <w:sz w:val="18"/>
          <w:szCs w:val="18"/>
        </w:rPr>
      </w:pPr>
    </w:p>
    <w:p w14:paraId="07A7659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432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3" name="直线 1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5" o:spid="_x0000_s1026" o:spt="20" style="position:absolute;left:0pt;margin-left:-2.55pt;margin-top:12.55pt;height:1.7pt;width:453.45pt;z-index:25170432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PIolP6w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rzlzIGlG3/8/uPx&#10;5y82b7I6Y8CWku7cJp5OGDYxUz300eY/kWCHoujxrKg6JCbI2bxrrq8JiAmKLebNTVG8ei4OEdMH&#10;5S3LRseNdpkwtLD/iIkaUupTSnYbx0Za2pu6oQsUQOvX07WTaQNRQLcrxeiNlvfamFyCcbe9M5Ht&#10;Ia9Avaivnmb4Ky13WQMOU14JTcthdVKZOrSDAvneSZaOgVRy9Dp4nsYqyZlR9JiyVTITaHNJJrEz&#10;jkhmkSdZs7X18ljULn66+CLDaUnzZv15LtXPD3P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CPIol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AKT1                                                                          </w:t>
      </w:r>
    </w:p>
    <w:p w14:paraId="3BF0284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7469D11">
      <w:pPr>
        <w:spacing w:line="300" w:lineRule="auto"/>
        <w:ind w:left="420"/>
        <w:rPr>
          <w:rFonts w:ascii="Times New Roman" w:hAnsi="Times New Roman" w:cs="Times New Roman"/>
          <w:sz w:val="18"/>
          <w:szCs w:val="18"/>
        </w:rPr>
      </w:pPr>
      <w:r>
        <w:rPr>
          <w:rFonts w:ascii="Times New Roman" w:hAnsi="Times New Roman" w:cs="Times New Roman"/>
          <w:sz w:val="18"/>
          <w:szCs w:val="18"/>
        </w:rPr>
        <w:t>AKT是一种丝氨酸/苏氨酸蛋白激酶，也被称为蛋白激酶B(PKB)，通过磷酸化多种转录因子，来参与机体多种生命活动。目前，在哺乳动物中共发现三种AKT亚型：AKT1/PKBα、AKT2/PKBβ和AKT3/PKBγ。AKT是PI3K/AKT信号通路中核心因子，AKT1激活突变可导致PI3K/Akt/mTOR信号通路的持续激活，进而介导细胞信号传导途径包括存活，增殖，血管生成，迁移，代谢和葡萄糖体内平衡[PMID</w:t>
      </w:r>
      <w:r>
        <w:rPr>
          <w:rFonts w:hint="eastAsia" w:ascii="Times New Roman" w:hAnsi="Times New Roman" w:cs="Times New Roman"/>
          <w:sz w:val="18"/>
          <w:szCs w:val="18"/>
        </w:rPr>
        <w:t xml:space="preserve">: </w:t>
      </w:r>
      <w:r>
        <w:rPr>
          <w:rFonts w:ascii="Times New Roman" w:hAnsi="Times New Roman" w:cs="Times New Roman"/>
          <w:sz w:val="18"/>
          <w:szCs w:val="18"/>
        </w:rPr>
        <w:t>32305038]。异常活化的AKT会导致肿瘤发生、转移以及耐药性的产生，超过50%的肿瘤中存在Akt过度活化，与AKT1相关的疾病包括乳腺癌、结肠癌和卵巢癌等，在多种癌种中存在低频突变。</w:t>
      </w:r>
    </w:p>
    <w:p w14:paraId="3B04442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DB7881A">
      <w:pPr>
        <w:spacing w:line="360" w:lineRule="auto"/>
        <w:ind w:left="420"/>
        <w:rPr>
          <w:rFonts w:ascii="Times New Roman" w:hAnsi="Times New Roman" w:cs="Times New Roman"/>
          <w:sz w:val="18"/>
          <w:szCs w:val="18"/>
        </w:rPr>
      </w:pPr>
      <w:r>
        <w:rPr>
          <w:rFonts w:ascii="Times New Roman" w:hAnsi="Times New Roman" w:cs="Times New Roman"/>
          <w:sz w:val="18"/>
          <w:szCs w:val="18"/>
        </w:rPr>
        <w:t>癌症中的AKT1激活主要是由于PI3K通路的激活或PTEN失活导致[ PMID: 30742888]。目前检测出的AKT1突变主要包括AKT1激活突变[PMID: 17611497</w:t>
      </w:r>
      <w:r>
        <w:rPr>
          <w:rFonts w:hint="eastAsia" w:ascii="Times New Roman" w:hAnsi="Times New Roman" w:cs="Times New Roman"/>
          <w:sz w:val="18"/>
          <w:szCs w:val="18"/>
        </w:rPr>
        <w:t>; PMID: 23134728; PMID: 20440266</w:t>
      </w:r>
      <w:r>
        <w:rPr>
          <w:rFonts w:ascii="Times New Roman" w:hAnsi="Times New Roman" w:cs="Times New Roman"/>
          <w:sz w:val="18"/>
          <w:szCs w:val="18"/>
        </w:rPr>
        <w:t>]，包括磷酸肌醇依赖的AKT1的活化。抑制Akt活性既可避免抑制上游PI3K造成的严重副作用，也可避免抑制下游mTOR引起的负反馈机制影响药效。在一项临床研究中，一名携带AKT1 E17K的肺腺癌患者在接受Capivasertib治疗时表现出部分反应[PMID: 28489509]。一项在晚期实体瘤患者的I期临床试验中，Capivasertib（一种AKT抑制剂）显示出安全性和初步的抗肿瘤活性，两例患者均报告部分应答，均为AKT1 E17K突变阳性</w:t>
      </w:r>
      <w:r>
        <w:rPr>
          <w:rFonts w:hint="eastAsia" w:ascii="Times New Roman" w:hAnsi="Times New Roman" w:cs="Times New Roman"/>
          <w:sz w:val="18"/>
          <w:szCs w:val="18"/>
        </w:rPr>
        <w:t>；</w:t>
      </w:r>
      <w:r>
        <w:rPr>
          <w:rFonts w:ascii="Times New Roman" w:hAnsi="Times New Roman" w:cs="Times New Roman"/>
          <w:sz w:val="18"/>
          <w:szCs w:val="18"/>
        </w:rPr>
        <w:t>在480mg bid 4/3剂量组中，1例患者维持部分应答2年[PMID: 26931343]。</w:t>
      </w:r>
      <w:r>
        <w:rPr>
          <w:rFonts w:hint="eastAsia" w:ascii="Times New Roman" w:hAnsi="Times New Roman" w:cs="Times New Roman"/>
          <w:sz w:val="18"/>
          <w:szCs w:val="18"/>
        </w:rPr>
        <w:t>评估</w:t>
      </w:r>
      <w:r>
        <w:rPr>
          <w:rFonts w:ascii="Times New Roman" w:hAnsi="Times New Roman" w:cs="Times New Roman"/>
          <w:sz w:val="18"/>
          <w:szCs w:val="18"/>
        </w:rPr>
        <w:t>TAS117</w:t>
      </w:r>
      <w:r>
        <w:rPr>
          <w:rFonts w:hint="eastAsia" w:ascii="Times New Roman" w:hAnsi="Times New Roman" w:cs="Times New Roman"/>
          <w:sz w:val="18"/>
          <w:szCs w:val="18"/>
        </w:rPr>
        <w:t>、替西罗莫司、依维莫司、</w:t>
      </w:r>
      <w:r>
        <w:rPr>
          <w:rFonts w:ascii="Times New Roman" w:hAnsi="Times New Roman" w:cs="Times New Roman"/>
          <w:sz w:val="18"/>
          <w:szCs w:val="18"/>
        </w:rPr>
        <w:t>Ipatasertib</w:t>
      </w:r>
      <w:r>
        <w:rPr>
          <w:rFonts w:hint="eastAsia" w:ascii="Times New Roman" w:hAnsi="Times New Roman" w:cs="Times New Roman"/>
          <w:sz w:val="18"/>
          <w:szCs w:val="18"/>
        </w:rPr>
        <w:t>治疗A</w:t>
      </w:r>
      <w:r>
        <w:rPr>
          <w:rFonts w:ascii="Times New Roman" w:hAnsi="Times New Roman" w:cs="Times New Roman"/>
          <w:sz w:val="18"/>
          <w:szCs w:val="18"/>
        </w:rPr>
        <w:t>KT1</w:t>
      </w:r>
      <w:r>
        <w:rPr>
          <w:rFonts w:hint="eastAsia" w:ascii="Times New Roman" w:hAnsi="Times New Roman" w:cs="Times New Roman"/>
          <w:sz w:val="18"/>
          <w:szCs w:val="18"/>
        </w:rPr>
        <w:t>突变的实体瘤患者疗效的临床试验正在开展</w:t>
      </w:r>
      <w:r>
        <w:rPr>
          <w:rFonts w:ascii="Times New Roman" w:hAnsi="Times New Roman" w:cs="Times New Roman"/>
          <w:sz w:val="18"/>
          <w:szCs w:val="18"/>
        </w:rPr>
        <w:t>。</w:t>
      </w:r>
    </w:p>
    <w:p w14:paraId="74ED118D">
      <w:pPr>
        <w:spacing w:line="360" w:lineRule="auto"/>
        <w:ind w:firstLine="420"/>
        <w:rPr>
          <w:rFonts w:ascii="Times New Roman" w:hAnsi="Times New Roman" w:cs="Times New Roman"/>
          <w:sz w:val="18"/>
          <w:szCs w:val="18"/>
        </w:rPr>
      </w:pPr>
    </w:p>
    <w:p w14:paraId="45C752B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155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4" name="直线 1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6" o:spid="_x0000_s1026" o:spt="20" style="position:absolute;left:0pt;margin-left:-2.6pt;margin-top:12.55pt;height:1.7pt;width:453.4pt;z-index:-25164492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c5Wvu6g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Umb8JYzB5Zu/PH7j8ef&#10;v9h0kdUZAjaUdOe28XzCsI2Z6rGLNv+JBDsWRU8XRdUxMUHO+bv5croksQXFZtP5TVG8ei4OEdMH&#10;5S3LRsuNdpkwNHD4iIkaUupTSnYbxwYa9aaeZ0yg9evo2sm0gSig25di9EbLe21MLsG4392ZyA6Q&#10;V6Ce1YunGf5Ky102gP2YV0LjclidVKYOTa9AvneSpVMglRy9Dp6nsUpyZhQ9pmyVzATaXJNJ7Iwj&#10;klnkUdZs7bw8FbWLny6+yHBe0rxZf55L9fPD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Jzla+7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AKT3                                                                          </w:t>
      </w:r>
    </w:p>
    <w:p w14:paraId="0ABC55E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6382D38">
      <w:pPr>
        <w:spacing w:line="300" w:lineRule="auto"/>
        <w:ind w:left="420"/>
        <w:rPr>
          <w:rFonts w:ascii="Times New Roman" w:hAnsi="Times New Roman" w:cs="Times New Roman"/>
          <w:sz w:val="18"/>
          <w:szCs w:val="18"/>
        </w:rPr>
      </w:pPr>
      <w:r>
        <w:rPr>
          <w:rFonts w:ascii="Times New Roman" w:hAnsi="Times New Roman" w:cs="Times New Roman"/>
          <w:sz w:val="18"/>
          <w:szCs w:val="18"/>
        </w:rPr>
        <w:t>AKT3编码的蛋白属于AKT家族，也称为PKB，即丝氨酸/苏氨酸蛋白激酶家族。AKT激酶是已知的针对胰岛素和生长因子的细胞信号调节因子，参与多种生物过程，包括细胞增殖、分化、凋亡、肿瘤发生、糖原合成和葡萄糖摄取等。该激酶已被证明是由血小板衍生生长因子(PDGF)、胰岛素和胰岛素样生长因子1 (IGF1)刺激产生。目前认为AKT3参与细胞增殖和抗凋亡的生理机制可能是：AKT是PI3K/mTOR信号通路下游的分子，被激活后可直接或间接地通过多种细胞凋亡底物的磷酸化，进而抑制细胞的凋亡、促进细胞增殖。融合、错义突变、无义突变、沉默突变和移码缺失在多个癌症中均可观察到，AKT3突变常见于肺癌、结肠癌、乳腺浸润性导管癌、子宫内膜内膜样腺癌和黑色素瘤患者中。</w:t>
      </w:r>
    </w:p>
    <w:p w14:paraId="642BC74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E8924CA">
      <w:pPr>
        <w:spacing w:line="300" w:lineRule="auto"/>
        <w:ind w:left="420"/>
        <w:rPr>
          <w:rFonts w:ascii="Times New Roman" w:hAnsi="Times New Roman" w:cs="Times New Roman"/>
          <w:sz w:val="18"/>
          <w:szCs w:val="18"/>
        </w:rPr>
      </w:pPr>
      <w:r>
        <w:rPr>
          <w:rFonts w:ascii="Times New Roman" w:hAnsi="Times New Roman" w:cs="Times New Roman"/>
          <w:sz w:val="18"/>
          <w:szCs w:val="18"/>
        </w:rPr>
        <w:t>许多针对AKT的药物会抑制所有亚型，但非特异性AKT抑制剂对具有较高AKT3水平的低侵袭性胶质母细胞瘤不利[PMID:</w:t>
      </w:r>
      <w:r>
        <w:rPr>
          <w:rFonts w:hint="eastAsia" w:ascii="Times New Roman" w:hAnsi="Times New Roman" w:cs="Times New Roman"/>
          <w:sz w:val="18"/>
          <w:szCs w:val="18"/>
        </w:rPr>
        <w:t xml:space="preserve"> </w:t>
      </w:r>
      <w:r>
        <w:rPr>
          <w:rFonts w:ascii="Times New Roman" w:hAnsi="Times New Roman" w:cs="Times New Roman"/>
          <w:sz w:val="18"/>
          <w:szCs w:val="18"/>
        </w:rPr>
        <w:t>27422127]。在以AKT3突变和扩增为纳入标准的临床试验中，多个靶向方式治疗AKT3异常的肺癌和肠癌患者的临床试验正在开展，比如评估替西罗莫司治疗AKT3扩增的实体瘤患者疗效的临床试验正在开展。</w:t>
      </w:r>
    </w:p>
    <w:p w14:paraId="6E556173">
      <w:pPr>
        <w:spacing w:line="300" w:lineRule="auto"/>
        <w:ind w:left="420"/>
        <w:rPr>
          <w:rFonts w:ascii="Times New Roman" w:hAnsi="Times New Roman" w:cs="Times New Roman"/>
          <w:sz w:val="18"/>
          <w:szCs w:val="18"/>
          <w:highlight w:val="black"/>
        </w:rPr>
      </w:pPr>
    </w:p>
    <w:p w14:paraId="5C88739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486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7" name="直线 1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7" o:spid="_x0000_s1026" o:spt="20" style="position:absolute;left:0pt;margin-left:-2.6pt;margin-top:12.55pt;height:1.7pt;width:453.4pt;z-index:-2516316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drOOb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AR                                                                         </w:t>
      </w:r>
    </w:p>
    <w:p w14:paraId="79C7103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4C6F0B0">
      <w:pPr>
        <w:spacing w:line="300" w:lineRule="auto"/>
        <w:ind w:left="420"/>
        <w:rPr>
          <w:rFonts w:ascii="Times New Roman" w:hAnsi="Times New Roman" w:cs="Times New Roman"/>
          <w:sz w:val="18"/>
          <w:szCs w:val="18"/>
        </w:rPr>
      </w:pPr>
      <w:r>
        <w:rPr>
          <w:rFonts w:ascii="Times New Roman" w:hAnsi="Times New Roman" w:cs="Times New Roman"/>
          <w:sz w:val="18"/>
          <w:szCs w:val="18"/>
        </w:rPr>
        <w:t>AR基因编码的蛋白具有3个主要功能域，分别是N端区域、DNA结合域和雄激素结合域。雄激素受体与配体结合后，从辅助蛋白中解离，进入细胞核，经二聚反应后刺激雄激素应答基因的转录，相关途径包括蛋白代谢和激活的PKN1刺激AR(雄激素受体)转录调控基因KLK2、KLK3。该基因的突变与雄激素高度不敏感(CAIS)有关，最常见的改变是AR突变(2.53%)、AR扩增(0.68%)、AR丢失(0.11%)，在前列腺癌的发病机制中起作用[PMID: 21989426; PMID: 18507821]，发生于去势抵抗性前列腺癌[PMID: 22245783]，在侵袭性乳腺癌中也有表达[PMID: 21552212; PMID: 18507821]。AR变异常见于前列腺腺癌、肺腺癌、结肠癌、子宫内膜样腺癌和乳腺浸润性导管癌中。</w:t>
      </w:r>
    </w:p>
    <w:p w14:paraId="3F0C8BF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F618DFE">
      <w:pPr>
        <w:spacing w:line="300" w:lineRule="auto"/>
        <w:ind w:left="420"/>
        <w:rPr>
          <w:rFonts w:ascii="Times New Roman" w:hAnsi="Times New Roman" w:cs="Times New Roman"/>
          <w:sz w:val="18"/>
          <w:szCs w:val="18"/>
        </w:rPr>
      </w:pPr>
      <w:r>
        <w:rPr>
          <w:rFonts w:ascii="Times New Roman" w:hAnsi="Times New Roman" w:cs="Times New Roman"/>
          <w:sz w:val="18"/>
          <w:szCs w:val="18"/>
        </w:rPr>
        <w:t>在前列腺癌对阿比特龙+泼尼松和</w:t>
      </w:r>
      <w:r>
        <w:rPr>
          <w:rFonts w:hint="eastAsia" w:ascii="Times New Roman" w:hAnsi="Times New Roman" w:cs="Times New Roman"/>
          <w:sz w:val="18"/>
          <w:szCs w:val="18"/>
        </w:rPr>
        <w:t>恩扎卢胺</w:t>
      </w:r>
      <w:r>
        <w:rPr>
          <w:rFonts w:ascii="Times New Roman" w:hAnsi="Times New Roman" w:cs="Times New Roman"/>
          <w:sz w:val="18"/>
          <w:szCs w:val="18"/>
        </w:rPr>
        <w:t>的耐药性相关研究中，AR扩增患者的最差应答者大多为AR拷贝数高(&gt;8)的患者[PMID: 29367197]。AR基因扩增的前列腺癌患者对恩</w:t>
      </w:r>
      <w:r>
        <w:rPr>
          <w:rFonts w:hint="eastAsia" w:ascii="Times New Roman" w:hAnsi="Times New Roman" w:cs="Times New Roman"/>
          <w:sz w:val="18"/>
          <w:szCs w:val="18"/>
        </w:rPr>
        <w:t>扎卢</w:t>
      </w:r>
      <w:r>
        <w:rPr>
          <w:rFonts w:ascii="Times New Roman" w:hAnsi="Times New Roman" w:cs="Times New Roman"/>
          <w:sz w:val="18"/>
          <w:szCs w:val="18"/>
        </w:rPr>
        <w:t>胺响应减少，对阿比特龙也耐药[PMID: 27148695]。一个携带AR基因扩增的前列腺癌患者在接受多西他赛化疗后，肝转移得到控制，后续治疗中选择阿比特龙+泼尼松龙治疗无响应[PMID: 25232177]。</w:t>
      </w:r>
    </w:p>
    <w:p w14:paraId="3C912343">
      <w:pPr>
        <w:spacing w:line="300" w:lineRule="auto"/>
        <w:ind w:left="420"/>
        <w:rPr>
          <w:rFonts w:ascii="Times New Roman" w:hAnsi="Times New Roman" w:cs="Times New Roman"/>
          <w:sz w:val="18"/>
          <w:szCs w:val="18"/>
        </w:rPr>
      </w:pPr>
    </w:p>
    <w:p w14:paraId="2702A0F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817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0" name="直线 1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8" o:spid="_x0000_s1026" o:spt="20" style="position:absolute;left:0pt;margin-left:-2.6pt;margin-top:12.55pt;height:1.7pt;width:453.4pt;z-index:25169817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tPg/n6gEAAOADAAAOAAAAZHJzL2Uyb0RvYy54bWytU0tu&#10;2zAQ3RfoHQjua8lGnT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7DpIqszBGwo6dZt4umEYRMz1UMXbf4TCXYoih7PiqpDYoKc8w/zxXRByIJis+n8uihePRWHiOmT&#10;8pZlo+VGu0wYGth/xkQNKfUxJbuNYwMt7XU9z5hA69fRtZNpA1FAtyvF6I2Wd9qYXIJxt701ke0h&#10;r0A9q68eZ/gvLXdZA/ZjXgmNy2F1Upk6NL0C+dFJlo6BVHL0OniexirJmVH0mLJVMhNoc0kmsTOO&#10;SGaRR1mztfXyWNQufrr4IsNpSfNm/Xsu1U8Pc/U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0+D+f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AXL                                                                         </w:t>
      </w:r>
    </w:p>
    <w:p w14:paraId="2AE55B6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BF13393">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AXL编码的蛋白是Tyro3-Axl-Mer (TAM)受体酪氨酸激酶亚家族的成员，编码的蛋白具有一个胞外结构域，该结构域由N端两个免疫球蛋白样的基序和两个纤连蛋白型的基序组成，通过与维生素K依赖性生长阻滞特异性6蛋白 (Gas6)结合，将信号从细胞外基质传递到细胞质，可促进细胞增殖。该基因可能参与多种细胞类型的生长、迁移、聚集和抗炎等多种细胞功能，在很多癌种中与细胞的增殖和侵袭有关。AXL异常常见于结肠癌、肺腺癌、皮肤黑色素瘤、膀胱尿路上皮癌和乳腺浸润性导管癌中。 </w:t>
      </w:r>
    </w:p>
    <w:p w14:paraId="2F54531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10548AA">
      <w:pPr>
        <w:spacing w:line="300" w:lineRule="auto"/>
        <w:ind w:left="420"/>
        <w:rPr>
          <w:rFonts w:ascii="Times New Roman" w:hAnsi="Times New Roman" w:cs="Times New Roman"/>
          <w:sz w:val="18"/>
          <w:szCs w:val="18"/>
        </w:rPr>
      </w:pPr>
      <w:r>
        <w:rPr>
          <w:rFonts w:ascii="Times New Roman" w:hAnsi="Times New Roman" w:cs="Times New Roman"/>
          <w:sz w:val="18"/>
          <w:szCs w:val="18"/>
        </w:rPr>
        <w:t>癌症免疫治疗学会2019年大会报道，AXL抑制剂Bemcentinib联合K药二线治疗晚期肺腺癌，AXL阳性患者的客观缓解率达33%，疾病控制率73%，中位无进展生存期达8.4个月。研究显示，激活的AXL会帮助癌细胞发展出对药物的耐药性，而在细胞中抑制AXL活性，则能恢复细胞对药物的敏感性。AXL可能是与</w:t>
      </w:r>
      <w:r>
        <w:rPr>
          <w:rFonts w:hint="eastAsia" w:ascii="Times New Roman" w:hAnsi="Times New Roman" w:cs="Times New Roman"/>
          <w:sz w:val="18"/>
          <w:szCs w:val="18"/>
        </w:rPr>
        <w:t>非小细胞肺癌</w:t>
      </w:r>
      <w:r>
        <w:rPr>
          <w:rFonts w:ascii="Times New Roman" w:hAnsi="Times New Roman" w:cs="Times New Roman"/>
          <w:sz w:val="18"/>
          <w:szCs w:val="18"/>
        </w:rPr>
        <w:t>患者不良预后相关的危险因素[PMID: 28105215]</w:t>
      </w:r>
      <w:r>
        <w:rPr>
          <w:rFonts w:hint="eastAsia" w:ascii="Times New Roman" w:hAnsi="Times New Roman" w:cs="Times New Roman"/>
          <w:sz w:val="18"/>
          <w:szCs w:val="18"/>
        </w:rPr>
        <w:t>。</w:t>
      </w:r>
      <w:r>
        <w:rPr>
          <w:rFonts w:ascii="Times New Roman" w:hAnsi="Times New Roman" w:cs="Times New Roman"/>
          <w:sz w:val="18"/>
          <w:szCs w:val="18"/>
        </w:rPr>
        <w:t>116例食管鳞癌肿瘤的免疫组化分析发现，AXL表达与肿瘤的进展增加相关</w:t>
      </w:r>
      <w:r>
        <w:rPr>
          <w:rFonts w:hint="eastAsia" w:ascii="Times New Roman" w:hAnsi="Times New Roman" w:cs="Times New Roman"/>
          <w:sz w:val="18"/>
          <w:szCs w:val="18"/>
        </w:rPr>
        <w:t>（</w:t>
      </w:r>
      <w:r>
        <w:rPr>
          <w:rFonts w:ascii="Times New Roman" w:hAnsi="Times New Roman" w:cs="Times New Roman"/>
          <w:sz w:val="18"/>
          <w:szCs w:val="18"/>
        </w:rPr>
        <w:t>P &lt; 0.0001</w:t>
      </w:r>
      <w:r>
        <w:rPr>
          <w:rFonts w:hint="eastAsia" w:ascii="Times New Roman" w:hAnsi="Times New Roman" w:cs="Times New Roman"/>
          <w:sz w:val="18"/>
          <w:szCs w:val="18"/>
        </w:rPr>
        <w:t>）</w:t>
      </w:r>
      <w:r>
        <w:rPr>
          <w:rFonts w:ascii="Times New Roman" w:hAnsi="Times New Roman" w:cs="Times New Roman"/>
          <w:sz w:val="18"/>
          <w:szCs w:val="18"/>
        </w:rPr>
        <w:t>，增加了肿瘤患者的远处转移和死亡风险[PMID: 27172793]。评估卡博替尼治疗AXL扩增的非小细胞肺癌患者疗效的临床试验正在开展。</w:t>
      </w:r>
    </w:p>
    <w:p w14:paraId="52C18663">
      <w:pPr>
        <w:spacing w:line="300" w:lineRule="auto"/>
        <w:ind w:left="420"/>
        <w:rPr>
          <w:rFonts w:ascii="Times New Roman" w:hAnsi="Times New Roman" w:cs="Times New Roman"/>
          <w:sz w:val="18"/>
          <w:szCs w:val="18"/>
        </w:rPr>
      </w:pPr>
    </w:p>
    <w:p w14:paraId="654D5BA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336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 name="直线 1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9" o:spid="_x0000_s1026" o:spt="20" style="position:absolute;left:0pt;margin-left:-2.6pt;margin-top:12.55pt;height:1.7pt;width:453.4pt;z-index:-25165312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MVJFG6QEAAN8DAAAOAAAAZHJzL2Uyb0RvYy54bWytU0uO&#10;EzEQ3SNxB8t70p2I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bzlzYOnCH7//ePz5&#10;i02X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zFSRR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CCND1                                                                          </w:t>
      </w:r>
    </w:p>
    <w:p w14:paraId="63C11D4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28C4ACA">
      <w:pPr>
        <w:spacing w:line="300" w:lineRule="auto"/>
        <w:ind w:left="420"/>
        <w:rPr>
          <w:rFonts w:ascii="Times New Roman" w:hAnsi="Times New Roman" w:cs="Times New Roman"/>
          <w:sz w:val="18"/>
          <w:szCs w:val="18"/>
        </w:rPr>
      </w:pPr>
      <w:r>
        <w:rPr>
          <w:rFonts w:ascii="Times New Roman" w:hAnsi="Times New Roman" w:cs="Times New Roman"/>
          <w:sz w:val="18"/>
          <w:szCs w:val="18"/>
        </w:rPr>
        <w:t>CCND1基因编码的蛋白属于高度保守的细胞周期蛋白家族，其成员在整个细胞周期中具有显著的蛋白质丰度周期性。当细胞周期从G0期进入G1期时，Cyclin D1蛋白合成增加，与细胞周期依赖酶-4/6（CDK4/6）结合后磷酸化Rb，使Rb失活，促使细胞通过检查点，从G1期向S期转移，从而促进细胞增殖。CCND1的表达受Rb调控且与肿瘤抑制蛋白Rb相互作用，CCND1突变、扩增和过表达改变了细胞周期的进程，并可能导致肿瘤的发生，其融合、突变、扩增在子宫内膜癌、肠癌和胃癌等癌症中均可观察到。</w:t>
      </w:r>
    </w:p>
    <w:p w14:paraId="5B1DEAB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5C3602E">
      <w:pPr>
        <w:spacing w:line="300" w:lineRule="auto"/>
        <w:ind w:left="420"/>
        <w:rPr>
          <w:rFonts w:ascii="Times New Roman" w:hAnsi="Times New Roman" w:cs="Times New Roman"/>
          <w:sz w:val="18"/>
          <w:szCs w:val="18"/>
        </w:rPr>
      </w:pPr>
      <w:r>
        <w:rPr>
          <w:rFonts w:ascii="Times New Roman" w:hAnsi="Times New Roman" w:cs="Times New Roman"/>
          <w:sz w:val="18"/>
          <w:szCs w:val="18"/>
        </w:rPr>
        <w:t>一项III期临床试验表明，携带CCND1拷贝数增加变异的黑色素瘤患者使用索拉非尼联合卡铂和紫杉醇化疗比单独化疗的无进展生存期（PFS）更长[PMID: 26307133]。在一项II期临床试验中，激素受体阳性（ER+）且人表皮生长因子受体阴性（HER2-）乳腺癌患者接受来曲唑单独或联合哌柏西利治疗，结果表明，携带CCND1扩增或p16缺失的患者中，来曲唑联合哌柏西利对比来曲唑单药，中位PFS为18.1个月vs11.1个月[PMID: 25524798]。</w:t>
      </w:r>
      <w:r>
        <w:rPr>
          <w:rFonts w:hint="eastAsia" w:ascii="Times New Roman" w:hAnsi="Times New Roman" w:cs="Times New Roman"/>
          <w:sz w:val="18"/>
          <w:szCs w:val="18"/>
        </w:rPr>
        <w:t>一项使用哌柏西利治疗细胞周期基因改变阳性</w:t>
      </w:r>
      <w:r>
        <w:rPr>
          <w:rFonts w:ascii="Times New Roman" w:hAnsi="Times New Roman" w:cs="Times New Roman"/>
          <w:sz w:val="18"/>
          <w:szCs w:val="18"/>
        </w:rPr>
        <w:t>IV期肺鳞癌患者的II期研究中， 32例患者接受了哌柏西利治疗，有2例部分反应（反应率6％[95％置信区间（CI）：0％-15％]），均为CCND1扩增[PMID: 31302234]。评估哌柏西利治疗CCND1扩增的肺鳞癌和实体瘤患者疗效的临床试验正在开展。</w:t>
      </w:r>
    </w:p>
    <w:p w14:paraId="534D976E">
      <w:pPr>
        <w:spacing w:line="300" w:lineRule="auto"/>
        <w:ind w:left="420"/>
        <w:rPr>
          <w:rFonts w:ascii="Times New Roman" w:hAnsi="Times New Roman" w:cs="Times New Roman"/>
          <w:sz w:val="18"/>
          <w:szCs w:val="18"/>
        </w:rPr>
      </w:pPr>
    </w:p>
    <w:p w14:paraId="62B7452E">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769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0" name="直线 2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0" o:spid="_x0000_s1026" o:spt="20" style="position:absolute;left:0pt;margin-left:-2.6pt;margin-top:12.55pt;height:1.7pt;width:453.4pt;z-index:-2516387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gSIxUO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CDK4                                                                          </w:t>
      </w:r>
    </w:p>
    <w:p w14:paraId="2BE5D6F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B74B918">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4编码的蛋白是丝氨酸/苏氨酸蛋白激酶家族的成员，是蛋白激酶复合体的一个催化亚基，对细胞周期G1期的进展起重要作用，诱发细胞从G1到S阶段的转化，并磷酸化视网膜母细胞瘤基因产物。该基因及其相关蛋白包括D型细胞周期蛋白、p16(INK4a)和Rb的突变均被发现与多种癌症的发生有关，其中CDK4扩增占1.94%。与CDK4相关的疾病包括黑色素瘤、多发性骨髓瘤、子宫内膜癌、肠癌等。 </w:t>
      </w:r>
    </w:p>
    <w:p w14:paraId="37ED8EC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F8A756E">
      <w:pPr>
        <w:spacing w:line="300" w:lineRule="auto"/>
        <w:ind w:left="420"/>
        <w:rPr>
          <w:rFonts w:ascii="Times New Roman" w:hAnsi="Times New Roman" w:cs="Times New Roman"/>
          <w:sz w:val="18"/>
          <w:szCs w:val="18"/>
        </w:rPr>
      </w:pPr>
      <w:r>
        <w:rPr>
          <w:rFonts w:ascii="Times New Roman" w:hAnsi="Times New Roman" w:cs="Times New Roman"/>
          <w:sz w:val="18"/>
          <w:szCs w:val="18"/>
        </w:rPr>
        <w:t>针对CDK抑制的一种靶向治疗是</w:t>
      </w:r>
      <w:r>
        <w:rPr>
          <w:rFonts w:hint="eastAsia" w:ascii="Times New Roman" w:hAnsi="Times New Roman" w:cs="Times New Roman"/>
          <w:sz w:val="18"/>
          <w:szCs w:val="18"/>
        </w:rPr>
        <w:t>哌柏西利</w:t>
      </w:r>
      <w:r>
        <w:rPr>
          <w:rFonts w:ascii="Times New Roman" w:hAnsi="Times New Roman" w:cs="Times New Roman"/>
          <w:sz w:val="18"/>
          <w:szCs w:val="18"/>
        </w:rPr>
        <w:t>，可以减缓晚期乳腺癌的生长。也有小鼠中的研究表明，CDK抑制可能使突变的PIK3CA肿瘤对PI3K抑制剂敏感。</w:t>
      </w:r>
      <w:r>
        <w:rPr>
          <w:rFonts w:hint="eastAsia" w:ascii="Times New Roman" w:hAnsi="Times New Roman" w:cs="Times New Roman"/>
          <w:sz w:val="18"/>
          <w:szCs w:val="18"/>
        </w:rPr>
        <w:t>多项临床研究表明，携带C</w:t>
      </w:r>
      <w:r>
        <w:rPr>
          <w:rFonts w:ascii="Times New Roman" w:hAnsi="Times New Roman" w:cs="Times New Roman"/>
          <w:sz w:val="18"/>
          <w:szCs w:val="18"/>
        </w:rPr>
        <w:t>DK4</w:t>
      </w:r>
      <w:r>
        <w:rPr>
          <w:rFonts w:hint="eastAsia" w:ascii="Times New Roman" w:hAnsi="Times New Roman" w:cs="Times New Roman"/>
          <w:sz w:val="18"/>
          <w:szCs w:val="18"/>
        </w:rPr>
        <w:t>扩增的脂肪肉瘤患者对C</w:t>
      </w:r>
      <w:r>
        <w:rPr>
          <w:rFonts w:ascii="Times New Roman" w:hAnsi="Times New Roman" w:cs="Times New Roman"/>
          <w:sz w:val="18"/>
          <w:szCs w:val="18"/>
        </w:rPr>
        <w:t>DK</w:t>
      </w:r>
      <w:r>
        <w:rPr>
          <w:rFonts w:hint="eastAsia" w:ascii="Times New Roman" w:hAnsi="Times New Roman" w:cs="Times New Roman"/>
          <w:sz w:val="18"/>
          <w:szCs w:val="18"/>
        </w:rPr>
        <w:t>抑制剂哌柏西利敏感</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23569312; PMID: 27124835]</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6DC7C557">
      <w:pPr>
        <w:spacing w:line="300" w:lineRule="auto"/>
        <w:ind w:left="420"/>
        <w:rPr>
          <w:rFonts w:ascii="Times New Roman" w:hAnsi="Times New Roman" w:cs="Times New Roman"/>
          <w:sz w:val="18"/>
          <w:szCs w:val="18"/>
        </w:rPr>
      </w:pPr>
    </w:p>
    <w:p w14:paraId="23EA864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588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8" name="直线 2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1" o:spid="_x0000_s1026" o:spt="20" style="position:absolute;left:0pt;margin-left:-2.6pt;margin-top:12.55pt;height:1.7pt;width:453.4pt;z-index:25168588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daQR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CDK6                                                                         </w:t>
      </w:r>
    </w:p>
    <w:p w14:paraId="772E2C6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169763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6编码的蛋白是丝氨酸/苏氨酸蛋白激酶家族的成员，是蛋白激酶复合体的一个催化亚基，在细胞周期和细胞分化中具有重要作用，推动细胞周期由G1到S期转化，可以通过调控G1期的时间，促进神经细胞的产生，可以磷酸化pRB/RB1和NPM1，该激酶及CDK4已被证明能够通过磷酸化来调节肿瘤抑制蛋白Rb的活性。该基因表达量的变化已在多种人类癌症中被观察到，该基因突变导致细胞增殖减少，细胞活力和极性受损。CDK6 基因在肿瘤中可能发生突变或扩增而被过度活化，TCGA数据显示，CDK6扩增常见于食管癌（15%），其次为胃癌（7%）、头颈癌（6%）及肺鳞癌（5%）。 </w:t>
      </w:r>
    </w:p>
    <w:p w14:paraId="05E98BF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BABC7CA">
      <w:pPr>
        <w:spacing w:line="300" w:lineRule="auto"/>
        <w:ind w:left="420"/>
        <w:rPr>
          <w:rFonts w:ascii="Times New Roman" w:hAnsi="Times New Roman" w:cs="Times New Roman"/>
          <w:sz w:val="18"/>
          <w:szCs w:val="18"/>
        </w:rPr>
      </w:pPr>
      <w:r>
        <w:rPr>
          <w:rFonts w:ascii="Times New Roman" w:hAnsi="Times New Roman" w:cs="Times New Roman"/>
          <w:sz w:val="18"/>
          <w:szCs w:val="18"/>
        </w:rPr>
        <w:t>CDK6的扩增导致CDK6表达显著增加，CDK4/6靶点磷酸化rb (pRb)对CDK4/6抑制剂的反应降低。CDK4/6复合物的抑制剂如</w:t>
      </w:r>
      <w:r>
        <w:rPr>
          <w:rFonts w:hint="eastAsia" w:ascii="Times New Roman" w:hAnsi="Times New Roman" w:cs="Times New Roman"/>
          <w:sz w:val="18"/>
          <w:szCs w:val="18"/>
        </w:rPr>
        <w:t>阿贝西利</w:t>
      </w:r>
      <w:r>
        <w:rPr>
          <w:rFonts w:ascii="Times New Roman" w:hAnsi="Times New Roman" w:cs="Times New Roman"/>
          <w:sz w:val="18"/>
          <w:szCs w:val="18"/>
        </w:rPr>
        <w:t>已在临床得到进展，并显示出显著的活性，特别是对由雌激素受体</w:t>
      </w:r>
      <w:r>
        <w:rPr>
          <w:rFonts w:hint="eastAsia" w:ascii="Times New Roman" w:hAnsi="Times New Roman" w:cs="Times New Roman"/>
          <w:sz w:val="18"/>
          <w:szCs w:val="18"/>
        </w:rPr>
        <w:t>（</w:t>
      </w:r>
      <w:r>
        <w:rPr>
          <w:rFonts w:ascii="Times New Roman" w:hAnsi="Times New Roman" w:cs="Times New Roman"/>
          <w:sz w:val="18"/>
          <w:szCs w:val="18"/>
        </w:rPr>
        <w:t>ER</w:t>
      </w:r>
      <w:r>
        <w:rPr>
          <w:rFonts w:hint="eastAsia" w:ascii="Times New Roman" w:hAnsi="Times New Roman" w:cs="Times New Roman"/>
          <w:sz w:val="18"/>
          <w:szCs w:val="18"/>
        </w:rPr>
        <w:t>）</w:t>
      </w:r>
      <w:r>
        <w:rPr>
          <w:rFonts w:ascii="Times New Roman" w:hAnsi="Times New Roman" w:cs="Times New Roman"/>
          <w:sz w:val="18"/>
          <w:szCs w:val="18"/>
        </w:rPr>
        <w:t>驱动的肿瘤。一项针对胰腺神经内分泌肿瘤的临床前研究表明，CDK4和CDK6基因的扩增或蛋白过表达可能对CDK4/6抑制剂哌柏西利敏感[PMID: 22761470]。</w:t>
      </w:r>
      <w:r>
        <w:rPr>
          <w:rFonts w:hint="eastAsia" w:ascii="Times New Roman" w:hAnsi="Times New Roman" w:cs="Times New Roman"/>
          <w:sz w:val="18"/>
          <w:szCs w:val="18"/>
        </w:rPr>
        <w:t>C</w:t>
      </w:r>
      <w:r>
        <w:rPr>
          <w:rFonts w:ascii="Times New Roman" w:hAnsi="Times New Roman" w:cs="Times New Roman"/>
          <w:sz w:val="18"/>
          <w:szCs w:val="18"/>
        </w:rPr>
        <w:t>DK6</w:t>
      </w:r>
      <w:r>
        <w:rPr>
          <w:rFonts w:hint="eastAsia" w:ascii="Times New Roman" w:hAnsi="Times New Roman" w:cs="Times New Roman"/>
          <w:sz w:val="18"/>
          <w:szCs w:val="18"/>
        </w:rPr>
        <w:t>蛋白表达增加与卵巢癌患者预后呈显著负相关（</w:t>
      </w:r>
      <w:r>
        <w:rPr>
          <w:rFonts w:ascii="Times New Roman" w:hAnsi="Times New Roman" w:cs="Times New Roman"/>
          <w:sz w:val="18"/>
          <w:szCs w:val="18"/>
        </w:rPr>
        <w:t>P=0.006）[PMID: 27687663]</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381C85A5">
      <w:pPr>
        <w:spacing w:line="360" w:lineRule="auto"/>
        <w:rPr>
          <w:rFonts w:ascii="Times New Roman" w:hAnsi="Times New Roman" w:cs="Times New Roman"/>
          <w:sz w:val="18"/>
          <w:szCs w:val="18"/>
        </w:rPr>
      </w:pPr>
    </w:p>
    <w:p w14:paraId="393FEF1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3536"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2" name="直线 2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2" o:spid="_x0000_s1026" o:spt="20" style="position:absolute;left:0pt;margin-left:-2.55pt;margin-top:12.55pt;height:1.7pt;width:453.45pt;z-index:251713536;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gqGZ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CTNNB1                                                                         </w:t>
      </w:r>
    </w:p>
    <w:p w14:paraId="64C54C7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013EAD2">
      <w:pPr>
        <w:spacing w:line="300" w:lineRule="auto"/>
        <w:ind w:left="420"/>
        <w:rPr>
          <w:rFonts w:ascii="Times New Roman" w:hAnsi="Times New Roman" w:cs="Times New Roman"/>
          <w:sz w:val="18"/>
          <w:szCs w:val="18"/>
        </w:rPr>
      </w:pPr>
      <w:r>
        <w:rPr>
          <w:rFonts w:ascii="Times New Roman" w:hAnsi="Times New Roman" w:cs="Times New Roman"/>
          <w:sz w:val="18"/>
          <w:szCs w:val="18"/>
        </w:rPr>
        <w:t>CTNNB1基因编码的蛋白β-catenin是一种粘着连接蛋白，与钙粘蛋白、α-catenin共同组成粘附连接复合体，通过调节细胞生长和相邻细胞间的粘附来生成和维持上皮细胞层。CTNNB1还可能具有抑制细胞分裂的作用。在Wnt信号通路中，CTNNB1异常时激活原癌基因和细胞周期蛋白，与细胞分裂和增殖相关。CTNNB1蛋白表达异常会导致许多疾病相关的代谢通路异常，其中包括诱导癌症发生的信号通路异常，该基因可以作为致癌基因及转录调节基因来驱动癌症的发生、发展、生存及复发。CTNNB1在肺癌、子宫内膜样腺癌、结肠癌、肝细胞癌和前列腺癌中突变频率较高。</w:t>
      </w:r>
    </w:p>
    <w:p w14:paraId="17242F7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23EA6E6">
      <w:pPr>
        <w:spacing w:line="360" w:lineRule="auto"/>
        <w:ind w:left="420"/>
        <w:rPr>
          <w:rFonts w:ascii="Times New Roman" w:hAnsi="Times New Roman" w:cs="Times New Roman"/>
          <w:sz w:val="18"/>
          <w:szCs w:val="18"/>
        </w:rPr>
      </w:pPr>
      <w:r>
        <w:rPr>
          <w:rFonts w:ascii="Times New Roman" w:hAnsi="Times New Roman" w:cs="Times New Roman"/>
          <w:sz w:val="18"/>
          <w:szCs w:val="18"/>
        </w:rPr>
        <w:t>CTNNB1的激活突变导致β-catenin蛋白异常积累，存在于多种实体肿瘤中。携带CTNNB1突变的肿瘤被认为对WNT通路上游组分的药理抑制具有耐药性，需要直接对β-catenin功能进行抑制[PMID</w:t>
      </w:r>
      <w:r>
        <w:rPr>
          <w:rFonts w:hint="eastAsia" w:ascii="Times New Roman" w:hAnsi="Times New Roman" w:cs="Times New Roman"/>
          <w:sz w:val="18"/>
          <w:szCs w:val="18"/>
        </w:rPr>
        <w:t xml:space="preserve">: </w:t>
      </w:r>
      <w:r>
        <w:rPr>
          <w:rFonts w:ascii="Times New Roman" w:hAnsi="Times New Roman" w:cs="Times New Roman"/>
          <w:sz w:val="18"/>
          <w:szCs w:val="18"/>
        </w:rPr>
        <w:t>19351922</w:t>
      </w:r>
      <w:r>
        <w:rPr>
          <w:rFonts w:hint="eastAsia" w:ascii="Times New Roman" w:hAnsi="Times New Roman" w:cs="Times New Roman"/>
          <w:sz w:val="18"/>
          <w:szCs w:val="18"/>
        </w:rPr>
        <w:t>;</w:t>
      </w:r>
      <w:r>
        <w:rPr>
          <w:rFonts w:ascii="Times New Roman" w:hAnsi="Times New Roman" w:cs="Times New Roman"/>
          <w:sz w:val="18"/>
          <w:szCs w:val="18"/>
        </w:rPr>
        <w:t xml:space="preserve"> </w:t>
      </w:r>
      <w:r>
        <w:rPr>
          <w:rFonts w:hint="eastAsia" w:ascii="Times New Roman" w:hAnsi="Times New Roman" w:cs="Times New Roman"/>
          <w:sz w:val="18"/>
          <w:szCs w:val="18"/>
        </w:rPr>
        <w:t>PMID: 31801553</w:t>
      </w:r>
      <w:r>
        <w:rPr>
          <w:rFonts w:ascii="Times New Roman" w:hAnsi="Times New Roman" w:cs="Times New Roman"/>
          <w:sz w:val="18"/>
          <w:szCs w:val="18"/>
        </w:rPr>
        <w:t>]。临床前研究表明，携带CTNNB1热点突变的细胞系（包括携带CTNNB1 T41A的肺癌细胞系），相比CTNNB1野生型细胞系对TTK抑制剂（BAY1161909、MPI-0479605、NMS-P715 、BAY1217389 、Mps1-IN-1 、Mps-BAY2b 、NTRC 0066-0）敏感性提高[PMID: 28751540]。</w:t>
      </w:r>
      <w:r>
        <w:rPr>
          <w:rFonts w:hint="eastAsia" w:ascii="Times New Roman" w:hAnsi="Times New Roman" w:cs="Times New Roman"/>
          <w:sz w:val="18"/>
          <w:szCs w:val="18"/>
        </w:rPr>
        <w:t>在一项回顾性分析中，</w:t>
      </w:r>
      <w:r>
        <w:rPr>
          <w:rFonts w:ascii="Times New Roman" w:hAnsi="Times New Roman" w:cs="Times New Roman"/>
          <w:sz w:val="18"/>
          <w:szCs w:val="18"/>
        </w:rPr>
        <w:t>100例非小细胞肺癌患者中，有8例在奥希替尼治疗耐药时发现了激活的CTNNB1突变，包括S37F/C（n=5）、D32V（n=1）、G34V（n=1）和T41I（n=1）[PMID: 31839416]。</w:t>
      </w:r>
    </w:p>
    <w:p w14:paraId="1895C0E8">
      <w:pPr>
        <w:spacing w:line="360" w:lineRule="auto"/>
        <w:ind w:left="420"/>
        <w:rPr>
          <w:rFonts w:ascii="Times New Roman" w:hAnsi="Times New Roman" w:cs="Times New Roman"/>
          <w:sz w:val="18"/>
          <w:szCs w:val="18"/>
        </w:rPr>
      </w:pPr>
    </w:p>
    <w:p w14:paraId="4416558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534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4" name="直线 2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3" o:spid="_x0000_s1026" o:spt="20" style="position:absolute;left:0pt;margin-left:-2.55pt;margin-top:12.55pt;height:1.7pt;width:453.45pt;z-index:25170534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tiIE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DDR2                                                                          </w:t>
      </w:r>
    </w:p>
    <w:p w14:paraId="27DB0BC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960C4CA">
      <w:pPr>
        <w:spacing w:line="300" w:lineRule="auto"/>
        <w:ind w:left="420"/>
        <w:rPr>
          <w:rFonts w:ascii="Times New Roman" w:hAnsi="Times New Roman" w:cs="Times New Roman"/>
          <w:sz w:val="18"/>
          <w:szCs w:val="18"/>
        </w:rPr>
      </w:pPr>
      <w:r>
        <w:rPr>
          <w:rFonts w:ascii="Times New Roman" w:hAnsi="Times New Roman" w:cs="Times New Roman"/>
          <w:sz w:val="18"/>
          <w:szCs w:val="18"/>
        </w:rPr>
        <w:t>DDR2属于受体型蛋白酪氨酸激酶成员，因其胞外含有与盘基网柄菌植物凝血素同源的结构域，而被称为盘状结构域受体。除了盘状结构域外，DDR2还有单次跨膜区、临跨膜区和胞内酪氨酸激酶区；DDR2主要表达于心、骨骼肌、肺、脑和肾的间质细胞，介导下游几条信号通路，这些信号通路的激活能够促进细胞迁移、分化、增殖和存活[PMID</w:t>
      </w:r>
      <w:r>
        <w:rPr>
          <w:rFonts w:hint="eastAsia" w:ascii="Times New Roman" w:hAnsi="Times New Roman" w:cs="Times New Roman"/>
          <w:sz w:val="18"/>
          <w:szCs w:val="18"/>
        </w:rPr>
        <w:t xml:space="preserve">: </w:t>
      </w:r>
      <w:r>
        <w:rPr>
          <w:rFonts w:ascii="Times New Roman" w:hAnsi="Times New Roman" w:cs="Times New Roman"/>
          <w:sz w:val="18"/>
          <w:szCs w:val="18"/>
        </w:rPr>
        <w:t>16186108</w:t>
      </w:r>
      <w:r>
        <w:rPr>
          <w:rFonts w:hint="eastAsia" w:ascii="Times New Roman" w:hAnsi="Times New Roman" w:cs="Times New Roman"/>
          <w:sz w:val="18"/>
          <w:szCs w:val="18"/>
        </w:rPr>
        <w:t>; PMID: 17703188</w:t>
      </w:r>
      <w:r>
        <w:rPr>
          <w:rFonts w:ascii="Times New Roman" w:hAnsi="Times New Roman" w:cs="Times New Roman"/>
          <w:sz w:val="18"/>
          <w:szCs w:val="18"/>
        </w:rPr>
        <w:t>]，参与细胞生长，分化和代谢的调节。DDR2突变常见于肺癌、乳腺浸润性导管癌、结肠癌、子宫内膜样腺癌和膀胱尿路上皮癌中。</w:t>
      </w:r>
    </w:p>
    <w:p w14:paraId="306A42E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794DF92">
      <w:pPr>
        <w:spacing w:line="360" w:lineRule="auto"/>
        <w:ind w:left="420"/>
        <w:rPr>
          <w:rFonts w:ascii="Times New Roman" w:hAnsi="Times New Roman" w:cs="Times New Roman"/>
          <w:sz w:val="18"/>
          <w:szCs w:val="18"/>
        </w:rPr>
      </w:pPr>
      <w:r>
        <w:rPr>
          <w:rFonts w:ascii="Times New Roman" w:hAnsi="Times New Roman" w:cs="Times New Roman"/>
          <w:sz w:val="18"/>
          <w:szCs w:val="18"/>
        </w:rPr>
        <w:t>DDR2在肺鳞状细胞癌中的突变频率约为4%~5%，且与达沙替尼敏感相关，携带DDR2激活突变的肺鳞癌细胞系可被多靶点激酶抑制剂达沙替尼选择性杀死[PMID: 22328973; PMID: 26206333]。在多种癌症的转移中发现了DDR2的激活或表达，但机制尚不清楚[ PMID: 22071959</w:t>
      </w:r>
      <w:r>
        <w:rPr>
          <w:rFonts w:hint="eastAsia" w:ascii="Times New Roman" w:hAnsi="Times New Roman" w:cs="Times New Roman"/>
          <w:sz w:val="18"/>
          <w:szCs w:val="18"/>
        </w:rPr>
        <w:t>; PMID: 21701781; PMID: 23644467;</w:t>
      </w:r>
      <w:r>
        <w:rPr>
          <w:rFonts w:ascii="Times New Roman" w:hAnsi="Times New Roman" w:cs="Times New Roman"/>
          <w:sz w:val="18"/>
          <w:szCs w:val="18"/>
        </w:rPr>
        <w:t xml:space="preserve"> </w:t>
      </w:r>
      <w:r>
        <w:rPr>
          <w:rFonts w:hint="eastAsia" w:ascii="Times New Roman" w:hAnsi="Times New Roman" w:cs="Times New Roman"/>
          <w:sz w:val="18"/>
          <w:szCs w:val="18"/>
        </w:rPr>
        <w:t>PMID: 25130389</w:t>
      </w:r>
      <w:r>
        <w:rPr>
          <w:rFonts w:ascii="Times New Roman" w:hAnsi="Times New Roman" w:cs="Times New Roman"/>
          <w:sz w:val="18"/>
          <w:szCs w:val="18"/>
        </w:rPr>
        <w:t>]。一项案例报道中，1例携带DDR2 S768R的肺部鳞状细胞癌患者接受达沙替尼联合厄洛替尼治疗，近2个月后CT扫描显示肿瘤缩小，患者症状改善（解决呼吸困难和咳嗽）[PMID: 22328973]。评估厄洛替尼治疗DDR2突变或扩增的实体瘤患者疗效的临床研究正在进行中。</w:t>
      </w:r>
    </w:p>
    <w:p w14:paraId="2551CD77">
      <w:pPr>
        <w:spacing w:line="360" w:lineRule="auto"/>
        <w:ind w:left="420"/>
        <w:rPr>
          <w:rFonts w:ascii="Times New Roman" w:hAnsi="Times New Roman" w:cs="Times New Roman"/>
          <w:sz w:val="18"/>
          <w:szCs w:val="18"/>
        </w:rPr>
      </w:pPr>
    </w:p>
    <w:p w14:paraId="4E44179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4384" behindDoc="1" locked="0" layoutInCell="1" allowOverlap="1">
                <wp:simplePos x="0" y="0"/>
                <wp:positionH relativeFrom="column">
                  <wp:posOffset>0</wp:posOffset>
                </wp:positionH>
                <wp:positionV relativeFrom="paragraph">
                  <wp:posOffset>168910</wp:posOffset>
                </wp:positionV>
                <wp:extent cx="5760085" cy="6350"/>
                <wp:effectExtent l="0" t="9525" r="2540" b="12700"/>
                <wp:wrapNone/>
                <wp:docPr id="5" name="直线 24"/>
                <wp:cNvGraphicFramePr/>
                <a:graphic xmlns:a="http://schemas.openxmlformats.org/drawingml/2006/main">
                  <a:graphicData uri="http://schemas.microsoft.com/office/word/2010/wordprocessingShape">
                    <wps:wsp>
                      <wps:cNvCnPr/>
                      <wps:spPr>
                        <a:xfrm>
                          <a:off x="0" y="0"/>
                          <a:ext cx="5760085" cy="635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4" o:spid="_x0000_s1026" o:spt="20" style="position:absolute;left:0pt;margin-left:0pt;margin-top:13.3pt;height:0.5pt;width:453.55pt;z-index:-251652096;mso-width-relative:page;mso-height-relative:page;" filled="f" stroked="t" coordsize="21600,21600" o:gfxdata="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OJT7x1QAA&#10;AAYBAAAPAAAAAAAAAAEAIAAAACIAAABkcnMvZG93bnJldi54bWxQSwECFAAUAAAACACHTuJA9l5y&#10;++gBAADeAwAADgAAAAAAAAABACAAAAAkAQAAZHJzL2Uyb0RvYy54bWxQSwUGAAAAAAYABgBZAQAA&#10;fgUAAAAA&#10;">
                <v:fill on="f" focussize="0,0"/>
                <v:stroke weight="1.5pt" color="#002060" joinstyle="miter"/>
                <v:imagedata o:title=""/>
                <o:lock v:ext="edit" aspectratio="f"/>
              </v:line>
            </w:pict>
          </mc:Fallback>
        </mc:AlternateContent>
      </w:r>
      <w:r>
        <w:rPr>
          <w:rFonts w:ascii="Times New Roman" w:hAnsi="Times New Roman" w:cs="Times New Roman"/>
          <w:b/>
        </w:rPr>
        <w:t xml:space="preserve">ERBB2                                                                          </w:t>
      </w:r>
    </w:p>
    <w:p w14:paraId="2549A8A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5D84D10">
      <w:pPr>
        <w:spacing w:line="300" w:lineRule="auto"/>
        <w:ind w:left="420"/>
        <w:rPr>
          <w:rFonts w:ascii="Times New Roman" w:hAnsi="Times New Roman" w:cs="Times New Roman"/>
          <w:sz w:val="18"/>
          <w:szCs w:val="18"/>
        </w:rPr>
      </w:pPr>
      <w:r>
        <w:rPr>
          <w:rFonts w:ascii="Times New Roman" w:hAnsi="Times New Roman" w:cs="Times New Roman"/>
          <w:sz w:val="18"/>
          <w:szCs w:val="18"/>
        </w:rPr>
        <w:t>ERBB2 又称 HER2，位于17q12，是原癌基因，编码表皮生长因子受体酪氨酸激酶。该蛋白自身没有配体结合域，因此不能结合生长因子。然而，它能够与其他配体结合的表皮生长因子受体家族成员紧密连接，形成异质二聚体，稳定配体结合，增强激酶介导的下游信号通路的激活，参与的PI3K/ AKT/ mTOR和Ras/ Raf/ MEK/ ERK 等信号通路进而调控细胞增殖、存活及分化。HER2扩增导致众多下游分子级联反应，产生增强的增殖信号，ERBB2的激活突变可引起细胞过度增殖进而诱发肿瘤形成。ERBB2最常见的改变是ERBB2扩增(3.82%)、ERBB2突变(3.69%)、ERBB2外显子20突变(0.74%)、ERBB2外显子20插入(0.43%)和ERBB2 S310F(0.32%)。ERBB2突变常见于乳腺癌、肺腺癌、结肠癌、膀胱尿路上皮癌。</w:t>
      </w:r>
    </w:p>
    <w:p w14:paraId="26112758">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hint="eastAsia" w:ascii="Times New Roman" w:hAnsi="Times New Roman" w:cs="Times New Roman"/>
          <w:b/>
          <w:color w:val="000000"/>
          <w:sz w:val="18"/>
          <w:szCs w:val="18"/>
        </w:rPr>
        <w:t>恩美曲妥珠单抗</w:t>
      </w:r>
      <w:r>
        <w:rPr>
          <w:rFonts w:ascii="Times New Roman" w:hAnsi="Times New Roman" w:cs="Times New Roman"/>
          <w:b/>
          <w:sz w:val="18"/>
          <w:szCs w:val="18"/>
        </w:rPr>
        <w:t>*</w:t>
      </w:r>
      <w:r>
        <w:rPr>
          <w:rFonts w:hint="eastAsia" w:ascii="Times New Roman" w:hAnsi="Times New Roman" w:cs="Times New Roman"/>
          <w:b/>
          <w:sz w:val="18"/>
          <w:szCs w:val="18"/>
        </w:rPr>
        <w:t>、</w:t>
      </w:r>
      <w:r>
        <w:rPr>
          <w:rFonts w:ascii="Times New Roman" w:hAnsi="Times New Roman" w:cs="Times New Roman"/>
          <w:sz w:val="18"/>
          <w:szCs w:val="18"/>
        </w:rPr>
        <w:t>Trastuzumab deruxtecan</w:t>
      </w:r>
      <w:r>
        <w:rPr>
          <w:rFonts w:hint="eastAsia" w:ascii="Times New Roman" w:hAnsi="Times New Roman" w:cs="Times New Roman"/>
          <w:sz w:val="18"/>
          <w:szCs w:val="18"/>
        </w:rPr>
        <w:t>、吡咯替尼</w:t>
      </w:r>
      <w:r>
        <w:rPr>
          <w:rFonts w:ascii="Times New Roman" w:hAnsi="Times New Roman" w:cs="Times New Roman"/>
          <w:b/>
          <w:color w:val="000000"/>
          <w:sz w:val="18"/>
          <w:szCs w:val="18"/>
        </w:rPr>
        <w:t>、</w:t>
      </w:r>
      <w:r>
        <w:rPr>
          <w:rFonts w:ascii="Times New Roman" w:hAnsi="Times New Roman" w:cs="Times New Roman"/>
          <w:color w:val="000000"/>
          <w:sz w:val="18"/>
          <w:szCs w:val="18"/>
        </w:rPr>
        <w:t>曲妥珠单抗 + 帕妥珠单抗 、曲妥珠单抗 + 拉帕替尼</w:t>
      </w:r>
    </w:p>
    <w:p w14:paraId="7B1F2E36">
      <w:pPr>
        <w:spacing w:line="300" w:lineRule="auto"/>
        <w:ind w:left="420"/>
        <w:rPr>
          <w:rFonts w:ascii="Times New Roman" w:hAnsi="Times New Roman" w:cs="Times New Roman"/>
          <w:sz w:val="18"/>
          <w:szCs w:val="18"/>
        </w:rPr>
      </w:pPr>
      <w:r>
        <w:rPr>
          <w:rFonts w:ascii="Times New Roman" w:hAnsi="Times New Roman" w:cs="Times New Roman"/>
          <w:sz w:val="18"/>
          <w:szCs w:val="18"/>
        </w:rPr>
        <w:t>ERBB2常发生的变异是20号外显子插入，携带 ERBB2 活化突变的晚期 NSCLC 对 ERBB2 抑制剂可能敏感。NCCN指南推荐</w:t>
      </w:r>
      <w:r>
        <w:rPr>
          <w:rFonts w:hint="eastAsia" w:ascii="Times New Roman" w:hAnsi="Times New Roman" w:cs="Times New Roman"/>
          <w:sz w:val="18"/>
          <w:szCs w:val="18"/>
        </w:rPr>
        <w:t>恩美曲妥珠单抗</w:t>
      </w:r>
      <w:r>
        <w:rPr>
          <w:rFonts w:ascii="Times New Roman" w:hAnsi="Times New Roman" w:cs="Times New Roman"/>
          <w:sz w:val="18"/>
          <w:szCs w:val="18"/>
        </w:rPr>
        <w:t>（TDM-1）</w:t>
      </w:r>
      <w:r>
        <w:rPr>
          <w:rFonts w:hint="eastAsia" w:ascii="Times New Roman" w:hAnsi="Times New Roman" w:cs="Times New Roman"/>
          <w:sz w:val="18"/>
          <w:szCs w:val="18"/>
        </w:rPr>
        <w:t>、</w:t>
      </w:r>
      <w:r>
        <w:rPr>
          <w:rFonts w:ascii="Times New Roman" w:hAnsi="Times New Roman" w:cs="Times New Roman"/>
          <w:sz w:val="18"/>
          <w:szCs w:val="18"/>
        </w:rPr>
        <w:t>Trastuzumab deruxtecan用于HER2突变的非小细胞肺癌患者[NCCN_Non-Small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w:t>
      </w:r>
      <w:r>
        <w:rPr>
          <w:rFonts w:hint="eastAsia" w:ascii="Times New Roman" w:hAnsi="Times New Roman" w:cs="Times New Roman"/>
          <w:sz w:val="18"/>
          <w:szCs w:val="18"/>
        </w:rPr>
        <w:t>非小细胞肺癌中，</w:t>
      </w:r>
      <w:r>
        <w:rPr>
          <w:rFonts w:ascii="Times New Roman" w:hAnsi="Times New Roman" w:cs="Times New Roman"/>
          <w:sz w:val="18"/>
          <w:szCs w:val="18"/>
        </w:rPr>
        <w:t>HER2 20号外显子插入突变对吡咯替尼敏感[PMID: 30596880]</w:t>
      </w:r>
      <w:r>
        <w:rPr>
          <w:rFonts w:hint="eastAsia" w:ascii="Times New Roman" w:hAnsi="Times New Roman" w:cs="Times New Roman"/>
          <w:sz w:val="18"/>
          <w:szCs w:val="18"/>
        </w:rPr>
        <w:t>，</w:t>
      </w:r>
      <w:r>
        <w:rPr>
          <w:rFonts w:ascii="Times New Roman" w:hAnsi="Times New Roman" w:cs="Times New Roman"/>
          <w:sz w:val="18"/>
          <w:szCs w:val="18"/>
        </w:rPr>
        <w:t>但HER2突变对埃克替尼</w:t>
      </w:r>
      <w:r>
        <w:rPr>
          <w:rFonts w:hint="eastAsia" w:ascii="Times New Roman" w:hAnsi="Times New Roman" w:cs="Times New Roman"/>
          <w:sz w:val="18"/>
          <w:szCs w:val="18"/>
        </w:rPr>
        <w:t>、厄洛替尼、吉非替尼、阿法替尼、达可替尼、奥希替尼、西妥昔单抗、帕尼单抗耐药</w:t>
      </w:r>
      <w:r>
        <w:rPr>
          <w:rFonts w:ascii="Times New Roman" w:hAnsi="Times New Roman" w:cs="Times New Roman"/>
          <w:sz w:val="18"/>
          <w:szCs w:val="18"/>
        </w:rPr>
        <w:t>[PMID: 22325357; PMID: 22761469]。目前阿法替尼、拉帕替尼、</w:t>
      </w:r>
      <w:r>
        <w:rPr>
          <w:rFonts w:hint="eastAsia" w:ascii="Times New Roman" w:hAnsi="Times New Roman" w:cs="Times New Roman"/>
          <w:sz w:val="18"/>
          <w:szCs w:val="18"/>
        </w:rPr>
        <w:t>奈拉替尼</w:t>
      </w:r>
      <w:r>
        <w:rPr>
          <w:rFonts w:ascii="Times New Roman" w:hAnsi="Times New Roman" w:cs="Times New Roman"/>
          <w:sz w:val="18"/>
          <w:szCs w:val="18"/>
        </w:rPr>
        <w:t>等用于治疗ERBB2突变和20号外显子插入的肺癌患者的临床试验均在开展。ERBB2扩增是肺癌EGFR TKI治疗继发耐药变异，对EGFR TKI敏感性降低[NCCN_Non-Small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]。结直肠癌中也常发生ERBB2拷贝数变异，</w:t>
      </w:r>
      <w:r>
        <w:rPr>
          <w:rFonts w:hint="eastAsia" w:ascii="Times New Roman" w:hAnsi="Times New Roman" w:cs="Times New Roman"/>
          <w:sz w:val="18"/>
          <w:szCs w:val="18"/>
        </w:rPr>
        <w:t>N</w:t>
      </w:r>
      <w:r>
        <w:rPr>
          <w:rFonts w:ascii="Times New Roman" w:hAnsi="Times New Roman" w:cs="Times New Roman"/>
          <w:sz w:val="18"/>
          <w:szCs w:val="18"/>
        </w:rPr>
        <w:t>CCN指南推荐曲妥珠单抗联合帕妥珠单抗 、曲妥珠单抗联合拉帕替尼</w:t>
      </w:r>
      <w:r>
        <w:rPr>
          <w:rFonts w:hint="eastAsia" w:ascii="Times New Roman" w:hAnsi="Times New Roman" w:cs="Times New Roman"/>
          <w:sz w:val="18"/>
          <w:szCs w:val="18"/>
        </w:rPr>
        <w:t>、</w:t>
      </w:r>
      <w:r>
        <w:rPr>
          <w:rFonts w:ascii="Times New Roman" w:hAnsi="Times New Roman" w:cs="Times New Roman"/>
          <w:sz w:val="18"/>
          <w:szCs w:val="18"/>
        </w:rPr>
        <w:t>Trastuzumab deruxtecan用于治疗ERBB2扩增的结直肠癌患者</w:t>
      </w:r>
      <w:r>
        <w:rPr>
          <w:rFonts w:hint="eastAsia" w:ascii="Times New Roman" w:hAnsi="Times New Roman" w:cs="Times New Roman"/>
          <w:sz w:val="18"/>
          <w:szCs w:val="18"/>
        </w:rPr>
        <w:t>[</w:t>
      </w:r>
      <w:r>
        <w:rPr>
          <w:rFonts w:ascii="Times New Roman" w:hAnsi="Times New Roman" w:cs="Times New Roman"/>
          <w:sz w:val="18"/>
          <w:szCs w:val="18"/>
        </w:rPr>
        <w:t>NCCN Guideline -Colon Cancer_2021_V2]。一项II期临床试验，入组34例HER2扩增或过表达的结直肠癌患者，接受标准剂量的曲妥珠单抗和帕妥珠单抗联合治疗，32例患者可评估；在治疗开始中位随访5.2个月，12例患者局部缓解，另有3例患者疾病稳定大于4个月，ORR为37.5%，缓解可持续。一例KRAS，NRAS和BRAF野生型的转移性结直肠癌患者标准治疗进展，检出HER2扩增，使用</w:t>
      </w:r>
      <w:r>
        <w:rPr>
          <w:rFonts w:hint="eastAsia" w:ascii="Times New Roman" w:hAnsi="Times New Roman" w:cs="Times New Roman"/>
          <w:sz w:val="18"/>
          <w:szCs w:val="18"/>
        </w:rPr>
        <w:t>恩美曲妥珠单抗</w:t>
      </w:r>
      <w:r>
        <w:rPr>
          <w:rFonts w:ascii="Times New Roman" w:hAnsi="Times New Roman" w:cs="Times New Roman"/>
          <w:sz w:val="18"/>
          <w:szCs w:val="18"/>
        </w:rPr>
        <w:t>进行治疗，获得7个月的疾病控制，后使用曲妥珠单抗联合帕妥珠单抗治疗后，患者3个月后疾病发生进展[PMID: 28040715]。</w:t>
      </w:r>
      <w:r>
        <w:rPr>
          <w:rFonts w:hint="eastAsia" w:ascii="Times New Roman" w:hAnsi="Times New Roman" w:cs="Times New Roman"/>
          <w:sz w:val="18"/>
          <w:szCs w:val="18"/>
        </w:rPr>
        <w:t>一项</w:t>
      </w:r>
      <w:r>
        <w:rPr>
          <w:rFonts w:ascii="Times New Roman" w:hAnsi="Times New Roman" w:cs="Times New Roman"/>
          <w:sz w:val="18"/>
          <w:szCs w:val="18"/>
        </w:rPr>
        <w:t>II期临床研究中，招募914例KRAS外显子2野生型的转移性结直肠癌患者，发现48例 (5%)患者呈HER2阳性，其中27例患者接受曲妥珠单抗和拉帕替尼联合治疗，中位随访时间为94周，8例获得客观响应，1例CR，7例PR，12例SD [PMID: 27108243]。研究显示，KRAS野生型结直肠癌患者，EGFR单抗（西妥昔单抗/帕尼单抗）治疗ERBB2扩增的患者疗效更差[PMID: 23348520]。</w:t>
      </w:r>
    </w:p>
    <w:p w14:paraId="763CC640">
      <w:pPr>
        <w:spacing w:line="300" w:lineRule="auto"/>
        <w:ind w:left="420"/>
        <w:rPr>
          <w:rFonts w:ascii="Times New Roman" w:hAnsi="Times New Roman" w:cs="Times New Roman"/>
          <w:sz w:val="18"/>
          <w:szCs w:val="18"/>
        </w:rPr>
      </w:pPr>
    </w:p>
    <w:p w14:paraId="148E702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257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5" name="直线 2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5" o:spid="_x0000_s1026" o:spt="20" style="position:absolute;left:0pt;margin-left:-2.6pt;margin-top:12.55pt;height:1.7pt;width:453.4pt;z-index:-25164390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n55K3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ERBB3                                                                          </w:t>
      </w:r>
    </w:p>
    <w:p w14:paraId="3772299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1B35FE0">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BB3是原癌基因，编码表皮生长因子受体(EGFR)家族受体酪氨酸激酶的成员。该膜结合蛋白有一个神经调节蛋白结合域，但没有活性激酶域，它可以结合配体发挥作用，与其他具有激酶活性的EGF受体家族成员形成异源二聚体并激活细胞增殖或分化途径，在细胞增殖、凋亡、骨架重排方面具有重要作用。该基因的扩增或过表达已在前列腺癌、膀胱癌和乳腺癌等多种癌症中被报道，错义突变、无义突变、沉默突变和移码缺失在子宫内膜癌、肠癌和胃癌等癌症中也可观察到。 </w:t>
      </w:r>
    </w:p>
    <w:p w14:paraId="4971E72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1BE51CF">
      <w:pPr>
        <w:spacing w:line="300" w:lineRule="auto"/>
        <w:ind w:left="420"/>
        <w:rPr>
          <w:rFonts w:ascii="Times New Roman" w:hAnsi="Times New Roman" w:cs="Times New Roman"/>
          <w:sz w:val="18"/>
          <w:szCs w:val="18"/>
        </w:rPr>
      </w:pPr>
      <w:r>
        <w:rPr>
          <w:rFonts w:ascii="Times New Roman" w:hAnsi="Times New Roman" w:cs="Times New Roman"/>
          <w:sz w:val="18"/>
          <w:szCs w:val="18"/>
        </w:rPr>
        <w:t>一项Ⅰ期临床试验表明U3-1402对EGFR-TKI耐药后继发的不同通路激活（包括C797S、ERBB3、CDK4）都有疗效。</w:t>
      </w:r>
      <w:r>
        <w:rPr>
          <w:rFonts w:hint="eastAsia" w:ascii="Times New Roman" w:hAnsi="Times New Roman" w:cs="Times New Roman"/>
          <w:sz w:val="18"/>
          <w:szCs w:val="18"/>
        </w:rPr>
        <w:t>帕妥珠单抗</w:t>
      </w:r>
      <w:r>
        <w:rPr>
          <w:rFonts w:ascii="Times New Roman" w:hAnsi="Times New Roman" w:cs="Times New Roman"/>
          <w:sz w:val="18"/>
          <w:szCs w:val="18"/>
        </w:rPr>
        <w:t>介导的对ErbB2异源二聚的抑制降低了AKT的磷酸化、细胞的体外生长和异种移植体的体内生长[PMID: 26206558]。在表达ERBB3 (HER3)的异种移植小鼠中，抑制剂</w:t>
      </w:r>
      <w:r>
        <w:rPr>
          <w:rFonts w:hint="eastAsia" w:ascii="Times New Roman" w:hAnsi="Times New Roman" w:cs="Times New Roman"/>
          <w:sz w:val="18"/>
          <w:szCs w:val="18"/>
        </w:rPr>
        <w:t>帕妥珠单抗</w:t>
      </w:r>
      <w:r>
        <w:rPr>
          <w:rFonts w:ascii="Times New Roman" w:hAnsi="Times New Roman" w:cs="Times New Roman"/>
          <w:sz w:val="18"/>
          <w:szCs w:val="18"/>
        </w:rPr>
        <w:t>和9f7 - f11的组合增强了肿瘤抑制和中位生存时间，单药</w:t>
      </w:r>
      <w:r>
        <w:rPr>
          <w:rFonts w:hint="eastAsia" w:ascii="Times New Roman" w:hAnsi="Times New Roman" w:cs="Times New Roman"/>
          <w:sz w:val="18"/>
          <w:szCs w:val="18"/>
        </w:rPr>
        <w:t>帕妥珠单抗</w:t>
      </w:r>
      <w:r>
        <w:rPr>
          <w:rFonts w:ascii="Times New Roman" w:hAnsi="Times New Roman" w:cs="Times New Roman"/>
          <w:sz w:val="18"/>
          <w:szCs w:val="18"/>
        </w:rPr>
        <w:t>的敏感性也可能通过ERBB3的表达而增加[PMID: 25216528]。评估</w:t>
      </w:r>
      <w:r>
        <w:rPr>
          <w:rFonts w:hint="eastAsia" w:ascii="Times New Roman" w:hAnsi="Times New Roman" w:cs="Times New Roman"/>
          <w:sz w:val="18"/>
          <w:szCs w:val="18"/>
        </w:rPr>
        <w:t>奈拉替尼</w:t>
      </w:r>
      <w:r>
        <w:rPr>
          <w:rFonts w:ascii="Times New Roman" w:hAnsi="Times New Roman" w:cs="Times New Roman"/>
          <w:sz w:val="18"/>
          <w:szCs w:val="18"/>
        </w:rPr>
        <w:t>治疗ERBB3激活突变的肺癌和实体瘤患者疗效的临床试验正在开展。</w:t>
      </w:r>
    </w:p>
    <w:p w14:paraId="6D554F55">
      <w:pPr>
        <w:spacing w:line="300" w:lineRule="auto"/>
        <w:ind w:left="420"/>
        <w:rPr>
          <w:rFonts w:ascii="Times New Roman" w:hAnsi="Times New Roman" w:cs="Times New Roman"/>
          <w:sz w:val="18"/>
          <w:szCs w:val="18"/>
        </w:rPr>
      </w:pPr>
    </w:p>
    <w:p w14:paraId="7CD1679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691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9" name="直线 2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6" o:spid="_x0000_s1026" o:spt="20" style="position:absolute;left:0pt;margin-left:-2.55pt;margin-top:12.55pt;height:1.7pt;width:453.45pt;z-index:-25162956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EHr0V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ERBB4                                                                          </w:t>
      </w:r>
    </w:p>
    <w:p w14:paraId="0880D61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1A11088">
      <w:pPr>
        <w:spacing w:line="360" w:lineRule="auto"/>
        <w:ind w:left="420"/>
        <w:rPr>
          <w:rFonts w:ascii="Times New Roman" w:hAnsi="Times New Roman" w:cs="Times New Roman"/>
          <w:b/>
        </w:rPr>
      </w:pPr>
      <w:r>
        <w:rPr>
          <w:rFonts w:ascii="Times New Roman" w:hAnsi="Times New Roman" w:cs="Times New Roman"/>
          <w:sz w:val="18"/>
          <w:szCs w:val="18"/>
        </w:rPr>
        <w:t>ERBB4是酪氨酸蛋白激酶，属于表皮生长因子受体，通过多个富含半胱氨酸结构域来编码I型膜蛋白，该区域是一个跨膜的酪氨酸激酶结构域，是磷脂酰肌醇3激酶结合位点，绑定基序的PDZ结构域。该激酶结合配体后发生同源或异源二聚体化，导致酪氨酸激酶磷酸化被激活，之后激活下游PI3K-AKT-mTOR和RAS-RAF-MEK-ERK信号通路，通过结合神经调节蛋白及其它因子并被激活，进而诱导了包括有丝分裂分化在内的一系列细胞反应，促进细胞增殖，抑制细胞凋亡。ERBB4突变常见于肺癌、结肠腺癌、皮肤黑色素瘤、黑色素瘤、乳腺浸润性导管癌和胃癌中。</w:t>
      </w:r>
    </w:p>
    <w:p w14:paraId="2B0420C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8693C71">
      <w:pPr>
        <w:spacing w:line="360" w:lineRule="auto"/>
        <w:ind w:left="420"/>
        <w:rPr>
          <w:rFonts w:ascii="Times New Roman" w:hAnsi="Times New Roman" w:cs="Times New Roman"/>
          <w:sz w:val="18"/>
          <w:szCs w:val="18"/>
        </w:rPr>
      </w:pPr>
      <w:r>
        <w:rPr>
          <w:rFonts w:hint="eastAsia" w:ascii="Times New Roman" w:hAnsi="Times New Roman" w:cs="Times New Roman"/>
          <w:sz w:val="18"/>
          <w:szCs w:val="18"/>
        </w:rPr>
        <w:t>一项研究中，肺鳞癌患者按</w:t>
      </w:r>
      <w:r>
        <w:rPr>
          <w:rFonts w:ascii="Times New Roman" w:hAnsi="Times New Roman" w:cs="Times New Roman"/>
          <w:sz w:val="18"/>
          <w:szCs w:val="18"/>
        </w:rPr>
        <w:t>1:1随机分组接受阿法替尼或厄洛替尼，ERBB4（HER4）突变预测阿法替尼治疗的OS（HR=0.22）和PFS（HR=0.21）优于厄洛替尼[PMID: 29902295]。一项研究中，研究人员利用NAPPA蛋白微阵列平台，发现药物</w:t>
      </w:r>
      <w:r>
        <w:rPr>
          <w:rFonts w:hint="eastAsia" w:ascii="Times New Roman" w:hAnsi="Times New Roman" w:cs="Times New Roman"/>
          <w:sz w:val="18"/>
          <w:szCs w:val="18"/>
        </w:rPr>
        <w:t>伊布替尼</w:t>
      </w:r>
      <w:r>
        <w:rPr>
          <w:rFonts w:ascii="Times New Roman" w:hAnsi="Times New Roman" w:cs="Times New Roman"/>
          <w:sz w:val="18"/>
          <w:szCs w:val="18"/>
        </w:rPr>
        <w:t>能够靶向ERBB4 [PMID: 29398709]。评估</w:t>
      </w:r>
      <w:r>
        <w:rPr>
          <w:rFonts w:hint="eastAsia" w:ascii="Times New Roman" w:hAnsi="Times New Roman" w:cs="Times New Roman"/>
          <w:sz w:val="18"/>
          <w:szCs w:val="18"/>
        </w:rPr>
        <w:t>奈拉替尼</w:t>
      </w:r>
      <w:r>
        <w:rPr>
          <w:rFonts w:ascii="Times New Roman" w:hAnsi="Times New Roman" w:cs="Times New Roman"/>
          <w:sz w:val="18"/>
          <w:szCs w:val="18"/>
        </w:rPr>
        <w:t>治疗ERBB4突变的实体瘤患者疗效的临床研究正在开展中。</w:t>
      </w:r>
    </w:p>
    <w:p w14:paraId="58409AF5">
      <w:pPr>
        <w:spacing w:line="360" w:lineRule="auto"/>
        <w:ind w:left="420"/>
        <w:rPr>
          <w:rFonts w:ascii="Times New Roman" w:hAnsi="Times New Roman" w:cs="Times New Roman"/>
          <w:sz w:val="18"/>
          <w:szCs w:val="18"/>
        </w:rPr>
      </w:pPr>
    </w:p>
    <w:p w14:paraId="4185960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920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1" name="直线 2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7" o:spid="_x0000_s1026" o:spt="20" style="position:absolute;left:0pt;margin-left:-2.6pt;margin-top:12.55pt;height:1.7pt;width:453.4pt;z-index:2516992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KY8G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ERG                                                                         </w:t>
      </w:r>
    </w:p>
    <w:p w14:paraId="3CD9490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6D3A479">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ERG基因编码红细胞转化特异性(ETS)转录因子家族成员，该家族所有成员都是参与胚胎发育、细胞增殖、分化、血管生成、炎症和凋亡的关键调节因子。该基因编码的蛋白主要在细胞核中表达，蛋白包含一个ETS DNA结合域和一个与癌基因蛋白关联的PNT区，是血小板粘附到内皮细胞的必需蛋白，可诱导血管细胞的重构。除此以外它还调节造血、巨核细胞的分化和成熟，参与染色体易位、产生不同的融合基因产物，ERG融合常见于前列腺腺癌、乳腺浸润性导管癌、肺腺癌、膀胱尿路上皮癌和尤文氏肉瘤中。 </w:t>
      </w:r>
    </w:p>
    <w:p w14:paraId="3059BDBA">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DD06780">
      <w:pPr>
        <w:spacing w:line="300" w:lineRule="auto"/>
        <w:ind w:left="420"/>
        <w:rPr>
          <w:rFonts w:ascii="Times New Roman" w:hAnsi="Times New Roman" w:cs="Times New Roman"/>
          <w:sz w:val="18"/>
          <w:szCs w:val="18"/>
        </w:rPr>
      </w:pPr>
      <w:r>
        <w:rPr>
          <w:rFonts w:ascii="Times New Roman" w:hAnsi="Times New Roman" w:cs="Times New Roman"/>
          <w:sz w:val="18"/>
          <w:szCs w:val="18"/>
        </w:rPr>
        <w:t>在2013年的ASCO上，研究者对524份前列腺组织标本进行检测的结果显示，35%存在ERG融合。ERG融合阳性的患者，接受阿比特龙联合泼尼松治疗后，影像学上无进展生存（rPFS，22个月对16个月，P=0.12）和进展时间（14 个月对8个月，P=0.15）有获得改善的趋势，提示ERG融合可能是阿比特龙有效性的生物标志物。</w:t>
      </w:r>
    </w:p>
    <w:p w14:paraId="3F1F9F06">
      <w:pPr>
        <w:spacing w:line="300" w:lineRule="auto"/>
        <w:ind w:left="420"/>
        <w:rPr>
          <w:rFonts w:ascii="Times New Roman" w:hAnsi="Times New Roman" w:cs="Times New Roman"/>
          <w:sz w:val="18"/>
          <w:szCs w:val="18"/>
        </w:rPr>
      </w:pPr>
    </w:p>
    <w:p w14:paraId="3B24770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456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3" name="直线 2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8" o:spid="_x0000_s1026" o:spt="20" style="position:absolute;left:0pt;margin-left:-2.6pt;margin-top:12.55pt;height:1.7pt;width:453.4pt;z-index:25171456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E2Hr46gEAAOA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xVvOHFi68cfvPx5/&#10;/mKzZVZnCNhQ0p3bxvMJwzZmqscu2vwnEuxYFD1dFFXHxAQ55+/my+mSxBYUm03nN0Xx6rk4REwf&#10;lLcsGy032mXC0MDhIyZqSKlPKdltHBtoaW/qecYEWr+Orp1MG4gCun0pRm+0vNfG5BKM+92diewA&#10;eQXqWb14muGvtNxlA9iPeSU0LofVSWXq0PQK5HsnWToFUsnR6+B5GqskZ0bRY8pWyUygzTWZxM44&#10;IplFHmXN1s7LU1G7+OniiwznJc2b9ee5VD8/zP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ITYev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ESR1                                                                          </w:t>
      </w:r>
    </w:p>
    <w:p w14:paraId="00F73D2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7F2EE4C">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SR1基因编码的雌激素受体是一种由配体激活的转录因子，由几个对激素结合、DNA结合和转录激活都很重要的区域组成。该蛋白位于细胞核，与雌激素受体2形成同型二聚体或异型二聚体。雌激素及其受体存在于乳腺上皮，能调控乳腺的生长、发育和细胞增殖，对性发育和生殖功能至关重要，ESR1在乳腺癌、子宫内膜癌、前列腺癌等癌症的发病机制中起作用[PMID: 21779010]。 </w:t>
      </w:r>
    </w:p>
    <w:p w14:paraId="2DAC924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073B93E">
      <w:pPr>
        <w:spacing w:line="300" w:lineRule="auto"/>
        <w:ind w:left="420"/>
        <w:rPr>
          <w:rFonts w:ascii="Times New Roman" w:hAnsi="Times New Roman" w:cs="Times New Roman"/>
          <w:sz w:val="18"/>
          <w:szCs w:val="18"/>
        </w:rPr>
      </w:pPr>
      <w:r>
        <w:rPr>
          <w:rFonts w:ascii="Times New Roman" w:hAnsi="Times New Roman" w:cs="Times New Roman"/>
          <w:sz w:val="18"/>
          <w:szCs w:val="18"/>
        </w:rPr>
        <w:t>雌激素受体阳性的乳腺癌对激素治疗有耐药性，ESR1的配体结合区域的许多突变与激素抵抗和抗雌激素治疗有关。</w:t>
      </w:r>
      <w:r>
        <w:rPr>
          <w:rFonts w:hint="eastAsia" w:ascii="Times New Roman" w:hAnsi="Times New Roman" w:cs="Times New Roman"/>
          <w:sz w:val="18"/>
          <w:szCs w:val="18"/>
        </w:rPr>
        <w:t>氟维司群</w:t>
      </w:r>
      <w:r>
        <w:rPr>
          <w:rFonts w:ascii="Times New Roman" w:hAnsi="Times New Roman" w:cs="Times New Roman"/>
          <w:sz w:val="18"/>
          <w:szCs w:val="18"/>
        </w:rPr>
        <w:t>刺激ESR1蛋白降解的研究正处于临床试验阶段，并取得了一些成功。16例转移性乳腺癌患者通过</w:t>
      </w:r>
      <w:r>
        <w:rPr>
          <w:rFonts w:hint="eastAsia" w:ascii="Times New Roman" w:hAnsi="Times New Roman" w:cs="Times New Roman"/>
          <w:sz w:val="18"/>
          <w:szCs w:val="18"/>
        </w:rPr>
        <w:t>哌柏西利</w:t>
      </w:r>
      <w:r>
        <w:rPr>
          <w:rFonts w:ascii="Times New Roman" w:hAnsi="Times New Roman" w:cs="Times New Roman"/>
          <w:sz w:val="18"/>
          <w:szCs w:val="18"/>
        </w:rPr>
        <w:t>联合</w:t>
      </w:r>
      <w:r>
        <w:rPr>
          <w:rFonts w:hint="eastAsia" w:ascii="Times New Roman" w:hAnsi="Times New Roman" w:cs="Times New Roman"/>
          <w:sz w:val="18"/>
          <w:szCs w:val="18"/>
        </w:rPr>
        <w:t>来曲唑</w:t>
      </w:r>
      <w:r>
        <w:rPr>
          <w:rFonts w:ascii="Times New Roman" w:hAnsi="Times New Roman" w:cs="Times New Roman"/>
          <w:sz w:val="18"/>
          <w:szCs w:val="18"/>
        </w:rPr>
        <w:t>进行治疗，发现ESR1突变患者(5/16)，包括ESR1 D538G (n = 2)与野生型患者相比ESR1 (n = 11)，总体生存率无显著差异[PMID: 27556863]。</w:t>
      </w:r>
      <w:r>
        <w:rPr>
          <w:rFonts w:hint="eastAsia" w:ascii="Times New Roman" w:hAnsi="Times New Roman" w:cs="Times New Roman"/>
          <w:sz w:val="18"/>
          <w:szCs w:val="18"/>
        </w:rPr>
        <w:t>哌柏西利和来曲唑治疗转移性乳腺癌的研究中，在初次采血时已经携带</w:t>
      </w:r>
      <w:r>
        <w:rPr>
          <w:rFonts w:ascii="Times New Roman" w:hAnsi="Times New Roman" w:cs="Times New Roman"/>
          <w:sz w:val="18"/>
          <w:szCs w:val="18"/>
        </w:rPr>
        <w:t>ESR1突变的患者（ESR1-de novo突变组，n = 3）PFS显著缩短（median; 9.0 versus 3.3 months, HR=0.25; 95% CI: 0.01-0.9, P-value=0.038），ESR1-de novo突变组的中位OS为12.0个月，有进展加快趋势（HR=0.32; 95% CI: 0.02-2.1, P-value=0.18）；一名ESR1-de novo突变患者治疗1.4个月后抽血ESR1-D538G突变阳性，该患者第一次抽血时处于疾病进展[PMID: 28978004]。</w:t>
      </w:r>
    </w:p>
    <w:p w14:paraId="029657C1">
      <w:pPr>
        <w:spacing w:line="300" w:lineRule="auto"/>
        <w:ind w:left="420"/>
        <w:rPr>
          <w:rFonts w:ascii="Times New Roman" w:hAnsi="Times New Roman" w:cs="Times New Roman"/>
          <w:sz w:val="18"/>
          <w:szCs w:val="18"/>
          <w:highlight w:val="black"/>
        </w:rPr>
      </w:pPr>
    </w:p>
    <w:p w14:paraId="5CB1493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360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6" name="直线 2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9" o:spid="_x0000_s1026" o:spt="20" style="position:absolute;left:0pt;margin-left:-2.6pt;margin-top:12.55pt;height:1.7pt;width:453.4pt;z-index:-2516428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1cb4K6g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oIzB5Zu/On7j6ef&#10;v9jsJqszBGwo6c5t4/mEYRsz1WMXbf4TCXYsip4uiqpjYoKc8/fz5XRJYguKzabzm6J49VIcIqaP&#10;yluWjZYb7TJhaODwCRM1pNTnlOw2jg006k09z5hA69fRtZNpA1FAty/F6I2W99qYXIJxv7szkR0g&#10;r0A9qxfPM/yVlrtsAPsxr4TG5bA6qUwdml6B/OAkS6dAKjl6HTxPY5XkzCh6TNkqmQm0uSaT2BlH&#10;JLPIo6zZ2nl5KmoXP118keG8pHmz/jyX6peHuf4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HVxvgr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ETV1                                                                          </w:t>
      </w:r>
    </w:p>
    <w:p w14:paraId="18520B5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E88C81E">
      <w:pPr>
        <w:spacing w:line="300" w:lineRule="auto"/>
        <w:ind w:left="420"/>
        <w:rPr>
          <w:rFonts w:ascii="Times New Roman" w:hAnsi="Times New Roman" w:cs="Times New Roman"/>
          <w:sz w:val="18"/>
          <w:szCs w:val="18"/>
        </w:rPr>
      </w:pPr>
      <w:r>
        <w:rPr>
          <w:rFonts w:ascii="Times New Roman" w:hAnsi="Times New Roman" w:cs="Times New Roman"/>
          <w:sz w:val="18"/>
          <w:szCs w:val="18"/>
        </w:rPr>
        <w:t>ETV1基因编码转录因子ETS家族的成员，ETS蛋白调控许多细胞生长、血管生成、迁移、增殖和分化等生物学过程的靶基因。ETV1编码蛋白有一个能够结合到DNA共有区域的结合域，除了c端的ETS DNA结合域外，该基因编码的蛋白在N端区域含有一个保守的短酸性反激活域(TAD)。该基因参与染色体易位，并导致包括尤文肉瘤中的EWS-ETV1融合和前列腺癌中至少10个ETV1伴侣在内的多种融合蛋白。除了染色体重排外，该基因在前列腺癌、黑色素瘤和胃肠道间质瘤中会发生过表达变异。</w:t>
      </w:r>
    </w:p>
    <w:p w14:paraId="0071E86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CECEE5D">
      <w:pPr>
        <w:spacing w:line="300" w:lineRule="auto"/>
        <w:ind w:left="420"/>
        <w:rPr>
          <w:rFonts w:ascii="Times New Roman" w:hAnsi="Times New Roman" w:cs="Times New Roman"/>
          <w:sz w:val="18"/>
          <w:szCs w:val="18"/>
        </w:rPr>
      </w:pPr>
      <w:r>
        <w:rPr>
          <w:rFonts w:ascii="Times New Roman" w:hAnsi="Times New Roman" w:cs="Times New Roman"/>
          <w:sz w:val="18"/>
          <w:szCs w:val="18"/>
        </w:rPr>
        <w:t>TMPRSS2-ETV1融合在前列腺癌中反复出现[PMID: 16254181]，目前评估恩</w:t>
      </w:r>
      <w:r>
        <w:rPr>
          <w:rFonts w:hint="eastAsia" w:ascii="Times New Roman" w:hAnsi="Times New Roman" w:cs="Times New Roman"/>
          <w:sz w:val="18"/>
          <w:szCs w:val="18"/>
        </w:rPr>
        <w:t>扎卢</w:t>
      </w:r>
      <w:r>
        <w:rPr>
          <w:rFonts w:ascii="Times New Roman" w:hAnsi="Times New Roman" w:cs="Times New Roman"/>
          <w:sz w:val="18"/>
          <w:szCs w:val="18"/>
        </w:rPr>
        <w:t>胺对TMPRSS2-ETV1基因突变的前列腺癌患者疗效的II期临床试验正在进行中。</w:t>
      </w:r>
      <w:r>
        <w:rPr>
          <w:rFonts w:hint="eastAsia" w:ascii="Times New Roman" w:hAnsi="Times New Roman" w:cs="Times New Roman"/>
          <w:sz w:val="18"/>
          <w:szCs w:val="18"/>
        </w:rPr>
        <w:t>对结直肠癌的研究表明，</w:t>
      </w:r>
      <w:r>
        <w:rPr>
          <w:rFonts w:ascii="Times New Roman" w:hAnsi="Times New Roman" w:cs="Times New Roman"/>
          <w:sz w:val="18"/>
          <w:szCs w:val="18"/>
        </w:rPr>
        <w:t>ETV1表达影响细胞活力，ETV1高表达与较差的无复发生存期和总生存期相关[PMID: 30224643]。</w:t>
      </w:r>
    </w:p>
    <w:p w14:paraId="18813BCF">
      <w:pPr>
        <w:spacing w:line="300" w:lineRule="auto"/>
        <w:ind w:left="420"/>
        <w:rPr>
          <w:rFonts w:ascii="Times New Roman" w:hAnsi="Times New Roman" w:cs="Times New Roman"/>
          <w:sz w:val="18"/>
          <w:szCs w:val="18"/>
          <w:highlight w:val="black"/>
        </w:rPr>
      </w:pPr>
    </w:p>
    <w:p w14:paraId="30E020E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793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0" name="直线 3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0" o:spid="_x0000_s1026" o:spt="20" style="position:absolute;left:0pt;margin-left:-2.6pt;margin-top:12.55pt;height:1.7pt;width:453.4pt;z-index:-25162854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vXRta6QEAAOADAAAOAAAAZHJzL2Uyb0RvYy54bWytU0tu&#10;2zAQ3RfoHQjua8kunD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zBykDpDwIaSbt0mnk4YNjFTPXTR5j+RYIei6PGsqDokJsg5/zBfTBeELCg2m86vC2b1VBwipk/K&#10;W5aNlhvtMmFoYP8ZEzWk1MeU7DaODbS01/U8YwKtX0fXTqYNRAHdrhSjN1reaWNyCcbd9tZEtoe8&#10;AvWsvnqc4b+03GUN2I95JTQuh9VJZerQ9ArkRydZOgZSydHr4HkaqyRnRtFjylbJTKDNJZnEzjgi&#10;mUUeZc3W1stjUbv46eKLDKclzZv177lUPz3M1V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r10bWu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ETV4                                                                          </w:t>
      </w:r>
    </w:p>
    <w:p w14:paraId="215AC53A">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324CFD9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TV4编码转录因子ETS家族的一个成员，参与调控细胞生长、血管生成、迁移、增殖及分化。ETV4基因与正常细胞分裂有关，可能参与序列特异性DNA结合和序列特异性DNA结合转录因子的活性调节，相关通路包括LKB1信号通路和RET信号通路。ETV4的融合、错义突变和沉默突变可在卵巢癌和上消化道癌症等癌症中观察到，ETV4在0.07%的癌症存在变异。 </w:t>
      </w:r>
    </w:p>
    <w:p w14:paraId="4EA9CFA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38F2B0A">
      <w:pPr>
        <w:spacing w:line="300" w:lineRule="auto"/>
        <w:ind w:left="420"/>
        <w:rPr>
          <w:rFonts w:ascii="Times New Roman" w:hAnsi="Times New Roman" w:cs="Times New Roman"/>
          <w:sz w:val="18"/>
          <w:szCs w:val="18"/>
        </w:rPr>
      </w:pPr>
      <w:r>
        <w:rPr>
          <w:rFonts w:ascii="Times New Roman" w:hAnsi="Times New Roman" w:cs="Times New Roman"/>
          <w:sz w:val="18"/>
          <w:szCs w:val="18"/>
        </w:rPr>
        <w:t>ETV4表达增高与Gleason评分增高(P = 0.045)、肿瘤病理分期增高(P = 0.041)、预后不良(P = 0.040)有关[PMID: 2544710]，KRAS G12C肺癌细胞(CALU1)的体外研究表明，ETV4的过表达调节了对曲美替尼的耐药性，KRAS G12V胰腺癌细胞(PATU8902)的体外研究表明，ETV4过表达降低了对曲美替尼的敏感性[PMID: 28178529]。</w:t>
      </w:r>
      <w:r>
        <w:rPr>
          <w:rFonts w:hint="eastAsia" w:ascii="Times New Roman" w:hAnsi="Times New Roman" w:cs="Times New Roman"/>
          <w:sz w:val="18"/>
          <w:szCs w:val="18"/>
        </w:rPr>
        <w:t>有研究表明，</w:t>
      </w:r>
      <w:r>
        <w:rPr>
          <w:rFonts w:ascii="Times New Roman" w:hAnsi="Times New Roman" w:cs="Times New Roman"/>
          <w:sz w:val="18"/>
          <w:szCs w:val="18"/>
        </w:rPr>
        <w:t>ETV4和MMP24水平升高，是肺癌和/或胃癌患者的肿瘤进展生物标志物，可能与较差预后相关[PMID: 27869830]。</w:t>
      </w:r>
    </w:p>
    <w:p w14:paraId="0673152C">
      <w:pPr>
        <w:spacing w:line="300" w:lineRule="auto"/>
        <w:ind w:left="420"/>
        <w:rPr>
          <w:rFonts w:ascii="Times New Roman" w:hAnsi="Times New Roman" w:cs="Times New Roman"/>
          <w:sz w:val="18"/>
          <w:szCs w:val="18"/>
          <w:highlight w:val="black"/>
        </w:rPr>
      </w:pPr>
    </w:p>
    <w:p w14:paraId="07FFFA1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022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2" name="直线 3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1" o:spid="_x0000_s1026" o:spt="20" style="position:absolute;left:0pt;margin-left:-2.6pt;margin-top:12.55pt;height:1.7pt;width:453.4pt;z-index:2517002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G20CJ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72acObB044/ffzz+&#10;/MXeTr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G20CJ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ETV5                                                                          </w:t>
      </w:r>
    </w:p>
    <w:p w14:paraId="022A650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F719BA0">
      <w:pPr>
        <w:spacing w:line="300" w:lineRule="auto"/>
        <w:ind w:left="420"/>
        <w:rPr>
          <w:rFonts w:ascii="Times New Roman" w:hAnsi="Times New Roman" w:cs="Times New Roman"/>
          <w:sz w:val="18"/>
          <w:szCs w:val="18"/>
        </w:rPr>
      </w:pPr>
      <w:r>
        <w:rPr>
          <w:rFonts w:ascii="Times New Roman" w:hAnsi="Times New Roman" w:cs="Times New Roman"/>
          <w:sz w:val="18"/>
          <w:szCs w:val="18"/>
        </w:rPr>
        <w:t>ETV5(ETS变异转录因子5)属于肿瘤易感基因，编码转录因子ETS（E26）家族成员，参与转录调控区域DNA结合和序列特异性DNA结合转录因子的活性调节。目前在肠癌，皮肤癌和尿路癌的癌症中观察到ETV5的错义突变，无义突变，沉默突变和移码缺失。与ETV5相关的疾病包括前列腺癌、肠癌、皮肤癌，还包括神经纤维瘤病、II型和尿道综合征。在所有患有鳞状细胞肺癌和肛门鳞状细胞癌的患者中，约0.19％发生了ETV5的改变。</w:t>
      </w:r>
    </w:p>
    <w:p w14:paraId="346C0ED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0810932">
      <w:pPr>
        <w:spacing w:line="300" w:lineRule="auto"/>
        <w:ind w:left="420"/>
        <w:rPr>
          <w:rFonts w:ascii="Times New Roman" w:hAnsi="Times New Roman" w:cs="Times New Roman"/>
          <w:sz w:val="18"/>
          <w:szCs w:val="18"/>
        </w:rPr>
      </w:pPr>
      <w:r>
        <w:rPr>
          <w:rFonts w:ascii="Times New Roman" w:hAnsi="Times New Roman" w:cs="Times New Roman"/>
          <w:sz w:val="18"/>
          <w:szCs w:val="18"/>
        </w:rPr>
        <w:t>KRAS G12C肺癌细胞(CALU1)的体外研究表明，ETV5的过表达调节了对曲美替尼的耐药性，KRAS G12V胰腺癌细胞(PATU8902)的体外研究表明，ETV5过表达降低了对曲美替尼的敏感性[PMID:</w:t>
      </w:r>
      <w:r>
        <w:rPr>
          <w:rFonts w:hint="eastAsia" w:ascii="Times New Roman" w:hAnsi="Times New Roman" w:cs="Times New Roman"/>
          <w:sz w:val="18"/>
          <w:szCs w:val="18"/>
        </w:rPr>
        <w:t xml:space="preserve"> </w:t>
      </w:r>
      <w:r>
        <w:rPr>
          <w:rFonts w:ascii="Times New Roman" w:hAnsi="Times New Roman" w:cs="Times New Roman"/>
          <w:sz w:val="18"/>
          <w:szCs w:val="18"/>
        </w:rPr>
        <w:t>28178529]。</w:t>
      </w:r>
      <w:r>
        <w:rPr>
          <w:rFonts w:hint="eastAsia" w:ascii="Times New Roman" w:hAnsi="Times New Roman" w:cs="Times New Roman"/>
          <w:sz w:val="18"/>
          <w:szCs w:val="18"/>
        </w:rPr>
        <w:t>研究表明，肺癌中</w:t>
      </w:r>
      <w:r>
        <w:rPr>
          <w:rFonts w:ascii="Times New Roman" w:hAnsi="Times New Roman" w:cs="Times New Roman"/>
          <w:sz w:val="18"/>
          <w:szCs w:val="18"/>
        </w:rPr>
        <w:t>ETV5、LPP或MMP15基因失活是增加肿瘤的恶性程度的预后标志物[PMID: 26028032]。</w:t>
      </w:r>
      <w:r>
        <w:rPr>
          <w:rFonts w:hint="eastAsia" w:ascii="Times New Roman" w:hAnsi="Times New Roman" w:cs="Times New Roman"/>
          <w:sz w:val="18"/>
          <w:szCs w:val="18"/>
        </w:rPr>
        <w:t>临床前研究表明，</w:t>
      </w:r>
      <w:r>
        <w:rPr>
          <w:rFonts w:ascii="Times New Roman" w:hAnsi="Times New Roman" w:cs="Times New Roman"/>
          <w:sz w:val="18"/>
          <w:szCs w:val="18"/>
        </w:rPr>
        <w:t>EVT5可能是结直肠癌（CRC）中潜在的诊断和预后标志物[PMID: 30650178]。</w:t>
      </w:r>
    </w:p>
    <w:p w14:paraId="614A8F84">
      <w:pPr>
        <w:spacing w:line="360" w:lineRule="auto"/>
        <w:ind w:left="420"/>
        <w:rPr>
          <w:rFonts w:ascii="Times New Roman" w:hAnsi="Times New Roman" w:cs="Times New Roman"/>
          <w:sz w:val="18"/>
          <w:szCs w:val="18"/>
        </w:rPr>
      </w:pPr>
    </w:p>
    <w:p w14:paraId="0470985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872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1" name="直线 3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2" o:spid="_x0000_s1026" o:spt="20" style="position:absolute;left:0pt;margin-left:-2.55pt;margin-top:12.55pt;height:1.7pt;width:453.45pt;z-index:-25163776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6KB2d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FGFR1                                                                           </w:t>
      </w:r>
    </w:p>
    <w:p w14:paraId="6E901B56">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975B020">
      <w:pPr>
        <w:spacing w:line="300" w:lineRule="auto"/>
        <w:ind w:left="420"/>
        <w:rPr>
          <w:rFonts w:ascii="Times New Roman" w:hAnsi="Times New Roman" w:cs="Times New Roman"/>
          <w:sz w:val="18"/>
          <w:szCs w:val="18"/>
        </w:rPr>
      </w:pPr>
      <w:r>
        <w:rPr>
          <w:rFonts w:ascii="Times New Roman" w:hAnsi="Times New Roman" w:cs="Times New Roman"/>
          <w:sz w:val="18"/>
          <w:szCs w:val="18"/>
        </w:rPr>
        <w:t>FGFR1编码的蛋白属于成纤维细胞生长因子受体（FGFR）家族，不同成员间的氨基酸序列在进化过程中高度保守，但该家族成员间的配体亲和力和组织相容性不同。蛋白的胞外部分和成纤维细胞生长因子相互作用，开启下游信号转导，最终影响细胞有丝分裂和分化。FGF/FGFR1信号传递是细胞正常生长所必需的，但当FGFR1高水平表达时可引起多种疾病。其激活突变、扩增或融合可进一步促使恶性肿瘤的发生和发展，在中国人FGFR1变异形式上：扩增＞SNV/Indel＞融合/重排。FGFR1在肺癌中的突变频率约为1.07%。与FGFR1相关的疾病包括肺癌、前列腺癌、口腔鳞癌、食管鳞状细胞癌、乳腺癌、膀胱癌、唾液腺癌卵巢癌等。发生FGFR1易位的肿瘤预后很差。</w:t>
      </w:r>
    </w:p>
    <w:p w14:paraId="22F2751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A82FFC5">
      <w:pPr>
        <w:spacing w:line="360" w:lineRule="auto"/>
        <w:ind w:left="420"/>
        <w:rPr>
          <w:rFonts w:ascii="Times New Roman" w:hAnsi="Times New Roman" w:cs="Times New Roman"/>
          <w:sz w:val="18"/>
          <w:szCs w:val="18"/>
        </w:rPr>
      </w:pPr>
      <w:r>
        <w:rPr>
          <w:rFonts w:ascii="Times New Roman" w:hAnsi="Times New Roman" w:cs="Times New Roman"/>
          <w:sz w:val="18"/>
          <w:szCs w:val="18"/>
        </w:rPr>
        <w:t>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26324363]。临床</w:t>
      </w:r>
      <w:r>
        <w:rPr>
          <w:rFonts w:hint="eastAsia" w:ascii="Times New Roman" w:hAnsi="Times New Roman" w:cs="Times New Roman"/>
          <w:sz w:val="18"/>
          <w:szCs w:val="18"/>
        </w:rPr>
        <w:t>I</w:t>
      </w:r>
      <w:r>
        <w:rPr>
          <w:rFonts w:ascii="Times New Roman" w:hAnsi="Times New Roman" w:cs="Times New Roman"/>
          <w:sz w:val="18"/>
          <w:szCs w:val="18"/>
        </w:rPr>
        <w:t>期试验中，携带FGFR1扩增的肺鳞癌患者用Infigratinib治疗表现出50%的疾病控制率（18/36），其中14个病人疾病稳定，4个病人部分响应[PMID:</w:t>
      </w:r>
      <w:r>
        <w:rPr>
          <w:rFonts w:hint="eastAsia" w:ascii="Times New Roman" w:hAnsi="Times New Roman" w:cs="Times New Roman"/>
          <w:sz w:val="18"/>
          <w:szCs w:val="18"/>
        </w:rPr>
        <w:t xml:space="preserve"> </w:t>
      </w:r>
      <w:r>
        <w:rPr>
          <w:rFonts w:ascii="Times New Roman" w:hAnsi="Times New Roman" w:cs="Times New Roman"/>
          <w:sz w:val="18"/>
          <w:szCs w:val="18"/>
        </w:rPr>
        <w:t>27870574]。在AZD4547单药治疗肺鳞癌的Ⅰb期国际多中心试验中，疾病控制率为39%。在携带FGFR1突变的细胞系和小鼠模型中，一些TKI和FGFR特异的小分子抑制剂表现出抑癌活性。在临床前研究中，PRN1371能够抑制具有FGFR1</w:t>
      </w:r>
      <w:r>
        <w:rPr>
          <w:rFonts w:hint="eastAsia" w:ascii="Times New Roman" w:hAnsi="Times New Roman" w:cs="Times New Roman"/>
          <w:sz w:val="18"/>
          <w:szCs w:val="18"/>
        </w:rPr>
        <w:t xml:space="preserve"> </w:t>
      </w:r>
      <w:r>
        <w:rPr>
          <w:rFonts w:ascii="Times New Roman" w:hAnsi="Times New Roman" w:cs="Times New Roman"/>
          <w:sz w:val="18"/>
          <w:szCs w:val="18"/>
        </w:rPr>
        <w:t>V561M突变的细胞的增殖[PMID:</w:t>
      </w:r>
      <w:r>
        <w:rPr>
          <w:rFonts w:hint="eastAsia" w:ascii="Times New Roman" w:hAnsi="Times New Roman" w:cs="Times New Roman"/>
          <w:sz w:val="18"/>
          <w:szCs w:val="18"/>
        </w:rPr>
        <w:t xml:space="preserve"> </w:t>
      </w:r>
      <w:r>
        <w:rPr>
          <w:rFonts w:ascii="Times New Roman" w:hAnsi="Times New Roman" w:cs="Times New Roman"/>
          <w:sz w:val="18"/>
          <w:szCs w:val="18"/>
        </w:rPr>
        <w:t>28978721]。</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GFR1</w:t>
      </w:r>
      <w:r>
        <w:rPr>
          <w:rFonts w:hint="eastAsia" w:ascii="Times New Roman" w:hAnsi="Times New Roman" w:cs="Times New Roman"/>
          <w:sz w:val="18"/>
          <w:szCs w:val="18"/>
        </w:rPr>
        <w:t>突变/扩增的非小细胞肺癌、结直肠癌等实体瘤患者疗效的临床试验正在开展。</w:t>
      </w:r>
    </w:p>
    <w:p w14:paraId="1E9B118B">
      <w:pPr>
        <w:spacing w:line="360" w:lineRule="auto"/>
        <w:ind w:left="420"/>
        <w:rPr>
          <w:rFonts w:ascii="Times New Roman" w:hAnsi="Times New Roman" w:cs="Times New Roman"/>
          <w:sz w:val="18"/>
          <w:szCs w:val="18"/>
        </w:rPr>
      </w:pPr>
    </w:p>
    <w:p w14:paraId="3DFCC75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558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4" name="直线 3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3" o:spid="_x0000_s1026" o:spt="20" style="position:absolute;left:0pt;margin-left:-2.55pt;margin-top:12.55pt;height:1.7pt;width:453.45pt;z-index:25171558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Z/3y+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FGFR2                                                                         </w:t>
      </w:r>
    </w:p>
    <w:p w14:paraId="2577C67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F04D096">
      <w:pPr>
        <w:spacing w:line="300" w:lineRule="auto"/>
        <w:ind w:left="420"/>
        <w:rPr>
          <w:rFonts w:ascii="Times New Roman" w:hAnsi="Times New Roman" w:cs="Times New Roman"/>
          <w:sz w:val="18"/>
          <w:szCs w:val="18"/>
        </w:rPr>
      </w:pPr>
      <w:r>
        <w:rPr>
          <w:rFonts w:ascii="Times New Roman" w:hAnsi="Times New Roman" w:cs="Times New Roman"/>
          <w:sz w:val="18"/>
          <w:szCs w:val="18"/>
        </w:rPr>
        <w:t>FGFR2编码的蛋白属于成纤维细胞生长因子受体（FGFR）家族，不同成员间以及进化过程中，氨基酸序列高度保守，但FGFR家族成员间配体亲和力和组织相容性不同。蛋白的胞外部分和成纤维细胞生长因子相互作用，开启了下游信号转导，最终影响细胞有丝分裂和分化。FGFR2在发育中起关键作用，目前在癌症中发现的突变形式包括扩增，点突变和易位突变</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20094046</w:t>
      </w:r>
      <w:r>
        <w:rPr>
          <w:rFonts w:hint="eastAsia" w:ascii="Times New Roman" w:hAnsi="Times New Roman" w:cs="Times New Roman"/>
          <w:sz w:val="18"/>
          <w:szCs w:val="18"/>
        </w:rPr>
        <w:t>]</w:t>
      </w:r>
      <w:r>
        <w:rPr>
          <w:rFonts w:ascii="Times New Roman" w:hAnsi="Times New Roman" w:cs="Times New Roman"/>
          <w:sz w:val="18"/>
          <w:szCs w:val="18"/>
        </w:rPr>
        <w:t>。FGFR2基因的错义突变常发生在子宫内膜癌、宫颈癌、乳腺癌、肺癌以及胃癌中，在乳腺癌和胃癌中常发生FGFR2基因拷贝数的增加，使得FGFR2过表达从而导致FGFR2信号的激活。FGFR2在肺癌中的点突变频率约为1.08%。</w:t>
      </w:r>
    </w:p>
    <w:p w14:paraId="76C30E2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4025A77">
      <w:pPr>
        <w:spacing w:line="360" w:lineRule="auto"/>
        <w:ind w:left="420"/>
        <w:rPr>
          <w:rFonts w:ascii="Times New Roman" w:hAnsi="Times New Roman" w:cs="Times New Roman"/>
          <w:sz w:val="18"/>
          <w:szCs w:val="18"/>
        </w:rPr>
      </w:pPr>
      <w:r>
        <w:rPr>
          <w:rFonts w:ascii="Times New Roman" w:hAnsi="Times New Roman" w:cs="Times New Roman"/>
          <w:sz w:val="18"/>
          <w:szCs w:val="18"/>
        </w:rPr>
        <w:t>针对FGFR2异常导致的肿瘤，一般的治疗策略包括多靶点激酶抑制剂，FGFR家族选择性小分子抑制剂，单克隆抗体，以及FGF配体捕获。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26324363]。一项临床前研究中，FGFR2扩增的非小细胞肺癌的PDX模型中，PRN1371治疗产生了67.5%肿瘤抑制率[PMID:</w:t>
      </w:r>
      <w:r>
        <w:rPr>
          <w:rFonts w:hint="eastAsia" w:ascii="Times New Roman" w:hAnsi="Times New Roman" w:cs="Times New Roman"/>
          <w:sz w:val="18"/>
          <w:szCs w:val="18"/>
        </w:rPr>
        <w:t xml:space="preserve"> </w:t>
      </w:r>
      <w:r>
        <w:rPr>
          <w:rFonts w:ascii="Times New Roman" w:hAnsi="Times New Roman" w:cs="Times New Roman"/>
          <w:sz w:val="18"/>
          <w:szCs w:val="18"/>
        </w:rPr>
        <w:t>28978721]。临床前研究表明，普纳替尼被证明能抑制所有四种FGFR的体外激酶活性，在用于表达激活的FGFR1-4的Ba/F3细胞中，普纳替尼有效地抑制FGFR介导的信号[PMID:</w:t>
      </w:r>
      <w:r>
        <w:rPr>
          <w:rFonts w:hint="eastAsia" w:ascii="Times New Roman" w:hAnsi="Times New Roman" w:cs="Times New Roman"/>
          <w:sz w:val="18"/>
          <w:szCs w:val="18"/>
        </w:rPr>
        <w:t xml:space="preserve"> </w:t>
      </w:r>
      <w:r>
        <w:rPr>
          <w:rFonts w:ascii="Times New Roman" w:hAnsi="Times New Roman" w:cs="Times New Roman"/>
          <w:sz w:val="18"/>
          <w:szCs w:val="18"/>
        </w:rPr>
        <w:t>22238366]。FGF2 mRNA和FGFR2 mRNA的表达与淋巴结转移和TNM分期相关。FGF2 mRNA和FGFR2 mRNA的高表达与肺癌患者的肿瘤转移和不良预后有关[PMID: 30013642]。FGFR2表达与女性、组织亚型、年龄较小、低的肿瘤分期有关[PMID: 27785367]</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GFR2</w:t>
      </w:r>
      <w:r>
        <w:rPr>
          <w:rFonts w:hint="eastAsia" w:ascii="Times New Roman" w:hAnsi="Times New Roman" w:cs="Times New Roman"/>
          <w:sz w:val="18"/>
          <w:szCs w:val="18"/>
        </w:rPr>
        <w:t>突变/扩增/融合的实体瘤患者疗效的临床试验正在开展。</w:t>
      </w:r>
    </w:p>
    <w:p w14:paraId="5955438C">
      <w:pPr>
        <w:spacing w:line="360" w:lineRule="auto"/>
        <w:ind w:left="420"/>
        <w:rPr>
          <w:rFonts w:ascii="Times New Roman" w:hAnsi="Times New Roman" w:cs="Times New Roman"/>
          <w:sz w:val="18"/>
          <w:szCs w:val="18"/>
        </w:rPr>
      </w:pPr>
    </w:p>
    <w:p w14:paraId="370D342B">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8960" behindDoc="0" locked="0" layoutInCell="1" allowOverlap="1">
                <wp:simplePos x="0" y="0"/>
                <wp:positionH relativeFrom="column">
                  <wp:posOffset>-22860</wp:posOffset>
                </wp:positionH>
                <wp:positionV relativeFrom="paragraph">
                  <wp:posOffset>245745</wp:posOffset>
                </wp:positionV>
                <wp:extent cx="5758815" cy="21590"/>
                <wp:effectExtent l="0" t="9525" r="3810" b="16510"/>
                <wp:wrapNone/>
                <wp:docPr id="31" name="直线 3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4" o:spid="_x0000_s1026" o:spt="20" style="position:absolute;left:0pt;margin-left:-1.8pt;margin-top:19.35pt;height:1.7pt;width:453.45pt;z-index:251688960;mso-width-relative:page;mso-height-relative:page;" filled="f" stroked="t" coordsize="21600,21600" o:gfxdata="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acObB044/ffzz+&#10;/MWu3mZ1hoANJd25TTydMGxipnroos1/IsEORdHjWVF1SEyQc/5uvlhM55wJis2m85uiePVcHCKm&#10;D8pblo2WG+0yYWhg/xETNaTUp5TsNo4NtLQ39ZwuUACtX0fXTqYNRAHdrhSjN1rea2NyCcbd9s5E&#10;toe8AvWsvn6a4a+03GUN2I95JTQuh9VJZerQ9ArkeydZOgZSydHr4HkaqyRnRtFjylbJTKDNJZnE&#10;zjgimUUeZc3W1stjUbv46eKLDKclzZv157lUPz/M1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A&#10;fYcG1wAAAAgBAAAPAAAAAAAAAAEAIAAAACIAAABkcnMvZG93bnJldi54bWxQSwECFAAUAAAACACH&#10;TuJABK7G9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FGFR3                                                                          </w:t>
      </w:r>
    </w:p>
    <w:p w14:paraId="1097151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F10C111">
      <w:pPr>
        <w:spacing w:line="300" w:lineRule="auto"/>
        <w:ind w:left="420"/>
        <w:rPr>
          <w:rFonts w:ascii="Times New Roman" w:hAnsi="Times New Roman" w:cs="Times New Roman"/>
          <w:sz w:val="18"/>
          <w:szCs w:val="18"/>
        </w:rPr>
      </w:pPr>
      <w:r>
        <w:rPr>
          <w:rFonts w:ascii="Times New Roman" w:hAnsi="Times New Roman" w:cs="Times New Roman"/>
          <w:sz w:val="18"/>
          <w:szCs w:val="18"/>
        </w:rPr>
        <w:t>FGFR3编码的蛋白属于成纤维细胞生长因子受体（FGFR）家族，不同成员间以及进化过程中，氨基酸序列高度保守。FGFR家族成员间配体亲和力和组织相容性不同。完整的蛋白包括一个由三个类免疫球蛋白结构域构成的细胞外区域、一个跨膜疏水区和一个酪氨酸激酶结构域。FGFR3蛋白胞外部分接触纤维细胞生长因子（FGF），触发下游信号转导，进而影响细胞有丝分裂和分化。FGFR3突变激活会导致一些常染色体显性遗传疾病如致死性侏儒症、软骨发育不全等。大多数FGFR3为单个点突变，膀胱癌中最常见的点突变是S249C（占56%）。FGFR3的融合主要发生在神经胶质瘤，其次是膀胱癌。FGFR3在非小细胞肺癌中的扩增突变频率约为0.5-2%。</w:t>
      </w:r>
    </w:p>
    <w:p w14:paraId="10CB550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3891187">
      <w:pPr>
        <w:spacing w:line="360" w:lineRule="auto"/>
        <w:ind w:left="420"/>
        <w:rPr>
          <w:rFonts w:ascii="Times New Roman" w:hAnsi="Times New Roman" w:cs="Times New Roman"/>
          <w:sz w:val="18"/>
          <w:szCs w:val="18"/>
        </w:rPr>
      </w:pPr>
      <w:r>
        <w:rPr>
          <w:rFonts w:ascii="Times New Roman" w:hAnsi="Times New Roman" w:cs="Times New Roman"/>
          <w:sz w:val="18"/>
          <w:szCs w:val="18"/>
        </w:rPr>
        <w:t>在一些肺腺癌患者中会有FGFR3-TACC3融合检出，这些病人可以考虑FGFR抑制剂的临床试验[PMID:</w:t>
      </w:r>
      <w:r>
        <w:rPr>
          <w:rFonts w:hint="eastAsia" w:ascii="Times New Roman" w:hAnsi="Times New Roman" w:cs="Times New Roman"/>
          <w:sz w:val="18"/>
          <w:szCs w:val="18"/>
        </w:rPr>
        <w:t xml:space="preserve"> </w:t>
      </w:r>
      <w:r>
        <w:rPr>
          <w:rFonts w:ascii="Times New Roman" w:hAnsi="Times New Roman" w:cs="Times New Roman"/>
          <w:sz w:val="18"/>
          <w:szCs w:val="18"/>
        </w:rPr>
        <w:t>25294908]。在I期临床试验中，Erdafitinib治疗携带FGFR1-4激活突变（包括扩增，突变和易位）的晚期实体瘤患者，导致70％（16/23）患者疾病稳定，22％（5/23）患者部分缓解，在FGFR未知或FGFR未知变异患者中未观察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26324363]。在一项临床前研究中，携带FGFR3突变的肿瘤细胞系对Infigratinib敏感[PMID:</w:t>
      </w:r>
      <w:r>
        <w:rPr>
          <w:rFonts w:hint="eastAsia" w:ascii="Times New Roman" w:hAnsi="Times New Roman" w:cs="Times New Roman"/>
          <w:sz w:val="18"/>
          <w:szCs w:val="18"/>
        </w:rPr>
        <w:t xml:space="preserve"> </w:t>
      </w:r>
      <w:r>
        <w:rPr>
          <w:rFonts w:ascii="Times New Roman" w:hAnsi="Times New Roman" w:cs="Times New Roman"/>
          <w:sz w:val="18"/>
          <w:szCs w:val="18"/>
        </w:rPr>
        <w:t>23002168]。</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GFR3</w:t>
      </w:r>
      <w:r>
        <w:rPr>
          <w:rFonts w:hint="eastAsia" w:ascii="Times New Roman" w:hAnsi="Times New Roman" w:cs="Times New Roman"/>
          <w:sz w:val="18"/>
          <w:szCs w:val="18"/>
        </w:rPr>
        <w:t>突变/扩增/融合的实体瘤患者疗效的临床试验正在开展。</w:t>
      </w:r>
    </w:p>
    <w:p w14:paraId="1C726626">
      <w:pPr>
        <w:spacing w:line="360" w:lineRule="auto"/>
        <w:rPr>
          <w:rFonts w:ascii="Times New Roman" w:hAnsi="Times New Roman" w:cs="Times New Roman"/>
          <w:sz w:val="18"/>
          <w:szCs w:val="18"/>
        </w:rPr>
      </w:pPr>
    </w:p>
    <w:p w14:paraId="6BC58E2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636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5" name="直线 3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5" o:spid="_x0000_s1026" o:spt="20" style="position:absolute;left:0pt;margin-left:-2.6pt;margin-top:12.55pt;height:1.7pt;width:453.4pt;z-index:25170636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lmg8j6g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jScObB044/ffzz+&#10;/MXeNlmdMWBLSXduE08nDJuYqR76aPOfSLBDUfR4VlQdEhPkbN411/NrEltQbDFvbori1XNxiJg+&#10;KG9ZNjputMuEoYX9R0zUkFKfUrLbODbS0t7UTcYEWr+erp1MG4gCul0pRm+0vNfG5BKMu+2diWwP&#10;eQXqRX31NMNfabnLGnCY8kpoWg6rk8rUoR0UyPdOsnQMpJKj18HzNFZJzoyix5StkplAm0syiZ1x&#10;RDKLPMmara2Xx6J28dPFFxlOS5o3689zqX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WaD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FGFR4                                                                          </w:t>
      </w:r>
    </w:p>
    <w:p w14:paraId="14EC546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96EB73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FGFR4基因编码成纤维细胞表面生长因子受体。该蛋白含有一个胞外区域，该区域由三个免疫球蛋白样结构域、一个疏水性跨膜片段和一个胞质酪氨酸激酶结构域组成。胞外区域与成纤维细胞生长因子相互作用，启动一系列下游信号，最终影响有丝分裂和分化，参与细胞增殖、细胞分化、细胞迁移、脂质代谢、胆汁酸生物合成、维生素D代谢、葡萄糖摄取、磷酸盐稳态等多种途径的调控。目前FGFR4的错义突变、无义突变、沉默突变、移码突变和缺失突变在子宫内膜癌、肠癌和皮肤癌中均有发现。与FGFR4相关的疾病包括肺腺癌、乳腺瘤、子宫癌、肠癌等。FGFR4融合在FGFR家族的四个基因中最为少见，在所有癌症中的突变频率为1.54%。 </w:t>
      </w:r>
    </w:p>
    <w:p w14:paraId="377814A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4BDD3D8">
      <w:pPr>
        <w:spacing w:line="300" w:lineRule="auto"/>
        <w:ind w:left="420"/>
        <w:rPr>
          <w:rFonts w:ascii="Times New Roman" w:hAnsi="Times New Roman" w:cs="Times New Roman"/>
          <w:sz w:val="18"/>
          <w:szCs w:val="18"/>
        </w:rPr>
      </w:pPr>
      <w:r>
        <w:rPr>
          <w:rFonts w:ascii="Times New Roman" w:hAnsi="Times New Roman" w:cs="Times New Roman"/>
          <w:sz w:val="18"/>
          <w:szCs w:val="18"/>
        </w:rPr>
        <w:t>在临床前研究中，FGFR4-R388的BON1肿瘤细胞对依维莫司的敏感性降低[PMID:</w:t>
      </w:r>
      <w:r>
        <w:rPr>
          <w:rFonts w:hint="eastAsia" w:ascii="Times New Roman" w:hAnsi="Times New Roman" w:cs="Times New Roman"/>
          <w:sz w:val="18"/>
          <w:szCs w:val="18"/>
        </w:rPr>
        <w:t xml:space="preserve"> </w:t>
      </w:r>
      <w:r>
        <w:rPr>
          <w:rFonts w:ascii="Times New Roman" w:hAnsi="Times New Roman" w:cs="Times New Roman"/>
          <w:sz w:val="18"/>
          <w:szCs w:val="18"/>
        </w:rPr>
        <w:t>22986737]。Erdafitinib、LY2874455均为泛FGFR抑制剂，在初期的临床试验中表现出一定的疗效。FGFR4在非小细胞肺癌中高表达（46.8%，111/237），FGFR4表达与肿瘤直径显著相关（P=0.039）[PMID：26045670]。除此之外，还有Lucitanib等泛FGFR抑制剂具有相关的临床实验。</w:t>
      </w:r>
      <w:r>
        <w:rPr>
          <w:rFonts w:hint="eastAsia" w:ascii="Times New Roman" w:hAnsi="Times New Roman" w:cs="Times New Roman"/>
          <w:sz w:val="18"/>
          <w:szCs w:val="18"/>
        </w:rPr>
        <w:t>目前评估安罗替尼、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GFR4</w:t>
      </w:r>
      <w:r>
        <w:rPr>
          <w:rFonts w:hint="eastAsia" w:ascii="Times New Roman" w:hAnsi="Times New Roman" w:cs="Times New Roman"/>
          <w:sz w:val="18"/>
          <w:szCs w:val="18"/>
        </w:rPr>
        <w:t>突变/扩增/融合的实体瘤患者疗效的临床试验正在开展。</w:t>
      </w:r>
    </w:p>
    <w:p w14:paraId="5174B246">
      <w:pPr>
        <w:spacing w:line="300" w:lineRule="auto"/>
        <w:ind w:left="420"/>
        <w:rPr>
          <w:rFonts w:ascii="Times New Roman" w:hAnsi="Times New Roman" w:cs="Times New Roman"/>
          <w:sz w:val="18"/>
          <w:szCs w:val="18"/>
          <w:highlight w:val="black"/>
        </w:rPr>
      </w:pPr>
    </w:p>
    <w:p w14:paraId="04E8191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540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 name="直线 3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6" o:spid="_x0000_s1026" o:spt="20" style="position:absolute;left:0pt;margin-left:-2.6pt;margin-top:12.55pt;height:1.7pt;width:453.4pt;z-index:-2516510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eEX416QEAAN8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BWcOLF344/cfjz9/&#10;sbeLLM4QsKGcO7eN5xOGbcxMj120+U8c2LEIeroIqo6JCXLO382X0yVpLSg2m85viuDVc3GImD4o&#10;b1k2Wm60y3yhgcNHTNSQUp9Ssts4NtDO3tTzjAm0fR3dOpk2EAN0+1KM3mh5r43JJRj3uzsT2QHy&#10;BtSzevE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HhF+N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GNA11                                                                          </w:t>
      </w:r>
    </w:p>
    <w:p w14:paraId="57179C9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FE00648">
      <w:pPr>
        <w:spacing w:line="300" w:lineRule="auto"/>
        <w:ind w:left="420"/>
        <w:rPr>
          <w:rFonts w:ascii="Times New Roman" w:hAnsi="Times New Roman" w:cs="Times New Roman"/>
          <w:sz w:val="18"/>
          <w:szCs w:val="18"/>
        </w:rPr>
      </w:pPr>
      <w:r>
        <w:rPr>
          <w:rFonts w:ascii="Times New Roman" w:hAnsi="Times New Roman" w:cs="Times New Roman"/>
          <w:sz w:val="18"/>
          <w:szCs w:val="18"/>
        </w:rPr>
        <w:t>GNA11基因编码的蛋白属于鸟嘌呤核苷酸结合蛋白(G蛋白)家族，在各种跨膜信号系统中起调节或转导作用。G蛋白由α、β和γ3个单元组成。GNA11编码其中一个亚基(α-11亚基)。该基因的突变与II型低钙血症(HHC2)和II型显性低钙血症(HYPOC2)有关，其中HHC2患者对细胞外钙浓度变化的敏感性降低而HYPOC2患者对细胞外钙浓度变化的敏感性升高。致癌突变导致组成型活性Gα亚基[PMID</w:t>
      </w:r>
      <w:r>
        <w:rPr>
          <w:rFonts w:hint="eastAsia" w:ascii="Times New Roman" w:hAnsi="Times New Roman" w:cs="Times New Roman"/>
          <w:sz w:val="18"/>
          <w:szCs w:val="18"/>
        </w:rPr>
        <w:t xml:space="preserve">: </w:t>
      </w:r>
      <w:r>
        <w:rPr>
          <w:rFonts w:ascii="Times New Roman" w:hAnsi="Times New Roman" w:cs="Times New Roman"/>
          <w:sz w:val="18"/>
          <w:szCs w:val="18"/>
        </w:rPr>
        <w:t>1328859; PMID</w:t>
      </w:r>
      <w:r>
        <w:rPr>
          <w:rFonts w:hint="eastAsia" w:ascii="Times New Roman" w:hAnsi="Times New Roman" w:cs="Times New Roman"/>
          <w:sz w:val="18"/>
          <w:szCs w:val="18"/>
        </w:rPr>
        <w:t xml:space="preserve">: </w:t>
      </w:r>
      <w:r>
        <w:rPr>
          <w:rFonts w:ascii="Times New Roman" w:hAnsi="Times New Roman" w:cs="Times New Roman"/>
          <w:sz w:val="18"/>
          <w:szCs w:val="18"/>
        </w:rPr>
        <w:t>2549426]。受体激活导致Gα亚基与Gßγ分离，继而Gα和Gßγ都可以激活下游细胞信号通路[PMID</w:t>
      </w:r>
      <w:r>
        <w:rPr>
          <w:rFonts w:hint="eastAsia" w:ascii="Times New Roman" w:hAnsi="Times New Roman" w:cs="Times New Roman"/>
          <w:sz w:val="18"/>
          <w:szCs w:val="18"/>
        </w:rPr>
        <w:t>:</w:t>
      </w:r>
      <w:r>
        <w:rPr>
          <w:rFonts w:ascii="Times New Roman" w:hAnsi="Times New Roman" w:cs="Times New Roman"/>
          <w:sz w:val="18"/>
          <w:szCs w:val="18"/>
        </w:rPr>
        <w:t xml:space="preserve"> 1328859</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w:t>
      </w:r>
      <w:r>
        <w:rPr>
          <w:rFonts w:ascii="Times New Roman" w:hAnsi="Times New Roman" w:cs="Times New Roman"/>
          <w:sz w:val="18"/>
          <w:szCs w:val="18"/>
        </w:rPr>
        <w:t xml:space="preserve"> 2549426]。在80%的葡萄膜黑色素瘤病人中发现GNA11和GNAQ基因的突变，其机制为基因突变导致MEK的异常激活。在所有葡萄膜黑色素瘤、结肠腺癌、肺腺癌、乳腺浸润性导管癌和高级别卵巢浆液性腺癌中，约有0.67％的GNA11发生了突变。 </w:t>
      </w:r>
    </w:p>
    <w:p w14:paraId="105DCA6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92BA25E">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GNA11 Q209L：Q209P为53：1）[PMID: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24938562]。在一项临床前研究中，GNA11 Q209L突变体葡萄膜黑色素瘤细胞系生长与野生型细胞相比对曲美替尼更敏感</w:t>
      </w:r>
      <w:r>
        <w:rPr>
          <w:rFonts w:hint="eastAsia" w:ascii="Times New Roman" w:hAnsi="Times New Roman" w:cs="Times New Roman"/>
          <w:sz w:val="18"/>
          <w:szCs w:val="18"/>
        </w:rPr>
        <w:t>；</w:t>
      </w:r>
      <w:r>
        <w:rPr>
          <w:rFonts w:ascii="Times New Roman" w:hAnsi="Times New Roman" w:cs="Times New Roman"/>
          <w:sz w:val="18"/>
          <w:szCs w:val="18"/>
        </w:rPr>
        <w:t>曲美替尼联合Omipalisib能够在大多数GNA11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w:t>
      </w:r>
      <w:r>
        <w:rPr>
          <w:rFonts w:hint="eastAsia" w:ascii="Times New Roman" w:hAnsi="Times New Roman" w:cs="Times New Roman"/>
          <w:sz w:val="18"/>
          <w:szCs w:val="18"/>
        </w:rPr>
        <w:t>评估曲美替尼用于</w:t>
      </w:r>
      <w:r>
        <w:rPr>
          <w:rFonts w:ascii="Times New Roman" w:hAnsi="Times New Roman" w:cs="Times New Roman"/>
          <w:sz w:val="18"/>
          <w:szCs w:val="18"/>
        </w:rPr>
        <w:t>携带GNAQ和GNA11基因突变的实体瘤患者</w:t>
      </w:r>
      <w:r>
        <w:rPr>
          <w:rFonts w:hint="eastAsia" w:ascii="Times New Roman" w:hAnsi="Times New Roman" w:cs="Times New Roman"/>
          <w:sz w:val="18"/>
          <w:szCs w:val="18"/>
        </w:rPr>
        <w:t>疗效的临床试验正在开展</w:t>
      </w:r>
      <w:r>
        <w:rPr>
          <w:rFonts w:ascii="Times New Roman" w:hAnsi="Times New Roman" w:cs="Times New Roman"/>
          <w:sz w:val="18"/>
          <w:szCs w:val="18"/>
        </w:rPr>
        <w:t>。</w:t>
      </w:r>
    </w:p>
    <w:p w14:paraId="1A00EA22">
      <w:pPr>
        <w:spacing w:line="300" w:lineRule="auto"/>
        <w:ind w:left="420"/>
        <w:rPr>
          <w:rFonts w:ascii="Times New Roman" w:hAnsi="Times New Roman" w:cs="Times New Roman"/>
          <w:sz w:val="18"/>
          <w:szCs w:val="18"/>
        </w:rPr>
      </w:pPr>
    </w:p>
    <w:p w14:paraId="3022E91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974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2" name="直线 3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7" o:spid="_x0000_s1026" o:spt="20" style="position:absolute;left:0pt;margin-left:-2.6pt;margin-top:12.55pt;height:1.7pt;width:453.4pt;z-index:-25163673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Dk2Fs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 GNAQ                                                                         </w:t>
      </w:r>
    </w:p>
    <w:p w14:paraId="4655609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4683C87">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GNAQ编码一种鸟嘌呤核苷酸结合蛋白，是Gq class中的一个亚基，能将一个七跨膜域受体与磷酸脂酶c激活配对。GNAQ的过表达增强了信号转导与转录激活因子的活性，该基因突变与血小板活化和聚集相关。在80%的葡萄膜黑色素瘤病人中发现GNA11和GNAQ基因的突变，其机制为基因突变导致MEK的异常激活。在所有葡萄膜黑素瘤，肺腺癌，结肠腺癌，黑素瘤和膀胱尿路上皮癌中，有0.56％的GNAQ发生了突变。 </w:t>
      </w:r>
    </w:p>
    <w:p w14:paraId="3DE6EA8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EC0DF17">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24938562]。在一项临床研究中，曲美替尼与Omipalisib的组合在大多数GNAQ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22733540]。目前小分子抑制剂IDE196</w:t>
      </w:r>
      <w:r>
        <w:rPr>
          <w:rFonts w:hint="eastAsia" w:ascii="Times New Roman" w:hAnsi="Times New Roman" w:cs="Times New Roman"/>
          <w:sz w:val="18"/>
          <w:szCs w:val="18"/>
        </w:rPr>
        <w:t>、曲美替尼</w:t>
      </w:r>
      <w:r>
        <w:rPr>
          <w:rFonts w:ascii="Times New Roman" w:hAnsi="Times New Roman" w:cs="Times New Roman"/>
          <w:sz w:val="18"/>
          <w:szCs w:val="18"/>
        </w:rPr>
        <w:t>在携带GNAQ和GNA11基因突变的实体瘤患者</w:t>
      </w:r>
      <w:r>
        <w:rPr>
          <w:rFonts w:hint="eastAsia" w:ascii="Times New Roman" w:hAnsi="Times New Roman" w:cs="Times New Roman"/>
          <w:sz w:val="18"/>
          <w:szCs w:val="18"/>
        </w:rPr>
        <w:t>的临床试验正在开展</w:t>
      </w:r>
      <w:r>
        <w:rPr>
          <w:rFonts w:ascii="Times New Roman" w:hAnsi="Times New Roman" w:cs="Times New Roman"/>
          <w:sz w:val="18"/>
          <w:szCs w:val="18"/>
        </w:rPr>
        <w:t>。</w:t>
      </w:r>
    </w:p>
    <w:p w14:paraId="283B5437">
      <w:pPr>
        <w:spacing w:line="300" w:lineRule="auto"/>
        <w:ind w:left="420"/>
        <w:rPr>
          <w:rFonts w:ascii="Times New Roman" w:hAnsi="Times New Roman" w:cs="Times New Roman"/>
          <w:sz w:val="18"/>
          <w:szCs w:val="18"/>
        </w:rPr>
      </w:pPr>
    </w:p>
    <w:p w14:paraId="071A9A2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998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2" name="直线 3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8" o:spid="_x0000_s1026" o:spt="20" style="position:absolute;left:0pt;margin-left:-2.6pt;margin-top:12.55pt;height:1.7pt;width:453.4pt;z-index:2516899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4r1gp6wEAAOADAAAOAAAAZHJzL2Uyb0RvYy54bWytU0tu&#10;2zAQ3RfoHQjua8kO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804c2Dpxp++/3j6&#10;+YtdLb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4r1g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HRAS                                                                         </w:t>
      </w:r>
    </w:p>
    <w:p w14:paraId="22995BC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063D529">
      <w:pPr>
        <w:spacing w:line="300" w:lineRule="auto"/>
        <w:ind w:left="420"/>
        <w:rPr>
          <w:rFonts w:ascii="Times New Roman" w:hAnsi="Times New Roman" w:cs="Times New Roman"/>
          <w:sz w:val="18"/>
          <w:szCs w:val="18"/>
        </w:rPr>
      </w:pPr>
      <w:r>
        <w:rPr>
          <w:rFonts w:ascii="Times New Roman" w:hAnsi="Times New Roman" w:cs="Times New Roman"/>
          <w:sz w:val="18"/>
          <w:szCs w:val="18"/>
        </w:rPr>
        <w:t>HRAS基因属于Ras致癌基因家族，该家族成员与哺乳动物肉瘤逆转录病毒的转化基因相关，其编码蛋白可与GTP、GDP结合，具有GTP酶活性，在细胞内信号传递和细胞增殖、分化、凋亡等基本生理功能中起着关键和核心作用。通过连续的去棕榈酰化和再棕榈酰化的循环，调节它在质膜和高尔基体之间的快速交换。HRAS基因缺陷参与了众多肿瘤的发生，包括膀胱癌、滤泡甲状腺癌、口腔鳞状细胞癌、胃癌、非小细胞肺癌等，同时可作为判断肿瘤侵袭性程度的可靠生物学指标。RAS基因常见突变为其第12、13、61位氨基酸的激活突变。膀胱癌患者HRAS基因体细胞突变G12V是一种激活突变，激活下游信号途径，引起细胞分裂不受控制，导致肿瘤发生，并能增加治疗后的复发风险。HRAS基因的激活突变（Q61K）还与甲状腺癌和肾癌发生相关；研究显示HRAS基因激活突变可能增加细胞对MEK抑制剂的响应。G12V突变在肾母细胞瘤（Wilms肿瘤）发生频率为42%。另外HRAS基因表达水平的升高与肿瘤的发生相关。研究表明HRAS在侵袭性垂体腺瘤组织中的表达量显著高于非侵袭垂体腺瘤组织。</w:t>
      </w:r>
    </w:p>
    <w:p w14:paraId="40F5723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32C812D">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在一项临床前研究中，司美替尼和依维莫司联合降低了ERK和S6的磷酸化，并协同抑制携带HRAS G12V的膀胱癌细胞系的生长[PMID: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26544513]。动物模型研究中，携带HRAS Q61L的Ba/F3细胞系在接受司美替尼治疗后肿瘤生长受到抑制，携带HRAS Q61L的小鼠肺鳞癌模型在接受司美替尼联合依维莫司治疗后肿瘤生长受到抑制，并且两药联合使用的有效性优于单药使用[PMID:</w:t>
      </w:r>
      <w:r>
        <w:rPr>
          <w:rFonts w:hint="eastAsia" w:ascii="Times New Roman" w:hAnsi="Times New Roman" w:cs="Times New Roman"/>
          <w:sz w:val="18"/>
          <w:szCs w:val="18"/>
        </w:rPr>
        <w:t xml:space="preserve"> </w:t>
      </w:r>
      <w:r>
        <w:rPr>
          <w:rFonts w:ascii="Times New Roman" w:hAnsi="Times New Roman" w:cs="Times New Roman"/>
          <w:sz w:val="18"/>
          <w:szCs w:val="18"/>
        </w:rPr>
        <w:t>26544513]。在临床前研究中，携带HRAS Q61R的转化细胞对依维莫司的处理敏感[PMID: 26544513]。</w:t>
      </w:r>
      <w:r>
        <w:rPr>
          <w:rFonts w:hint="eastAsia" w:ascii="Times New Roman" w:hAnsi="Times New Roman" w:cs="Times New Roman"/>
          <w:sz w:val="18"/>
          <w:szCs w:val="18"/>
        </w:rPr>
        <w:t>在头颈部鳞状细胞癌和转移性尿路上皮癌中，</w:t>
      </w:r>
      <w:r>
        <w:rPr>
          <w:rFonts w:ascii="Times New Roman" w:hAnsi="Times New Roman" w:cs="Times New Roman"/>
          <w:sz w:val="18"/>
          <w:szCs w:val="18"/>
        </w:rPr>
        <w:t>HRAS突变对Tipifarnib敏感[Cancer Discov. 9, 1637–1638 (2019); PMID: 32636318]。</w:t>
      </w:r>
      <w:r>
        <w:rPr>
          <w:rFonts w:hint="eastAsia" w:ascii="Times New Roman" w:hAnsi="Times New Roman" w:cs="Times New Roman"/>
          <w:sz w:val="18"/>
          <w:szCs w:val="18"/>
        </w:rPr>
        <w:t>目前索拉非尼、</w:t>
      </w:r>
      <w:r>
        <w:rPr>
          <w:rFonts w:ascii="Times New Roman" w:hAnsi="Times New Roman" w:cs="Times New Roman"/>
          <w:sz w:val="18"/>
          <w:szCs w:val="18"/>
        </w:rPr>
        <w:t>BPI27336</w:t>
      </w:r>
      <w:r>
        <w:rPr>
          <w:rFonts w:hint="eastAsia" w:ascii="Times New Roman" w:hAnsi="Times New Roman" w:cs="Times New Roman"/>
          <w:sz w:val="18"/>
          <w:szCs w:val="18"/>
        </w:rPr>
        <w:t>用于H</w:t>
      </w:r>
      <w:r>
        <w:rPr>
          <w:rFonts w:ascii="Times New Roman" w:hAnsi="Times New Roman" w:cs="Times New Roman"/>
          <w:sz w:val="18"/>
          <w:szCs w:val="18"/>
        </w:rPr>
        <w:t>RAS</w:t>
      </w:r>
      <w:r>
        <w:rPr>
          <w:rFonts w:hint="eastAsia" w:ascii="Times New Roman" w:hAnsi="Times New Roman" w:cs="Times New Roman"/>
          <w:sz w:val="18"/>
          <w:szCs w:val="18"/>
        </w:rPr>
        <w:t>突变实体瘤患者的临床试验正在展开。</w:t>
      </w:r>
    </w:p>
    <w:p w14:paraId="7D646E37">
      <w:pPr>
        <w:spacing w:line="300" w:lineRule="auto"/>
        <w:ind w:left="420"/>
        <w:rPr>
          <w:rFonts w:ascii="Times New Roman" w:hAnsi="Times New Roman" w:cs="Times New Roman"/>
          <w:sz w:val="18"/>
          <w:szCs w:val="18"/>
        </w:rPr>
      </w:pPr>
    </w:p>
    <w:p w14:paraId="10E5302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739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6" name="直线 3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9" o:spid="_x0000_s1026" o:spt="20" style="position:absolute;left:0pt;margin-left:-2.6pt;margin-top:12.55pt;height:1.7pt;width:453.4pt;z-index:25170739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kSVY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IDH1                                                                          </w:t>
      </w:r>
    </w:p>
    <w:p w14:paraId="437487C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88AC28D">
      <w:pPr>
        <w:spacing w:line="300" w:lineRule="auto"/>
        <w:ind w:left="420"/>
        <w:rPr>
          <w:rFonts w:ascii="Times New Roman" w:hAnsi="Times New Roman" w:cs="Times New Roman"/>
          <w:sz w:val="18"/>
          <w:szCs w:val="18"/>
        </w:rPr>
      </w:pPr>
      <w:r>
        <w:rPr>
          <w:rFonts w:ascii="Times New Roman" w:hAnsi="Times New Roman" w:cs="Times New Roman"/>
          <w:sz w:val="18"/>
          <w:szCs w:val="18"/>
        </w:rPr>
        <w:t>IDH1编码产物为依赖于NADP(+)的异柠檬酸脱氢酶。它位于胞浆和过氧化物酶体内，编码三羧酸循环中的异柠檬酸脱氢酶1，该酶水解异柠檬酸盐为α-酮戊二酸，并产生三羧酸循环中NADPH，调控组蛋白和DNA突变。基因发生突变后，会导致IDH将α-酮戊二酸转变成一种称作r-2-hydroxyglutarate的不同寻常的代谢产物。研究表明，这种代谢产物能产生竞争性抑制，由此降低了α-酮戊二酸依赖性酶的活性，导致染色质高度甲基化，干扰细胞分化，导致未成熟细胞增殖，引起癌症发生。胶质瘤样本中IDH1基因突变的平均突变率高达50%以上，12%的神经胶质瘤样本中IDH1基因存在R132突变，导致细胞内α-酮戊二酸水平下降，一系列的反应导致了细胞缺氧诱导因子（HIF）的稳定性增加，从而激活了HIF信号通路，最终促进肿瘤生长。R132H突变增强了U251细胞对于化疗药物替莫唑胺的敏感性。IDH1突变已在多种癌症类型中被发现，如肉瘤、血液恶性肿瘤、结肠癌和脑癌，与IDH1相关的疾病还包括骨膜性软骨肉瘤、神经胶质瘤、白血病等。</w:t>
      </w:r>
    </w:p>
    <w:p w14:paraId="2E56777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631B459">
      <w:pPr>
        <w:spacing w:line="300" w:lineRule="auto"/>
        <w:ind w:left="420"/>
        <w:rPr>
          <w:rFonts w:ascii="Times New Roman" w:hAnsi="Times New Roman" w:cs="Times New Roman"/>
          <w:sz w:val="18"/>
          <w:szCs w:val="18"/>
        </w:rPr>
      </w:pPr>
      <w:r>
        <w:rPr>
          <w:rFonts w:ascii="Times New Roman" w:hAnsi="Times New Roman" w:cs="Times New Roman"/>
          <w:sz w:val="18"/>
          <w:szCs w:val="18"/>
        </w:rPr>
        <w:t>在胶质母细胞瘤和星形细胞瘤中，IDH1突变的患者比野生型IDH1患者的总体存活率更高。在一项II期临床试验中，凡德他尼联合替莫唑胺和放疗显著增加携带IDH1 R132H突变的胶质瘤患者的无进展生存期（PFS）和总生存期（OS）[PMID</w:t>
      </w:r>
      <w:r>
        <w:rPr>
          <w:rFonts w:hint="eastAsia" w:ascii="Times New Roman" w:hAnsi="Times New Roman" w:cs="Times New Roman"/>
          <w:sz w:val="18"/>
          <w:szCs w:val="18"/>
        </w:rPr>
        <w:t xml:space="preserve">: </w:t>
      </w:r>
      <w:r>
        <w:rPr>
          <w:rFonts w:ascii="Times New Roman" w:hAnsi="Times New Roman" w:cs="Times New Roman"/>
          <w:sz w:val="18"/>
          <w:szCs w:val="18"/>
        </w:rPr>
        <w:t>25910950]。Ivosidenib（AG-120）治疗携带IDH1突变的非增强型胶质瘤患者的I期研究发现，35例入组患者中，在剂量爬坡组（n=11）和剂量扩增组（n=24），分别有73%和88%的患者获得疾病稳定作为最佳反应[Neuro Oncol. 2017 Nov]。</w:t>
      </w:r>
      <w:r>
        <w:rPr>
          <w:rFonts w:hint="eastAsia" w:ascii="Times New Roman" w:hAnsi="Times New Roman" w:cs="Times New Roman"/>
          <w:sz w:val="18"/>
          <w:szCs w:val="18"/>
        </w:rPr>
        <w:t>目前，阿贝西利、奥拉帕利用于胶质瘤或实体瘤患者的临床试验正在开展。</w:t>
      </w:r>
    </w:p>
    <w:p w14:paraId="7BE082EF">
      <w:pPr>
        <w:spacing w:line="300" w:lineRule="auto"/>
        <w:ind w:left="420"/>
        <w:rPr>
          <w:rFonts w:ascii="Times New Roman" w:hAnsi="Times New Roman" w:cs="Times New Roman"/>
          <w:sz w:val="18"/>
          <w:szCs w:val="18"/>
        </w:rPr>
      </w:pPr>
    </w:p>
    <w:p w14:paraId="6F0C0B6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643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7" name="直线 4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0" o:spid="_x0000_s1026" o:spt="20" style="position:absolute;left:0pt;margin-left:-2.6pt;margin-top:12.55pt;height:1.7pt;width:453.4pt;z-index:-2516500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QTBBu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IDH2                                                                         </w:t>
      </w:r>
    </w:p>
    <w:p w14:paraId="3C1E3C9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F0671E5">
      <w:pPr>
        <w:spacing w:line="300" w:lineRule="auto"/>
        <w:ind w:left="420"/>
        <w:rPr>
          <w:rFonts w:ascii="Times New Roman" w:hAnsi="Times New Roman" w:cs="Times New Roman"/>
          <w:sz w:val="18"/>
          <w:szCs w:val="18"/>
        </w:rPr>
      </w:pPr>
      <w:r>
        <w:rPr>
          <w:rFonts w:ascii="Times New Roman" w:hAnsi="Times New Roman" w:cs="Times New Roman"/>
          <w:sz w:val="18"/>
          <w:szCs w:val="18"/>
        </w:rPr>
        <w:t>IDH2基因编码的蛋白是线粒体中存在的NADP(+)依赖的异柠檬酸脱氢酶</w:t>
      </w:r>
      <w:r>
        <w:rPr>
          <w:rFonts w:hint="eastAsia" w:ascii="Times New Roman" w:hAnsi="Times New Roman" w:cs="Times New Roman"/>
          <w:sz w:val="18"/>
          <w:szCs w:val="18"/>
        </w:rPr>
        <w:t>。</w:t>
      </w:r>
      <w:r>
        <w:rPr>
          <w:rFonts w:ascii="Times New Roman" w:hAnsi="Times New Roman" w:cs="Times New Roman"/>
          <w:sz w:val="18"/>
          <w:szCs w:val="18"/>
        </w:rPr>
        <w:t xml:space="preserve">该蛋白与IDH1具有同源性，属于IDH家族蛋白，催化异柠檬酸的脱酸反应，在物质代谢与能量代谢中有重要作用。该蛋白可与丙酮酸脱氢酶复合物紧密结合或相互作用。IDH2突变目前已经在多种癌症类型中被观察到，包括肉瘤、血液恶性肿瘤、结肠癌、脑癌、白血病、恶性胶质瘤等。在上述所有癌种中，IDH2突变频率为1.13%。 </w:t>
      </w:r>
    </w:p>
    <w:p w14:paraId="654C5B9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D63BF4C">
      <w:pPr>
        <w:spacing w:line="300" w:lineRule="auto"/>
        <w:ind w:left="420"/>
        <w:rPr>
          <w:rFonts w:ascii="Times New Roman" w:hAnsi="Times New Roman" w:cs="Times New Roman"/>
          <w:sz w:val="18"/>
          <w:szCs w:val="18"/>
        </w:rPr>
      </w:pPr>
      <w:r>
        <w:rPr>
          <w:rFonts w:ascii="Times New Roman" w:hAnsi="Times New Roman" w:cs="Times New Roman"/>
          <w:sz w:val="18"/>
          <w:szCs w:val="18"/>
        </w:rPr>
        <w:t>在1/2期试验中，复发或IDH2突变的AML患者接受</w:t>
      </w:r>
      <w:r>
        <w:rPr>
          <w:rFonts w:hint="eastAsia" w:ascii="Times New Roman" w:hAnsi="Times New Roman" w:cs="Times New Roman"/>
          <w:sz w:val="18"/>
          <w:szCs w:val="18"/>
        </w:rPr>
        <w:t>恩西地平</w:t>
      </w:r>
      <w:r>
        <w:rPr>
          <w:rFonts w:ascii="Times New Roman" w:hAnsi="Times New Roman" w:cs="Times New Roman"/>
          <w:sz w:val="18"/>
          <w:szCs w:val="18"/>
        </w:rPr>
        <w:t>治疗。总有效率为40.3%，中位反应持续时间为5.8个月，复发/难治性患者中位总生存期为9.3个月，完全缓解34例</w:t>
      </w:r>
      <w:r>
        <w:rPr>
          <w:rFonts w:hint="eastAsia" w:ascii="Times New Roman" w:hAnsi="Times New Roman" w:cs="Times New Roman"/>
          <w:sz w:val="18"/>
          <w:szCs w:val="18"/>
        </w:rPr>
        <w:t>（</w:t>
      </w:r>
      <w:r>
        <w:rPr>
          <w:rFonts w:ascii="Times New Roman" w:hAnsi="Times New Roman" w:cs="Times New Roman"/>
          <w:sz w:val="18"/>
          <w:szCs w:val="18"/>
        </w:rPr>
        <w:t>19.3%</w:t>
      </w:r>
      <w:r>
        <w:rPr>
          <w:rFonts w:hint="eastAsia" w:ascii="Times New Roman" w:hAnsi="Times New Roman" w:cs="Times New Roman"/>
          <w:sz w:val="18"/>
          <w:szCs w:val="18"/>
        </w:rPr>
        <w:t>）</w:t>
      </w:r>
      <w:r>
        <w:rPr>
          <w:rFonts w:ascii="Times New Roman" w:hAnsi="Times New Roman" w:cs="Times New Roman"/>
          <w:sz w:val="18"/>
          <w:szCs w:val="18"/>
        </w:rPr>
        <w:t>患者的中位总生存期为19.7个月[PMID:</w:t>
      </w:r>
      <w:r>
        <w:rPr>
          <w:rFonts w:hint="eastAsia" w:ascii="Times New Roman" w:hAnsi="Times New Roman" w:cs="Times New Roman"/>
          <w:sz w:val="18"/>
          <w:szCs w:val="18"/>
        </w:rPr>
        <w:t xml:space="preserve"> </w:t>
      </w:r>
      <w:r>
        <w:rPr>
          <w:rFonts w:ascii="Times New Roman" w:hAnsi="Times New Roman" w:cs="Times New Roman"/>
          <w:sz w:val="18"/>
          <w:szCs w:val="18"/>
        </w:rPr>
        <w:t>28588020]。此外IDH2(R140)与AML整体生存的改善相关[PMID:</w:t>
      </w:r>
      <w:r>
        <w:rPr>
          <w:rFonts w:hint="eastAsia" w:ascii="Times New Roman" w:hAnsi="Times New Roman" w:cs="Times New Roman"/>
          <w:sz w:val="18"/>
          <w:szCs w:val="18"/>
        </w:rPr>
        <w:t xml:space="preserve"> </w:t>
      </w:r>
      <w:r>
        <w:rPr>
          <w:rFonts w:ascii="Times New Roman" w:hAnsi="Times New Roman" w:cs="Times New Roman"/>
          <w:sz w:val="18"/>
          <w:szCs w:val="18"/>
        </w:rPr>
        <w:t>20421455]，IDH2突变与神经胶质瘤的预后改善有关[PMID:</w:t>
      </w:r>
      <w:r>
        <w:rPr>
          <w:rFonts w:hint="eastAsia" w:ascii="Times New Roman" w:hAnsi="Times New Roman" w:cs="Times New Roman"/>
          <w:sz w:val="18"/>
          <w:szCs w:val="18"/>
        </w:rPr>
        <w:t xml:space="preserve"> </w:t>
      </w:r>
      <w:r>
        <w:rPr>
          <w:rFonts w:ascii="Times New Roman" w:hAnsi="Times New Roman" w:cs="Times New Roman"/>
          <w:sz w:val="18"/>
          <w:szCs w:val="18"/>
        </w:rPr>
        <w:t>26061751]。OxPhos相关基因的研究表明，IDH1和IDH2表达之间的不平衡（被定义为一种亚型相对于另一种亚型的过表达）与CRC患者的预后较差有关[PMID: 25586680]。</w:t>
      </w:r>
    </w:p>
    <w:p w14:paraId="36AEACF6">
      <w:pPr>
        <w:spacing w:line="300" w:lineRule="auto"/>
        <w:ind w:left="420"/>
        <w:rPr>
          <w:rFonts w:ascii="Times New Roman" w:hAnsi="Times New Roman" w:cs="Times New Roman"/>
          <w:sz w:val="18"/>
          <w:szCs w:val="18"/>
        </w:rPr>
      </w:pPr>
    </w:p>
    <w:p w14:paraId="662E37D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076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3" name="直线 4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1" o:spid="_x0000_s1026" o:spt="20" style="position:absolute;left:0pt;margin-left:-2.6pt;margin-top:12.55pt;height:1.7pt;width:453.4pt;z-index:-25163571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csl7g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s7ecObB044/ffzz+&#10;/MXeTb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csl7g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JAK1                                                                          </w:t>
      </w:r>
    </w:p>
    <w:p w14:paraId="162181E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E8187B6">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JAK1基因编码产物为酪氨酸激酶，对I型和II型细胞因子信号传递有重要作用。其编码的非受体型酪氨酸蛋白激酶，既能催化与之相连的细胞因子受体发生酪氨酸磷酸化，又能磷酸化多种含特定SH2区的信号分子从而使其激活，在干扰素α/β和干扰素γ信号转导中起关键作用，因此肿瘤细胞中JAK1的表达能够使癌细胞从肿瘤组织中逃逸并侵染机体其他部位。与JAK1相关的疾病包括白血病、结直肠癌、子宫内膜癌等。JAK1的突变发生在T细胞急性淋巴细胞白血病中，在成年病例中多发，常见多发突变包括A634D、V658F、R724H、R879C。B细胞急性淋巴细胞白血病JAK1常见突变包括A634D、S646F、V658F、R724H。JAK1的突变能够诱导JAK-STAT途径激活，引发白血病的发生。 </w:t>
      </w:r>
    </w:p>
    <w:p w14:paraId="6A40103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6BA98D9">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一项临床前研究表明，在22个肺癌细胞系中，JAK1的过表达与PKC抑制剂</w:t>
      </w:r>
      <w:r>
        <w:rPr>
          <w:rFonts w:hint="eastAsia" w:ascii="Times New Roman" w:hAnsi="Times New Roman" w:cs="Times New Roman"/>
          <w:sz w:val="18"/>
          <w:szCs w:val="18"/>
        </w:rPr>
        <w:t>恩扎妥林</w:t>
      </w:r>
      <w:r>
        <w:rPr>
          <w:rFonts w:ascii="Times New Roman" w:hAnsi="Times New Roman" w:cs="Times New Roman"/>
          <w:sz w:val="18"/>
          <w:szCs w:val="18"/>
        </w:rPr>
        <w:t>的敏感性有关[PMID:</w:t>
      </w:r>
      <w:r>
        <w:rPr>
          <w:rFonts w:hint="eastAsia" w:ascii="Times New Roman" w:hAnsi="Times New Roman" w:cs="Times New Roman"/>
          <w:sz w:val="18"/>
          <w:szCs w:val="18"/>
        </w:rPr>
        <w:t xml:space="preserve"> </w:t>
      </w:r>
      <w:r>
        <w:rPr>
          <w:rFonts w:ascii="Times New Roman" w:hAnsi="Times New Roman" w:cs="Times New Roman"/>
          <w:sz w:val="18"/>
          <w:szCs w:val="18"/>
        </w:rPr>
        <w:t>22333600]。</w:t>
      </w:r>
      <w:r>
        <w:rPr>
          <w:rFonts w:hint="eastAsia" w:ascii="Times New Roman" w:hAnsi="Times New Roman" w:cs="Times New Roman"/>
          <w:sz w:val="18"/>
          <w:szCs w:val="18"/>
        </w:rPr>
        <w:t>目前</w:t>
      </w:r>
      <w:r>
        <w:rPr>
          <w:rFonts w:ascii="Times New Roman" w:hAnsi="Times New Roman" w:cs="Times New Roman"/>
          <w:sz w:val="18"/>
          <w:szCs w:val="18"/>
        </w:rPr>
        <w:t>Itacitinib</w:t>
      </w:r>
      <w:r>
        <w:rPr>
          <w:rFonts w:hint="eastAsia" w:ascii="Times New Roman" w:hAnsi="Times New Roman" w:cs="Times New Roman"/>
          <w:sz w:val="18"/>
          <w:szCs w:val="18"/>
        </w:rPr>
        <w:t>用于实体瘤患者的临床试验正在开展。</w:t>
      </w:r>
    </w:p>
    <w:p w14:paraId="2F867D46">
      <w:pPr>
        <w:spacing w:line="300" w:lineRule="auto"/>
        <w:ind w:left="420"/>
        <w:rPr>
          <w:rFonts w:ascii="Times New Roman" w:hAnsi="Times New Roman" w:cs="Times New Roman"/>
          <w:b/>
          <w:szCs w:val="18"/>
        </w:rPr>
      </w:pPr>
    </w:p>
    <w:p w14:paraId="5580A1F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10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3" name="直线 42"/>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2" o:spid="_x0000_s1026" o:spt="20" style="position:absolute;left:0pt;margin-left:-2.6pt;margin-top:12.55pt;height:1.7pt;width:453.4pt;z-index:2516910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Vzyae6w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44c2Dpxh+//3j8&#10;+Yu9nWV1hoANJd25TTydMGxipnroos1/IsEORdHjWVF1SEyQc/5uvpguSGxBsdl0flMUr56LQ8T0&#10;QXnLstFyo10mDA3sP2KihpT6lJLdxrGBlvamnmdMoPXr6NrJtIEooNuVYvRGy3ttTC7BuNvemcj2&#10;kFegntX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Vzyae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JAK2                                                                          </w:t>
      </w:r>
    </w:p>
    <w:p w14:paraId="42D39CF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B3A5839">
      <w:pPr>
        <w:spacing w:line="300" w:lineRule="auto"/>
        <w:ind w:left="420"/>
        <w:rPr>
          <w:rFonts w:ascii="Times New Roman" w:hAnsi="Times New Roman" w:cs="Times New Roman"/>
          <w:sz w:val="18"/>
          <w:szCs w:val="18"/>
        </w:rPr>
      </w:pPr>
      <w:r>
        <w:rPr>
          <w:rFonts w:ascii="Times New Roman" w:hAnsi="Times New Roman" w:cs="Times New Roman"/>
          <w:sz w:val="18"/>
          <w:szCs w:val="18"/>
        </w:rPr>
        <w:t>JAK2基因编码的酪氨酸蛋白激酶，既能催化与之相连的细胞因子受体发生酪氨酸磷酸化，又能磷酸化多种含特定SH2区的信号分子从而使其激活。已有研究表明它与催乳素受体组成相关，并在γ干扰素的反应中发挥作用。JAK2基因是一种在许多骨髓增生性疾病和癌症中会发生失调或突变的激酶。JAK2的JH2激酶类结构域V617F的突变能够引起造血细胞对于生长因子敏感性增加，是第一个被诊断为骨髓增生性疾病的诊断标记物。该变异激活JAK2能够驱动小鼠模型的骨髓增生性疾病。与JAK2相关的疾病包括骨髓增生性肿瘤、淋巴瘤、白血病、宫颈癌、红细胞增多、原发性血小板增多、骨髓纤维化等。此突变在非典型慢性淋巴细胞白血病中发生率为20%，慢性骨髓单核细胞白血病为10%，巨核细胞性白血病为15%。t(9;12)(p24;p13)染色体异位导致JAK2与TEL（ETV6）发生融合，出现在慢性淋巴细胞白血病中。</w:t>
      </w:r>
    </w:p>
    <w:p w14:paraId="1857530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91928F4">
      <w:pPr>
        <w:spacing w:line="300" w:lineRule="auto"/>
        <w:ind w:left="420"/>
        <w:rPr>
          <w:rFonts w:ascii="Times New Roman" w:hAnsi="Times New Roman" w:cs="Times New Roman"/>
          <w:sz w:val="18"/>
          <w:szCs w:val="18"/>
        </w:rPr>
      </w:pPr>
      <w:r>
        <w:rPr>
          <w:rFonts w:ascii="Times New Roman" w:hAnsi="Times New Roman" w:cs="Times New Roman"/>
          <w:sz w:val="18"/>
          <w:szCs w:val="18"/>
        </w:rPr>
        <w:t>在一期试验中，使用Gandotinib (LY2784544)治疗JAK2 V617F的骨髓增生性肿瘤显示了安全性，29%(9/31)的骨髓纤维化患者得到了临床改善[PMID:</w:t>
      </w:r>
      <w:r>
        <w:rPr>
          <w:rFonts w:hint="eastAsia" w:ascii="Times New Roman" w:hAnsi="Times New Roman" w:cs="Times New Roman"/>
          <w:sz w:val="18"/>
          <w:szCs w:val="18"/>
        </w:rPr>
        <w:t xml:space="preserve"> </w:t>
      </w:r>
      <w:r>
        <w:rPr>
          <w:rFonts w:ascii="Times New Roman" w:hAnsi="Times New Roman" w:cs="Times New Roman"/>
          <w:sz w:val="18"/>
          <w:szCs w:val="18"/>
        </w:rPr>
        <w:t>28934680]。在一项临床前研究中，带有G831R突变的ETV6-JAK2表达的免疫细胞在培养中表现出对吡啶酮6(CMP6)的耐药性[PMID: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22916261]。</w:t>
      </w:r>
      <w:r>
        <w:rPr>
          <w:rFonts w:hint="eastAsia" w:ascii="Times New Roman" w:hAnsi="Times New Roman" w:cs="Times New Roman"/>
          <w:sz w:val="18"/>
          <w:szCs w:val="18"/>
        </w:rPr>
        <w:t>临床前研究表明，芦可替尼单药或联合顺铂可以抑制</w:t>
      </w:r>
      <w:r>
        <w:rPr>
          <w:rFonts w:ascii="Times New Roman" w:hAnsi="Times New Roman" w:cs="Times New Roman"/>
          <w:sz w:val="18"/>
          <w:szCs w:val="18"/>
        </w:rPr>
        <w:t>JAK2过表达及信号通路激活的非小细胞肺癌（NSCLC）细胞系生长，表现治疗作用[PMID: 22319590]，而联合用药对顺铂耐药的NSCLC细胞系产生有效的治疗作用[PMID: 25213670]。</w:t>
      </w:r>
    </w:p>
    <w:p w14:paraId="05450AAF">
      <w:pPr>
        <w:spacing w:line="300" w:lineRule="auto"/>
        <w:ind w:left="420"/>
        <w:rPr>
          <w:rFonts w:ascii="Times New Roman" w:hAnsi="Times New Roman" w:cs="Times New Roman"/>
          <w:sz w:val="18"/>
          <w:szCs w:val="18"/>
        </w:rPr>
      </w:pPr>
    </w:p>
    <w:p w14:paraId="44B7A09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841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7" name="直线 4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3" o:spid="_x0000_s1026" o:spt="20" style="position:absolute;left:0pt;margin-left:-2.6pt;margin-top:12.55pt;height:1.7pt;width:453.4pt;z-index:2517084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0cisz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JAK3                                                                        </w:t>
      </w:r>
    </w:p>
    <w:p w14:paraId="5398592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6A04180">
      <w:pPr>
        <w:spacing w:line="300" w:lineRule="auto"/>
        <w:ind w:left="420"/>
        <w:rPr>
          <w:rFonts w:ascii="Times New Roman" w:hAnsi="Times New Roman" w:cs="Times New Roman"/>
          <w:sz w:val="18"/>
          <w:szCs w:val="18"/>
        </w:rPr>
      </w:pPr>
      <w:r>
        <w:rPr>
          <w:rFonts w:ascii="Times New Roman" w:hAnsi="Times New Roman" w:cs="Times New Roman"/>
          <w:sz w:val="18"/>
          <w:szCs w:val="18"/>
        </w:rPr>
        <w:t>JAK3基因编码的蛋白是酪氨酸激酶家族中的一员，参与细胞因子受体介导的细胞内信号转导。它主要在免疫细胞中表达，是JAK/STAT信号通路的成员，并通过白细胞介素受体的酪氨酸磷酸化来传递信号。该基因的突变与严重的联合免疫缺陷病有关。JAK3功能突变在T细胞白血病和淋巴瘤中较为常见，在肠癌、皮肤癌、胃癌等实体肿瘤中均有不同突变形式的存在。除此之外，与JAK3相关的疾病还包括严重的联合免疫缺陷、常染色体隐性遗传病、B细胞阳性、NK细胞阴性和炎症性肠病。</w:t>
      </w:r>
    </w:p>
    <w:p w14:paraId="1CFD7E4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3E32FA8">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在一项临床前研究中，一种pan-JAK抑制剂Tofacitinib降低了JAK3 A572V突变型自然杀伤/t细胞淋巴瘤细胞系的细胞活力并增加了细胞凋亡[PMID: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22705984]。Tofacitinib治疗还可以将细胞培养中表达JAK3 V221I的细胞从因子独立生长转化为因子依赖生长[PMID: 25146434]。JAK3选择性抑制剂Tofacitinib对白血病小鼠的体内治疗降低了白细胞计数，导致白血病细胞凋亡[PMID: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25193870]。</w:t>
      </w:r>
      <w:r>
        <w:rPr>
          <w:rFonts w:hint="eastAsia" w:ascii="Times New Roman" w:hAnsi="Times New Roman" w:cs="Times New Roman"/>
          <w:sz w:val="18"/>
          <w:szCs w:val="18"/>
        </w:rPr>
        <w:t>鼻型结外</w:t>
      </w:r>
      <w:r>
        <w:rPr>
          <w:rFonts w:ascii="Times New Roman" w:hAnsi="Times New Roman" w:cs="Times New Roman"/>
          <w:sz w:val="18"/>
          <w:szCs w:val="18"/>
        </w:rPr>
        <w:t>NK/t细胞淋巴瘤（ENTKL）中，ATM和JAK3突变等位基因频率与疾病分期显著相关，KMT2D、ASXL3和JAK3突变与患者的肿瘤代谢负荷呈正相关[PMID: 32695399]。</w:t>
      </w:r>
    </w:p>
    <w:p w14:paraId="7DA81825">
      <w:pPr>
        <w:spacing w:line="300" w:lineRule="auto"/>
        <w:ind w:left="420"/>
        <w:rPr>
          <w:rFonts w:ascii="Times New Roman" w:hAnsi="Times New Roman" w:cs="Times New Roman"/>
          <w:sz w:val="18"/>
          <w:szCs w:val="18"/>
        </w:rPr>
      </w:pPr>
    </w:p>
    <w:p w14:paraId="34B334A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74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8" name="直线 4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4" o:spid="_x0000_s1026" o:spt="20" style="position:absolute;left:0pt;margin-left:-2.6pt;margin-top:12.55pt;height:1.7pt;width:453.4pt;z-index:-2516490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aFGYu6gEAAN8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07U7sHThT99/PP38&#10;xa6usjhDwIZy7twmnk4YNjEzPXTR5j9xYIci6PEsqDokJsg5fz9fTBektaDYbDq/KYJXL8UhYvqo&#10;vGXZaLnRLvOFBvafMFFDSn1OyW7j2EA7e1PPMybQ9nV062TaQAzQ7UoxeqPlvTYml2Dcbe9MZHvI&#10;G1DP6uvnGf5Ky13WgP2YV0LjblidVKYOTa9AfnCSpWMglRw9Dp6nsUpyZhS9pWyVzATaXJJJ7Iwj&#10;klnkUdZsbb08FrWLn+69yHDa0bxYf55L9cu7XP0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oUZi7qAQAA3w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KIT                                                                          </w:t>
      </w:r>
    </w:p>
    <w:p w14:paraId="59F7FC8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9A0A02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KIT基因又称c-Kit，为原癌基因，位于人类染色体4q12-13。它编码的跨膜糖蛋白（CD117）属于受体酪氨酸激酶家族。KIT与SCF的胞外结构域结合后使受体二聚化，激活下游信号通路，包括PI3K-AKT-mTOR通路及RAS-RAF-MEK-ERK通路等，在细胞生长增殖、造血、干细胞维护、配子形成、肥大细胞发育、迁移和黑色素形成中发挥重要作用，是人类多种组织细胞生长发育的重要调控因素。与KIT相关的疾病包括胃肠道间质瘤、精原细胞癌、骨髓性白血病、黑色素瘤等。KIT基因可发生功能缺失或功能获得性突变，多发生于外显子9、11、13、17。KIT基因体细胞突变可见于侵袭性系统性肥大细胞增生症、肥大细胞白血病、骨髓增生性疾病、结肠癌、胃肠道间质肿瘤及生殖细胞瘤等肿瘤中，种系突变则可发生于家族性胃肠道间质肿瘤中。GISTs中，KIT基因突变是导致c-kit蛋白高度表达的原因，突变率约为90%，且突变形式多样，其中位于11号外显子Lys550-Val560区段的变异最为常见（约占60-70%）。检测KIT基因突变对于指导GISTs患者的合理用药，具有重要的参考价值。   </w:t>
      </w:r>
    </w:p>
    <w:p w14:paraId="422D3729">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伊马替尼*、舒尼替尼*、瑞戈非尼*、普纳替尼、培唑帕尼*（都是胃肠道间质瘤获益药物）</w:t>
      </w:r>
    </w:p>
    <w:p w14:paraId="5BA9F9CF">
      <w:pPr>
        <w:spacing w:line="360" w:lineRule="auto"/>
        <w:ind w:left="420"/>
        <w:rPr>
          <w:rFonts w:ascii="Times New Roman" w:hAnsi="Times New Roman" w:cs="Times New Roman"/>
          <w:sz w:val="18"/>
          <w:szCs w:val="18"/>
        </w:rPr>
      </w:pPr>
      <w:r>
        <w:rPr>
          <w:rFonts w:ascii="Times New Roman" w:hAnsi="Times New Roman" w:cs="Times New Roman"/>
          <w:sz w:val="18"/>
          <w:szCs w:val="18"/>
        </w:rPr>
        <w:t>FDA/NMPA批准伊马替尼用于不可切除或转移的KIT（CD117）阳性GIST患者，还可用于KIT（CD117）阳性的成年GIST患者手术切除后的辅助治疗。</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指南推荐伊马替尼用于</w:t>
      </w:r>
      <w:r>
        <w:rPr>
          <w:rFonts w:ascii="Times New Roman" w:hAnsi="Times New Roman" w:cs="Times New Roman"/>
          <w:sz w:val="18"/>
          <w:szCs w:val="18"/>
        </w:rPr>
        <w:t>KIT 11号外显子突变（除PDGFRA D842V以外），以及双倍剂量用于KIT 9号外显子突变的胃肠间质瘤患者的治疗。</w:t>
      </w:r>
      <w:r>
        <w:rPr>
          <w:rFonts w:hint="eastAsia" w:ascii="Times New Roman" w:hAnsi="Times New Roman" w:cs="Times New Roman"/>
          <w:sz w:val="18"/>
          <w:szCs w:val="18"/>
        </w:rPr>
        <w:t>胃肠道间质瘤中，</w:t>
      </w:r>
      <w:r>
        <w:rPr>
          <w:rFonts w:ascii="Times New Roman" w:hAnsi="Times New Roman" w:cs="Times New Roman"/>
          <w:sz w:val="18"/>
          <w:szCs w:val="18"/>
        </w:rPr>
        <w:t>KIT 11号外显子突变对伊马替尼[PMID: 26687836]、培唑帕尼[PMID: 27068858]、普纳替尼[J Clin Oncol. 2015; 33(suppl 15): abstr 10535]、</w:t>
      </w:r>
      <w:r>
        <w:rPr>
          <w:rFonts w:hint="eastAsia" w:ascii="Times New Roman" w:hAnsi="Times New Roman" w:cs="Times New Roman"/>
          <w:sz w:val="18"/>
          <w:szCs w:val="18"/>
        </w:rPr>
        <w:t>舒尼替尼[</w:t>
      </w:r>
      <w:r>
        <w:rPr>
          <w:rFonts w:ascii="Times New Roman" w:hAnsi="Times New Roman" w:cs="Times New Roman"/>
          <w:sz w:val="18"/>
          <w:szCs w:val="18"/>
        </w:rPr>
        <w:t>PMID: 30346846]瑞戈非尼[PMID: 27371698; PMID: 22614970]、尼洛替尼[PMID: 25882987]和达沙替尼[PMID: 29315500]敏感，与11号外显子突变相比，9号外显子突变对伊马替尼的敏感性中等[PMID: 14645423]；在皮肤黑色素瘤中，KIT激</w:t>
      </w:r>
      <w:r>
        <w:rPr>
          <w:rFonts w:hint="eastAsia" w:ascii="Times New Roman" w:hAnsi="Times New Roman" w:cs="Times New Roman"/>
          <w:sz w:val="18"/>
          <w:szCs w:val="18"/>
        </w:rPr>
        <w:t>活突变对伊马替尼敏感</w:t>
      </w:r>
      <w:r>
        <w:rPr>
          <w:rFonts w:ascii="Times New Roman" w:hAnsi="Times New Roman" w:cs="Times New Roman"/>
          <w:sz w:val="18"/>
          <w:szCs w:val="18"/>
        </w:rPr>
        <w:t>[PMID: 23775962; PMID: 21642685]。</w:t>
      </w:r>
    </w:p>
    <w:p w14:paraId="22E152D7">
      <w:pPr>
        <w:spacing w:line="360" w:lineRule="auto"/>
        <w:ind w:left="420"/>
        <w:rPr>
          <w:rFonts w:ascii="Times New Roman" w:hAnsi="Times New Roman" w:cs="Times New Roman"/>
          <w:sz w:val="18"/>
          <w:szCs w:val="18"/>
        </w:rPr>
      </w:pPr>
    </w:p>
    <w:p w14:paraId="3933D76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179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4" name="直线 4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5" o:spid="_x0000_s1026" o:spt="20" style="position:absolute;left:0pt;margin-left:-2.55pt;margin-top:12.55pt;height:1.7pt;width:453.45pt;z-index:-2516346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KtTFr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MAP2K1                                                                          </w:t>
      </w:r>
    </w:p>
    <w:p w14:paraId="14DA4C7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5B4AC8E">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1编码编码促分裂原活化蛋白激酶激酶1（MEK1蛋白激酶），属于双重特异性蛋白激酶家族成员，是一种有丝分裂原激活蛋白（MAP）激酶激酶，通过传导胞外和胞内信号刺激蛋白激酶活性。作为MAP激酶信号转导途径中关键的组成成分，MAP2K1参与细胞增殖、分化、基因转录调控和发育过程。该基因在肺癌中的突变频率为0.6-1%。与MAP2K1相关的疾病包括白血病、结直肠癌、肺癌、黑色素瘤、原发胶质母细胞瘤等，3.5%上皮性细胞瘤存在MAP2K1激活突变，可增加MEK1促增殖能力。  </w:t>
      </w:r>
    </w:p>
    <w:p w14:paraId="4F4C7AF5">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415EBC2">
      <w:pPr>
        <w:spacing w:line="300" w:lineRule="auto"/>
        <w:ind w:left="420"/>
        <w:rPr>
          <w:rFonts w:ascii="Times New Roman" w:hAnsi="Times New Roman" w:cs="Times New Roman"/>
          <w:sz w:val="18"/>
          <w:szCs w:val="18"/>
        </w:rPr>
      </w:pPr>
      <w:r>
        <w:rPr>
          <w:rFonts w:ascii="Times New Roman" w:hAnsi="Times New Roman" w:cs="Times New Roman"/>
          <w:sz w:val="18"/>
          <w:szCs w:val="18"/>
        </w:rPr>
        <w:t>MAP2K1是BRAF下游增殖信号通路的丝氨酸苏氨酸激酶，约0.6-1%的NSCLC存在MAP2K1突变，在肺腺癌中较肺鳞癌多见，主要突变位点为K57N，Q56P和D67N。在体外模型中，MAP2K1突变可以导致信号通路持续激活并对MAP2K抑制剂敏感。携带MAP2K1</w:t>
      </w:r>
      <w:r>
        <w:rPr>
          <w:rFonts w:hint="eastAsia" w:ascii="Times New Roman" w:hAnsi="Times New Roman" w:cs="Times New Roman"/>
          <w:sz w:val="18"/>
          <w:szCs w:val="18"/>
        </w:rPr>
        <w:t xml:space="preserve"> </w:t>
      </w:r>
      <w:r>
        <w:rPr>
          <w:rFonts w:ascii="Times New Roman" w:hAnsi="Times New Roman" w:cs="Times New Roman"/>
          <w:sz w:val="18"/>
          <w:szCs w:val="18"/>
        </w:rPr>
        <w:t>K57T或MAP2K1</w:t>
      </w:r>
      <w:r>
        <w:rPr>
          <w:rFonts w:hint="eastAsia" w:ascii="Times New Roman" w:hAnsi="Times New Roman" w:cs="Times New Roman"/>
          <w:sz w:val="18"/>
          <w:szCs w:val="18"/>
        </w:rPr>
        <w:t xml:space="preserve"> </w:t>
      </w:r>
      <w:r>
        <w:rPr>
          <w:rFonts w:ascii="Times New Roman" w:hAnsi="Times New Roman" w:cs="Times New Roman"/>
          <w:sz w:val="18"/>
          <w:szCs w:val="18"/>
        </w:rPr>
        <w:t>K57N突变的RAS-WT结直肠癌（CRC）细胞系LIM1215，足以产生对西妥昔单抗或帕尼单抗的耐药性[PMID: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26644315; PMID: 26030179]，而帕尼单抗联合曲美替尼可以抑制具有MEK1突变的西妥昔单抗抗性克隆的结直肠癌细胞系的生长[PMID: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26644315]。临床前研究表明，具有MAP2K1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F53L突变的结肠癌细胞系对曲美替尼敏感，导致细胞活性降低[PMID:</w:t>
      </w:r>
      <w:r>
        <w:rPr>
          <w:rFonts w:hint="eastAsia" w:ascii="Times New Roman" w:hAnsi="Times New Roman" w:cs="Times New Roman"/>
          <w:sz w:val="18"/>
          <w:szCs w:val="18"/>
        </w:rPr>
        <w:t xml:space="preserve"> </w:t>
      </w:r>
      <w:r>
        <w:rPr>
          <w:rFonts w:ascii="Times New Roman" w:hAnsi="Times New Roman" w:cs="Times New Roman"/>
          <w:sz w:val="18"/>
          <w:szCs w:val="18"/>
        </w:rPr>
        <w:t>26582713]，西妥昔单抗联合曲美替尼也可以降低具有MAP2K1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F53L突变的结肠癌细胞系的细胞活力</w:t>
      </w:r>
      <w:bookmarkStart w:id="15" w:name="OLE_LINK1"/>
      <w:r>
        <w:rPr>
          <w:rFonts w:ascii="Times New Roman" w:hAnsi="Times New Roman" w:cs="Times New Roman"/>
          <w:sz w:val="18"/>
          <w:szCs w:val="18"/>
        </w:rPr>
        <w:t>[</w:t>
      </w:r>
      <w:bookmarkEnd w:id="15"/>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28179366]。MAP2K抑制剂对很多癌种的疗效还未明确，临床前和临床上均在努力确认MAP2K1抑制剂对于其他适应症的疗效[PMID</w:t>
      </w:r>
      <w:r>
        <w:rPr>
          <w:rFonts w:hint="eastAsia" w:ascii="Times New Roman" w:hAnsi="Times New Roman" w:cs="Times New Roman"/>
          <w:sz w:val="18"/>
          <w:szCs w:val="18"/>
        </w:rPr>
        <w:t xml:space="preserve">: </w:t>
      </w:r>
      <w:r>
        <w:rPr>
          <w:rFonts w:ascii="Times New Roman" w:hAnsi="Times New Roman" w:cs="Times New Roman"/>
          <w:sz w:val="18"/>
          <w:szCs w:val="18"/>
        </w:rPr>
        <w:t>25435214]。</w:t>
      </w:r>
    </w:p>
    <w:p w14:paraId="18025AC1">
      <w:pPr>
        <w:spacing w:line="300" w:lineRule="auto"/>
        <w:ind w:left="420"/>
        <w:rPr>
          <w:rFonts w:ascii="Times New Roman" w:hAnsi="Times New Roman" w:cs="Times New Roman"/>
          <w:sz w:val="18"/>
          <w:szCs w:val="18"/>
        </w:rPr>
      </w:pPr>
    </w:p>
    <w:p w14:paraId="2D60597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462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7" name="直线 4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6" o:spid="_x0000_s1026" o:spt="20" style="position:absolute;left:0pt;margin-left:-2.6pt;margin-top:12.55pt;height:1.7pt;width:453.4pt;z-index:-25164185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azMt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MAP2K2                                                                        </w:t>
      </w:r>
    </w:p>
    <w:p w14:paraId="6454B1F2">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203B85F4">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2基因编码的蛋白是一种双重特异性蛋白激酶，属于MAP激酶家族，具有双重特异性蛋白激酶活性。该激酶在丝裂原生长因子信号转导中起重要作用，参与RAS/RAF/MAPK信号通路，调控细胞增殖、分化、转录调节等一系列细胞生理活动。它通过磷酸化，从而激活MAPK1/ERK2和MAPK2/ERK3。与MAP2K2相关的疾病包括黑色素瘤、皮肤癌、胃癌、胰脏癌、结直肠癌、骨癌等，突变频率约为0.66%。 </w:t>
      </w:r>
    </w:p>
    <w:p w14:paraId="268EB0D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B2301B8">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一项临床前研究表明，具有BRAF V600E突变和MAP2K2 C125S突变的黑色素瘤细胞对达拉非尼和曲美替尼耐药[PMID:</w:t>
      </w:r>
      <w:r>
        <w:rPr>
          <w:rFonts w:hint="eastAsia" w:ascii="Times New Roman" w:hAnsi="Times New Roman" w:cs="Times New Roman"/>
          <w:sz w:val="18"/>
          <w:szCs w:val="18"/>
        </w:rPr>
        <w:t xml:space="preserve"> </w:t>
      </w:r>
      <w:r>
        <w:rPr>
          <w:rFonts w:ascii="Times New Roman" w:hAnsi="Times New Roman" w:cs="Times New Roman"/>
          <w:sz w:val="18"/>
          <w:szCs w:val="18"/>
        </w:rPr>
        <w:t>24265153]。一项临床前研究表明，具有BRAF V600E突变和MAP2K2 C125S突变的黑色素瘤细胞对VRT11E敏感，可减缓细胞生长[PMID:</w:t>
      </w:r>
      <w:r>
        <w:rPr>
          <w:rFonts w:hint="eastAsia" w:ascii="Times New Roman" w:hAnsi="Times New Roman" w:cs="Times New Roman"/>
          <w:sz w:val="18"/>
          <w:szCs w:val="18"/>
        </w:rPr>
        <w:t xml:space="preserve"> </w:t>
      </w:r>
      <w:r>
        <w:rPr>
          <w:rFonts w:ascii="Times New Roman" w:hAnsi="Times New Roman" w:cs="Times New Roman"/>
          <w:sz w:val="18"/>
          <w:szCs w:val="18"/>
        </w:rPr>
        <w:t>24265153]。</w:t>
      </w:r>
    </w:p>
    <w:p w14:paraId="1905D2FA">
      <w:pPr>
        <w:spacing w:line="360" w:lineRule="auto"/>
        <w:rPr>
          <w:rFonts w:ascii="Times New Roman" w:hAnsi="Times New Roman" w:cs="Times New Roman"/>
          <w:sz w:val="18"/>
          <w:szCs w:val="18"/>
        </w:rPr>
      </w:pPr>
    </w:p>
    <w:p w14:paraId="0F7B803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2032" behindDoc="0" locked="0" layoutInCell="1" allowOverlap="1">
                <wp:simplePos x="0" y="0"/>
                <wp:positionH relativeFrom="column">
                  <wp:posOffset>0</wp:posOffset>
                </wp:positionH>
                <wp:positionV relativeFrom="paragraph">
                  <wp:posOffset>170180</wp:posOffset>
                </wp:positionV>
                <wp:extent cx="5760085" cy="16510"/>
                <wp:effectExtent l="0" t="9525" r="2540" b="12065"/>
                <wp:wrapNone/>
                <wp:docPr id="34" name="直线 47"/>
                <wp:cNvGraphicFramePr/>
                <a:graphic xmlns:a="http://schemas.openxmlformats.org/drawingml/2006/main">
                  <a:graphicData uri="http://schemas.microsoft.com/office/word/2010/wordprocessingShape">
                    <wps:wsp>
                      <wps:cNvCnPr/>
                      <wps:spPr>
                        <a:xfrm flipV="1">
                          <a:off x="0" y="0"/>
                          <a:ext cx="5760085" cy="1651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7" o:spid="_x0000_s1026" o:spt="20" style="position:absolute;left:0pt;flip:y;margin-left:0pt;margin-top:13.4pt;height:1.3pt;width:453.55pt;z-index:251692032;mso-width-relative:page;mso-height-relative:page;" filled="f" stroked="t" coordsize="21600,21600" o:gfxdata="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JIgoUHYAAAABgEAAA8AAAAAAAAAAQAgAAAAIgAAAGRycy9kb3ducmV2LnhtbFBLAQIU&#10;ABQAAAAIAIdO4kAS2b1F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MET</w:t>
      </w:r>
      <w:r>
        <w:rPr>
          <w:rFonts w:ascii="Times New Roman" w:hAnsi="Times New Roman" w:cs="Times New Roman"/>
          <w:b/>
          <w:color w:val="0000FF"/>
        </w:rPr>
        <w:t xml:space="preserve">     </w:t>
      </w:r>
      <w:r>
        <w:rPr>
          <w:rFonts w:ascii="Times New Roman" w:hAnsi="Times New Roman" w:cs="Times New Roman"/>
          <w:b/>
        </w:rPr>
        <w:t xml:space="preserve">                                                                     </w:t>
      </w:r>
    </w:p>
    <w:p w14:paraId="0FF264B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10EBD29">
      <w:pPr>
        <w:spacing w:line="300" w:lineRule="auto"/>
        <w:ind w:left="420"/>
        <w:rPr>
          <w:rFonts w:ascii="Times New Roman" w:hAnsi="Times New Roman" w:cs="Times New Roman"/>
          <w:sz w:val="18"/>
          <w:szCs w:val="18"/>
        </w:rPr>
      </w:pPr>
      <w:r>
        <w:rPr>
          <w:rFonts w:ascii="Times New Roman" w:hAnsi="Times New Roman" w:cs="Times New Roman"/>
          <w:sz w:val="18"/>
          <w:szCs w:val="18"/>
        </w:rPr>
        <w:t>MET基因位于7q31.2，是原癌基因，编码肝细胞生长因子受体（cMet），属于酪氨酸激酶，因此具有酪氨酸激酶活性，与多种癌基因产物和调节蛋白相关。MET激活后，使底物磷酸化，激活细胞内PI3K-AKT-mTOR及RAS-RAF-MEK-ERK等多个下游通路。恶性肿瘤中，MET受体影响信号通路而促进细胞生长、存活、入侵、迁移、血管生成和转移等，许多肿瘤病人在其肿瘤的发生和转移过程中均有c-MET过度表达和扩增，在肺癌、结肠癌、肝癌、直肠癌、胃癌、肾癌、卵巢癌、乳腺癌以及前列腺癌等组织中呈现扩增和过表达等现象。在对靶向药物治疗产生抗药性的肺癌、胃癌等肿瘤患者中也出现MET基因的扩增。MET扩增在肺癌中的突变频率约为2-4%。</w:t>
      </w:r>
    </w:p>
    <w:p w14:paraId="0D7BB154">
      <w:pPr>
        <w:spacing w:line="300" w:lineRule="auto"/>
        <w:ind w:left="420"/>
        <w:rPr>
          <w:rFonts w:ascii="Times New Roman" w:hAnsi="Times New Roman" w:cs="Times New Roman"/>
          <w:b/>
          <w:szCs w:val="18"/>
        </w:rPr>
      </w:pPr>
      <w:r>
        <w:rPr>
          <w:rFonts w:ascii="Times New Roman" w:hAnsi="Times New Roman" w:cs="Times New Roman"/>
          <w:b/>
          <w:szCs w:val="18"/>
        </w:rPr>
        <w:t>用药说明：</w:t>
      </w:r>
      <w:bookmarkStart w:id="16" w:name="OLE_LINK7"/>
      <w:r>
        <w:rPr>
          <w:rFonts w:ascii="Times New Roman" w:hAnsi="Times New Roman" w:cs="Times New Roman"/>
          <w:b/>
          <w:color w:val="000000"/>
          <w:sz w:val="18"/>
          <w:szCs w:val="18"/>
        </w:rPr>
        <w:t>克唑替尼</w:t>
      </w:r>
      <w:bookmarkEnd w:id="16"/>
      <w:r>
        <w:rPr>
          <w:rFonts w:ascii="Times New Roman" w:hAnsi="Times New Roman" w:cs="Times New Roman"/>
          <w:b/>
          <w:color w:val="000000"/>
          <w:sz w:val="18"/>
          <w:szCs w:val="18"/>
        </w:rPr>
        <w:t>*</w:t>
      </w:r>
      <w:r>
        <w:rPr>
          <w:rFonts w:ascii="Times New Roman" w:hAnsi="Times New Roman" w:cs="Times New Roman"/>
          <w:color w:val="000000"/>
          <w:sz w:val="18"/>
          <w:szCs w:val="18"/>
        </w:rPr>
        <w:t>、</w:t>
      </w:r>
      <w:r>
        <w:rPr>
          <w:rFonts w:ascii="Times New Roman" w:hAnsi="Times New Roman" w:cs="Times New Roman"/>
          <w:b/>
          <w:sz w:val="18"/>
          <w:szCs w:val="18"/>
        </w:rPr>
        <w:t>Tepotinib</w:t>
      </w:r>
      <w:r>
        <w:rPr>
          <w:rFonts w:hint="eastAsia" w:ascii="Times New Roman" w:hAnsi="Times New Roman" w:cs="Times New Roman"/>
          <w:sz w:val="18"/>
          <w:szCs w:val="18"/>
        </w:rPr>
        <w:t>、</w:t>
      </w:r>
      <w:r>
        <w:rPr>
          <w:rFonts w:ascii="Times New Roman" w:hAnsi="Times New Roman" w:cs="Times New Roman"/>
          <w:b/>
          <w:sz w:val="18"/>
          <w:szCs w:val="18"/>
        </w:rPr>
        <w:t>Capmatinib</w:t>
      </w:r>
      <w:r>
        <w:rPr>
          <w:rFonts w:ascii="Times New Roman" w:hAnsi="Times New Roman" w:cs="Times New Roman"/>
          <w:color w:val="000000"/>
          <w:sz w:val="18"/>
          <w:szCs w:val="18"/>
        </w:rPr>
        <w:t>、</w:t>
      </w:r>
      <w:r>
        <w:rPr>
          <w:rFonts w:ascii="Times New Roman" w:hAnsi="Times New Roman" w:cs="Times New Roman"/>
          <w:b/>
          <w:color w:val="000000"/>
          <w:sz w:val="18"/>
          <w:szCs w:val="18"/>
        </w:rPr>
        <w:t>卡博替尼</w:t>
      </w:r>
      <w:r>
        <w:rPr>
          <w:rFonts w:ascii="Times New Roman" w:hAnsi="Times New Roman" w:cs="Times New Roman"/>
          <w:color w:val="000000"/>
          <w:sz w:val="18"/>
          <w:szCs w:val="18"/>
        </w:rPr>
        <w:t>、</w:t>
      </w:r>
      <w:r>
        <w:rPr>
          <w:rFonts w:hint="eastAsia" w:ascii="Times New Roman" w:hAnsi="Times New Roman" w:cs="Times New Roman"/>
          <w:color w:val="000000"/>
          <w:sz w:val="18"/>
          <w:szCs w:val="18"/>
        </w:rPr>
        <w:t>沃利替尼</w:t>
      </w:r>
    </w:p>
    <w:p w14:paraId="5D4E986A">
      <w:pPr>
        <w:spacing w:line="300" w:lineRule="auto"/>
        <w:ind w:left="420"/>
        <w:rPr>
          <w:rFonts w:ascii="Times New Roman" w:hAnsi="Times New Roman" w:cs="Times New Roman"/>
          <w:sz w:val="18"/>
          <w:szCs w:val="18"/>
        </w:rPr>
      </w:pPr>
      <w:r>
        <w:rPr>
          <w:rFonts w:ascii="Times New Roman" w:hAnsi="Times New Roman" w:cs="Times New Roman"/>
          <w:sz w:val="18"/>
          <w:szCs w:val="18"/>
        </w:rPr>
        <w:t>MET常发生的变异主要包括14号外显子跳跃突变，尤其高发于肺肉瘤样癌。</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w:t>
      </w:r>
      <w:r>
        <w:rPr>
          <w:rFonts w:ascii="Times New Roman" w:hAnsi="Times New Roman" w:cs="Times New Roman"/>
          <w:sz w:val="18"/>
          <w:szCs w:val="18"/>
        </w:rPr>
        <w:t>Tepotinib</w:t>
      </w:r>
      <w:r>
        <w:rPr>
          <w:rFonts w:hint="eastAsia" w:ascii="Times New Roman" w:hAnsi="Times New Roman" w:cs="Times New Roman"/>
          <w:sz w:val="18"/>
          <w:szCs w:val="18"/>
        </w:rPr>
        <w:t>、</w:t>
      </w:r>
      <w:r>
        <w:rPr>
          <w:rFonts w:ascii="Times New Roman" w:hAnsi="Times New Roman" w:cs="Times New Roman"/>
          <w:sz w:val="18"/>
          <w:szCs w:val="18"/>
        </w:rPr>
        <w:t>Capmatinib</w:t>
      </w:r>
      <w:r>
        <w:rPr>
          <w:rFonts w:hint="eastAsia" w:ascii="Times New Roman" w:hAnsi="Times New Roman" w:cs="Times New Roman"/>
          <w:sz w:val="18"/>
          <w:szCs w:val="18"/>
        </w:rPr>
        <w:t>用于M</w:t>
      </w:r>
      <w:r>
        <w:rPr>
          <w:rFonts w:ascii="Times New Roman" w:hAnsi="Times New Roman" w:cs="Times New Roman"/>
          <w:sz w:val="18"/>
          <w:szCs w:val="18"/>
        </w:rPr>
        <w:t xml:space="preserve">ET </w:t>
      </w:r>
      <w:r>
        <w:rPr>
          <w:rFonts w:hint="eastAsia" w:ascii="Times New Roman" w:hAnsi="Times New Roman" w:cs="Times New Roman"/>
          <w:sz w:val="18"/>
          <w:szCs w:val="18"/>
        </w:rPr>
        <w:t>1</w:t>
      </w:r>
      <w:r>
        <w:rPr>
          <w:rFonts w:ascii="Times New Roman" w:hAnsi="Times New Roman" w:cs="Times New Roman"/>
          <w:sz w:val="18"/>
          <w:szCs w:val="18"/>
        </w:rPr>
        <w:t>4</w:t>
      </w:r>
      <w:r>
        <w:rPr>
          <w:rFonts w:hint="eastAsia" w:ascii="Times New Roman" w:hAnsi="Times New Roman" w:cs="Times New Roman"/>
          <w:sz w:val="18"/>
          <w:szCs w:val="18"/>
        </w:rPr>
        <w:t>号外显子跳跃突变的非小细胞肺癌患者。</w:t>
      </w:r>
      <w:r>
        <w:rPr>
          <w:rFonts w:ascii="Times New Roman" w:hAnsi="Times New Roman" w:cs="Times New Roman"/>
          <w:sz w:val="18"/>
          <w:szCs w:val="18"/>
        </w:rPr>
        <w:t>NCCN指南推荐克唑替尼</w:t>
      </w:r>
      <w:r>
        <w:rPr>
          <w:rFonts w:hint="eastAsia" w:ascii="Times New Roman" w:hAnsi="Times New Roman" w:cs="Times New Roman"/>
          <w:sz w:val="18"/>
          <w:szCs w:val="18"/>
        </w:rPr>
        <w:t>、</w:t>
      </w:r>
      <w:r>
        <w:rPr>
          <w:rFonts w:ascii="Times New Roman" w:hAnsi="Times New Roman" w:cs="Times New Roman"/>
          <w:sz w:val="18"/>
          <w:szCs w:val="18"/>
        </w:rPr>
        <w:t>Capmatinib用于有较高MET扩增或者MET 14号外显子跳跃突变的非小细胞肺癌患者的治疗</w:t>
      </w:r>
      <w:r>
        <w:rPr>
          <w:rFonts w:hint="eastAsia" w:ascii="Times New Roman" w:hAnsi="Times New Roman" w:cs="Times New Roman"/>
          <w:sz w:val="18"/>
          <w:szCs w:val="18"/>
        </w:rPr>
        <w:t>；</w:t>
      </w:r>
      <w:r>
        <w:rPr>
          <w:rFonts w:ascii="Times New Roman" w:hAnsi="Times New Roman" w:cs="Times New Roman"/>
          <w:sz w:val="18"/>
          <w:szCs w:val="18"/>
        </w:rPr>
        <w:t>Tepotinib用于MET 14号外显子跳跃突变的非小细胞肺癌患者的一线或后续治疗[NCCN_Non-Small Cell Lung Cancer_2021_V5]。</w:t>
      </w:r>
      <w:r>
        <w:rPr>
          <w:rFonts w:hint="eastAsia" w:ascii="Times New Roman" w:hAnsi="Times New Roman" w:cs="Times New Roman"/>
          <w:sz w:val="18"/>
          <w:szCs w:val="18"/>
        </w:rPr>
        <w:t>在</w:t>
      </w:r>
      <w:r>
        <w:rPr>
          <w:rFonts w:ascii="Times New Roman" w:hAnsi="Times New Roman" w:cs="Times New Roman"/>
          <w:sz w:val="18"/>
          <w:szCs w:val="18"/>
        </w:rPr>
        <w:t>II期试验中，沃利替尼治疗MET 14号外显子跳跃突变肺肉瘤样癌患者或其他类型（包括MET 14号外显子跳跃突变）的非小细胞肺癌患者，57.1%为腺癌，35.7%为PSC，其余为其他病理类型（n=70），61名患者可通过IRC评估疗效（N = 61）：ORR为47.5% （95% CI: 34.6%, 60.7%），疾病控制率为93.4%（95% CI: 84.1%, 98.2%），中位反应持续时间尚未达到。所有接受治疗的患者中位无进展生存期为6.8个月（95% CI 4.2, 13.8）[J Clin Oncol 38: 2020 (suppl; abstr 9519)]。还有一项II期试验中，Capmatinib治疗MET 14号外显子跳跃突变非小细胞肺癌患者（n=31），BIRC评估：ORR为48.4%，中位DOR为6.93个月（not yet mature, 95% CI: 4.17–NE），中位PFS为8.11个月（not yet mature, 95% CI: 4.17–9.86）[J Clin Oncol 38: 2020 (suppl; abstr 9520)]。在一项I期试验中，卡博替尼（INC280）治疗导致63％（5/8）的MET扩增非小细胞肺癌患者产生部分缓解[JClinOncol34，2016]。NCCN指南指出MET扩增是非小细胞肺癌对EGFR TKIs原发性耐药的机制[NCCN_Non-SmallCellLungCancer_2021_V5]。研究显示，MET基因扩增与非小细胞肺癌患者的不良预后相关，携带MET扩增的患者总生存率较低。</w:t>
      </w:r>
      <w:r>
        <w:rPr>
          <w:rFonts w:hint="eastAsia" w:ascii="Times New Roman" w:hAnsi="Times New Roman" w:cs="Times New Roman"/>
          <w:sz w:val="18"/>
          <w:szCs w:val="18"/>
        </w:rPr>
        <w:t>目前卡博替尼、伯瑞替尼、</w:t>
      </w:r>
      <w:r>
        <w:rPr>
          <w:rFonts w:ascii="Times New Roman" w:hAnsi="Times New Roman" w:cs="Times New Roman"/>
          <w:sz w:val="18"/>
          <w:szCs w:val="18"/>
        </w:rPr>
        <w:t>Tepotinib</w:t>
      </w:r>
      <w:r>
        <w:rPr>
          <w:rFonts w:hint="eastAsia" w:ascii="Times New Roman" w:hAnsi="Times New Roman" w:cs="Times New Roman"/>
          <w:sz w:val="18"/>
          <w:szCs w:val="18"/>
        </w:rPr>
        <w:t>、克唑替尼等用于非小细胞肺癌或实体瘤患者的临床试验正在开展。</w:t>
      </w:r>
    </w:p>
    <w:p w14:paraId="2B39FD7D">
      <w:pPr>
        <w:spacing w:line="300" w:lineRule="auto"/>
        <w:ind w:left="420"/>
        <w:rPr>
          <w:rFonts w:ascii="Times New Roman" w:hAnsi="Times New Roman" w:cs="Times New Roman"/>
          <w:sz w:val="18"/>
          <w:szCs w:val="18"/>
        </w:rPr>
      </w:pPr>
    </w:p>
    <w:p w14:paraId="6ABE7C3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30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5" name="直线 4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8" o:spid="_x0000_s1026" o:spt="20" style="position:absolute;left:0pt;margin-left:-2.6pt;margin-top:12.55pt;height:1.7pt;width:453.4pt;z-index:-2516234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Du4Fb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b+ecObB044/ffzz+&#10;/MXeLbI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Du4Fb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MTOR                                                                          </w:t>
      </w:r>
    </w:p>
    <w:p w14:paraId="28B0926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8EDC214">
      <w:pPr>
        <w:spacing w:line="300" w:lineRule="auto"/>
        <w:ind w:left="420"/>
        <w:rPr>
          <w:rFonts w:ascii="Times New Roman" w:hAnsi="Times New Roman" w:cs="Times New Roman"/>
          <w:sz w:val="18"/>
          <w:szCs w:val="18"/>
        </w:rPr>
      </w:pPr>
      <w:r>
        <w:rPr>
          <w:rFonts w:ascii="Times New Roman" w:hAnsi="Times New Roman" w:cs="Times New Roman"/>
          <w:sz w:val="18"/>
          <w:szCs w:val="18"/>
        </w:rPr>
        <w:t>MTOR编码一种丝氨酸/苏氨酸蛋白激酶，是细胞信号通路中的关键蛋白，属于磷脂酰肌醇激酶相关的激酶家族。这些激酶介导细胞对DNA损伤和营养缺乏等压力的反应，在细胞生长、分化、增殖、迁移和存活中发挥重要作用，该蛋白还是FKBP12-雷帕霉素复合物的细胞周期阻滞和免疫抑制作用的靶点。近年来发现mTOR相关的信号通路复杂且涉及面广泛，其中多个元素的调控异常均与肿瘤的发生密切相关。超过50%的恶性肿瘤存在mTOR信号通路的过度激活，激活的靶蛋白mTOR影响PI3K-AKT-TSC-mTOMRC1信号通路、as-MAPK-TSC-mTORC1信号通路、LKB1AMPK-TSC-mTOR信号通路，引起肿瘤细胞的快速增殖、癌蛋白分泌增加、细胞周期加快、G1期时程缩短，引发多种肿瘤且利于肿瘤的发展。与MTOR相关的疾病包括食管鳞状细胞癌、乳腺癌、肾癌等。</w:t>
      </w:r>
    </w:p>
    <w:p w14:paraId="743B3D5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FAE69FD">
      <w:pPr>
        <w:spacing w:line="300" w:lineRule="auto"/>
        <w:ind w:left="420"/>
        <w:rPr>
          <w:rFonts w:ascii="Times New Roman" w:hAnsi="Times New Roman" w:cs="Times New Roman"/>
          <w:sz w:val="18"/>
          <w:szCs w:val="18"/>
        </w:rPr>
      </w:pPr>
      <w:r>
        <w:rPr>
          <w:rFonts w:ascii="Times New Roman" w:hAnsi="Times New Roman" w:cs="Times New Roman"/>
          <w:sz w:val="18"/>
          <w:szCs w:val="18"/>
        </w:rPr>
        <w:t>依维莫司、替西罗莫司和zotarolimus是目前临床治疗中最常用的三种mTOR抑制剂，并取得了一定的成功。一项III期临床试验表明采用依维莫司治疗的肺或胃肠道的神经内分泌瘤患者能显著提PFS [PMID: 26703889]。在临床前的研究中，替西罗莫司治疗显然抑制了mTOR及其下游效应物的活化，导致食管鳞状细胞癌细胞增殖能力的降低。每周给予替西罗莫司可显著减少裸鼠皮下肿瘤的大小，并有效延长携带原位食管癌的小鼠的生存期，通过替西罗莫司靶向mTOR可能成为食管癌治疗的替代方案[PMID:</w:t>
      </w:r>
      <w:r>
        <w:rPr>
          <w:rFonts w:hint="eastAsia" w:ascii="Times New Roman" w:hAnsi="Times New Roman" w:cs="Times New Roman"/>
          <w:sz w:val="18"/>
          <w:szCs w:val="18"/>
        </w:rPr>
        <w:t xml:space="preserve"> </w:t>
      </w:r>
      <w:r>
        <w:rPr>
          <w:rFonts w:ascii="Times New Roman" w:hAnsi="Times New Roman" w:cs="Times New Roman"/>
          <w:sz w:val="18"/>
          <w:szCs w:val="18"/>
        </w:rPr>
        <w:t>23291985]。mTOR通路的激活已被发现与不良临床预后、侵袭和转移相关[PMID: 32016810]。</w:t>
      </w:r>
      <w:r>
        <w:rPr>
          <w:rFonts w:hint="eastAsia" w:ascii="Times New Roman" w:hAnsi="Times New Roman" w:cs="Times New Roman"/>
          <w:sz w:val="18"/>
          <w:szCs w:val="18"/>
        </w:rPr>
        <w:t>目前</w:t>
      </w:r>
      <w:r>
        <w:rPr>
          <w:rFonts w:ascii="Times New Roman" w:hAnsi="Times New Roman" w:cs="Times New Roman"/>
          <w:sz w:val="18"/>
          <w:szCs w:val="18"/>
        </w:rPr>
        <w:t>Sapanisertib</w:t>
      </w:r>
      <w:r>
        <w:rPr>
          <w:rFonts w:hint="eastAsia" w:ascii="Times New Roman" w:hAnsi="Times New Roman" w:cs="Times New Roman"/>
          <w:sz w:val="18"/>
          <w:szCs w:val="18"/>
        </w:rPr>
        <w:t>、依维莫司用于M</w:t>
      </w:r>
      <w:r>
        <w:rPr>
          <w:rFonts w:ascii="Times New Roman" w:hAnsi="Times New Roman" w:cs="Times New Roman"/>
          <w:sz w:val="18"/>
          <w:szCs w:val="18"/>
        </w:rPr>
        <w:t>TOR</w:t>
      </w:r>
      <w:r>
        <w:rPr>
          <w:rFonts w:hint="eastAsia" w:ascii="Times New Roman" w:hAnsi="Times New Roman" w:cs="Times New Roman"/>
          <w:sz w:val="18"/>
          <w:szCs w:val="18"/>
        </w:rPr>
        <w:t>突变实体瘤患者的临床试验正在开展。</w:t>
      </w:r>
    </w:p>
    <w:p w14:paraId="0124C7C9">
      <w:pPr>
        <w:spacing w:line="300" w:lineRule="auto"/>
        <w:ind w:left="420"/>
        <w:rPr>
          <w:rFonts w:ascii="Times New Roman" w:hAnsi="Times New Roman" w:cs="Times New Roman"/>
          <w:sz w:val="18"/>
          <w:szCs w:val="18"/>
        </w:rPr>
      </w:pPr>
    </w:p>
    <w:p w14:paraId="7B111852">
      <w:pPr>
        <w:spacing w:line="360" w:lineRule="auto"/>
        <w:rPr>
          <w:rFonts w:ascii="Times New Roman" w:hAnsi="Times New Roman" w:cs="Times New Roman"/>
          <w:b/>
          <w:color w:val="000000"/>
        </w:rPr>
      </w:pPr>
      <w:r>
        <w:rPr>
          <w:rFonts w:ascii="Times New Roman" w:hAnsi="Times New Roman" w:cs="Times New Roman"/>
          <w:color w:val="000000"/>
        </w:rPr>
        <mc:AlternateContent>
          <mc:Choice Requires="wps">
            <w:drawing>
              <wp:anchor distT="0" distB="0" distL="114300" distR="114300" simplePos="0" relativeHeight="25170124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3" name="直线 4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9" o:spid="_x0000_s1026" o:spt="20" style="position:absolute;left:0pt;margin-left:-2.6pt;margin-top:12.55pt;height:1.7pt;width:453.4pt;z-index:2517012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82141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color w:val="000000"/>
        </w:rPr>
        <w:t xml:space="preserve">MYC                                                                         </w:t>
      </w:r>
    </w:p>
    <w:p w14:paraId="59DF0BBB">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基因说明：</w:t>
      </w:r>
    </w:p>
    <w:p w14:paraId="5CD1F9BF">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 xml:space="preserve">MYC是最早被鉴定的一组核内原癌基因，包括C-Myc、N-Myc、L-Myc，编码多功能核磷蛋白核转录因子，接受来自细胞表明生长信号，刺激基因表达，能够促进细胞增殖，永生化，去分化和转化等。MYC编码的蛋白与相关转录因子MAX形成异二聚体，通过结合Ebox DNA共有序列，调节特定靶基因的转录。该基因的扩增突变发生在许多人类癌症中，与该基因相关的易位突变与人类患者的Burkitt淋巴瘤和多发性骨髓瘤有关。MYC基因扩增与多种肿瘤相关，包括乳腺癌、宫颈癌、大肠癌、头颈鳞状细胞癌、黑色素瘤、非霍奇金淋巴瘤、肝癌、胃癌和卵巢癌、造血系统肿瘤、白血病、脑癌等。  </w:t>
      </w:r>
    </w:p>
    <w:p w14:paraId="7E66F50A">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用药说明：</w:t>
      </w:r>
    </w:p>
    <w:p w14:paraId="4ED38CF9">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在小细胞肺癌的研究中发现，携带MYC扩增或过表达的肿瘤中，Prexasertib可以增强顺铂或者PARP抑制剂奥拉帕利的作用[PMID: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28490518]。临床前研究表明，ERBB2抑制剂来那替尼联合多西他赛以及Aurora抑制剂GSK1070916对于携带MYC扩增的肿瘤细胞系有协同抑制作用[PMID: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26018524]。</w:t>
      </w:r>
      <w:r>
        <w:rPr>
          <w:rFonts w:hint="eastAsia" w:ascii="Times New Roman" w:hAnsi="Times New Roman" w:cs="Times New Roman"/>
          <w:color w:val="000000"/>
          <w:sz w:val="18"/>
          <w:szCs w:val="18"/>
        </w:rPr>
        <w:t>对接受吉非替尼治疗的</w:t>
      </w:r>
      <w:r>
        <w:rPr>
          <w:rFonts w:ascii="Times New Roman" w:hAnsi="Times New Roman" w:cs="Times New Roman"/>
          <w:color w:val="000000"/>
          <w:sz w:val="18"/>
          <w:szCs w:val="18"/>
        </w:rPr>
        <w:t>NSCLC患者的研究发现，MYC FISH阳性患者比MYC阴性患者有更高的反应率（p=0.003），更长的进展时间（p=0.01）和总生存率OS（p=0.02）[PMID: 19204574]。</w:t>
      </w:r>
      <w:r>
        <w:rPr>
          <w:rFonts w:hint="eastAsia" w:ascii="Times New Roman" w:hAnsi="Times New Roman" w:cs="Times New Roman"/>
          <w:color w:val="000000"/>
          <w:sz w:val="18"/>
          <w:szCs w:val="18"/>
        </w:rPr>
        <w:t>有研究表明，</w:t>
      </w:r>
      <w:r>
        <w:rPr>
          <w:rFonts w:ascii="Times New Roman" w:hAnsi="Times New Roman" w:cs="Times New Roman"/>
          <w:color w:val="000000"/>
          <w:sz w:val="18"/>
          <w:szCs w:val="18"/>
        </w:rPr>
        <w:t>MYC的激活或者扩增是小细胞肺癌细胞对依维莫司（mTOR抑制剂）耐药的主要原因之一[PMID: 25884680; PMID: 25122428]。</w:t>
      </w:r>
      <w:r>
        <w:rPr>
          <w:rFonts w:hint="eastAsia" w:ascii="Times New Roman" w:hAnsi="Times New Roman" w:cs="Times New Roman"/>
          <w:color w:val="000000"/>
          <w:sz w:val="18"/>
          <w:szCs w:val="18"/>
        </w:rPr>
        <w:t>在结直肠癌患者中，</w:t>
      </w:r>
      <w:r>
        <w:rPr>
          <w:rFonts w:ascii="Times New Roman" w:hAnsi="Times New Roman" w:cs="Times New Roman"/>
          <w:color w:val="000000"/>
          <w:sz w:val="18"/>
          <w:szCs w:val="18"/>
        </w:rPr>
        <w:t>c-MYC拷贝数增加是预后不良的独立因素[PMID: 26426996]。</w:t>
      </w:r>
      <w:r>
        <w:rPr>
          <w:rFonts w:hint="eastAsia" w:ascii="Times New Roman" w:hAnsi="Times New Roman" w:cs="Times New Roman"/>
          <w:sz w:val="18"/>
          <w:szCs w:val="18"/>
        </w:rPr>
        <w:t>目前</w:t>
      </w:r>
      <w:r>
        <w:rPr>
          <w:rFonts w:ascii="Times New Roman" w:hAnsi="Times New Roman" w:cs="Times New Roman"/>
          <w:sz w:val="18"/>
          <w:szCs w:val="18"/>
        </w:rPr>
        <w:t>KB0742</w:t>
      </w:r>
      <w:r>
        <w:rPr>
          <w:rFonts w:hint="eastAsia" w:ascii="Times New Roman" w:hAnsi="Times New Roman" w:cs="Times New Roman"/>
          <w:sz w:val="18"/>
          <w:szCs w:val="18"/>
        </w:rPr>
        <w:t>用于</w:t>
      </w:r>
      <w:r>
        <w:rPr>
          <w:rFonts w:ascii="Times New Roman" w:hAnsi="Times New Roman" w:cs="Times New Roman"/>
          <w:sz w:val="18"/>
          <w:szCs w:val="18"/>
        </w:rPr>
        <w:t>MYC</w:t>
      </w:r>
      <w:r>
        <w:rPr>
          <w:rFonts w:hint="eastAsia" w:ascii="Times New Roman" w:hAnsi="Times New Roman" w:cs="Times New Roman"/>
          <w:sz w:val="18"/>
          <w:szCs w:val="18"/>
        </w:rPr>
        <w:t>突变实体瘤患者的临床试验正在开展。</w:t>
      </w:r>
    </w:p>
    <w:p w14:paraId="24D40E8A">
      <w:pPr>
        <w:spacing w:line="300" w:lineRule="auto"/>
        <w:ind w:left="420"/>
        <w:rPr>
          <w:rFonts w:ascii="Times New Roman" w:hAnsi="Times New Roman" w:cs="Times New Roman"/>
          <w:color w:val="000000"/>
          <w:sz w:val="18"/>
          <w:szCs w:val="18"/>
        </w:rPr>
      </w:pPr>
    </w:p>
    <w:p w14:paraId="763E950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66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5" name="直线 5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0" o:spid="_x0000_s1026" o:spt="20" style="position:absolute;left:0pt;margin-left:-2.6pt;margin-top:12.55pt;height:1.7pt;width:453.4pt;z-index:2517166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b3+2X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MYCN                                                                          </w:t>
      </w:r>
    </w:p>
    <w:p w14:paraId="59E91A84">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EAB3176">
      <w:pPr>
        <w:spacing w:line="300" w:lineRule="auto"/>
        <w:ind w:left="420"/>
        <w:rPr>
          <w:rFonts w:ascii="Times New Roman" w:hAnsi="Times New Roman" w:cs="Times New Roman"/>
          <w:sz w:val="18"/>
          <w:szCs w:val="18"/>
        </w:rPr>
      </w:pPr>
      <w:r>
        <w:rPr>
          <w:rFonts w:ascii="Times New Roman" w:hAnsi="Times New Roman" w:cs="Times New Roman"/>
          <w:sz w:val="18"/>
          <w:szCs w:val="18"/>
        </w:rPr>
        <w:t>MYCN为原癌基因，是MYC家族成员之一，其编码的蛋白具有基本的螺旋-环-螺旋(bHLH) 结构域，该蛋白位于细胞核内中，必须与另一种bHLH蛋白形成二聚体才能结合DNA。磷酸化的MYVN蛋白会与AURKA和FBXW7竞争，但是未磷酸化的不参与竞争结合。该基因参与细胞凋亡抑制功能以及参与肿瘤干细胞信号通路从而发挥作用。已经发现MYCN既可以作为转录激活物又可以作为阻遏物起作用，调节参与细胞周期、增殖、凋亡、代谢和肿瘤微环境调节，以及其他过程[PMID</w:t>
      </w:r>
      <w:r>
        <w:rPr>
          <w:rFonts w:hint="eastAsia" w:ascii="Times New Roman" w:hAnsi="Times New Roman" w:cs="Times New Roman"/>
          <w:sz w:val="18"/>
          <w:szCs w:val="18"/>
        </w:rPr>
        <w:t xml:space="preserve">: </w:t>
      </w:r>
      <w:r>
        <w:rPr>
          <w:rFonts w:ascii="Times New Roman" w:hAnsi="Times New Roman" w:cs="Times New Roman"/>
          <w:sz w:val="18"/>
          <w:szCs w:val="18"/>
        </w:rPr>
        <w:t xml:space="preserve">20399964]。该基因的扩增与多种肿瘤相关，尤其是神经母细胞瘤。已发现该基因存在多个编码不同亚型的交替剪接转录变体。与MYCN相关的疾病包括眼癌、神经母细胞瘤、子宫内膜癌、肠道癌症等。 </w:t>
      </w:r>
    </w:p>
    <w:p w14:paraId="6895713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824C2F7">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目前没有FDA批准的用于MYCN突变的靶向药物。在1596名神经母细胞瘤患者的队列中，非MYCN扩增病例无进展生存时间为74个月，MYCN扩增病例的无进展生存期为39个月，两组之间具有统计学差异（p &lt; 0.0001)，提示MYCN扩增的神经母细胞瘤患者预后较差[PMID: 25517749]。目前临床阶段的药物多集中于靶向MYCN下游靶点、参与MYCN转录活性和稳定的药物，例如CBL0137、GSK126、比拉瑞塞等都可以抑制MYCN突变，发挥药物抑制作用。</w:t>
      </w:r>
      <w:r>
        <w:rPr>
          <w:rFonts w:hint="eastAsia" w:ascii="Times New Roman" w:hAnsi="Times New Roman" w:cs="Times New Roman"/>
          <w:color w:val="000000"/>
          <w:sz w:val="18"/>
          <w:szCs w:val="18"/>
        </w:rPr>
        <w:t>有研究报道，</w:t>
      </w:r>
      <w:r>
        <w:rPr>
          <w:rFonts w:ascii="Times New Roman" w:hAnsi="Times New Roman" w:cs="Times New Roman"/>
          <w:color w:val="000000"/>
          <w:sz w:val="18"/>
          <w:szCs w:val="18"/>
        </w:rPr>
        <w:t>MYCN与非小细胞肺癌的复发时间有关[PMID: 26858029]。</w:t>
      </w:r>
    </w:p>
    <w:p w14:paraId="455846DC">
      <w:pPr>
        <w:spacing w:line="300" w:lineRule="auto"/>
        <w:ind w:left="420"/>
        <w:rPr>
          <w:rFonts w:ascii="Times New Roman" w:hAnsi="Times New Roman" w:cs="Times New Roman"/>
          <w:sz w:val="18"/>
          <w:szCs w:val="18"/>
        </w:rPr>
      </w:pPr>
    </w:p>
    <w:p w14:paraId="66A34A8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944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8" name="直线 51"/>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1" o:spid="_x0000_s1026" o:spt="20" style="position:absolute;left:0pt;margin-left:-2.55pt;margin-top:12.55pt;height:1.7pt;width:453.45pt;z-index:2517094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trlJU7A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ZlxxuauwNLE3/6/uPp&#10;5y/WzLM6Y8CWgu7cJp5OGDYxUz300eY/kWCHoujxrKg6JCbI2bxvrq/nDWeC7hbz5qYoXr0kh4jp&#10;o/KWZaPjRrtMGFrYf8JEBSn0OSS7jWMjLe1N3dAABdD69TR2Mm0gCuh2JRm90fJeG5NTMO62dyay&#10;PeQVqBf11XMPf4XlKmvAYYorV9NyWJ1Upg7toEB+cJKlYyCVHL0OnruxSnJmFD2mbJXIBNpcEkns&#10;jCOSWeRJ1mxtvTwWtYufBl9kOC1p3qw/zyX75WGuf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ra5SV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NRAS                                                                          </w:t>
      </w:r>
    </w:p>
    <w:p w14:paraId="216FDAE4">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B2D243C">
      <w:pPr>
        <w:spacing w:line="300" w:lineRule="auto"/>
        <w:ind w:left="420"/>
        <w:rPr>
          <w:rFonts w:ascii="Times New Roman" w:hAnsi="Times New Roman" w:cs="Times New Roman"/>
          <w:b/>
          <w:szCs w:val="18"/>
        </w:rPr>
      </w:pPr>
      <w:r>
        <w:rPr>
          <w:rFonts w:ascii="Times New Roman" w:hAnsi="Times New Roman" w:cs="Times New Roman"/>
          <w:sz w:val="18"/>
          <w:szCs w:val="18"/>
        </w:rPr>
        <w:t>NRAS基因属于RAS基因家族，是一种致癌基因，编码的膜蛋白穿梭于高尔基体和细胞质膜之间。这种穿梭机制是通过调节ZDHHC9-GOLGA7复合体的棕榈酰化和去棕榈酰化实现的。在正常细胞中</w:t>
      </w:r>
      <w:r>
        <w:rPr>
          <w:rFonts w:hint="eastAsia" w:ascii="Times New Roman" w:hAnsi="Times New Roman" w:cs="Times New Roman"/>
          <w:sz w:val="18"/>
          <w:szCs w:val="18"/>
        </w:rPr>
        <w:t>，</w:t>
      </w:r>
      <w:r>
        <w:rPr>
          <w:rFonts w:ascii="Times New Roman" w:hAnsi="Times New Roman" w:cs="Times New Roman"/>
          <w:sz w:val="18"/>
          <w:szCs w:val="18"/>
        </w:rPr>
        <w:t>Ras以非活化状态（GDP结合型）存在，当受到外源信号刺激，Ras发生磷酸化，构象改变而成为活化的GTP结合型，刺激下游信号传导，导致肿瘤的发生。NRAS信号的激活会导致下游多条信号通路激活，包括RAS/RAF/MEK/ERK信号通路和PI3K/AKT/mTOR信号通路，从而刺激细胞持续增殖、分化和生存。NRAS G12A/C/D/N/P/R/S/V是位于NRAS蛋白GTP结合区的热点突变。变体尚未被表征，但可以预测将使NRAS蛋白会丧失功能，这导致GTPase活性降低，对GTPase激活蛋白的反应丧失，以及培养细胞的转化[PMID: 6092966; PMID: 26037647; PMID: 19075190]。NRAS基因突变常见于结直肠癌、黑色素瘤、肝细胞癌、髓系白血病和甲状腺癌。</w:t>
      </w:r>
    </w:p>
    <w:p w14:paraId="6DD3EF9B">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西妥昔单抗*</w:t>
      </w:r>
      <w:r>
        <w:rPr>
          <w:rFonts w:ascii="Times New Roman" w:hAnsi="Times New Roman" w:cs="Times New Roman"/>
          <w:color w:val="000000"/>
          <w:sz w:val="18"/>
          <w:szCs w:val="18"/>
        </w:rPr>
        <w:t>、</w:t>
      </w:r>
      <w:r>
        <w:rPr>
          <w:rFonts w:ascii="Times New Roman" w:hAnsi="Times New Roman" w:cs="Times New Roman"/>
          <w:b/>
          <w:color w:val="000000"/>
          <w:sz w:val="18"/>
          <w:szCs w:val="18"/>
        </w:rPr>
        <w:t>帕尼单抗</w:t>
      </w:r>
      <w:r>
        <w:rPr>
          <w:rFonts w:ascii="Times New Roman" w:hAnsi="Times New Roman" w:cs="Times New Roman"/>
          <w:color w:val="000000"/>
          <w:sz w:val="18"/>
          <w:szCs w:val="18"/>
        </w:rPr>
        <w:t>、Navitoclax + 曲美替尼、贝美替尼</w:t>
      </w:r>
    </w:p>
    <w:p w14:paraId="769BF708">
      <w:pPr>
        <w:spacing w:line="360" w:lineRule="auto"/>
        <w:ind w:left="420"/>
        <w:rPr>
          <w:rFonts w:ascii="Times New Roman" w:hAnsi="Times New Roman" w:cs="Times New Roman"/>
          <w:sz w:val="18"/>
          <w:szCs w:val="18"/>
        </w:rPr>
      </w:pPr>
      <w:r>
        <w:rPr>
          <w:rFonts w:ascii="Times New Roman" w:hAnsi="Times New Roman" w:cs="Times New Roman"/>
          <w:sz w:val="18"/>
          <w:szCs w:val="18"/>
        </w:rPr>
        <w:t>临床前模型中NRAS突变的NSCLC显示出对MEK抑制剂敏感。FDA批准西妥昔单抗和帕尼单抗用于RAS野生型(定义为KRAS和NRAS中的野生型)转移性结直肠癌(mCRC)患者</w:t>
      </w:r>
      <w:r>
        <w:rPr>
          <w:rFonts w:hint="eastAsia" w:ascii="Times New Roman" w:hAnsi="Times New Roman" w:cs="Times New Roman"/>
          <w:sz w:val="18"/>
          <w:szCs w:val="18"/>
        </w:rPr>
        <w:t>。结直肠癌中，</w:t>
      </w:r>
      <w:r>
        <w:rPr>
          <w:rFonts w:ascii="Times New Roman" w:hAnsi="Times New Roman" w:cs="Times New Roman"/>
          <w:sz w:val="18"/>
          <w:szCs w:val="18"/>
        </w:rPr>
        <w:t>NRAS野生型对西妥昔单抗[PMID: 30463680]、帕尼单抗（EGFR单抗）[PMID: 29587749; PMID: 29737864]敏感性增加</w:t>
      </w:r>
      <w:r>
        <w:rPr>
          <w:rFonts w:hint="eastAsia" w:ascii="Times New Roman" w:hAnsi="Times New Roman" w:cs="Times New Roman"/>
          <w:sz w:val="18"/>
          <w:szCs w:val="18"/>
        </w:rPr>
        <w:t>。</w:t>
      </w:r>
      <w:r>
        <w:rPr>
          <w:rFonts w:ascii="Times New Roman" w:hAnsi="Times New Roman" w:cs="Times New Roman"/>
          <w:sz w:val="18"/>
          <w:szCs w:val="18"/>
        </w:rPr>
        <w:t>案例研究报道，2例携带Q61K NRAS突变的转移性结直肠癌（mCRC）对贝伐珠单抗联合组蛋白脱乙酰酶抑制剂丙戊酸有良好反应，两名患者第一次评估均表现出肿瘤缩小，患者1持续治疗了13个月以上。患者2获得部分响应并且在报道时已持续治疗8个月以上[PMID: 23400451]。黑色素瘤中，NRAS突变的患者对贝美替尼敏感[PMID: 28284557]。NRAS突变和上调会对表皮生长因子受体(EGFR)和BRAF抑制剂治疗产生抗性[PMID: 24024839]。KRAS、NRAS及BRAF处于EGFR的下游通路中，NRAS的突变状态可能对于帕尼单抗的用药具有一定影响。</w:t>
      </w:r>
      <w:r>
        <w:rPr>
          <w:rFonts w:hint="eastAsia" w:ascii="Times New Roman" w:hAnsi="Times New Roman" w:cs="Times New Roman"/>
          <w:sz w:val="18"/>
          <w:szCs w:val="18"/>
        </w:rPr>
        <w:t>目前</w:t>
      </w:r>
      <w:r>
        <w:rPr>
          <w:rFonts w:ascii="Times New Roman" w:hAnsi="Times New Roman" w:cs="Times New Roman"/>
          <w:sz w:val="18"/>
          <w:szCs w:val="18"/>
        </w:rPr>
        <w:t>HH2710</w:t>
      </w:r>
      <w:r>
        <w:rPr>
          <w:rFonts w:hint="eastAsia" w:ascii="Times New Roman" w:hAnsi="Times New Roman" w:cs="Times New Roman"/>
          <w:sz w:val="18"/>
          <w:szCs w:val="18"/>
        </w:rPr>
        <w:t>、西罗莫司、贝美替尼用于N</w:t>
      </w:r>
      <w:r>
        <w:rPr>
          <w:rFonts w:ascii="Times New Roman" w:hAnsi="Times New Roman" w:cs="Times New Roman"/>
          <w:sz w:val="18"/>
          <w:szCs w:val="18"/>
        </w:rPr>
        <w:t>RAS</w:t>
      </w:r>
      <w:r>
        <w:rPr>
          <w:rFonts w:hint="eastAsia" w:ascii="Times New Roman" w:hAnsi="Times New Roman" w:cs="Times New Roman"/>
          <w:sz w:val="18"/>
          <w:szCs w:val="18"/>
        </w:rPr>
        <w:t>突变的实体瘤患者的临床试验正在开展。</w:t>
      </w:r>
    </w:p>
    <w:p w14:paraId="5860D322">
      <w:pPr>
        <w:spacing w:line="300" w:lineRule="auto"/>
        <w:rPr>
          <w:rFonts w:ascii="Times New Roman" w:hAnsi="Times New Roman" w:cs="Times New Roman"/>
          <w:sz w:val="18"/>
          <w:szCs w:val="18"/>
        </w:rPr>
      </w:pPr>
    </w:p>
    <w:p w14:paraId="1590A87B">
      <w:pPr>
        <w:spacing w:line="360" w:lineRule="auto"/>
        <w:rPr>
          <w:rFonts w:ascii="Times New Roman" w:hAnsi="Times New Roman" w:cs="Times New Roman"/>
          <w:b/>
          <w:szCs w:val="18"/>
        </w:rPr>
      </w:pPr>
      <w:r>
        <w:rPr>
          <w:rFonts w:ascii="Times New Roman" w:hAnsi="Times New Roman" w:cs="Times New Roman"/>
        </w:rPr>
        <mc:AlternateContent>
          <mc:Choice Requires="wps">
            <w:drawing>
              <wp:anchor distT="0" distB="0" distL="114300" distR="114300" simplePos="0" relativeHeight="251675648" behindDoc="1" locked="0" layoutInCell="1" allowOverlap="1">
                <wp:simplePos x="0" y="0"/>
                <wp:positionH relativeFrom="column">
                  <wp:posOffset>-32385</wp:posOffset>
                </wp:positionH>
                <wp:positionV relativeFrom="paragraph">
                  <wp:posOffset>168275</wp:posOffset>
                </wp:positionV>
                <wp:extent cx="5758815" cy="21590"/>
                <wp:effectExtent l="0" t="9525" r="3810" b="16510"/>
                <wp:wrapNone/>
                <wp:docPr id="18" name="直线 5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2" o:spid="_x0000_s1026" o:spt="20" style="position:absolute;left:0pt;margin-left:-2.55pt;margin-top:13.25pt;height:1.7pt;width:453.45pt;z-index:-251640832;mso-width-relative:page;mso-height-relative:page;" filled="f" stroked="t" coordsize="21600,21600" o:gfxdata="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YlbQLN3YGliT99//H0&#10;8xdrFlmdMWBLQXduE08nDJuYqR76aPOfSLBDUfR4VlQdEhPkbN4319fzhjNBd4t5c1MUr16SQ8T0&#10;UXnLstFxo10mDC3sP2GighT6HJLdxrGRWr2pGxqgAFq/nsZOpg1EAd2uJKM3Wt5rY3IKxt32zkS2&#10;h7wC9aK+eu7hr7BcZQ04THHlaloOq5PK1KEdFMgPTrJ0DKSSo9fBczdWSc6MoseUrRKZQJtLIomd&#10;cUQyizzJmq2tl8eidvHT4IsMpyXNm/XnuWS/PMz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Dsq&#10;JgTXAAAACAEAAA8AAAAAAAAAAQAgAAAAIgAAAGRycy9kb3ducmV2LnhtbFBLAQIUABQAAAAIAIdO&#10;4kBmz+uu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NTRK1                                                                    </w:t>
      </w:r>
    </w:p>
    <w:p w14:paraId="699C241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621630B">
      <w:pPr>
        <w:spacing w:line="300" w:lineRule="auto"/>
        <w:ind w:left="420"/>
        <w:rPr>
          <w:rFonts w:ascii="Times New Roman" w:hAnsi="Times New Roman" w:cs="Times New Roman"/>
          <w:sz w:val="18"/>
          <w:szCs w:val="18"/>
        </w:rPr>
      </w:pPr>
      <w:r>
        <w:rPr>
          <w:rFonts w:ascii="Times New Roman" w:hAnsi="Times New Roman" w:cs="Times New Roman"/>
          <w:sz w:val="18"/>
          <w:szCs w:val="18"/>
        </w:rPr>
        <w:t>NTRK1 基因编码原肌球蛋白受体激酶 A（TrkA），是 Trk 受体酪氨酸激酶家族的成员。NTRK1基因位于1q23.1，编码的蛋白属于神经营养因子酪氨酸激酶受体家族的成员，在生物学上， TrkAI 被认为是神经母细胞瘤中的肿瘤抑制因子。这种激酶是一种膜结合受体，通过与神经营养因子结合，使其自身以及MAPK信号通路的成员磷酸化。如果与其它基因发生融合，可导致异常激活，从而引起肿瘤的发生，与NTRK1相关的疾病包括无汗症、精神发育迟滞、乳头状甲状腺癌、肺癌、多形性胶质母细胞瘤等。NTRK1 重排发生在 12%的乳头状甲状腺癌中， 3.3%的肺癌和近 1%的多形性恶性胶质瘤中。NTRK1 基因融合了完整的 TRKA 激酶结构域，导致了 TRKA 激酶活性组成</w:t>
      </w:r>
      <w:r>
        <w:rPr>
          <w:rFonts w:hint="eastAsia" w:ascii="Times New Roman" w:hAnsi="Times New Roman" w:cs="Times New Roman"/>
          <w:sz w:val="18"/>
          <w:szCs w:val="18"/>
        </w:rPr>
        <w:t>型</w:t>
      </w:r>
      <w:r>
        <w:rPr>
          <w:rFonts w:ascii="Times New Roman" w:hAnsi="Times New Roman" w:cs="Times New Roman"/>
          <w:sz w:val="18"/>
          <w:szCs w:val="18"/>
        </w:rPr>
        <w:t>激活。MPRIP-NTRK1(M21;N14)和CD74-NTRK1 (C8;N12)融合基因是肺腺癌的致癌基因，是肺癌新的癌基因靶点。</w:t>
      </w:r>
    </w:p>
    <w:p w14:paraId="69E16AEB">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恩曲替尼、拉罗替尼</w:t>
      </w:r>
    </w:p>
    <w:p w14:paraId="07CFB5FB">
      <w:pPr>
        <w:spacing w:line="360" w:lineRule="auto"/>
        <w:ind w:left="420"/>
        <w:rPr>
          <w:rFonts w:ascii="Times New Roman" w:hAnsi="Times New Roman" w:cs="Times New Roman"/>
          <w:sz w:val="18"/>
          <w:szCs w:val="18"/>
        </w:rPr>
      </w:pPr>
      <w:r>
        <w:rPr>
          <w:rFonts w:ascii="Times New Roman" w:hAnsi="Times New Roman" w:cs="Times New Roman"/>
          <w:sz w:val="18"/>
          <w:szCs w:val="18"/>
        </w:rPr>
        <w:t>FDA批准NTRK基因抑制剂拉罗替尼和恩曲替尼用于治疗患有NTRK基因融合的局部晚期或转移性实体瘤的成人和儿童患者。恩曲替尼和拉罗替尼是一种广谱抗癌靶向药，在多种肿瘤中有效性一致。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VMD928</w:t>
      </w:r>
      <w:r>
        <w:rPr>
          <w:rFonts w:hint="eastAsia" w:ascii="Times New Roman" w:hAnsi="Times New Roman" w:cs="Times New Roman"/>
          <w:sz w:val="18"/>
          <w:szCs w:val="18"/>
        </w:rPr>
        <w:t>、</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TRK1</w:t>
      </w:r>
      <w:r>
        <w:rPr>
          <w:rFonts w:hint="eastAsia" w:ascii="Times New Roman" w:hAnsi="Times New Roman" w:cs="Times New Roman"/>
          <w:sz w:val="18"/>
          <w:szCs w:val="18"/>
        </w:rPr>
        <w:t>扩增或融合的实体瘤患者的临床试验正在开展。</w:t>
      </w:r>
    </w:p>
    <w:p w14:paraId="46851448">
      <w:pPr>
        <w:spacing w:line="360" w:lineRule="auto"/>
        <w:ind w:left="420"/>
        <w:rPr>
          <w:rFonts w:ascii="Times New Roman" w:hAnsi="Times New Roman" w:cs="Times New Roman"/>
          <w:sz w:val="18"/>
          <w:szCs w:val="18"/>
        </w:rPr>
      </w:pPr>
    </w:p>
    <w:p w14:paraId="7A67ED8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848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9" name="直线 5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3" o:spid="_x0000_s1026" o:spt="20" style="position:absolute;left:0pt;margin-left:-2.6pt;margin-top:12.55pt;height:1.7pt;width:453.4pt;z-index:-2516480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WbC2O6QEAAN8DAAAOAAAAZHJzL2Uyb0RvYy54bWytU0uO&#10;EzEQ3SNxB8t70p2g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S84cWLrwx+8/Hn/+&#10;YvO3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lmwtj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NTRK2</w:t>
      </w:r>
      <w:r>
        <w:rPr>
          <w:rFonts w:ascii="Times New Roman" w:hAnsi="Times New Roman" w:cs="Times New Roman"/>
          <w:b/>
          <w:color w:val="FF0000"/>
        </w:rPr>
        <w:t xml:space="preserve"> </w:t>
      </w:r>
      <w:r>
        <w:rPr>
          <w:rFonts w:ascii="Times New Roman" w:hAnsi="Times New Roman" w:cs="Times New Roman"/>
          <w:b/>
        </w:rPr>
        <w:t xml:space="preserve">                                                                        </w:t>
      </w:r>
    </w:p>
    <w:p w14:paraId="0010A9B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A4C9300">
      <w:pPr>
        <w:spacing w:line="300" w:lineRule="auto"/>
        <w:ind w:left="420"/>
        <w:rPr>
          <w:rFonts w:ascii="Times New Roman" w:hAnsi="Times New Roman" w:cs="Times New Roman"/>
          <w:sz w:val="18"/>
          <w:szCs w:val="18"/>
        </w:rPr>
      </w:pPr>
      <w:r>
        <w:rPr>
          <w:rFonts w:ascii="Times New Roman" w:hAnsi="Times New Roman" w:cs="Times New Roman"/>
          <w:sz w:val="18"/>
          <w:szCs w:val="18"/>
        </w:rPr>
        <w:t>NTRK2基因</w:t>
      </w:r>
      <w:r>
        <w:rPr>
          <w:rFonts w:hint="eastAsia" w:ascii="Times New Roman" w:hAnsi="Times New Roman" w:cs="Times New Roman"/>
          <w:sz w:val="18"/>
          <w:szCs w:val="18"/>
        </w:rPr>
        <w:t>（</w:t>
      </w:r>
      <w:r>
        <w:rPr>
          <w:rFonts w:ascii="Times New Roman" w:hAnsi="Times New Roman" w:cs="Times New Roman"/>
          <w:sz w:val="18"/>
          <w:szCs w:val="18"/>
        </w:rPr>
        <w:t>神经营养受体酪氨酸激酶2</w:t>
      </w:r>
      <w:r>
        <w:rPr>
          <w:rFonts w:hint="eastAsia" w:ascii="Times New Roman" w:hAnsi="Times New Roman" w:cs="Times New Roman"/>
          <w:sz w:val="18"/>
          <w:szCs w:val="18"/>
        </w:rPr>
        <w:t>）</w:t>
      </w:r>
      <w:r>
        <w:rPr>
          <w:rFonts w:ascii="Times New Roman" w:hAnsi="Times New Roman" w:cs="Times New Roman"/>
          <w:sz w:val="18"/>
          <w:szCs w:val="18"/>
        </w:rPr>
        <w:t>编码跨膜神经营养受体，该受体参与对正常神经发育重要的信号传导[PMID: 8145823]。NTRK2由胞外配体结合结构域、跨膜结构域和含有酪氨酸激酶结构域的胞内区域组成。神经细胞中的正常激活发生在结合其三个配体之一时，即神经生长因子(NGF)、脑源性神经营养因子(BDNF)或神经营养因子-3 (NT-3)，导致通过MAPK和PI3K[PMID: 10851172]。在神经细胞中的正常的激活机制是通过结合NGF、BDNF、NT-3引发自磷酸化和下游的MAPK等信号通路的激活，继而调控和促进细胞的增殖、生存以及分化。在几种人类癌症中发现了NTRK2的改变，特别是融合，例如肺癌、毛细胞星形细胞瘤和神经母细胞瘤[PMID: 9049830]。</w:t>
      </w:r>
    </w:p>
    <w:p w14:paraId="06B02A97">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2F5E9DD8">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5BDA3796">
      <w:pPr>
        <w:spacing w:line="300" w:lineRule="auto"/>
        <w:rPr>
          <w:rFonts w:ascii="Times New Roman" w:hAnsi="Times New Roman" w:cs="Times New Roman"/>
          <w:sz w:val="18"/>
          <w:szCs w:val="18"/>
        </w:rPr>
      </w:pPr>
    </w:p>
    <w:p w14:paraId="5D934E2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281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5" name="直线 5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4" o:spid="_x0000_s1026" o:spt="20" style="position:absolute;left:0pt;margin-left:-2.6pt;margin-top:12.55pt;height:1.7pt;width:453.4pt;z-index:-2516336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fhepq6wEAAOADAAAOAAAAZHJzL2Uyb0RvYy54bWytU0tu&#10;2zAQ3RfoHQjua8lGlS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vmg4c2Dpxh+//3j8&#10;+Ys1b7M6Y8CWku7cJp5OGDYxUz300eY/kWCHoujxrKg6JCbI2bxrrufXJLag2GLe3BTFq+fiEDF9&#10;UN6ybHTcaJcJQwv7j5ioIaU+pWS3cWykpb2pm4wJtH49XTuZNhAFdLtSjN5oea+NySUYd9s7E9ke&#10;8grUi/rqaYa/0nKXNeAw5ZXQtBxWJ5WpQzsokO+dZOkYSCVHr4PnaaySnBlFjylbJTOBNpdkEjvj&#10;iGQWeZI1W1svj0Xt4qeLLzKcljRv1p/nUv38MFe/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fhep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NTRK3                                                                         </w:t>
      </w:r>
    </w:p>
    <w:p w14:paraId="7729439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513F95E">
      <w:pPr>
        <w:spacing w:line="300" w:lineRule="auto"/>
        <w:ind w:left="420"/>
        <w:rPr>
          <w:rFonts w:ascii="Times New Roman" w:hAnsi="Times New Roman" w:cs="Times New Roman"/>
          <w:b/>
          <w:szCs w:val="18"/>
        </w:rPr>
      </w:pPr>
      <w:r>
        <w:rPr>
          <w:rFonts w:ascii="Times New Roman" w:hAnsi="Times New Roman" w:cs="Times New Roman"/>
          <w:sz w:val="18"/>
          <w:szCs w:val="18"/>
        </w:rPr>
        <w:t>NTRK3又</w:t>
      </w:r>
      <w:r>
        <w:rPr>
          <w:rFonts w:hint="eastAsia" w:ascii="Times New Roman" w:hAnsi="Times New Roman" w:cs="Times New Roman"/>
          <w:sz w:val="18"/>
          <w:szCs w:val="18"/>
        </w:rPr>
        <w:t>称</w:t>
      </w:r>
      <w:r>
        <w:rPr>
          <w:rFonts w:ascii="Times New Roman" w:hAnsi="Times New Roman" w:cs="Times New Roman"/>
          <w:sz w:val="18"/>
          <w:szCs w:val="18"/>
        </w:rPr>
        <w:t>为TRKC，编码神经营养酪氨酸受体激酶(NTRK)家族成员。该激酶由胞外配体结合区域、跨膜区域以及胞内含酪氨酸激酶区域构成，是一种膜结合受体，通过与神经营养蛋白结合，从而磷酸化自身和MAPK通路的成员，通过这种激酶的信号传导导致细胞分化，并在能够感觉身体位置的本体感受神经元的发育中起作用。已经发现，在几种人类癌症中，NTRK3主要以致癌融合的形式发生改变[PMID: 24705251]。NTRK3表达主要见于神经元细胞和神经外胚叶肿瘤，与NTRK3相关的疾病还包括分泌性乳腺癌、纤维肉瘤和先天性中胚层肾瘤。约有14%急性髓细胞白血病AML-M2患者存在ETV6-NTRK3融合基因t(12;15) (p12;q25) ；融合基</w:t>
      </w:r>
      <w:r>
        <w:rPr>
          <w:rFonts w:hint="eastAsia" w:ascii="Times New Roman" w:hAnsi="Times New Roman" w:cs="Times New Roman"/>
          <w:sz w:val="18"/>
          <w:szCs w:val="18"/>
        </w:rPr>
        <w:t>因</w:t>
      </w:r>
      <w:r>
        <w:rPr>
          <w:rFonts w:ascii="Times New Roman" w:hAnsi="Times New Roman" w:cs="Times New Roman"/>
          <w:sz w:val="18"/>
          <w:szCs w:val="18"/>
        </w:rPr>
        <w:t xml:space="preserve">ETV6-NTRK3在分泌型乳腺癌中的表达率为90.9%，特异性达100%；食管癌组织标本中验证NTRK3基因的断裂频率为14.7%。 </w:t>
      </w:r>
    </w:p>
    <w:p w14:paraId="6A522D17">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6D98B00E">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15A70E16">
      <w:pPr>
        <w:spacing w:line="300" w:lineRule="auto"/>
        <w:ind w:left="420"/>
        <w:rPr>
          <w:rFonts w:ascii="Times New Roman" w:hAnsi="Times New Roman" w:cs="Times New Roman"/>
          <w:b/>
          <w:szCs w:val="18"/>
        </w:rPr>
      </w:pPr>
    </w:p>
    <w:p w14:paraId="44D4255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408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6" name="直线 5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5" o:spid="_x0000_s1026" o:spt="20" style="position:absolute;left:0pt;margin-left:-2.6pt;margin-top:12.55pt;height:1.7pt;width:453.4pt;z-index:2516940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M9R6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PDGFRA                                                                         </w:t>
      </w:r>
    </w:p>
    <w:p w14:paraId="19A9D2D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30AB0E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PDGFRA基因编码血小板衍生生长因子家族成员的细胞表面酪氨酸激酶受体PDGFR，分子量为180kD的单链膜糖蛋白。受体分子由α，β两种亚基组成，成熟后的PDGFR以二聚体稳态形式与配体PDGF相应异构体(PDGF-AA，AB，BB)结合。基因编码血小板衍生生长因子家族成员的细胞表面酪氨酸激酶受体。结直肠癌组织中PDGFR α和PDGFR β均有表达分布，PDGFR α分布于结直肠正常组织、息肉组织及肿瘤组织上； PDGFR β表达于肿瘤细胞、肿瘤间质细胞和微血管细胞（包括微血管周细胞）上。研究表明，该基因在器官发育、伤口愈合和肿瘤进展中起作用。该基因的突变与特发性嗜酸性粒细胞增多综合征、家族性胃肠道间质瘤以及其他多种癌症有关。PDGFRA基因突变常见于胃肠道间质瘤、胶质母细胞瘤、恶性外周神经鞘等肿瘤，其中GIST中PDGFRA基因突变率在 5~10%左右。 </w:t>
      </w:r>
    </w:p>
    <w:p w14:paraId="6C31D1EE">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伊马替尼*、达沙替尼*、</w:t>
      </w:r>
      <w:r>
        <w:rPr>
          <w:rFonts w:hint="eastAsia" w:ascii="Times New Roman" w:hAnsi="Times New Roman" w:cs="Times New Roman"/>
          <w:b/>
          <w:sz w:val="18"/>
          <w:szCs w:val="18"/>
        </w:rPr>
        <w:t>阿伐替尼</w:t>
      </w:r>
      <w:r>
        <w:rPr>
          <w:rFonts w:ascii="Times New Roman" w:hAnsi="Times New Roman" w:cs="Times New Roman"/>
          <w:b/>
          <w:sz w:val="18"/>
          <w:szCs w:val="18"/>
        </w:rPr>
        <w:t>*（主要都是胃肠道间质瘤获益药物）</w:t>
      </w:r>
    </w:p>
    <w:p w14:paraId="4E4F77E5">
      <w:pPr>
        <w:spacing w:line="300" w:lineRule="auto"/>
        <w:ind w:left="420"/>
        <w:rPr>
          <w:rFonts w:ascii="Times New Roman" w:hAnsi="Times New Roman" w:cs="Times New Roman"/>
          <w:sz w:val="18"/>
          <w:szCs w:val="18"/>
        </w:rPr>
      </w:pPr>
      <w:r>
        <w:rPr>
          <w:rFonts w:ascii="Times New Roman" w:hAnsi="Times New Roman" w:cs="Times New Roman"/>
          <w:sz w:val="18"/>
          <w:szCs w:val="18"/>
        </w:rPr>
        <w:t>FDA/NMPA批准</w:t>
      </w:r>
      <w:r>
        <w:rPr>
          <w:rFonts w:hint="eastAsia" w:ascii="Times New Roman" w:hAnsi="Times New Roman" w:cs="Times New Roman"/>
          <w:sz w:val="18"/>
          <w:szCs w:val="18"/>
        </w:rPr>
        <w:t>阿伐替尼</w:t>
      </w:r>
      <w:r>
        <w:rPr>
          <w:rFonts w:ascii="Times New Roman" w:hAnsi="Times New Roman" w:cs="Times New Roman"/>
          <w:sz w:val="18"/>
          <w:szCs w:val="18"/>
        </w:rPr>
        <w:t>用于治疗携带PDGFRA</w:t>
      </w:r>
      <w:r>
        <w:rPr>
          <w:rFonts w:hint="eastAsia" w:ascii="Times New Roman" w:hAnsi="Times New Roman" w:cs="Times New Roman"/>
          <w:sz w:val="18"/>
          <w:szCs w:val="18"/>
        </w:rPr>
        <w:t xml:space="preserve"> </w:t>
      </w:r>
      <w:r>
        <w:rPr>
          <w:rFonts w:ascii="Times New Roman" w:hAnsi="Times New Roman" w:cs="Times New Roman"/>
          <w:sz w:val="18"/>
          <w:szCs w:val="18"/>
        </w:rPr>
        <w:t>18号外显子突变（包括PDGFRA D842V突变）的患有不可切除或转移性胃肠道间质瘤（GIST）的成人患者。NCCN指南指出除了D842V位点，大部分PDGFRA基因突变的胃肠道间质瘤患者对伊马替尼有反应，携带PDGFRA D842V的胃肠道间质瘤患者对伊马替尼耐药，而对达沙替尼敏感，达沙替尼可能为该类患者的有效治疗选择[NCCN_Gastrointestinal Stromal Tumors_2021_V1]。一项临床前研究表明，舒尼替尼降低了具有PDGFRA扩增的非小细胞肺癌（NSCLC）患者的细胞增殖，抑制下游信号[PMID: 19366796]。一项临床前研究表明，伊马替尼和达沙替尼能够抑制具有PDGFRA扩增的肺鳞癌的细胞生长，抑制具有PDGFRA扩增的非鳞癌异植体的肿瘤生长[PMID: 22328973]。研究伊马替尼</w:t>
      </w:r>
      <w:r>
        <w:rPr>
          <w:rFonts w:hint="eastAsia" w:ascii="Times New Roman" w:hAnsi="Times New Roman" w:cs="Times New Roman"/>
          <w:sz w:val="18"/>
          <w:szCs w:val="18"/>
        </w:rPr>
        <w:t>对</w:t>
      </w:r>
      <w:r>
        <w:rPr>
          <w:rFonts w:ascii="Times New Roman" w:hAnsi="Times New Roman" w:cs="Times New Roman"/>
          <w:sz w:val="18"/>
          <w:szCs w:val="18"/>
        </w:rPr>
        <w:t>携带PDGFRA突变的GIST患者的效力，在31例可评估携带D842V突变的患者中，没有一例具有应答，21例疾病进展，携带D842V突变患者的中位PFS为2.8个月，携带其他PDGFA突变为28.5个月，因此伊马替尼在具有D842V突变的患者亚组中几乎没有效力，而其他突变似乎对伊马替尼敏感[PMID: 22718859]。</w:t>
      </w:r>
    </w:p>
    <w:p w14:paraId="59B75D56">
      <w:pPr>
        <w:spacing w:line="300" w:lineRule="auto"/>
        <w:ind w:left="420"/>
        <w:rPr>
          <w:rFonts w:ascii="Times New Roman" w:hAnsi="Times New Roman" w:cs="Times New Roman"/>
          <w:sz w:val="18"/>
          <w:szCs w:val="18"/>
        </w:rPr>
      </w:pPr>
    </w:p>
    <w:p w14:paraId="6A84A19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046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9" name="直线 5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6" o:spid="_x0000_s1026" o:spt="20" style="position:absolute;left:0pt;margin-left:-2.6pt;margin-top:12.55pt;height:1.7pt;width:453.4pt;z-index:2517104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FqO5xn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PPARG                                                                         </w:t>
      </w:r>
    </w:p>
    <w:p w14:paraId="7D3795D6">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87C223C">
      <w:pPr>
        <w:spacing w:line="300" w:lineRule="auto"/>
        <w:ind w:left="420"/>
        <w:rPr>
          <w:rFonts w:ascii="Times New Roman" w:hAnsi="Times New Roman" w:cs="Times New Roman"/>
          <w:sz w:val="18"/>
          <w:szCs w:val="18"/>
        </w:rPr>
      </w:pPr>
      <w:r>
        <w:rPr>
          <w:rFonts w:ascii="Times New Roman" w:hAnsi="Times New Roman" w:cs="Times New Roman"/>
          <w:sz w:val="18"/>
          <w:szCs w:val="18"/>
        </w:rPr>
        <w:t>PPARG编码核受体过氧化物酶体增殖激活受体（PPAR）亚家族成员，PPAR-γ，PPAR-γ与类视黄醇X受体-α形成异二聚体，对过氧化物酶体增殖物如RXR-α激动剂、9-顺式视黄酸作出反应，并激活参与脂肪形成、脂质代谢、葡萄糖体内平衡、动脉粥样硬化形成、炎症和肿瘤易感性调节的各种基因的表达[PMID: 8536636]。染色体易位(2；3)(q13；p25)导致甲状腺转录因子配对盒基因8 (PAX8)和PPAR- γ1的DNA结合结构域之间的融合，已经在甲状腺滤泡癌的一个子集</w:t>
      </w:r>
      <w:r>
        <w:rPr>
          <w:rFonts w:hint="eastAsia" w:ascii="Times New Roman" w:hAnsi="Times New Roman" w:cs="Times New Roman"/>
          <w:sz w:val="18"/>
          <w:szCs w:val="18"/>
        </w:rPr>
        <w:t>观察到</w:t>
      </w:r>
      <w:r>
        <w:rPr>
          <w:rFonts w:ascii="Times New Roman" w:hAnsi="Times New Roman" w:cs="Times New Roman"/>
          <w:sz w:val="18"/>
          <w:szCs w:val="18"/>
        </w:rPr>
        <w:t xml:space="preserve">[PMID: 10958784]。PPAR-γ已经涉及许多疾病的病理学，包括肥胖症、糖尿病、动脉粥样硬化和癌症。与PPARG相关的疾病包括子宫内膜癌、皮肤癌、胃癌等。 </w:t>
      </w:r>
    </w:p>
    <w:p w14:paraId="2D3A3C6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E2CF944">
      <w:pPr>
        <w:spacing w:line="360" w:lineRule="auto"/>
        <w:ind w:left="420"/>
        <w:rPr>
          <w:rFonts w:ascii="Times New Roman" w:hAnsi="Times New Roman" w:cs="Times New Roman"/>
          <w:sz w:val="18"/>
          <w:szCs w:val="18"/>
        </w:rPr>
      </w:pPr>
      <w:r>
        <w:rPr>
          <w:rFonts w:ascii="Times New Roman" w:hAnsi="Times New Roman" w:cs="Times New Roman"/>
          <w:sz w:val="18"/>
          <w:szCs w:val="18"/>
        </w:rPr>
        <w:t>PAX8-PPARG基因融合在12/33滤泡性甲状腺癌样本中发现，但在甲状腺损伤细胞肿瘤中很少发现[PMID: 12727991]。临床试验阶段，已知激活PPAR-γ的配体，通常是噻唑烷二酮类，由于参与调节细胞周期和细胞存活/死亡的蛋白质的重新表达，使大量癌细胞对死亡受体(DR)介导的凋亡敏感，并且还作为血管生成的抑制剂[PMID: 15041792]。相反，据报道，PPAR-γ激动剂也增加了结肠癌APCMin/+小鼠模型中结肠肿瘤的频率和大小[PMID: 9734400]。</w:t>
      </w:r>
      <w:r>
        <w:rPr>
          <w:rFonts w:hint="eastAsia" w:ascii="Times New Roman" w:hAnsi="Times New Roman" w:cs="Times New Roman"/>
          <w:sz w:val="18"/>
          <w:szCs w:val="18"/>
        </w:rPr>
        <w:t>有研究表明，</w:t>
      </w:r>
      <w:r>
        <w:rPr>
          <w:rFonts w:ascii="Times New Roman" w:hAnsi="Times New Roman" w:cs="Times New Roman"/>
          <w:sz w:val="18"/>
          <w:szCs w:val="18"/>
        </w:rPr>
        <w:t>PPARG过表达的高浆液型卵巢癌患者的OS（总生存期）较差[PMID: 23200915]。</w:t>
      </w:r>
      <w:r>
        <w:rPr>
          <w:rFonts w:hint="eastAsia" w:ascii="Times New Roman" w:hAnsi="Times New Roman" w:cs="Times New Roman"/>
          <w:sz w:val="18"/>
          <w:szCs w:val="18"/>
        </w:rPr>
        <w:t>有研究表明，</w:t>
      </w:r>
      <w:r>
        <w:rPr>
          <w:rFonts w:ascii="Times New Roman" w:hAnsi="Times New Roman" w:cs="Times New Roman"/>
          <w:sz w:val="18"/>
          <w:szCs w:val="18"/>
        </w:rPr>
        <w:t>PPARG多态性可能影响肝癌的易感性[PMID: 30122956]。</w:t>
      </w:r>
    </w:p>
    <w:p w14:paraId="0E636D1D">
      <w:pPr>
        <w:spacing w:line="300" w:lineRule="auto"/>
        <w:ind w:left="420"/>
        <w:rPr>
          <w:rFonts w:ascii="Times New Roman" w:hAnsi="Times New Roman" w:cs="Times New Roman"/>
          <w:sz w:val="18"/>
          <w:szCs w:val="18"/>
        </w:rPr>
      </w:pPr>
    </w:p>
    <w:p w14:paraId="175DA8FC">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95104" behindDoc="1" locked="0" layoutInCell="1" allowOverlap="1">
                <wp:simplePos x="0" y="0"/>
                <wp:positionH relativeFrom="column">
                  <wp:posOffset>-30480</wp:posOffset>
                </wp:positionH>
                <wp:positionV relativeFrom="paragraph">
                  <wp:posOffset>159385</wp:posOffset>
                </wp:positionV>
                <wp:extent cx="5757545" cy="21590"/>
                <wp:effectExtent l="0" t="9525" r="5080" b="16510"/>
                <wp:wrapNone/>
                <wp:docPr id="37" name="直线 57"/>
                <wp:cNvGraphicFramePr/>
                <a:graphic xmlns:a="http://schemas.openxmlformats.org/drawingml/2006/main">
                  <a:graphicData uri="http://schemas.microsoft.com/office/word/2010/wordprocessingShape">
                    <wps:wsp>
                      <wps:cNvCnPr/>
                      <wps:spPr>
                        <a:xfrm>
                          <a:off x="0" y="0"/>
                          <a:ext cx="575754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7" o:spid="_x0000_s1026" o:spt="20" style="position:absolute;left:0pt;margin-left:-2.4pt;margin-top:12.55pt;height:1.7pt;width:453.35pt;z-index:-251621376;mso-width-relative:page;mso-height-relative:page;" filled="f" stroked="t" coordsize="21600,21600" o:gfxdata="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Oo&#10;u47YAAAACAEAAA8AAAAAAAAAAQAgAAAAIgAAAGRycy9kb3ducmV2LnhtbFBLAQIUABQAAAAIAIdO&#10;4kAXjrub6gEAAOADAAAOAAAAAAAAAAEAIAAAACc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PTEN                                                                          </w:t>
      </w:r>
    </w:p>
    <w:p w14:paraId="7F288EE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1FF3F6F">
      <w:pPr>
        <w:spacing w:line="300" w:lineRule="auto"/>
        <w:ind w:left="440" w:leftChars="200" w:firstLine="59" w:firstLineChars="33"/>
        <w:rPr>
          <w:rFonts w:ascii="Times New Roman" w:hAnsi="Times New Roman" w:cs="Times New Roman"/>
          <w:sz w:val="18"/>
          <w:szCs w:val="18"/>
        </w:rPr>
      </w:pPr>
      <w:r>
        <w:rPr>
          <w:rFonts w:ascii="Times New Roman" w:hAnsi="Times New Roman" w:cs="Times New Roman"/>
          <w:sz w:val="18"/>
          <w:szCs w:val="18"/>
        </w:rPr>
        <w:t>PTEN基因是编码具有磷酸酶活性产物的抑癌基因，在细胞的分化、增殖和凋亡过程中起重要作用，并参与细胞的黏附和运动。其不仅能诱导细胞凋亡及抑制细胞有丝分裂，还能调节细胞黏附、转移、分化等。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w:t>
      </w:r>
    </w:p>
    <w:p w14:paraId="4831678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A5E9172">
      <w:pPr>
        <w:spacing w:line="300" w:lineRule="auto"/>
        <w:ind w:left="420"/>
        <w:rPr>
          <w:rFonts w:ascii="Times New Roman" w:hAnsi="Times New Roman" w:cs="Times New Roman"/>
          <w:sz w:val="18"/>
          <w:szCs w:val="18"/>
        </w:rPr>
      </w:pPr>
      <w:r>
        <w:rPr>
          <w:rFonts w:ascii="Times New Roman" w:hAnsi="Times New Roman" w:cs="Times New Roman"/>
          <w:sz w:val="18"/>
          <w:szCs w:val="18"/>
        </w:rPr>
        <w:t>临床前研究表明，AKT/mTOR通路抑制剂（依维莫司、替西罗莫司等）可能具有抑制PTEN缺失导致的肿瘤增殖的作用。PTEN基因损伤可能对替西罗莫司 (mTOR抑制剂)、GSK2636771[PMID: 28645941]、AZD6482 (PI3Kβ 抑制剂)、MK-2206 (AKT抑制剂)、和17-AAG (HSP90抑制剂)敏感性增强</w:t>
      </w:r>
      <w:r>
        <w:rPr>
          <w:rFonts w:hint="eastAsia" w:ascii="Times New Roman" w:hAnsi="Times New Roman" w:cs="Times New Roman"/>
          <w:sz w:val="18"/>
          <w:szCs w:val="18"/>
        </w:rPr>
        <w:t>。非霍奇金淋巴瘤和多发性骨髓瘤中，</w:t>
      </w:r>
      <w:r>
        <w:rPr>
          <w:rFonts w:ascii="Times New Roman" w:hAnsi="Times New Roman" w:cs="Times New Roman"/>
          <w:sz w:val="18"/>
          <w:szCs w:val="18"/>
        </w:rPr>
        <w:t>PTEN失活突变对替西罗莫司敏感[PMID: 16916489]。</w:t>
      </w:r>
      <w:r>
        <w:rPr>
          <w:rFonts w:hint="eastAsia" w:ascii="Times New Roman" w:hAnsi="Times New Roman" w:cs="Times New Roman"/>
          <w:sz w:val="18"/>
          <w:szCs w:val="18"/>
        </w:rPr>
        <w:t>目前</w:t>
      </w:r>
      <w:r>
        <w:rPr>
          <w:rFonts w:ascii="Times New Roman" w:hAnsi="Times New Roman" w:cs="Times New Roman"/>
          <w:sz w:val="18"/>
          <w:szCs w:val="18"/>
        </w:rPr>
        <w:t>GSK2636771</w:t>
      </w:r>
      <w:r>
        <w:rPr>
          <w:rFonts w:hint="eastAsia" w:ascii="Times New Roman" w:hAnsi="Times New Roman" w:cs="Times New Roman"/>
          <w:sz w:val="18"/>
          <w:szCs w:val="18"/>
        </w:rPr>
        <w:t>、</w:t>
      </w:r>
      <w:r>
        <w:rPr>
          <w:rFonts w:ascii="Times New Roman" w:hAnsi="Times New Roman" w:cs="Times New Roman"/>
          <w:sz w:val="18"/>
          <w:szCs w:val="18"/>
        </w:rPr>
        <w:t>Copanlisib</w:t>
      </w:r>
      <w:r>
        <w:rPr>
          <w:rFonts w:hint="eastAsia" w:ascii="Times New Roman" w:hAnsi="Times New Roman" w:cs="Times New Roman"/>
          <w:sz w:val="18"/>
          <w:szCs w:val="18"/>
        </w:rPr>
        <w:t>、替西罗莫司、尼拉帕利等用于P</w:t>
      </w:r>
      <w:r>
        <w:rPr>
          <w:rFonts w:ascii="Times New Roman" w:hAnsi="Times New Roman" w:cs="Times New Roman"/>
          <w:sz w:val="18"/>
          <w:szCs w:val="18"/>
        </w:rPr>
        <w:t>TEN</w:t>
      </w:r>
      <w:r>
        <w:rPr>
          <w:rFonts w:hint="eastAsia" w:ascii="Times New Roman" w:hAnsi="Times New Roman" w:cs="Times New Roman"/>
          <w:sz w:val="18"/>
          <w:szCs w:val="18"/>
        </w:rPr>
        <w:t>突变实体瘤患者的临床试验正在开展。</w:t>
      </w:r>
    </w:p>
    <w:p w14:paraId="08FE9A9C">
      <w:pPr>
        <w:spacing w:line="300" w:lineRule="auto"/>
        <w:ind w:left="420"/>
        <w:rPr>
          <w:rFonts w:ascii="Times New Roman" w:hAnsi="Times New Roman" w:cs="Times New Roman"/>
          <w:sz w:val="18"/>
          <w:szCs w:val="18"/>
        </w:rPr>
      </w:pPr>
    </w:p>
    <w:p w14:paraId="2A7DFE2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227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4" name="直线 5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8" o:spid="_x0000_s1026" o:spt="20" style="position:absolute;left:0pt;margin-left:-2.6pt;margin-top:12.55pt;height:1.7pt;width:453.4pt;z-index:2517022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UlvNr6wEAAOA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11x5sDSjT99//H0&#10;8xebL7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UlvNr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RAF1                                                                          </w:t>
      </w:r>
    </w:p>
    <w:p w14:paraId="3E8B1F5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A3D2C68">
      <w:pPr>
        <w:spacing w:line="300" w:lineRule="auto"/>
        <w:ind w:left="420"/>
        <w:rPr>
          <w:rFonts w:ascii="Times New Roman" w:hAnsi="Times New Roman" w:cs="Times New Roman"/>
          <w:sz w:val="18"/>
          <w:szCs w:val="18"/>
        </w:rPr>
      </w:pPr>
      <w:r>
        <w:rPr>
          <w:rFonts w:ascii="Times New Roman" w:hAnsi="Times New Roman" w:cs="Times New Roman"/>
          <w:sz w:val="18"/>
          <w:szCs w:val="18"/>
        </w:rPr>
        <w:t>RAF1基因是病毒raf基因(v-raf)的细胞同源基因。RAF1（c-Raf）作为致癌基因，是细胞信号传导通路“Ras/Raf-1/ERK/MAPK”中Ras家族的一个下游因子，参与细胞生长、分化、增殖、凋亡、恶性转化及转移等过程的调控。RAF1突变与Noonan综合征5和LEOPARD综合征2的发生相关。编码的蛋白是MAP激酶激酶激酶(MAP3K)，它在Ras家族膜相关的GTPases的下游起作用，并直接与之结合。与RAF1相关的疾病包括子宫内膜癌、肠癌、胃癌等。</w:t>
      </w:r>
    </w:p>
    <w:p w14:paraId="17DD84A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8369951">
      <w:pPr>
        <w:spacing w:line="300" w:lineRule="auto"/>
        <w:ind w:left="420"/>
        <w:rPr>
          <w:rFonts w:ascii="Times New Roman" w:hAnsi="Times New Roman" w:cs="Times New Roman"/>
          <w:sz w:val="18"/>
          <w:szCs w:val="18"/>
        </w:rPr>
      </w:pPr>
      <w:r>
        <w:rPr>
          <w:rFonts w:ascii="Times New Roman" w:hAnsi="Times New Roman" w:cs="Times New Roman"/>
          <w:sz w:val="18"/>
          <w:szCs w:val="18"/>
        </w:rPr>
        <w:t>RAF1作为对细胞外刺激的反应，RAS介导的信号传导诱导了CRAF同源二聚体或CRAF/BRAF异源二聚体的形成，CRAF激活的MAPK信号也与黑色素瘤中BRAF抑制剂</w:t>
      </w:r>
      <w:r>
        <w:rPr>
          <w:rFonts w:hint="eastAsia" w:ascii="Times New Roman" w:hAnsi="Times New Roman" w:cs="Times New Roman"/>
          <w:sz w:val="18"/>
          <w:szCs w:val="18"/>
        </w:rPr>
        <w:t>维莫非尼</w:t>
      </w:r>
      <w:r>
        <w:rPr>
          <w:rFonts w:ascii="Times New Roman" w:hAnsi="Times New Roman" w:cs="Times New Roman"/>
          <w:sz w:val="18"/>
          <w:szCs w:val="18"/>
        </w:rPr>
        <w:t>的耐药性有关[PMID: 27327499]。在一项随机III期的回顾性临床试验中发现，119名黑色素瘤患者接受化疗方案（卡铂+多西他赛）联合索拉非尼方案的治疗，结果显示，在携带RAF1扩增的患者亚组中，化疗（卡铂+多西他赛）联合索拉非尼的治疗效果要比单独化疗方案（卡铂+多西他赛）有更长的PFS [PMID: 26307133]。</w:t>
      </w:r>
      <w:r>
        <w:rPr>
          <w:rFonts w:hint="eastAsia" w:ascii="Times New Roman" w:hAnsi="Times New Roman" w:cs="Times New Roman"/>
          <w:sz w:val="18"/>
          <w:szCs w:val="18"/>
        </w:rPr>
        <w:t>研究表明，</w:t>
      </w:r>
      <w:r>
        <w:rPr>
          <w:rFonts w:ascii="Times New Roman" w:hAnsi="Times New Roman" w:cs="Times New Roman"/>
          <w:sz w:val="18"/>
          <w:szCs w:val="18"/>
        </w:rPr>
        <w:t>RAF1过表达与非小细胞肺癌（NSCLC）的早期进展相关。RAF1可能成为改善NSCLC患者长期预后的新预后因子和潜在靶标[PMID: 29484414]。</w:t>
      </w:r>
      <w:r>
        <w:rPr>
          <w:rFonts w:hint="eastAsia" w:ascii="Times New Roman" w:hAnsi="Times New Roman" w:cs="Times New Roman"/>
          <w:sz w:val="18"/>
          <w:szCs w:val="18"/>
        </w:rPr>
        <w:t>目前瑞戈非尼、阿贝西利联合</w:t>
      </w:r>
      <w:r>
        <w:rPr>
          <w:rFonts w:ascii="Times New Roman" w:hAnsi="Times New Roman" w:cs="Times New Roman"/>
          <w:sz w:val="18"/>
          <w:szCs w:val="18"/>
        </w:rPr>
        <w:t>LY3214996</w:t>
      </w:r>
      <w:r>
        <w:rPr>
          <w:rFonts w:hint="eastAsia" w:ascii="Times New Roman" w:hAnsi="Times New Roman" w:cs="Times New Roman"/>
          <w:sz w:val="18"/>
          <w:szCs w:val="18"/>
        </w:rPr>
        <w:t>用于实体瘤的临床试验正在开展。</w:t>
      </w:r>
    </w:p>
    <w:p w14:paraId="51A47711">
      <w:pPr>
        <w:spacing w:line="300" w:lineRule="auto"/>
        <w:ind w:left="420"/>
        <w:rPr>
          <w:rFonts w:ascii="Times New Roman" w:hAnsi="Times New Roman" w:cs="Times New Roman"/>
          <w:sz w:val="18"/>
          <w:szCs w:val="18"/>
        </w:rPr>
      </w:pPr>
    </w:p>
    <w:p w14:paraId="2D789B5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7632" behindDoc="0" locked="0" layoutInCell="1" allowOverlap="1">
                <wp:simplePos x="0" y="0"/>
                <wp:positionH relativeFrom="column">
                  <wp:posOffset>0</wp:posOffset>
                </wp:positionH>
                <wp:positionV relativeFrom="paragraph">
                  <wp:posOffset>147320</wp:posOffset>
                </wp:positionV>
                <wp:extent cx="5760085" cy="33020"/>
                <wp:effectExtent l="0" t="9525" r="2540" b="14605"/>
                <wp:wrapNone/>
                <wp:docPr id="66" name="直线 59"/>
                <wp:cNvGraphicFramePr/>
                <a:graphic xmlns:a="http://schemas.openxmlformats.org/drawingml/2006/main">
                  <a:graphicData uri="http://schemas.microsoft.com/office/word/2010/wordprocessingShape">
                    <wps:wsp>
                      <wps:cNvCnPr/>
                      <wps:spPr>
                        <a:xfrm flipV="1">
                          <a:off x="0" y="0"/>
                          <a:ext cx="5760085" cy="3302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9" o:spid="_x0000_s1026" o:spt="20" style="position:absolute;left:0pt;flip:y;margin-left:0pt;margin-top:11.6pt;height:2.6pt;width:453.55pt;z-index:251717632;mso-width-relative:page;mso-height-relative:page;" filled="f" stroked="t" coordsize="21600,21600" o:gfxdata="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DFEVUvYAAAABgEAAA8AAAAAAAAAAQAgAAAAIgAAAGRycy9kb3ducmV2LnhtbFBLAQIU&#10;ABQAAAAIAIdO4kDGR5rL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 xml:space="preserve">RET                                                                          </w:t>
      </w:r>
    </w:p>
    <w:p w14:paraId="06EB71F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17F7D54">
      <w:pPr>
        <w:spacing w:line="300" w:lineRule="auto"/>
        <w:ind w:left="420"/>
        <w:rPr>
          <w:rFonts w:ascii="Times New Roman" w:hAnsi="Times New Roman" w:cs="Times New Roman"/>
          <w:sz w:val="18"/>
          <w:szCs w:val="18"/>
        </w:rPr>
      </w:pPr>
      <w:r>
        <w:rPr>
          <w:rFonts w:ascii="Times New Roman" w:hAnsi="Times New Roman" w:cs="Times New Roman"/>
          <w:sz w:val="18"/>
          <w:szCs w:val="18"/>
        </w:rPr>
        <w:t>RET基因位于10q11.21，编码受体酪氨酸激酶，是钙粘蛋白超家族的成员，参与转导细胞生长和分化信号。 RET基因在神经嵴发展中起至关重要的作用，活化的RET可使其底物磷酸化，引起多个下游细胞通路激活。RET基因的激活点突变可引起遗传性癌症综合征、先天性巨肠症和多发性内分泌瘤，体细胞点突变与甲状腺髓样癌有关。已证实其两个不同亚型的突变均与疾病相关联：IIA型-多发性内分泌瘤，IIB型-巨结肠疾病和甲状腺髓样癌。约1%~2%的肺癌中发生RET基因融合，尤其是肺腺癌，可单独突变诱发肺癌的发生。非小细胞肺癌中，由 inv(10)(p11;q11)引起10号染色体上驱动蛋白家族基因KIF5B和受体酪氨酸激酶基因RET之间形成的融合驱动基因KIF5B-RET</w:t>
      </w:r>
      <w:r>
        <w:rPr>
          <w:rFonts w:hint="eastAsia" w:ascii="Times New Roman" w:hAnsi="Times New Roman" w:cs="Times New Roman"/>
          <w:sz w:val="18"/>
          <w:szCs w:val="18"/>
        </w:rPr>
        <w:t>，</w:t>
      </w:r>
      <w:r>
        <w:rPr>
          <w:rFonts w:ascii="Times New Roman" w:hAnsi="Times New Roman" w:cs="Times New Roman"/>
          <w:sz w:val="18"/>
          <w:szCs w:val="18"/>
        </w:rPr>
        <w:t>导致RET原癌基因的高表达。因此RET激活和过表达</w:t>
      </w:r>
      <w:r>
        <w:rPr>
          <w:rFonts w:hint="eastAsia" w:ascii="Times New Roman" w:hAnsi="Times New Roman" w:cs="Times New Roman"/>
          <w:sz w:val="18"/>
          <w:szCs w:val="18"/>
        </w:rPr>
        <w:t>常</w:t>
      </w:r>
      <w:r>
        <w:rPr>
          <w:rFonts w:ascii="Times New Roman" w:hAnsi="Times New Roman" w:cs="Times New Roman"/>
          <w:sz w:val="18"/>
          <w:szCs w:val="18"/>
        </w:rPr>
        <w:t>见于家族性甲状腺样瘤、肺癌、结直肠癌[PMID: 20930041</w:t>
      </w:r>
      <w:r>
        <w:rPr>
          <w:rFonts w:hint="eastAsia" w:ascii="Times New Roman" w:hAnsi="Times New Roman" w:cs="Times New Roman"/>
          <w:sz w:val="18"/>
          <w:szCs w:val="18"/>
        </w:rPr>
        <w:t>;</w:t>
      </w:r>
      <w:r>
        <w:rPr>
          <w:rFonts w:ascii="Times New Roman" w:hAnsi="Times New Roman" w:cs="Times New Roman"/>
          <w:sz w:val="18"/>
          <w:szCs w:val="18"/>
        </w:rPr>
        <w:t xml:space="preserve"> PMID: 30257958</w:t>
      </w:r>
      <w:r>
        <w:rPr>
          <w:rFonts w:hint="eastAsia" w:ascii="Times New Roman" w:hAnsi="Times New Roman" w:cs="Times New Roman"/>
          <w:sz w:val="18"/>
          <w:szCs w:val="18"/>
        </w:rPr>
        <w:t>;</w:t>
      </w:r>
      <w:r>
        <w:rPr>
          <w:rFonts w:ascii="Times New Roman" w:hAnsi="Times New Roman" w:cs="Times New Roman"/>
          <w:sz w:val="18"/>
          <w:szCs w:val="18"/>
        </w:rPr>
        <w:t xml:space="preserve"> PMID: 30210625]。RET重排在肺癌中是一种非小细胞肺癌的新的驱动癌基因，发现于1-2%的NSCLC患者中。</w:t>
      </w:r>
    </w:p>
    <w:p w14:paraId="62F7B144">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凡德他尼</w:t>
      </w:r>
      <w:r>
        <w:rPr>
          <w:rFonts w:ascii="Times New Roman" w:hAnsi="Times New Roman" w:cs="Times New Roman"/>
          <w:b/>
          <w:szCs w:val="18"/>
        </w:rPr>
        <w:t>、</w:t>
      </w:r>
      <w:r>
        <w:rPr>
          <w:rFonts w:ascii="Times New Roman" w:hAnsi="Times New Roman" w:cs="Times New Roman"/>
          <w:b/>
          <w:color w:val="000000"/>
          <w:sz w:val="18"/>
          <w:szCs w:val="18"/>
        </w:rPr>
        <w:t>卡博替尼</w:t>
      </w:r>
      <w:r>
        <w:rPr>
          <w:rFonts w:ascii="Times New Roman" w:hAnsi="Times New Roman" w:cs="Times New Roman"/>
          <w:b/>
          <w:szCs w:val="18"/>
        </w:rPr>
        <w:t>、</w:t>
      </w:r>
      <w:r>
        <w:rPr>
          <w:rFonts w:ascii="Times New Roman" w:hAnsi="Times New Roman" w:cs="Times New Roman"/>
          <w:b/>
          <w:color w:val="000000"/>
          <w:sz w:val="18"/>
          <w:szCs w:val="18"/>
        </w:rPr>
        <w:t>仑伐替尼*</w:t>
      </w:r>
      <w:r>
        <w:rPr>
          <w:rFonts w:ascii="Times New Roman" w:hAnsi="Times New Roman" w:cs="Times New Roman"/>
          <w:b/>
          <w:szCs w:val="18"/>
        </w:rPr>
        <w:t>、</w:t>
      </w:r>
      <w:r>
        <w:rPr>
          <w:rFonts w:hint="eastAsia" w:ascii="Times New Roman" w:hAnsi="Times New Roman" w:cs="Times New Roman"/>
          <w:b/>
          <w:color w:val="000000"/>
          <w:sz w:val="18"/>
          <w:szCs w:val="18"/>
        </w:rPr>
        <w:t>普拉替尼</w:t>
      </w:r>
      <w:r>
        <w:rPr>
          <w:rFonts w:ascii="Times New Roman" w:hAnsi="Times New Roman" w:cs="Times New Roman"/>
          <w:b/>
          <w:color w:val="000000"/>
          <w:sz w:val="18"/>
          <w:szCs w:val="18"/>
        </w:rPr>
        <w:t>*</w:t>
      </w:r>
      <w:r>
        <w:rPr>
          <w:rFonts w:hint="eastAsia" w:ascii="Times New Roman" w:hAnsi="Times New Roman" w:cs="Times New Roman"/>
          <w:b/>
          <w:color w:val="000000"/>
          <w:sz w:val="18"/>
          <w:szCs w:val="18"/>
        </w:rPr>
        <w:t>、</w:t>
      </w:r>
      <w:r>
        <w:rPr>
          <w:rFonts w:ascii="Times New Roman" w:hAnsi="Times New Roman" w:cs="Times New Roman"/>
          <w:b/>
          <w:color w:val="000000"/>
          <w:sz w:val="18"/>
          <w:szCs w:val="18"/>
        </w:rPr>
        <w:t>Selpercatinib</w:t>
      </w:r>
    </w:p>
    <w:p w14:paraId="53586EEB">
      <w:pPr>
        <w:adjustRightInd w:val="0"/>
        <w:snapToGrid w:val="0"/>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F</w:t>
      </w:r>
      <w:r>
        <w:rPr>
          <w:rFonts w:ascii="Times New Roman" w:hAnsi="Times New Roman" w:cs="Times New Roman"/>
          <w:sz w:val="18"/>
          <w:szCs w:val="18"/>
        </w:rPr>
        <w:t>DA/NMPA</w:t>
      </w:r>
      <w:r>
        <w:rPr>
          <w:rFonts w:hint="eastAsia" w:ascii="Times New Roman" w:hAnsi="Times New Roman" w:cs="Times New Roman"/>
          <w:sz w:val="18"/>
          <w:szCs w:val="18"/>
        </w:rPr>
        <w:t>批准普拉替尼用于治疗</w:t>
      </w:r>
      <w:r>
        <w:rPr>
          <w:rFonts w:ascii="Times New Roman" w:hAnsi="Times New Roman" w:cs="Times New Roman"/>
          <w:sz w:val="18"/>
          <w:szCs w:val="18"/>
        </w:rPr>
        <w:t>RET融合阳性</w:t>
      </w:r>
      <w:r>
        <w:rPr>
          <w:rFonts w:hint="eastAsia" w:ascii="Times New Roman" w:hAnsi="Times New Roman" w:cs="Times New Roman"/>
          <w:sz w:val="18"/>
          <w:szCs w:val="18"/>
        </w:rPr>
        <w:t>的</w:t>
      </w:r>
      <w:r>
        <w:rPr>
          <w:rFonts w:ascii="Times New Roman" w:hAnsi="Times New Roman" w:cs="Times New Roman"/>
          <w:sz w:val="18"/>
          <w:szCs w:val="18"/>
        </w:rPr>
        <w:t>非小细胞肺癌（NSCLC）成人患者</w:t>
      </w:r>
      <w:r>
        <w:rPr>
          <w:rFonts w:hint="eastAsia" w:ascii="Times New Roman" w:hAnsi="Times New Roman" w:cs="Times New Roman"/>
          <w:sz w:val="18"/>
          <w:szCs w:val="18"/>
        </w:rPr>
        <w:t>；</w:t>
      </w:r>
      <w:r>
        <w:rPr>
          <w:rFonts w:ascii="Times New Roman" w:hAnsi="Times New Roman" w:cs="Times New Roman"/>
          <w:sz w:val="18"/>
          <w:szCs w:val="18"/>
        </w:rPr>
        <w:t>FDA批准Selpercatinib用于RET融合阳性的转移性非小细胞肺癌（NSCLC）成人患者</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批准普拉替尼、</w:t>
      </w:r>
      <w:r>
        <w:rPr>
          <w:rFonts w:ascii="Times New Roman" w:hAnsi="Times New Roman" w:cs="Times New Roman"/>
          <w:sz w:val="18"/>
          <w:szCs w:val="18"/>
        </w:rPr>
        <w:t>Selpercatinib</w:t>
      </w:r>
      <w:r>
        <w:rPr>
          <w:rFonts w:hint="eastAsia" w:ascii="Times New Roman" w:hAnsi="Times New Roman" w:cs="Times New Roman"/>
          <w:sz w:val="18"/>
          <w:szCs w:val="18"/>
        </w:rPr>
        <w:t>用于</w:t>
      </w:r>
      <w:r>
        <w:rPr>
          <w:rFonts w:ascii="Times New Roman" w:hAnsi="Times New Roman" w:cs="Times New Roman"/>
          <w:sz w:val="18"/>
          <w:szCs w:val="18"/>
        </w:rPr>
        <w:t>12岁及以上儿童及成人需要全身治疗的晚期或转移性RET突变的甲状腺髓样癌（MTC）患者</w:t>
      </w:r>
      <w:r>
        <w:rPr>
          <w:rFonts w:hint="eastAsia" w:ascii="Times New Roman" w:hAnsi="Times New Roman" w:cs="Times New Roman"/>
          <w:sz w:val="18"/>
          <w:szCs w:val="18"/>
        </w:rPr>
        <w:t>或</w:t>
      </w:r>
      <w:r>
        <w:rPr>
          <w:rFonts w:ascii="Times New Roman" w:hAnsi="Times New Roman" w:cs="Times New Roman"/>
          <w:sz w:val="18"/>
          <w:szCs w:val="18"/>
        </w:rPr>
        <w:t>12岁及以上儿童及成人需要全身治疗且放射性碘难治性（如果放射性碘适合）、晚期或转移性RET融合阳性甲状腺癌患者。NCCN指南推荐携带RET融合的晚期非小细胞肺癌患者使用凡德他尼、卡博替尼</w:t>
      </w:r>
      <w:r>
        <w:rPr>
          <w:rFonts w:hint="eastAsia" w:ascii="Times New Roman" w:hAnsi="Times New Roman" w:cs="Times New Roman"/>
          <w:sz w:val="18"/>
          <w:szCs w:val="18"/>
        </w:rPr>
        <w:t>、</w:t>
      </w:r>
      <w:r>
        <w:rPr>
          <w:rFonts w:ascii="Times New Roman" w:hAnsi="Times New Roman" w:cs="Times New Roman"/>
          <w:sz w:val="18"/>
          <w:szCs w:val="18"/>
        </w:rPr>
        <w:t>Selpercatinib</w:t>
      </w:r>
      <w:r>
        <w:rPr>
          <w:rFonts w:hint="eastAsia" w:ascii="Times New Roman" w:hAnsi="Times New Roman" w:cs="Times New Roman"/>
          <w:sz w:val="18"/>
          <w:szCs w:val="18"/>
        </w:rPr>
        <w:t>、普拉替尼</w:t>
      </w:r>
      <w:r>
        <w:rPr>
          <w:rFonts w:ascii="Times New Roman" w:hAnsi="Times New Roman" w:cs="Times New Roman"/>
          <w:sz w:val="18"/>
          <w:szCs w:val="18"/>
        </w:rPr>
        <w:t>[NCCN_NSCLC_2021_V5]。II期临床试验显示，在25名RET阳性的肺癌患者中，13名KIF5B-RET融合，12名CCDC6-RET融合，仑伐替尼的客观缓解率达16%，其中KIF5B-RET融合患者的疾病控制率为61.5%，有2名PR，6名SD，中位PFS为3.6个月。该研究显示仑伐替尼对RET融合阳性肺癌患者具有潜在的临床抗肿瘤活性[PMID: 31710864]。II期临床试验显示，19名（10名KIF5B-RET，6名CCDC6-RET，3名RET未知融合）入组接受凡德他尼非小细胞肺癌患者中，17名可进行疗效分析，9名患者局部缓解达到主要研究终点，疾病控制率达88%，中位PFS为4.7月；其中CCDC6-RET融合亚型患者疾病客观缓解率为83%（5/6），中位PFS为8.3月，KIF5B-RET融合亚型患者疾病客观缓解率为20%（2/10），中位PFS为2.9月，提示凡德他尼对于RET重排非小细胞肺癌患者具有显著抗肿瘤活性[PMID: 27825616]。</w:t>
      </w:r>
      <w:r>
        <w:rPr>
          <w:rFonts w:hint="eastAsia" w:ascii="Times New Roman" w:hAnsi="Times New Roman" w:cs="Times New Roman"/>
          <w:sz w:val="18"/>
          <w:szCs w:val="18"/>
        </w:rPr>
        <w:t>卡博替尼治疗晚期</w:t>
      </w:r>
      <w:r>
        <w:rPr>
          <w:rFonts w:ascii="Times New Roman" w:hAnsi="Times New Roman" w:cs="Times New Roman"/>
          <w:sz w:val="18"/>
          <w:szCs w:val="18"/>
        </w:rPr>
        <w:t>RET重排肺癌患者中的II期临床研究中，26例RET重排肺腺癌患者接受卡博替尼治疗，KIF5B-RET是16例（62％）患者中发现的主要融合类型。在25例可评估反应的患者中有7例观察到确诊的部分反应（总缓解率为28％[95％CI 12–49％]），1例RET-ERC1融合肺腺癌患者疾病稳定[PMID: 27825636]。在I/II期试验（LIBRETTO-001）中，RET激酶抑制剂Selpercatinib（LOXO-292）治疗的RET融合阳性非小细胞肺癌患者，其中KIF5B占59%，先前接受过铂类化疗的105例患者客观缓解率为68%，先前未接受治疗的34例患者客观缓解率为85% [PMID: 31554640]。I/II期临床研究中，普拉替尼治疗RET融合NSCLC患者 (n=116; 72% KIF5B; 16% CCDC6; 12% 其他) ，先前接受过铂治疗患者ORR达到61 %，先前未接受系统性治疗患者ORR达到73%[J Clin Oncol 38: 2020 (suppl; abstr 9515) ]。</w:t>
      </w:r>
      <w:r>
        <w:rPr>
          <w:rFonts w:hint="eastAsia" w:ascii="Times New Roman" w:hAnsi="Times New Roman" w:cs="Times New Roman"/>
          <w:sz w:val="18"/>
          <w:szCs w:val="18"/>
        </w:rPr>
        <w:t>目前舒尼替尼、卡博替尼、索拉非尼、</w:t>
      </w:r>
      <w:r>
        <w:rPr>
          <w:rFonts w:ascii="Times New Roman" w:hAnsi="Times New Roman" w:cs="Times New Roman"/>
          <w:sz w:val="18"/>
          <w:szCs w:val="18"/>
        </w:rPr>
        <w:t>Selpercatinib</w:t>
      </w:r>
      <w:r>
        <w:rPr>
          <w:rFonts w:hint="eastAsia" w:ascii="Times New Roman" w:hAnsi="Times New Roman" w:cs="Times New Roman"/>
          <w:sz w:val="18"/>
          <w:szCs w:val="18"/>
        </w:rPr>
        <w:t>等用于R</w:t>
      </w:r>
      <w:r>
        <w:rPr>
          <w:rFonts w:ascii="Times New Roman" w:hAnsi="Times New Roman" w:cs="Times New Roman"/>
          <w:sz w:val="18"/>
          <w:szCs w:val="18"/>
        </w:rPr>
        <w:t>ET</w:t>
      </w:r>
      <w:r>
        <w:rPr>
          <w:rFonts w:hint="eastAsia" w:ascii="Times New Roman" w:hAnsi="Times New Roman" w:cs="Times New Roman"/>
          <w:sz w:val="18"/>
          <w:szCs w:val="18"/>
        </w:rPr>
        <w:t>突变/融合的实体瘤的临床试验正在开展。</w:t>
      </w:r>
    </w:p>
    <w:p w14:paraId="02A418D3">
      <w:pPr>
        <w:adjustRightInd w:val="0"/>
        <w:snapToGrid w:val="0"/>
        <w:spacing w:line="300" w:lineRule="auto"/>
        <w:ind w:left="420"/>
        <w:rPr>
          <w:rFonts w:ascii="Times New Roman" w:hAnsi="Times New Roman" w:cs="Times New Roman"/>
          <w:sz w:val="18"/>
          <w:szCs w:val="18"/>
        </w:rPr>
      </w:pPr>
    </w:p>
    <w:p w14:paraId="6C58F5E5">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69504" behindDoc="1" locked="0" layoutInCell="1" allowOverlap="1">
                <wp:simplePos x="0" y="0"/>
                <wp:positionH relativeFrom="column">
                  <wp:posOffset>-31115</wp:posOffset>
                </wp:positionH>
                <wp:positionV relativeFrom="paragraph">
                  <wp:posOffset>159385</wp:posOffset>
                </wp:positionV>
                <wp:extent cx="5756910" cy="21590"/>
                <wp:effectExtent l="0" t="9525" r="5715" b="16510"/>
                <wp:wrapNone/>
                <wp:docPr id="10" name="直线 60"/>
                <wp:cNvGraphicFramePr/>
                <a:graphic xmlns:a="http://schemas.openxmlformats.org/drawingml/2006/main">
                  <a:graphicData uri="http://schemas.microsoft.com/office/word/2010/wordprocessingShape">
                    <wps:wsp>
                      <wps:cNvCnPr/>
                      <wps:spPr>
                        <a:xfrm>
                          <a:off x="0" y="0"/>
                          <a:ext cx="575691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0" o:spid="_x0000_s1026" o:spt="20" style="position:absolute;left:0pt;margin-left:-2.45pt;margin-top:12.55pt;height:1.7pt;width:453.3pt;z-index:-251646976;mso-width-relative:page;mso-height-relative:page;" filled="f" stroked="t" coordsize="21600,21600" o:gfxdata="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wbSNrY&#10;AAAACAEAAA8AAAAAAAAAAQAgAAAAIgAAAGRycy9kb3ducmV2LnhtbFBLAQIUABQAAAAIAIdO4kCF&#10;XUBu5wEAAOADAAAOAAAAAAAAAAEAIAAAACcBAABkcnMvZTJvRG9jLnhtbFBLBQYAAAAABgAGAFkB&#10;AACABQAAAAA=&#10;">
                <v:fill on="f" focussize="0,0"/>
                <v:stroke weight="1.5pt" color="#002060" joinstyle="miter"/>
                <v:imagedata o:title=""/>
                <o:lock v:ext="edit" aspectratio="f"/>
              </v:line>
            </w:pict>
          </mc:Fallback>
        </mc:AlternateContent>
      </w:r>
      <w:r>
        <w:rPr>
          <w:rFonts w:ascii="Times New Roman" w:hAnsi="Times New Roman" w:cs="Times New Roman"/>
          <w:b/>
        </w:rPr>
        <w:t xml:space="preserve">RB1                                                                        </w:t>
      </w:r>
    </w:p>
    <w:p w14:paraId="2BDE489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9934663">
      <w:pPr>
        <w:spacing w:line="300" w:lineRule="auto"/>
        <w:ind w:left="420"/>
        <w:rPr>
          <w:rFonts w:ascii="Times New Roman" w:hAnsi="Times New Roman" w:cs="Times New Roman"/>
          <w:color w:val="404040"/>
        </w:rPr>
      </w:pPr>
      <w:r>
        <w:rPr>
          <w:rFonts w:ascii="Times New Roman" w:hAnsi="Times New Roman" w:cs="Times New Roman"/>
          <w:sz w:val="18"/>
          <w:szCs w:val="18"/>
        </w:rPr>
        <w:t>视网膜母细胞瘤基因1（RB1）是人类第一个分离克隆的抑癌基因，确认为视网膜母细胞瘤（RB）的唯一致病基因。RB1基因是细胞周期的负调控因子，通过与转录因子结合调节细胞增殖和分化所需基因的表达，从而维持细胞生长发育的平衡。RB1基因的突变不仅存在于视网膜母细胞瘤患者中，而且见于许多恶性肿瘤，如小细胞肺癌、骨肉瘤、膀胱癌、胰腺癌和乳腺癌等。大量研究表明，RB1的抑癌作用与其对细胞周期、细胞分化、细胞衰老、细胞凋亡和生长抑制等的调控是密切相关的。RB1基因的种系突变和体细胞突变均可导致肉瘤的易感性，如软组织肉瘤和骨肉瘤。90%以上的小细胞肺癌都存在RB1基因的异常。</w:t>
      </w:r>
      <w:r>
        <w:rPr>
          <w:rFonts w:ascii="Times New Roman" w:hAnsi="Times New Roman" w:cs="Times New Roman"/>
          <w:color w:val="404040"/>
          <w:sz w:val="18"/>
          <w:szCs w:val="18"/>
        </w:rPr>
        <w:t xml:space="preserve"> </w:t>
      </w:r>
    </w:p>
    <w:p w14:paraId="71FFF7AA">
      <w:pPr>
        <w:spacing w:line="300" w:lineRule="auto"/>
        <w:ind w:left="420"/>
        <w:rPr>
          <w:rFonts w:ascii="Times New Roman" w:hAnsi="Times New Roman" w:cs="Times New Roman"/>
          <w:b/>
          <w:szCs w:val="18"/>
        </w:rPr>
      </w:pPr>
      <w:r>
        <w:rPr>
          <w:rFonts w:ascii="Times New Roman" w:hAnsi="Times New Roman" w:cs="Times New Roman"/>
          <w:b/>
          <w:szCs w:val="18"/>
        </w:rPr>
        <w:t xml:space="preserve">用药说明： </w:t>
      </w:r>
    </w:p>
    <w:p w14:paraId="03CD1B57">
      <w:pPr>
        <w:spacing w:line="300" w:lineRule="auto"/>
        <w:ind w:left="420"/>
        <w:rPr>
          <w:rFonts w:ascii="Times New Roman" w:hAnsi="Times New Roman" w:cs="Times New Roman"/>
          <w:b/>
          <w:szCs w:val="18"/>
        </w:rPr>
      </w:pPr>
      <w:r>
        <w:rPr>
          <w:rFonts w:ascii="Times New Roman" w:hAnsi="Times New Roman" w:cs="Times New Roman"/>
          <w:sz w:val="18"/>
          <w:szCs w:val="18"/>
        </w:rPr>
        <w:t>目前，FDA尚未批准任何靶向RB1突变的抗癌药物。针对RB1失活的靶向药物（如AURORA激酶抑制剂、BCL-2 抑制剂和NOTCH 通路激活剂）均处于临床前</w:t>
      </w:r>
      <w:r>
        <w:rPr>
          <w:rFonts w:hint="eastAsia" w:ascii="Times New Roman" w:hAnsi="Times New Roman" w:cs="Times New Roman"/>
          <w:sz w:val="18"/>
          <w:szCs w:val="18"/>
        </w:rPr>
        <w:t>实</w:t>
      </w:r>
      <w:r>
        <w:rPr>
          <w:rFonts w:ascii="Times New Roman" w:hAnsi="Times New Roman" w:cs="Times New Roman"/>
          <w:sz w:val="18"/>
          <w:szCs w:val="18"/>
        </w:rPr>
        <w:t>验阶段。在非小细胞肺癌耐药的患者中，部分患者会展示出从非小细胞肺癌（NSCLC）到小细胞肺癌（SCLC）的组织学转变，这些患者存在RB1功能丢失。对来自抗EGFR突变治疗的患者的肿瘤样品和细胞系的分析显示RB缺失出现在这些小细胞肺癌转化的病例（100％），但很少在那些仍然是非小细胞肺癌的患者中。但是在EGFR突变细胞系中的RB敲低实验表明RB丢失不足以引起抗性或诱导神经内分泌（NE）分化[PMID: 25758528]。</w:t>
      </w:r>
      <w:r>
        <w:rPr>
          <w:rFonts w:hint="eastAsia" w:ascii="Times New Roman" w:hAnsi="Times New Roman" w:cs="Times New Roman"/>
          <w:sz w:val="18"/>
          <w:szCs w:val="18"/>
        </w:rPr>
        <w:t>临床前研究中，</w:t>
      </w:r>
      <w:r>
        <w:rPr>
          <w:rFonts w:ascii="Times New Roman" w:hAnsi="Times New Roman" w:cs="Times New Roman"/>
          <w:sz w:val="18"/>
          <w:szCs w:val="18"/>
        </w:rPr>
        <w:t>Trilaciclib和托泊替康的组合抑制RB1缺陷的小细胞肺癌（SCLC）异种移植模型中的肿瘤生长，比单独使用托泊替康更有效[PMID: 26826116]。临床前研究发现，RB1敲除的SCLC细胞系高度依赖与染色体分离相关的多种蛋白，包括Aurora B激酶，Aurora B激酶抑制剂在多种临床前SCLC模型中是有效的，提示RB1的缺失是SCLC对Aurora B激酶抑制剂敏感的预测生物标志物[PMID: 30373918]。紫杉醇加Alisertib或紫杉醇加安慰剂作为SCLC二线治疗的</w:t>
      </w:r>
      <w:r>
        <w:rPr>
          <w:rFonts w:hint="eastAsia" w:ascii="Times New Roman" w:hAnsi="Times New Roman" w:cs="Times New Roman"/>
          <w:sz w:val="18"/>
          <w:szCs w:val="18"/>
        </w:rPr>
        <w:t>随机</w:t>
      </w:r>
      <w:r>
        <w:rPr>
          <w:rFonts w:ascii="Times New Roman" w:hAnsi="Times New Roman" w:cs="Times New Roman"/>
          <w:sz w:val="18"/>
          <w:szCs w:val="18"/>
        </w:rPr>
        <w:t>II期研究中，在140名基因变异的患者中，细胞周期调节因子（CDK6、RBL1、RBL2、RB1）突变的患者使用Alisertib/紫杉醇显著改善PFS（分别为3.68和1.80个月, p = 0.0003）和总生存期（分别为7.20和4.47个月, p = 0.00085）[PMID: 31655296]。</w:t>
      </w:r>
    </w:p>
    <w:p w14:paraId="6E9E7F57">
      <w:pPr>
        <w:spacing w:line="300" w:lineRule="auto"/>
        <w:ind w:left="420"/>
        <w:rPr>
          <w:rFonts w:ascii="Times New Roman" w:hAnsi="Times New Roman" w:cs="Times New Roman"/>
          <w:sz w:val="18"/>
          <w:szCs w:val="18"/>
        </w:rPr>
      </w:pPr>
    </w:p>
    <w:p w14:paraId="5188294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667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9" name="直线 6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1" o:spid="_x0000_s1026" o:spt="20" style="position:absolute;left:0pt;margin-left:-2.6pt;margin-top:12.55pt;height:1.7pt;width:453.4pt;z-index:-2516398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zWqCX6Q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g1nDizd+NP3H08/&#10;f7HFNKszBGwo6c5t4/mEYRsz1WMXbf4TCXYsip4uiqpjYoKc8/fz5XRJYguKzabzm6J49VIcIqaP&#10;yluWjZYb7TJhaODwCRM1pNTnlOw2jg151HqeMYHWr6NrJ9MGooBuX4rRGy3vtTG5BON+d2ciO0Be&#10;gXpWL55n+Cstd9kA9mNeCY3LYXVSmTo0vQL5wUmWToFUcvQ6eJ7GKsmZUfSYslUyE2hzTSaxM45I&#10;ZpFHWbO18/JU1C5+uvgiw3lJ82b9eS7VLw9z/R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M1qgl+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SMO                                                                        </w:t>
      </w:r>
    </w:p>
    <w:p w14:paraId="6FA4B8F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D581D8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SMO编码一种G蛋白偶联受体蛋白，是Sonic Hedgehog信号通路的主要成员，在正常胚胎和神经元发育以及肿瘤发生中起重要作用[PMID: 26912893]。SMO蛋白是一种七跨膜结构域蛋白，与G蛋白偶联受体在结构和功能上有一些相似性[PMID: 23636324]。SMO活性通常受到patched (PTCH1)的抑制，patched是Hedgehog途径的上游成分[PMID: 23719536]。胞外Hedgehog配体与PTCH1的结合导致SMO的连续激活，这又诱导下游GLI转录因子的修饰，从而导致它们的激活。激活SMO突变导致GLI介导的重要致癌基因转录的组成性激活。SHH信号与肿瘤干细胞的自我复制、肿瘤血管和基质形成密切相关。SMO与散发性基底细胞癌[PMID: 26950094]和髓母细胞瘤[PMID: 21614026]有关，并且已经在许多其他肿瘤类型中被鉴定。 </w:t>
      </w:r>
    </w:p>
    <w:p w14:paraId="58721A4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C666218">
      <w:pPr>
        <w:adjustRightInd w:val="0"/>
        <w:snapToGrid w:val="0"/>
        <w:spacing w:line="300" w:lineRule="auto"/>
        <w:ind w:left="420"/>
        <w:rPr>
          <w:rFonts w:ascii="Times New Roman" w:hAnsi="Times New Roman" w:cs="Times New Roman"/>
          <w:sz w:val="18"/>
          <w:szCs w:val="18"/>
        </w:rPr>
      </w:pPr>
      <w:r>
        <w:rPr>
          <w:rFonts w:ascii="Times New Roman" w:hAnsi="Times New Roman" w:cs="Times New Roman"/>
          <w:sz w:val="18"/>
          <w:szCs w:val="18"/>
        </w:rPr>
        <w:t>在一项开放性临床研究中，携带对维莫德吉耐药的SMO Q477E突变的基底细胞癌患者使用索尼德吉治疗，疾病进展[PMID: 26546616]。在临床研究中，携带SMO D473H的髓母细胞瘤患者对Hedgehog通路抑制剂维莫德吉表现出继发耐药[PMID:</w:t>
      </w:r>
      <w:r>
        <w:rPr>
          <w:rFonts w:hint="eastAsia" w:ascii="Times New Roman" w:hAnsi="Times New Roman" w:cs="Times New Roman"/>
          <w:sz w:val="18"/>
          <w:szCs w:val="18"/>
        </w:rPr>
        <w:t xml:space="preserve"> </w:t>
      </w:r>
      <w:r>
        <w:rPr>
          <w:rFonts w:ascii="Times New Roman" w:hAnsi="Times New Roman" w:cs="Times New Roman"/>
          <w:sz w:val="18"/>
          <w:szCs w:val="18"/>
        </w:rPr>
        <w:t>19726788]。在体外研究中，与表达野生型SMO的C3H10T1/2细胞相比，表达SMO A459V突变的C3H10T1/2细胞系显示出对维莫德吉治疗的耐药性[PMID: 25759019]。除此之外，SMO的配体结合口袋中的一组独特的突变赋予了对SMO抑制剂例如维莫德单抗和相关环巴胺药物的抗性[PMID：26960983]。</w:t>
      </w:r>
      <w:r>
        <w:rPr>
          <w:rFonts w:hint="eastAsia" w:ascii="Times New Roman" w:hAnsi="Times New Roman" w:cs="Times New Roman"/>
          <w:sz w:val="18"/>
          <w:szCs w:val="18"/>
        </w:rPr>
        <w:t>研究表明，在结直肠癌中，</w:t>
      </w:r>
      <w:r>
        <w:rPr>
          <w:rFonts w:ascii="Times New Roman" w:hAnsi="Times New Roman" w:cs="Times New Roman"/>
          <w:sz w:val="18"/>
          <w:szCs w:val="18"/>
        </w:rPr>
        <w:t>SMO的表达与临床病理和预后有关[PMID: 25023548]。SMO过表达与结直肠癌患者吸烟、晚期疾病及淋巴结转移相关[PMID: 30784110]。结直肠癌中，激活SHH通路后，DFS更长(HR=0.49, p=0.032)[PMID: 30952759]。</w:t>
      </w:r>
      <w:r>
        <w:rPr>
          <w:rFonts w:hint="eastAsia" w:ascii="Times New Roman" w:hAnsi="Times New Roman" w:cs="Times New Roman"/>
          <w:sz w:val="18"/>
          <w:szCs w:val="18"/>
        </w:rPr>
        <w:t>目前维莫德吉用于S</w:t>
      </w:r>
      <w:r>
        <w:rPr>
          <w:rFonts w:ascii="Times New Roman" w:hAnsi="Times New Roman" w:cs="Times New Roman"/>
          <w:sz w:val="18"/>
          <w:szCs w:val="18"/>
        </w:rPr>
        <w:t>MO</w:t>
      </w:r>
      <w:r>
        <w:rPr>
          <w:rFonts w:hint="eastAsia" w:ascii="Times New Roman" w:hAnsi="Times New Roman" w:cs="Times New Roman"/>
          <w:sz w:val="18"/>
          <w:szCs w:val="18"/>
        </w:rPr>
        <w:t>突变的实体瘤的临床试验正在开展。</w:t>
      </w:r>
    </w:p>
    <w:p w14:paraId="6ECDFFD1">
      <w:pPr>
        <w:adjustRightInd w:val="0"/>
        <w:snapToGrid w:val="0"/>
        <w:spacing w:line="300" w:lineRule="auto"/>
        <w:ind w:left="420"/>
        <w:rPr>
          <w:rFonts w:ascii="Times New Roman" w:hAnsi="Times New Roman" w:cs="Times New Roman"/>
          <w:sz w:val="18"/>
          <w:szCs w:val="18"/>
        </w:rPr>
      </w:pPr>
    </w:p>
    <w:p w14:paraId="6FDBF19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61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8" name="直线 6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2" o:spid="_x0000_s1026" o:spt="20" style="position:absolute;left:0pt;margin-left:-2.55pt;margin-top:12.55pt;height:1.7pt;width:453.45pt;z-index:-2516203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AeCFL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STK11                                                                         </w:t>
      </w:r>
    </w:p>
    <w:p w14:paraId="63D0AAB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732EFFF">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STK11基因（也称LKB1基因）位于染色体19p13.3，为一种抑癌基因，编码由433个氨基酸残基组成的丝氨酸/苏氨酸蛋白激酶，在体内广泛表达。只有与STRAD及MO25结合形成一种完整的复合物才能发挥正常的生物学效应，涉及调控细胞周期、调节细胞极性以及细胞基础能量代谢、DNA损伤响应等重要功能。非小细胞肺癌中STK11突变频率约为7%，STK11蛋白的失活促进肺癌发生、发展和转移。</w:t>
      </w:r>
    </w:p>
    <w:p w14:paraId="582DF39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5E6952F">
      <w:pPr>
        <w:adjustRightInd w:val="0"/>
        <w:snapToGrid w:val="0"/>
        <w:spacing w:line="300" w:lineRule="auto"/>
        <w:ind w:left="420"/>
        <w:jc w:val="both"/>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Ib/II期试验中，携带STK11和/或KEAP1突变的非鳞NSCLC患者（n=14）接受卡瑞利珠单抗联合阿帕替尼治疗，相对于野生型STK11/KEAP1患者（n=32），12个月生存率得到了改善（85.1% vs 53.1%，p=0.01），客观有效率（42.9% vs 28.1%，p=0.33）、疾病控制率（92.9% vs 65.6%，p=0.053）和中位无进展生存期（9.4 vs 5.3个月，p=0.64）有改善的趋势，其中两例STK11移码突变患者获得部分缓解[PMID: 33323401]。临床前研究表明，西罗莫司 (Rapamune) 能够降低STK11（LKB1）缺陷型子宫内膜癌小鼠模型（包括晚期肿瘤模型）的S6K磷酸化水平并抑制肿瘤生长[PMID: 20142330]；人类肿瘤细胞系中STK11失活变异和STK11缺失表达与司美替尼（AZD6244）的敏感性增加有关[PMID: 27821489]；携带STK11失活突变的非小细胞肺癌细胞系对曲美替尼处理敏感[PMID: 27821489]；在一项临床前研究中，携带STK11突变的H1666细胞系接受Gedatolisib的处理后细胞生长受到抑制[PMID: 21325073]。</w:t>
      </w:r>
      <w:r>
        <w:rPr>
          <w:rFonts w:hint="eastAsia" w:ascii="Times New Roman" w:hAnsi="Times New Roman" w:cs="Times New Roman"/>
          <w:sz w:val="18"/>
          <w:szCs w:val="18"/>
        </w:rPr>
        <w:t>有研究表明，</w:t>
      </w:r>
      <w:r>
        <w:rPr>
          <w:rFonts w:ascii="Times New Roman" w:hAnsi="Times New Roman" w:cs="Times New Roman"/>
          <w:sz w:val="18"/>
          <w:szCs w:val="18"/>
        </w:rPr>
        <w:t>STK11 1-2号外显子突变与不良预后相关（P=0.002）[PMID: 26625312]。</w:t>
      </w:r>
      <w:r>
        <w:rPr>
          <w:rFonts w:hint="eastAsia" w:ascii="Times New Roman" w:hAnsi="Times New Roman" w:cs="Times New Roman"/>
          <w:sz w:val="18"/>
          <w:szCs w:val="18"/>
        </w:rPr>
        <w:t>目前替西罗莫司、</w:t>
      </w:r>
      <w:r>
        <w:rPr>
          <w:rFonts w:ascii="Times New Roman" w:hAnsi="Times New Roman" w:cs="Times New Roman"/>
          <w:sz w:val="18"/>
          <w:szCs w:val="18"/>
        </w:rPr>
        <w:t>Telaglenastat</w:t>
      </w:r>
      <w:r>
        <w:rPr>
          <w:rFonts w:hint="eastAsia" w:ascii="Times New Roman" w:hAnsi="Times New Roman" w:cs="Times New Roman"/>
          <w:sz w:val="18"/>
          <w:szCs w:val="18"/>
        </w:rPr>
        <w:t>、</w:t>
      </w:r>
      <w:r>
        <w:rPr>
          <w:rFonts w:ascii="Times New Roman" w:hAnsi="Times New Roman" w:cs="Times New Roman"/>
          <w:sz w:val="18"/>
          <w:szCs w:val="18"/>
        </w:rPr>
        <w:t>Sirpiglenastat</w:t>
      </w:r>
      <w:r>
        <w:rPr>
          <w:rFonts w:hint="eastAsia" w:ascii="Times New Roman" w:hAnsi="Times New Roman" w:cs="Times New Roman"/>
          <w:sz w:val="18"/>
          <w:szCs w:val="18"/>
        </w:rPr>
        <w:t>等用于S</w:t>
      </w:r>
      <w:r>
        <w:rPr>
          <w:rFonts w:ascii="Times New Roman" w:hAnsi="Times New Roman" w:cs="Times New Roman"/>
          <w:sz w:val="18"/>
          <w:szCs w:val="18"/>
        </w:rPr>
        <w:t>TK11</w:t>
      </w:r>
      <w:r>
        <w:rPr>
          <w:rFonts w:hint="eastAsia" w:ascii="Times New Roman" w:hAnsi="Times New Roman" w:cs="Times New Roman"/>
          <w:sz w:val="18"/>
          <w:szCs w:val="18"/>
        </w:rPr>
        <w:t>突变的实体瘤的临床试验正在开展。</w:t>
      </w:r>
    </w:p>
    <w:p w14:paraId="29F62828">
      <w:pPr>
        <w:adjustRightInd w:val="0"/>
        <w:snapToGrid w:val="0"/>
        <w:spacing w:line="300" w:lineRule="auto"/>
        <w:ind w:left="420"/>
        <w:jc w:val="both"/>
        <w:rPr>
          <w:rFonts w:ascii="Times New Roman" w:hAnsi="Times New Roman" w:cs="Times New Roman"/>
          <w:sz w:val="18"/>
          <w:szCs w:val="18"/>
        </w:rPr>
      </w:pPr>
    </w:p>
    <w:p w14:paraId="636F5893">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3296" behindDoc="0" locked="0" layoutInCell="1" allowOverlap="1">
                <wp:simplePos x="0" y="0"/>
                <wp:positionH relativeFrom="column">
                  <wp:posOffset>0</wp:posOffset>
                </wp:positionH>
                <wp:positionV relativeFrom="paragraph">
                  <wp:posOffset>224155</wp:posOffset>
                </wp:positionV>
                <wp:extent cx="5760085" cy="33655"/>
                <wp:effectExtent l="0" t="9525" r="2540" b="13970"/>
                <wp:wrapNone/>
                <wp:docPr id="45" name="直线 63"/>
                <wp:cNvGraphicFramePr/>
                <a:graphic xmlns:a="http://schemas.openxmlformats.org/drawingml/2006/main">
                  <a:graphicData uri="http://schemas.microsoft.com/office/word/2010/wordprocessingShape">
                    <wps:wsp>
                      <wps:cNvCnPr/>
                      <wps:spPr>
                        <a:xfrm flipV="1">
                          <a:off x="0" y="0"/>
                          <a:ext cx="5760085" cy="33655"/>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3" o:spid="_x0000_s1026" o:spt="20" style="position:absolute;left:0pt;flip:y;margin-left:0pt;margin-top:17.65pt;height:2.65pt;width:453.55pt;z-index:251703296;mso-width-relative:page;mso-height-relative:page;" filled="f" stroked="t" coordsize="21600,21600" o:gfxdata="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Dxj342AAAAAYBAAAPAAAAAAAAAAEAIAAAACIAAABkcnMvZG93bnJldi54bWxQSwEC&#10;FAAUAAAACACHTuJAfdaN3fQBAADqAwAADgAAAAAAAAABACAAAAAnAQAAZHJzL2Uyb0RvYy54bWxQ&#10;SwUGAAAAAAYABgBZAQAAjQUAAAAA&#10;">
                <v:fill on="f" focussize="0,0"/>
                <v:stroke weight="1.5pt" color="#002060" joinstyle="miter"/>
                <v:imagedata o:title=""/>
                <o:lock v:ext="edit" aspectratio="f"/>
              </v:line>
            </w:pict>
          </mc:Fallback>
        </mc:AlternateContent>
      </w:r>
      <w:r>
        <w:rPr>
          <w:rFonts w:ascii="Times New Roman" w:hAnsi="Times New Roman" w:cs="Times New Roman"/>
          <w:b/>
        </w:rPr>
        <w:t xml:space="preserve">TP53                                                                               </w:t>
      </w:r>
    </w:p>
    <w:p w14:paraId="41A5FBA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7B355D6">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TP53是抑癌基因，编码一种包括转录激活、DNA结合及寡聚化结构域的肿瘤抑制蛋白。编码的蛋白响应不同的细胞压力，调节靶基因的表达，从而诱导细胞周期阻滞、凋亡、衰老、DNA修复或代谢变化。该基因的异常与多种人类癌症有关。TP53的胚系突变会导致家族性肉瘤综合征，从而导致成年人在早期发生乳腺癌、脑癌及白血病等。在正常细胞中p53表达较低，TP53功能缺失突变可能导致细胞核中p53表达增加且维持稳定。TP53基因突变高发于多种肿瘤类型中。</w:t>
      </w:r>
    </w:p>
    <w:p w14:paraId="55F0C05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010B6E2">
      <w:pPr>
        <w:adjustRightInd w:val="0"/>
        <w:snapToGrid w:val="0"/>
        <w:spacing w:line="300" w:lineRule="auto"/>
        <w:ind w:left="420"/>
        <w:jc w:val="both"/>
        <w:rPr>
          <w:rFonts w:ascii="Times New Roman" w:hAnsi="Times New Roman" w:cs="Times New Roman"/>
          <w:sz w:val="18"/>
          <w:szCs w:val="18"/>
          <w:lang w:bidi="zh-CN"/>
        </w:rPr>
      </w:pPr>
      <w:r>
        <w:rPr>
          <w:rFonts w:ascii="Times New Roman" w:hAnsi="Times New Roman" w:cs="Times New Roman"/>
          <w:sz w:val="18"/>
          <w:szCs w:val="18"/>
        </w:rPr>
        <w:t>目前，FDA尚未批准任何靶向TP53突变的药物。有研究报道KRAS和TP53都突变的患者，使用PD-1抗体的有效率高达33.3%。针对TP53突变的基因疗法、靶向肿瘤疫苗和抗癌药物正处于临床试验早期阶段。这些治疗方法包括NSC59984、Alisertib等，它们在晚期实体肿瘤的治疗中表现出一定的疗效。一项I期临床试验结果表明，培唑帕尼联合伏立诺他能够延长具有TP53热点突变的晚期实体瘤患者的PFS和OS，SD率为45%，而TP53野生型的SD率为16% [PMID: 25669829]。另有研究表明，携带TP53突变的癌细胞对极光激酶A抑制剂敏感[PMID: 23955083]。</w:t>
      </w:r>
      <w:r>
        <w:rPr>
          <w:rFonts w:hint="eastAsia" w:ascii="Times New Roman" w:hAnsi="Times New Roman" w:cs="Times New Roman"/>
          <w:sz w:val="18"/>
          <w:szCs w:val="18"/>
        </w:rPr>
        <w:t>在靶向</w:t>
      </w:r>
      <w:r>
        <w:rPr>
          <w:rFonts w:ascii="Times New Roman" w:hAnsi="Times New Roman" w:cs="Times New Roman"/>
          <w:sz w:val="18"/>
          <w:szCs w:val="18"/>
        </w:rPr>
        <w:t>MDSC治疗广泛期小细胞肺癌的临床试验，组A对照，组B接种转导野生型p53的树突细胞，组C以全反式维甲酸（ATRA）与MDSC靶向治疗联合接种。在来自组A的14名患者中，没有任何一位出现p53阳性反应。免疫后，组B中，15例患者中仅有3例（20%）出现p53特异性应答（p = 0.22）。相比之下，在组C中，12个病人中有5个（41.7%）有可检测到的p53反应（p = 0.012）[PMID: 23589106]。一项临床前研究表明，NSC59984可以增加具有TP53 S241F突变的结肠癌细胞系的TP53信号，促进细胞凋亡[PMID: 26294215]。顺铂联合NSC59984可以抑制具有TP53 R273H和P309S突变的结肠癌细胞的活性[PMID: 26294215]</w:t>
      </w:r>
      <w:r>
        <w:rPr>
          <w:rFonts w:ascii="Times New Roman" w:hAnsi="Times New Roman" w:cs="Times New Roman"/>
          <w:sz w:val="18"/>
          <w:szCs w:val="18"/>
          <w:lang w:bidi="zh-CN"/>
        </w:rPr>
        <w:t>。</w:t>
      </w:r>
      <w:r>
        <w:rPr>
          <w:rFonts w:hint="eastAsia" w:ascii="Times New Roman" w:hAnsi="Times New Roman" w:cs="Times New Roman"/>
          <w:sz w:val="18"/>
          <w:szCs w:val="18"/>
          <w:lang w:bidi="zh-CN"/>
        </w:rPr>
        <w:t>目前</w:t>
      </w:r>
      <w:r>
        <w:rPr>
          <w:rFonts w:ascii="Times New Roman" w:hAnsi="Times New Roman" w:cs="Times New Roman"/>
          <w:sz w:val="18"/>
          <w:szCs w:val="18"/>
          <w:lang w:bidi="zh-CN"/>
        </w:rPr>
        <w:t>APR246</w:t>
      </w:r>
      <w:r>
        <w:rPr>
          <w:rFonts w:hint="eastAsia" w:ascii="Times New Roman" w:hAnsi="Times New Roman" w:cs="Times New Roman"/>
          <w:sz w:val="18"/>
          <w:szCs w:val="18"/>
          <w:lang w:bidi="zh-CN"/>
        </w:rPr>
        <w:t>联合帕博利珠单抗治疗T</w:t>
      </w:r>
      <w:r>
        <w:rPr>
          <w:rFonts w:ascii="Times New Roman" w:hAnsi="Times New Roman" w:cs="Times New Roman"/>
          <w:sz w:val="18"/>
          <w:szCs w:val="18"/>
          <w:lang w:bidi="zh-CN"/>
        </w:rPr>
        <w:t>P53</w:t>
      </w:r>
      <w:r>
        <w:rPr>
          <w:rFonts w:hint="eastAsia" w:ascii="Times New Roman" w:hAnsi="Times New Roman" w:cs="Times New Roman"/>
          <w:sz w:val="18"/>
          <w:szCs w:val="18"/>
          <w:lang w:bidi="zh-CN"/>
        </w:rPr>
        <w:t>突变的实体瘤患者的临床试验正在开展。</w:t>
      </w:r>
    </w:p>
    <w:p w14:paraId="6C44C2AE">
      <w:pPr>
        <w:adjustRightInd w:val="0"/>
        <w:snapToGrid w:val="0"/>
        <w:spacing w:line="300" w:lineRule="auto"/>
        <w:ind w:left="420"/>
        <w:jc w:val="both"/>
        <w:rPr>
          <w:rFonts w:ascii="Times New Roman" w:hAnsi="Times New Roman" w:cs="Times New Roman"/>
          <w:sz w:val="18"/>
          <w:szCs w:val="18"/>
          <w:lang w:bidi="zh-CN"/>
        </w:rPr>
      </w:pPr>
    </w:p>
    <w:p w14:paraId="24ED917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384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6" name="直线 6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4" o:spid="_x0000_s1026" o:spt="20" style="position:absolute;left:0pt;margin-left:-2.55pt;margin-top:12.55pt;height:1.7pt;width:453.45pt;z-index:-2516326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dsAvu7A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2YIzB5Zu/PH7j8ef&#10;v9jibVZnCNhQ0p3bxvMJwzZmqscu2vwnEuxYFD1dFFXHxAQ55+/my+V0zpmg2Gw6vymKV8/FIWL6&#10;oLxl2Wi50S4ThgYOHzFRQ0p9Sslu49hAS3tTz+kCBdD6dXTtZNpAFNDtSzF6o+W9NiaXYNzv7kxk&#10;B8grUM/qxdMMf6XlLhvAfswroXE5rE4qU4emVyDfO8nSKZBKjl4Hz9NYJTkzih5TtkpmAm2uySR2&#10;xhHJLPIoa7Z2Xp6K2sVPF19kOC9p3qw/z6X6+WGu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XbAL7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UGT1A1                                                                          </w:t>
      </w:r>
    </w:p>
    <w:p w14:paraId="48F2264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CB30D12">
      <w:pPr>
        <w:spacing w:line="300" w:lineRule="auto"/>
        <w:ind w:left="420"/>
        <w:rPr>
          <w:rFonts w:ascii="Times New Roman" w:hAnsi="Times New Roman" w:cs="Times New Roman"/>
          <w:sz w:val="18"/>
          <w:szCs w:val="18"/>
        </w:rPr>
      </w:pPr>
      <w:r>
        <w:rPr>
          <w:rFonts w:ascii="Times New Roman" w:hAnsi="Times New Roman" w:cs="Times New Roman"/>
          <w:sz w:val="18"/>
          <w:szCs w:val="18"/>
        </w:rPr>
        <w:t>UGT1A1基因编码一种UDP-葡萄糖醛酸基转移酶，参与类固醇、胆红素、激素和药物等葡萄苷酸化代谢过程。UGT1A1是药物代谢相关基因，基因变异导致其表达的多态性影响药物的代谢和耐受。UGT1A1基因突变可导致Crigler-Najjar综合征和Gilbert综合</w:t>
      </w:r>
      <w:r>
        <w:rPr>
          <w:rFonts w:hint="eastAsia" w:ascii="Times New Roman" w:hAnsi="Times New Roman" w:cs="Times New Roman"/>
          <w:sz w:val="18"/>
          <w:szCs w:val="18"/>
        </w:rPr>
        <w:t>征（</w:t>
      </w:r>
      <w:r>
        <w:rPr>
          <w:rFonts w:ascii="Times New Roman" w:hAnsi="Times New Roman" w:cs="Times New Roman"/>
          <w:sz w:val="18"/>
          <w:szCs w:val="18"/>
        </w:rPr>
        <w:t>先天性非溶血性黄疸</w:t>
      </w:r>
      <w:r>
        <w:rPr>
          <w:rFonts w:hint="eastAsia" w:ascii="Times New Roman" w:hAnsi="Times New Roman" w:cs="Times New Roman"/>
          <w:sz w:val="18"/>
          <w:szCs w:val="18"/>
        </w:rPr>
        <w:t>）</w:t>
      </w:r>
      <w:r>
        <w:rPr>
          <w:rFonts w:ascii="Times New Roman" w:hAnsi="Times New Roman" w:cs="Times New Roman"/>
          <w:sz w:val="18"/>
          <w:szCs w:val="18"/>
        </w:rPr>
        <w:t>的发生。</w:t>
      </w:r>
    </w:p>
    <w:p w14:paraId="4C09238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5A4265E">
      <w:pPr>
        <w:spacing w:line="300" w:lineRule="auto"/>
        <w:ind w:left="420"/>
        <w:rPr>
          <w:rFonts w:ascii="Times New Roman" w:hAnsi="Times New Roman" w:cs="Times New Roman"/>
          <w:sz w:val="18"/>
          <w:szCs w:val="18"/>
        </w:rPr>
      </w:pPr>
      <w:r>
        <w:rPr>
          <w:rFonts w:ascii="Times New Roman" w:hAnsi="Times New Roman" w:cs="Times New Roman"/>
          <w:sz w:val="18"/>
          <w:szCs w:val="18"/>
        </w:rPr>
        <w:t>美国FDA要求在伊立替康药品标签上加入警示，建议患者在使用伊立替康前应检测是否带有UGT1A1*28突变。临床试验研究表明，UGT1A1基因的遗传多态性对减轻化疗药物的毒副作用有重要的临床意义。携带 (TA)6/(TA)6 基因型的结直肠癌患者，相比于(TA)7/(TA)7基因型，嗜中性白血球减少症和腹泻风险可能减小[PMID: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PMID:18300238</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26862009]。携带 (TA)6/(TA)6 基因型的肿瘤患者，相比于(TA)6/(TA)7 和 (TA)7/(TA)7 基因型，毒副反应风险可能减小（包括嗜中性白血球减少症、腹泻、乏力）。文献证据支持嗜中性白血球减少症的毒副风险较腹泻和乏力更强[PMID: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23529007</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w:t>
      </w:r>
      <w:r>
        <w:rPr>
          <w:rFonts w:hint="eastAsia" w:ascii="Times New Roman" w:hAnsi="Times New Roman" w:cs="Times New Roman"/>
          <w:sz w:val="18"/>
          <w:szCs w:val="18"/>
        </w:rPr>
        <w:t>另外发现，</w:t>
      </w:r>
      <w:r>
        <w:rPr>
          <w:rFonts w:ascii="Times New Roman" w:hAnsi="Times New Roman" w:cs="Times New Roman"/>
          <w:sz w:val="18"/>
          <w:szCs w:val="18"/>
        </w:rPr>
        <w:t>UGT1A1的遗传多态性与血浆阿昔替尼水平显著相关，血浆阿昔替尼水平与转移性肾细胞癌（mRCC）患者的不良反应（AE）和总生存期（OS）显著相关[PMID: 29524031]。</w:t>
      </w:r>
    </w:p>
    <w:p w14:paraId="5560AC74">
      <w:pPr>
        <w:adjustRightInd w:val="0"/>
        <w:snapToGrid w:val="0"/>
        <w:spacing w:line="300" w:lineRule="auto"/>
        <w:jc w:val="both"/>
        <w:rPr>
          <w:rFonts w:ascii="Times New Roman" w:hAnsi="Times New Roman" w:cs="Times New Roman"/>
          <w:sz w:val="18"/>
          <w:szCs w:val="18"/>
          <w:lang w:bidi="zh-CN"/>
        </w:rPr>
      </w:pPr>
    </w:p>
    <w:p w14:paraId="78C4C2D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7152"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9" name="直线 6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5" o:spid="_x0000_s1026" o:spt="20" style="position:absolute;left:0pt;margin-left:-2.55pt;margin-top:12.55pt;height:1.7pt;width:453.45pt;z-index:2516971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dkn0G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FBXW7                                                                          </w:t>
      </w:r>
    </w:p>
    <w:p w14:paraId="2F73B71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5444A2C">
      <w:pPr>
        <w:spacing w:line="300" w:lineRule="auto"/>
        <w:ind w:left="420"/>
        <w:rPr>
          <w:rFonts w:ascii="Times New Roman" w:hAnsi="Times New Roman" w:cs="Times New Roman"/>
          <w:sz w:val="18"/>
          <w:szCs w:val="18"/>
        </w:rPr>
      </w:pPr>
      <w:r>
        <w:rPr>
          <w:rFonts w:ascii="Times New Roman" w:hAnsi="Times New Roman" w:cs="Times New Roman"/>
          <w:sz w:val="18"/>
          <w:szCs w:val="18"/>
        </w:rPr>
        <w:t>FBXW7编码的蛋白属于F框蛋白家族，F框蛋白的特点是有一个约40个氨基酸的基序，就是F框。F框蛋白构成了泛素连接酶的四个亚基之一，在依赖泛素的磷酸化中发挥作用。F框蛋白分为3个区域：FBWS包含WD40区域，FBLS包含多亮氨酸重复，FBXS包含不同的蛋白相互作用模块和可识别的基序。FBXW7基因编码F-box蛋白亚基，参与SCF（Skp1-Cul1-F-box 蛋白）型泛素连接酶复合物的底物识别。在识别底物后，该复合物会修饰底物，使其成为蛋白质降解的目标。FBXW7的底物包括蛋白质c-MYC、mTOR [PMID: 18787170]、NOTCH1、细胞周期蛋白-E 和 JUN，它们有助于调节细胞分裂、分化和生长，并且通常在癌症中被不适当地激活。由于大多数 FBXW7 底物是被SCF复合物处理降解的原癌基因，因此FBXW7起到肿瘤抑制因子的作用。通过突变或拷贝</w:t>
      </w:r>
      <w:r>
        <w:rPr>
          <w:rFonts w:hint="eastAsia" w:ascii="Times New Roman" w:hAnsi="Times New Roman" w:cs="Times New Roman"/>
          <w:sz w:val="18"/>
          <w:szCs w:val="18"/>
        </w:rPr>
        <w:t>数丢失使</w:t>
      </w:r>
      <w:r>
        <w:rPr>
          <w:rFonts w:ascii="Times New Roman" w:hAnsi="Times New Roman" w:cs="Times New Roman"/>
          <w:sz w:val="18"/>
          <w:szCs w:val="18"/>
        </w:rPr>
        <w:t xml:space="preserve"> FBXW7失活会导致癌蛋白的异常积累，进而导致恶性转化[PMID: 27399335]。FBXW7的交替剪接产生三种不同的蛋白质亚型（α、β、γ），每种都具有不同的定位</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22673505</w:t>
      </w:r>
      <w:r>
        <w:rPr>
          <w:rFonts w:hint="eastAsia" w:ascii="Times New Roman" w:hAnsi="Times New Roman" w:cs="Times New Roman"/>
          <w:sz w:val="18"/>
          <w:szCs w:val="18"/>
        </w:rPr>
        <w:t>]</w:t>
      </w:r>
      <w:r>
        <w:rPr>
          <w:rFonts w:ascii="Times New Roman" w:hAnsi="Times New Roman" w:cs="Times New Roman"/>
          <w:sz w:val="18"/>
          <w:szCs w:val="18"/>
        </w:rPr>
        <w:t>。FBXW7中的突变会对同种型特异性功能、亚基二聚化、蛋白质定位、SCF组装或底物识别产生负面影响。FBXW7中的大多数突变是破坏底物结合的点突变，而&lt;10% 是小的缺失或插入</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17909001</w:t>
      </w:r>
      <w:r>
        <w:rPr>
          <w:rFonts w:hint="eastAsia" w:ascii="Times New Roman" w:hAnsi="Times New Roman" w:cs="Times New Roman"/>
          <w:sz w:val="18"/>
          <w:szCs w:val="18"/>
        </w:rPr>
        <w:t>]</w:t>
      </w:r>
      <w:r>
        <w:rPr>
          <w:rFonts w:ascii="Times New Roman" w:hAnsi="Times New Roman" w:cs="Times New Roman"/>
          <w:sz w:val="18"/>
          <w:szCs w:val="18"/>
        </w:rPr>
        <w:t>。与FBXW7相关的疾病包括结直肠癌、非小细胞肺癌、乳腺癌等。</w:t>
      </w:r>
    </w:p>
    <w:p w14:paraId="27DE38C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334E604">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期临床试验中，418例患者接受FBXW7检测，17例携带FBXW7突变。其中10例患者接受mTOR抑制剂（包括替西罗莫司，西罗莫司，依维莫司）的治疗，无部分或完全缓解，7例（70%）患者以疾病稳定（SD）为最佳响应，其中2例（20%）患者SD持续时间超过16周[PMID: 24586741]。</w:t>
      </w:r>
      <w:r>
        <w:rPr>
          <w:rFonts w:hint="eastAsia" w:ascii="Times New Roman" w:hAnsi="Times New Roman" w:cs="Times New Roman"/>
          <w:sz w:val="18"/>
          <w:szCs w:val="18"/>
        </w:rPr>
        <w:t>在一项案例研究中，携带</w:t>
      </w:r>
      <w:r>
        <w:rPr>
          <w:rFonts w:ascii="Times New Roman" w:hAnsi="Times New Roman" w:cs="Times New Roman"/>
          <w:sz w:val="18"/>
          <w:szCs w:val="18"/>
        </w:rPr>
        <w:t>FBXW7失活突变（例如R465H）的肺腺癌患者在已经接受多线系统治疗后，使用替西罗莫司治疗发现临床与影像学获益[PMID: 24360397]。</w:t>
      </w:r>
      <w:r>
        <w:rPr>
          <w:rFonts w:hint="eastAsia" w:ascii="Times New Roman" w:hAnsi="Times New Roman" w:cs="Times New Roman"/>
          <w:sz w:val="18"/>
          <w:szCs w:val="18"/>
        </w:rPr>
        <w:t>有个案报道</w:t>
      </w:r>
      <w:r>
        <w:rPr>
          <w:rFonts w:ascii="Times New Roman" w:hAnsi="Times New Roman" w:cs="Times New Roman"/>
          <w:sz w:val="18"/>
          <w:szCs w:val="18"/>
        </w:rPr>
        <w:t>FBXW7突变而EGFR和ALK阴性的肺癌患者对mTOR抑制剂敏感[PMID: 24360397]。</w:t>
      </w:r>
      <w:r>
        <w:rPr>
          <w:rFonts w:hint="eastAsia" w:ascii="Times New Roman" w:hAnsi="Times New Roman" w:cs="Times New Roman"/>
          <w:sz w:val="18"/>
          <w:szCs w:val="18"/>
        </w:rPr>
        <w:t>研究发现，</w:t>
      </w:r>
      <w:r>
        <w:rPr>
          <w:rFonts w:ascii="Times New Roman" w:hAnsi="Times New Roman" w:cs="Times New Roman"/>
          <w:sz w:val="18"/>
          <w:szCs w:val="18"/>
        </w:rPr>
        <w:t>FBXW7的缺失发生在30.9%的肺腺癌和63.5%的肺鳞癌中，FBXW7敲除显著促进非小细胞肺癌细胞的上皮-间质转化、迁移和侵袭。体外实验中，沉默FBXW7后，EGFR-TKI敏感细胞对吉非替尼产生了耐药性，这种耐药性被雷帕霉素逆转[PMID: 29633504]。临床前研究表明，沉默FBXW7的非小细胞肺癌细胞系显示增强的Entinostat敏感性和紫杉醇抗性。FBXW7介导非小细胞肺癌的化疗敏感性和预后[PMID: 24165483]。</w:t>
      </w:r>
      <w:r>
        <w:rPr>
          <w:rFonts w:hint="eastAsia" w:ascii="Times New Roman" w:hAnsi="Times New Roman" w:cs="Times New Roman"/>
          <w:sz w:val="18"/>
          <w:szCs w:val="18"/>
        </w:rPr>
        <w:t>目前替西罗莫司用于F</w:t>
      </w:r>
      <w:r>
        <w:rPr>
          <w:rFonts w:ascii="Times New Roman" w:hAnsi="Times New Roman" w:cs="Times New Roman"/>
          <w:sz w:val="18"/>
          <w:szCs w:val="18"/>
        </w:rPr>
        <w:t>BXW7</w:t>
      </w:r>
      <w:r>
        <w:rPr>
          <w:rFonts w:hint="eastAsia" w:ascii="Times New Roman" w:hAnsi="Times New Roman" w:cs="Times New Roman"/>
          <w:sz w:val="18"/>
          <w:szCs w:val="18"/>
        </w:rPr>
        <w:t>突变的实体瘤的临床试验正在开展。</w:t>
      </w:r>
    </w:p>
    <w:p w14:paraId="6F68D203">
      <w:pPr>
        <w:adjustRightInd w:val="0"/>
        <w:snapToGrid w:val="0"/>
        <w:spacing w:line="300" w:lineRule="auto"/>
        <w:ind w:left="420"/>
        <w:jc w:val="both"/>
        <w:rPr>
          <w:rFonts w:ascii="Times New Roman" w:hAnsi="Times New Roman" w:cs="Times New Roman"/>
          <w:sz w:val="18"/>
          <w:szCs w:val="18"/>
          <w:lang w:bidi="zh-CN"/>
        </w:rPr>
      </w:pPr>
    </w:p>
    <w:p w14:paraId="234D9D8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1488"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0" name="直线 6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6" o:spid="_x0000_s1026" o:spt="20" style="position:absolute;left:0pt;margin-left:-2.55pt;margin-top:12.55pt;height:1.7pt;width:453.45pt;z-index:2517114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BA9/w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NOTCH1                                                                          </w:t>
      </w:r>
    </w:p>
    <w:p w14:paraId="73A0EED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FF709FD">
      <w:pPr>
        <w:spacing w:line="300" w:lineRule="auto"/>
        <w:ind w:left="420"/>
        <w:rPr>
          <w:rFonts w:ascii="Times New Roman" w:hAnsi="Times New Roman" w:cs="Times New Roman"/>
          <w:sz w:val="18"/>
          <w:szCs w:val="18"/>
        </w:rPr>
      </w:pPr>
      <w:r>
        <w:rPr>
          <w:rFonts w:ascii="Times New Roman" w:hAnsi="Times New Roman" w:cs="Times New Roman"/>
          <w:sz w:val="18"/>
          <w:szCs w:val="18"/>
        </w:rPr>
        <w:t>NOTCH1编码的蛋白属于NOTCH家族成员。该蛋白作为受体行使功能，在发育过程中发挥多种作用。细胞水平的研究表明，该基因既可以作为癌基因又可以作为抑癌基因发挥功能。NOTCH1是一种跨膜受体，参与进化上保守的细胞间信号转导通路[PMID: 24651013]。NOTCH1受体与相邻细胞上的配体分子的相互作用导致NOTCH1被γ分泌酶蛋白水解切割 [PMID: 24651013]。然后，裂解的细胞内NOTCH1结构域可以激活细胞核中的基因表达并调节细胞分化、生长、增殖、存活和代谢的各个方面[PMID: 27507209]。NOTCH1信号的具体影响因蜂窝环境而异[PMID: 24651013</w:t>
      </w:r>
      <w:r>
        <w:rPr>
          <w:rFonts w:hint="eastAsia" w:ascii="Times New Roman" w:hAnsi="Times New Roman" w:cs="Times New Roman"/>
          <w:sz w:val="18"/>
          <w:szCs w:val="18"/>
        </w:rPr>
        <w:t>]</w:t>
      </w:r>
      <w:r>
        <w:rPr>
          <w:rFonts w:ascii="Times New Roman" w:hAnsi="Times New Roman" w:cs="Times New Roman"/>
          <w:sz w:val="18"/>
          <w:szCs w:val="18"/>
        </w:rPr>
        <w:t>。NOTCH家族成员经常在各种癌症中</w:t>
      </w:r>
      <w:r>
        <w:rPr>
          <w:rFonts w:hint="eastAsia" w:ascii="Times New Roman" w:hAnsi="Times New Roman" w:cs="Times New Roman"/>
          <w:sz w:val="18"/>
          <w:szCs w:val="18"/>
        </w:rPr>
        <w:t>发生突变，这些突变可以是功能获得或功能丧失突变</w:t>
      </w:r>
      <w:r>
        <w:rPr>
          <w:rFonts w:ascii="Times New Roman" w:hAnsi="Times New Roman" w:cs="Times New Roman"/>
          <w:sz w:val="18"/>
          <w:szCs w:val="18"/>
        </w:rPr>
        <w:t>[PMID: 21948802]。已在T细胞急性淋巴细胞白血病 (T-ALL)、慢性淋巴细胞白血病和腺样囊性癌[PMID: 27870570]中发现了NOTCH1的易位和激活突变。这些NOTCH1激活突变要么增强了γ-分泌酶对NOTCH1的切割，要么延长了细胞内NOTCH1的半衰期</w:t>
      </w:r>
      <w:r>
        <w:rPr>
          <w:rFonts w:hint="eastAsia" w:ascii="Times New Roman" w:hAnsi="Times New Roman" w:cs="Times New Roman"/>
          <w:sz w:val="18"/>
          <w:szCs w:val="18"/>
        </w:rPr>
        <w:t>[</w:t>
      </w:r>
      <w:r>
        <w:rPr>
          <w:rFonts w:ascii="Times New Roman" w:hAnsi="Times New Roman" w:cs="Times New Roman"/>
          <w:sz w:val="18"/>
          <w:szCs w:val="18"/>
        </w:rPr>
        <w:t>PMID: 15472075]。NOTCH1功能缺失突变在实体瘤中最常见，即鳞状细胞癌，并且在重要的NOTCH1功能域中以错义、移码或</w:t>
      </w:r>
      <w:r>
        <w:rPr>
          <w:rFonts w:hint="eastAsia" w:ascii="Times New Roman" w:hAnsi="Times New Roman" w:cs="Times New Roman"/>
          <w:sz w:val="18"/>
          <w:szCs w:val="18"/>
        </w:rPr>
        <w:t>无义突变的形式出现</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30087145</w:t>
      </w:r>
      <w:r>
        <w:rPr>
          <w:rFonts w:hint="eastAsia" w:ascii="Times New Roman" w:hAnsi="Times New Roman" w:cs="Times New Roman"/>
          <w:sz w:val="18"/>
          <w:szCs w:val="18"/>
        </w:rPr>
        <w:t>]</w:t>
      </w:r>
      <w:r>
        <w:rPr>
          <w:rFonts w:ascii="Times New Roman" w:hAnsi="Times New Roman" w:cs="Times New Roman"/>
          <w:sz w:val="18"/>
          <w:szCs w:val="18"/>
        </w:rPr>
        <w:t>。靶向γ-分泌酶的抑制剂目前正在进行临床试验，可能对激活NOTCH1突变的患者具有活性[PMID: 28539479]。</w:t>
      </w:r>
    </w:p>
    <w:p w14:paraId="43471A2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9C2617F">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在临床前研究中，γ分泌酶抑制剂</w:t>
      </w:r>
      <w:r>
        <w:rPr>
          <w:rFonts w:ascii="Times New Roman" w:hAnsi="Times New Roman" w:cs="Times New Roman"/>
          <w:sz w:val="18"/>
          <w:szCs w:val="18"/>
        </w:rPr>
        <w:t>Nirogacestat能够减少Notch1裂解，减弱Notch活性，并促进Notch活性增加的结直肠癌细胞凋亡[PMID: 23868008]。</w:t>
      </w:r>
      <w:r>
        <w:rPr>
          <w:rFonts w:hint="eastAsia" w:ascii="Times New Roman" w:hAnsi="Times New Roman" w:cs="Times New Roman"/>
          <w:sz w:val="18"/>
          <w:szCs w:val="18"/>
        </w:rPr>
        <w:t>临床前试验研究表明</w:t>
      </w:r>
      <w:r>
        <w:rPr>
          <w:rFonts w:ascii="Times New Roman" w:hAnsi="Times New Roman" w:cs="Times New Roman"/>
          <w:sz w:val="18"/>
          <w:szCs w:val="18"/>
        </w:rPr>
        <w:t>NOTCH1的失活突变被证实对LGK974敏感[PMID: 24277854]。</w:t>
      </w:r>
      <w:r>
        <w:rPr>
          <w:rFonts w:hint="eastAsia" w:ascii="Times New Roman" w:hAnsi="Times New Roman" w:cs="Times New Roman"/>
          <w:sz w:val="18"/>
          <w:szCs w:val="18"/>
        </w:rPr>
        <w:t>有研究表明，</w:t>
      </w:r>
      <w:r>
        <w:rPr>
          <w:rFonts w:ascii="Times New Roman" w:hAnsi="Times New Roman" w:cs="Times New Roman"/>
          <w:sz w:val="18"/>
          <w:szCs w:val="18"/>
        </w:rPr>
        <w:t>Notch信号成分与肺腺癌的预后相关，可作为潜在的肺腺癌预后的指示标志[PMID: 27196489]。</w:t>
      </w:r>
      <w:r>
        <w:rPr>
          <w:rFonts w:hint="eastAsia" w:ascii="Times New Roman" w:hAnsi="Times New Roman" w:cs="Times New Roman"/>
          <w:sz w:val="18"/>
          <w:szCs w:val="18"/>
        </w:rPr>
        <w:t>有研究表明，在小细胞肺癌中，</w:t>
      </w:r>
      <w:r>
        <w:rPr>
          <w:rFonts w:ascii="Times New Roman" w:hAnsi="Times New Roman" w:cs="Times New Roman"/>
          <w:sz w:val="18"/>
          <w:szCs w:val="18"/>
        </w:rPr>
        <w:t>NOTCH1高表达与预后良好相关[PMID: 28060745]。</w:t>
      </w:r>
      <w:r>
        <w:rPr>
          <w:rFonts w:hint="eastAsia" w:ascii="Times New Roman" w:hAnsi="Times New Roman" w:cs="Times New Roman"/>
          <w:sz w:val="18"/>
          <w:szCs w:val="18"/>
        </w:rPr>
        <w:t>高表达</w:t>
      </w:r>
      <w:r>
        <w:rPr>
          <w:rFonts w:ascii="Times New Roman" w:hAnsi="Times New Roman" w:cs="Times New Roman"/>
          <w:sz w:val="18"/>
          <w:szCs w:val="18"/>
        </w:rPr>
        <w:t>Notch1的结直肠癌患者的总生存率（OS）和无病生存率（DFS）均低于低表达Notch1的患者[PMID: 24312514]。结直肠癌中，分级、淋巴血管侵犯、淋巴细胞浸润程度、瘤周出芽、淋巴结比率、淋巴结转移和Notch1表达之间存在高度相关性（p&lt;0.001）。在AJCC分期和Notch1表达之间存在高度相关性（p&lt;0.001）[PMID: 30136202]。</w:t>
      </w:r>
    </w:p>
    <w:p w14:paraId="51230221">
      <w:pPr>
        <w:adjustRightInd w:val="0"/>
        <w:snapToGrid w:val="0"/>
        <w:spacing w:line="300" w:lineRule="auto"/>
        <w:ind w:left="420"/>
        <w:jc w:val="both"/>
        <w:rPr>
          <w:rFonts w:ascii="Times New Roman" w:hAnsi="Times New Roman" w:cs="Times New Roman"/>
          <w:sz w:val="18"/>
          <w:szCs w:val="18"/>
          <w:lang w:bidi="zh-CN"/>
        </w:rPr>
      </w:pPr>
    </w:p>
    <w:p w14:paraId="4715804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05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11" name="直线 67"/>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7" o:spid="_x0000_s1026" o:spt="20" style="position:absolute;left:0pt;margin-left:-2.55pt;margin-top:12.55pt;height:1.7pt;width:453.45pt;z-index:-2516459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AnuLx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SMAD4                                                                          </w:t>
      </w:r>
    </w:p>
    <w:p w14:paraId="1EE7314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659886B">
      <w:pPr>
        <w:spacing w:line="300" w:lineRule="auto"/>
        <w:ind w:left="420"/>
        <w:rPr>
          <w:rFonts w:ascii="Times New Roman" w:hAnsi="Times New Roman" w:cs="Times New Roman"/>
          <w:sz w:val="18"/>
          <w:szCs w:val="18"/>
        </w:rPr>
      </w:pPr>
      <w:r>
        <w:rPr>
          <w:rFonts w:ascii="Times New Roman" w:hAnsi="Times New Roman" w:cs="Times New Roman"/>
          <w:sz w:val="18"/>
          <w:szCs w:val="18"/>
        </w:rPr>
        <w:t>SMAD4是SMADs家族成员之一，是转导TGF信号的重要胞浆内信号级联分子，它与活化的受体激活型SMAD分子形成复合物，移位到细胞核，与其他转录因子协同作用，调节TGF应答基因的转录。SMAD4在肿瘤形成之初起到抑癌作用，而在肿瘤晚期浸润及转移过程中则起促进作用。SMAD4是一种转录因子，在转化生长因子β (TGFß)信号通路中起关键效应器的作用。TGFß信号控制多种生物过程，包括细胞增殖、分化和组织稳态[PMID: 11057902]。SMAD受体调节的信号分子（例如SMAD2和SMAD3）在与TGFß细胞因子超家族（例如TGFß1、TGFß2、TGFß3、激活素和节点）结合后被膜受体丝氨酸激酶激活</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9759503</w:t>
      </w:r>
      <w:r>
        <w:rPr>
          <w:rFonts w:hint="eastAsia" w:ascii="Times New Roman" w:hAnsi="Times New Roman" w:cs="Times New Roman"/>
          <w:sz w:val="18"/>
          <w:szCs w:val="18"/>
        </w:rPr>
        <w:t>]</w:t>
      </w:r>
      <w:r>
        <w:rPr>
          <w:rFonts w:ascii="Times New Roman" w:hAnsi="Times New Roman" w:cs="Times New Roman"/>
          <w:sz w:val="18"/>
          <w:szCs w:val="18"/>
        </w:rPr>
        <w:t>。在TGFß受体二聚化和激活后，两种磷酸化受体调节的SMAD蛋白与SMAD4形成三聚体复合物，以允</w:t>
      </w:r>
      <w:r>
        <w:rPr>
          <w:rFonts w:hint="eastAsia" w:ascii="Times New Roman" w:hAnsi="Times New Roman" w:cs="Times New Roman"/>
          <w:sz w:val="18"/>
          <w:szCs w:val="18"/>
        </w:rPr>
        <w:t>许与</w:t>
      </w:r>
      <w:r>
        <w:rPr>
          <w:rFonts w:ascii="Times New Roman" w:hAnsi="Times New Roman" w:cs="Times New Roman"/>
          <w:sz w:val="18"/>
          <w:szCs w:val="18"/>
        </w:rPr>
        <w:t>DNA结合 [PMID: 9759503</w:t>
      </w:r>
      <w:r>
        <w:rPr>
          <w:rFonts w:hint="eastAsia" w:ascii="Times New Roman" w:hAnsi="Times New Roman" w:cs="Times New Roman"/>
          <w:sz w:val="18"/>
          <w:szCs w:val="18"/>
        </w:rPr>
        <w:t>]</w:t>
      </w:r>
      <w:r>
        <w:rPr>
          <w:rFonts w:ascii="Times New Roman" w:hAnsi="Times New Roman" w:cs="Times New Roman"/>
          <w:sz w:val="18"/>
          <w:szCs w:val="18"/>
        </w:rPr>
        <w:t>。SMAD三聚体复合物可以转移到细胞核并以细胞类型依赖的方式调节TGFß介导的基因转录，部分原因是转录共激活因子的可用性和染色质可及性[PMID: 9759503]。TGFß依赖性转录的性质允许TGFß途径抑制癌前状态的肿瘤发生并促进癌症进展过程中的侵袭和转移[ PMID: 20495575]。SMAD4中的种系突变与幼年性息肉病综合征 (JPS) [PMID: 18662538]相关。在胰腺癌中发现SMAD4表达</w:t>
      </w:r>
      <w:r>
        <w:rPr>
          <w:rFonts w:hint="eastAsia" w:ascii="Times New Roman" w:hAnsi="Times New Roman" w:cs="Times New Roman"/>
          <w:sz w:val="18"/>
          <w:szCs w:val="18"/>
        </w:rPr>
        <w:t>缺失或</w:t>
      </w:r>
      <w:r>
        <w:rPr>
          <w:rFonts w:ascii="Times New Roman" w:hAnsi="Times New Roman" w:cs="Times New Roman"/>
          <w:sz w:val="18"/>
          <w:szCs w:val="18"/>
        </w:rPr>
        <w:t>SMAD4 体细胞突变，并且与肿瘤分级相关[PMID: 12821112</w:t>
      </w:r>
      <w:r>
        <w:rPr>
          <w:rFonts w:hint="eastAsia" w:ascii="Times New Roman" w:hAnsi="Times New Roman" w:cs="Times New Roman"/>
          <w:sz w:val="18"/>
          <w:szCs w:val="18"/>
        </w:rPr>
        <w:t>]</w:t>
      </w:r>
      <w:r>
        <w:rPr>
          <w:rFonts w:ascii="Times New Roman" w:hAnsi="Times New Roman" w:cs="Times New Roman"/>
          <w:sz w:val="18"/>
          <w:szCs w:val="18"/>
        </w:rPr>
        <w:t>。在包括结肠和肺腺癌在内的多种肿瘤类型中，以较低频率观察到SMAD4的体细胞改变[PMID: 25890228]。</w:t>
      </w:r>
    </w:p>
    <w:p w14:paraId="53D349B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BC09B78">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在一项临床研究中，携带SMAD4突变的中国转移性结直肠癌患者对西妥昔单抗治疗没有反应，并显示了较短的无进展生存期(中位：90天 vs 250天，p=0.0081) [PMID: 29703253]</w:t>
      </w:r>
      <w:r>
        <w:rPr>
          <w:rFonts w:hint="eastAsia"/>
        </w:rPr>
        <w:t>。</w:t>
      </w:r>
      <w:r>
        <w:rPr>
          <w:rFonts w:hint="eastAsia" w:ascii="Times New Roman" w:hAnsi="Times New Roman" w:cs="Times New Roman"/>
          <w:sz w:val="18"/>
          <w:szCs w:val="18"/>
        </w:rPr>
        <w:t>一项结直肠癌相关研究报道，</w:t>
      </w:r>
      <w:r>
        <w:rPr>
          <w:rFonts w:ascii="Times New Roman" w:hAnsi="Times New Roman" w:cs="Times New Roman"/>
          <w:sz w:val="18"/>
          <w:szCs w:val="18"/>
        </w:rPr>
        <w:t>SMAD4的缺失与较差的临床结果、对化疗的耐药性和免疫浸润的减少相关[PMID: 30587545]。</w:t>
      </w:r>
      <w:r>
        <w:rPr>
          <w:rFonts w:hint="eastAsia" w:ascii="Times New Roman" w:hAnsi="Times New Roman" w:cs="Times New Roman"/>
          <w:sz w:val="18"/>
          <w:szCs w:val="18"/>
        </w:rPr>
        <w:t>究报道，</w:t>
      </w:r>
      <w:r>
        <w:rPr>
          <w:rFonts w:ascii="Times New Roman" w:hAnsi="Times New Roman" w:cs="Times New Roman"/>
          <w:sz w:val="18"/>
          <w:szCs w:val="18"/>
        </w:rPr>
        <w:t>SMAD4表达降低与结直肠癌不良预后相关[PMID: 25749173; PMID: 19478385; PMID: 25681512; PMID: 26861460]。</w:t>
      </w:r>
      <w:r>
        <w:rPr>
          <w:rFonts w:hint="eastAsia" w:ascii="Times New Roman" w:hAnsi="Times New Roman" w:cs="Times New Roman"/>
          <w:sz w:val="18"/>
          <w:szCs w:val="18"/>
        </w:rPr>
        <w:t>临床前研究表明，</w:t>
      </w:r>
      <w:r>
        <w:rPr>
          <w:rFonts w:ascii="Times New Roman" w:hAnsi="Times New Roman" w:cs="Times New Roman"/>
          <w:sz w:val="18"/>
          <w:szCs w:val="18"/>
        </w:rPr>
        <w:t>SMAD4缺失促进肺癌的形成，但增加了对DNA拓扑异构酶抑制剂的敏感性[PMID: 25893305]。</w:t>
      </w:r>
      <w:r>
        <w:rPr>
          <w:rFonts w:hint="eastAsia" w:ascii="Times New Roman" w:hAnsi="Times New Roman" w:cs="Times New Roman"/>
          <w:sz w:val="18"/>
          <w:szCs w:val="18"/>
        </w:rPr>
        <w:t>肺腺癌中，</w:t>
      </w:r>
      <w:r>
        <w:rPr>
          <w:rFonts w:ascii="Times New Roman" w:hAnsi="Times New Roman" w:cs="Times New Roman"/>
          <w:sz w:val="18"/>
          <w:szCs w:val="18"/>
        </w:rPr>
        <w:t>SMAD4表达缺失与肿瘤大小（P=0.033）、淋巴结转移（P=0.014）、病理分期（P=0.017）和肿瘤分化（P=0.022）有关，p16或SMAD4表达的缺失（P&lt;0.001）与总生存时间缩短显著相关[PMID: 25890228]。</w:t>
      </w:r>
    </w:p>
    <w:p w14:paraId="57193331">
      <w:pPr>
        <w:rPr>
          <w:rFonts w:ascii="Times New Roman" w:hAnsi="Times New Roman" w:eastAsia="微软雅黑" w:cs="Times New Roman"/>
          <w:b/>
          <w:sz w:val="13"/>
        </w:rPr>
      </w:pP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Segoe Print"/>
    <w:panose1 w:val="00000000000000000000"/>
    <w:charset w:val="00"/>
    <w:family w:val="auto"/>
    <w:pitch w:val="default"/>
    <w:sig w:usb0="00000000" w:usb1="00000000" w:usb2="00000000" w:usb3="00000000" w:csb0="00000000" w:csb1="00000000"/>
  </w:font>
  <w:font w:name="FZLTXHJW--GB1-0">
    <w:altName w:val="Segoe Print"/>
    <w:panose1 w:val="00000000000000000000"/>
    <w:charset w:val="00"/>
    <w:family w:val="auto"/>
    <w:pitch w:val="default"/>
    <w:sig w:usb0="00000000" w:usb1="00000000" w:usb2="00000000" w:usb3="00000000" w:csb0="00000000" w:csb1="00000000"/>
  </w:font>
  <w:font w:name="helvetica">
    <w:altName w:val="Segoe Print"/>
    <w:panose1 w:val="00000000000000000000"/>
    <w:charset w:val="00"/>
    <w:family w:val="auto"/>
    <w:pitch w:val="default"/>
    <w:sig w:usb0="00000000" w:usb1="00000000" w:usb2="00000000" w:usb3="00000000" w:csb0="2000019F" w:csb1="4F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1EB3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79D4BE">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027923">
                          <w:pPr>
                            <w:pStyle w:val="1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0F027923">
                    <w:pPr>
                      <w:pStyle w:val="13"/>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6CA5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44E9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979267F"/>
    <w:multiLevelType w:val="singleLevel"/>
    <w:tmpl w:val="6979267F"/>
    <w:lvl w:ilvl="0" w:tentative="0">
      <w:start w:val="1"/>
      <w:numFmt w:val="decimal"/>
      <w:lvlText w:val="%1."/>
      <w:lvlJc w:val="left"/>
      <w:pPr>
        <w:ind w:left="425" w:hanging="425"/>
      </w:pPr>
      <w:rPr>
        <w:rFonts w:hint="default"/>
      </w:rPr>
    </w:lvl>
  </w:abstractNum>
  <w:abstractNum w:abstractNumId="1">
    <w:nsid w:val="6EF75A2D"/>
    <w:multiLevelType w:val="singleLevel"/>
    <w:tmpl w:val="6EF75A2D"/>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54D6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47CAC"/>
    <w:rsid w:val="00B60F8C"/>
    <w:rsid w:val="00B720E9"/>
    <w:rsid w:val="00B970D4"/>
    <w:rsid w:val="00BA0AFE"/>
    <w:rsid w:val="00BB4B87"/>
    <w:rsid w:val="00BB4BB9"/>
    <w:rsid w:val="00BD2FFA"/>
    <w:rsid w:val="00BD3A5B"/>
    <w:rsid w:val="00BE1879"/>
    <w:rsid w:val="00C1426D"/>
    <w:rsid w:val="00C26F90"/>
    <w:rsid w:val="00C2709E"/>
    <w:rsid w:val="00C27D2F"/>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9705A5"/>
    <w:rsid w:val="02711243"/>
    <w:rsid w:val="030A1074"/>
    <w:rsid w:val="035C523B"/>
    <w:rsid w:val="03643579"/>
    <w:rsid w:val="03B74961"/>
    <w:rsid w:val="053027D8"/>
    <w:rsid w:val="066A44EA"/>
    <w:rsid w:val="084E6FBF"/>
    <w:rsid w:val="09C6569C"/>
    <w:rsid w:val="0AA910DA"/>
    <w:rsid w:val="0ACD30F7"/>
    <w:rsid w:val="0B697485"/>
    <w:rsid w:val="0F6A208A"/>
    <w:rsid w:val="10286214"/>
    <w:rsid w:val="10952DF6"/>
    <w:rsid w:val="130C6140"/>
    <w:rsid w:val="134645CE"/>
    <w:rsid w:val="15AA1C40"/>
    <w:rsid w:val="175A7638"/>
    <w:rsid w:val="1836136A"/>
    <w:rsid w:val="195F7EBC"/>
    <w:rsid w:val="1A627D5C"/>
    <w:rsid w:val="1B125754"/>
    <w:rsid w:val="1C46724D"/>
    <w:rsid w:val="1EDA2B4A"/>
    <w:rsid w:val="20A0049E"/>
    <w:rsid w:val="21E4370A"/>
    <w:rsid w:val="23AC2FFD"/>
    <w:rsid w:val="269E134D"/>
    <w:rsid w:val="271D2C97"/>
    <w:rsid w:val="293140D5"/>
    <w:rsid w:val="29CF0D5E"/>
    <w:rsid w:val="2CAB7CC5"/>
    <w:rsid w:val="2CF7541B"/>
    <w:rsid w:val="2EAD435F"/>
    <w:rsid w:val="2F2B0C86"/>
    <w:rsid w:val="2F34284F"/>
    <w:rsid w:val="317F3B29"/>
    <w:rsid w:val="319B5F0A"/>
    <w:rsid w:val="31EE517C"/>
    <w:rsid w:val="32A777DC"/>
    <w:rsid w:val="340C0A8D"/>
    <w:rsid w:val="343949EB"/>
    <w:rsid w:val="37934412"/>
    <w:rsid w:val="387A7805"/>
    <w:rsid w:val="39FA584D"/>
    <w:rsid w:val="3A0504C9"/>
    <w:rsid w:val="3A670D93"/>
    <w:rsid w:val="3A6D6FBD"/>
    <w:rsid w:val="3B361E49"/>
    <w:rsid w:val="3C573483"/>
    <w:rsid w:val="3ED529B9"/>
    <w:rsid w:val="3F2D78C6"/>
    <w:rsid w:val="410A496E"/>
    <w:rsid w:val="41146FE8"/>
    <w:rsid w:val="415617C0"/>
    <w:rsid w:val="417E2988"/>
    <w:rsid w:val="41CA0DF1"/>
    <w:rsid w:val="42AB2BD6"/>
    <w:rsid w:val="42E2656E"/>
    <w:rsid w:val="43C2164A"/>
    <w:rsid w:val="43E31A09"/>
    <w:rsid w:val="44167D08"/>
    <w:rsid w:val="44D12FF3"/>
    <w:rsid w:val="451832ED"/>
    <w:rsid w:val="46862F64"/>
    <w:rsid w:val="4ACE6BD0"/>
    <w:rsid w:val="4B4C63D6"/>
    <w:rsid w:val="4BAD2017"/>
    <w:rsid w:val="4C7F4215"/>
    <w:rsid w:val="4D1F7D6E"/>
    <w:rsid w:val="4D2575CC"/>
    <w:rsid w:val="4E4361B3"/>
    <w:rsid w:val="4F1700B8"/>
    <w:rsid w:val="4FA06224"/>
    <w:rsid w:val="4FC374CC"/>
    <w:rsid w:val="500619DA"/>
    <w:rsid w:val="5081012C"/>
    <w:rsid w:val="518B7F68"/>
    <w:rsid w:val="518D6A44"/>
    <w:rsid w:val="51FC6DA4"/>
    <w:rsid w:val="56D35F07"/>
    <w:rsid w:val="570B25AE"/>
    <w:rsid w:val="57117FB5"/>
    <w:rsid w:val="57307DE4"/>
    <w:rsid w:val="57974C8E"/>
    <w:rsid w:val="58162B65"/>
    <w:rsid w:val="58E35061"/>
    <w:rsid w:val="58FC26D7"/>
    <w:rsid w:val="59201E0F"/>
    <w:rsid w:val="59A860E0"/>
    <w:rsid w:val="5A33044A"/>
    <w:rsid w:val="5A3A4E3F"/>
    <w:rsid w:val="5B356BDD"/>
    <w:rsid w:val="5B976FC1"/>
    <w:rsid w:val="5D6D5411"/>
    <w:rsid w:val="5DF53F95"/>
    <w:rsid w:val="5E0448E8"/>
    <w:rsid w:val="5E3877B6"/>
    <w:rsid w:val="5E574FB2"/>
    <w:rsid w:val="5E59788A"/>
    <w:rsid w:val="60095BA6"/>
    <w:rsid w:val="60654544"/>
    <w:rsid w:val="62255007"/>
    <w:rsid w:val="635147E4"/>
    <w:rsid w:val="654F43C0"/>
    <w:rsid w:val="65B53A3E"/>
    <w:rsid w:val="6822110B"/>
    <w:rsid w:val="69182419"/>
    <w:rsid w:val="6976772C"/>
    <w:rsid w:val="69DB74AC"/>
    <w:rsid w:val="6BFA5082"/>
    <w:rsid w:val="6E75472D"/>
    <w:rsid w:val="6E9A7A0A"/>
    <w:rsid w:val="6F4C2AA5"/>
    <w:rsid w:val="70CF12BD"/>
    <w:rsid w:val="71BA61B5"/>
    <w:rsid w:val="71DF3A36"/>
    <w:rsid w:val="71F44ACA"/>
    <w:rsid w:val="723E266C"/>
    <w:rsid w:val="72653CB7"/>
    <w:rsid w:val="73BB2205"/>
    <w:rsid w:val="73F9408B"/>
    <w:rsid w:val="74692B38"/>
    <w:rsid w:val="74BA57F9"/>
    <w:rsid w:val="74C23FF5"/>
    <w:rsid w:val="75611117"/>
    <w:rsid w:val="765B0A6B"/>
    <w:rsid w:val="76CD26D9"/>
    <w:rsid w:val="78BA0E7B"/>
    <w:rsid w:val="7A9C7AB4"/>
    <w:rsid w:val="7B3E7DA0"/>
    <w:rsid w:val="7BA16014"/>
    <w:rsid w:val="7C735456"/>
    <w:rsid w:val="7DC37B21"/>
    <w:rsid w:val="7F081AF1"/>
    <w:rsid w:val="7FCE7BBB"/>
    <w:rsid w:val="7FEB4435"/>
    <w:rsid w:val="B7DBDDC0"/>
    <w:rsid w:val="DFFD102F"/>
    <w:rsid w:val="E28E459A"/>
    <w:rsid w:val="E7F377CA"/>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zh-CN"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link w:val="24"/>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5"/>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26"/>
    <w:autoRedefine/>
    <w:qFormat/>
    <w:uiPriority w:val="0"/>
    <w:rPr>
      <w:sz w:val="18"/>
      <w:szCs w:val="18"/>
    </w:rPr>
  </w:style>
  <w:style w:type="paragraph" w:styleId="13">
    <w:name w:val="footer"/>
    <w:basedOn w:val="1"/>
    <w:link w:val="27"/>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pPr>
      <w:widowControl/>
      <w:spacing w:before="100" w:beforeAutospacing="1" w:after="100" w:afterAutospacing="1"/>
    </w:pPr>
    <w:rPr>
      <w:sz w:val="24"/>
      <w:szCs w:val="24"/>
    </w:rPr>
  </w:style>
  <w:style w:type="paragraph" w:styleId="18">
    <w:name w:val="annotation subject"/>
    <w:basedOn w:val="9"/>
    <w:next w:val="9"/>
    <w:link w:val="29"/>
    <w:autoRedefine/>
    <w:qFormat/>
    <w:uiPriority w:val="0"/>
    <w:rPr>
      <w:b/>
      <w:bCs/>
    </w:rPr>
  </w:style>
  <w:style w:type="table" w:styleId="20">
    <w:name w:val="Table Grid"/>
    <w:basedOn w:val="19"/>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Hyperlink"/>
    <w:autoRedefine/>
    <w:qFormat/>
    <w:uiPriority w:val="0"/>
    <w:rPr>
      <w:color w:val="0000FF"/>
      <w:u w:val="single"/>
    </w:rPr>
  </w:style>
  <w:style w:type="character" w:styleId="23">
    <w:name w:val="annotation reference"/>
    <w:autoRedefine/>
    <w:qFormat/>
    <w:uiPriority w:val="0"/>
    <w:rPr>
      <w:sz w:val="21"/>
      <w:szCs w:val="21"/>
    </w:rPr>
  </w:style>
  <w:style w:type="character" w:customStyle="1" w:styleId="24">
    <w:name w:val="标题 3 字符"/>
    <w:basedOn w:val="21"/>
    <w:link w:val="4"/>
    <w:autoRedefine/>
    <w:qFormat/>
    <w:uiPriority w:val="0"/>
    <w:rPr>
      <w:rFonts w:ascii="宋体" w:hAnsi="宋体" w:cs="宋体"/>
      <w:sz w:val="30"/>
      <w:szCs w:val="30"/>
    </w:rPr>
  </w:style>
  <w:style w:type="character" w:customStyle="1" w:styleId="25">
    <w:name w:val="批注文字 字符"/>
    <w:basedOn w:val="21"/>
    <w:link w:val="9"/>
    <w:autoRedefine/>
    <w:qFormat/>
    <w:uiPriority w:val="0"/>
    <w:rPr>
      <w:rFonts w:ascii="宋体" w:hAnsi="宋体" w:cs="宋体"/>
      <w:sz w:val="22"/>
      <w:szCs w:val="22"/>
    </w:rPr>
  </w:style>
  <w:style w:type="character" w:customStyle="1" w:styleId="26">
    <w:name w:val="批注框文本 字符"/>
    <w:link w:val="12"/>
    <w:autoRedefine/>
    <w:qFormat/>
    <w:uiPriority w:val="0"/>
    <w:rPr>
      <w:rFonts w:hint="default" w:ascii="宋体" w:hAnsi="宋体" w:cs="宋体"/>
      <w:sz w:val="18"/>
      <w:szCs w:val="18"/>
      <w:lang w:eastAsia="en-US"/>
    </w:rPr>
  </w:style>
  <w:style w:type="character" w:customStyle="1" w:styleId="27">
    <w:name w:val="页脚 字符"/>
    <w:link w:val="13"/>
    <w:autoRedefine/>
    <w:qFormat/>
    <w:uiPriority w:val="0"/>
    <w:rPr>
      <w:rFonts w:hint="default" w:ascii="宋体" w:hAnsi="宋体" w:eastAsia="宋体" w:cs="宋体"/>
      <w:sz w:val="18"/>
      <w:szCs w:val="18"/>
    </w:rPr>
  </w:style>
  <w:style w:type="character" w:customStyle="1" w:styleId="28">
    <w:name w:val="页眉 字符"/>
    <w:link w:val="14"/>
    <w:autoRedefine/>
    <w:qFormat/>
    <w:uiPriority w:val="0"/>
    <w:rPr>
      <w:rFonts w:hint="default" w:ascii="宋体" w:hAnsi="宋体" w:eastAsia="宋体" w:cs="宋体"/>
      <w:sz w:val="18"/>
      <w:szCs w:val="18"/>
    </w:rPr>
  </w:style>
  <w:style w:type="character" w:customStyle="1" w:styleId="29">
    <w:name w:val="批注主题 字符"/>
    <w:basedOn w:val="25"/>
    <w:link w:val="18"/>
    <w:autoRedefine/>
    <w:qFormat/>
    <w:uiPriority w:val="0"/>
    <w:rPr>
      <w:rFonts w:ascii="宋体" w:hAnsi="宋体" w:cs="宋体"/>
      <w:b/>
      <w:bCs/>
      <w:sz w:val="22"/>
      <w:szCs w:val="22"/>
    </w:rPr>
  </w:style>
  <w:style w:type="table" w:customStyle="1" w:styleId="30">
    <w:name w:val="Table Normal"/>
    <w:autoRedefine/>
    <w:qFormat/>
    <w:uiPriority w:val="0"/>
    <w:tblPr>
      <w:tblCellMar>
        <w:top w:w="0" w:type="dxa"/>
        <w:left w:w="0" w:type="dxa"/>
        <w:bottom w:w="0" w:type="dxa"/>
        <w:right w:w="0" w:type="dxa"/>
      </w:tblCellMar>
    </w:tblPr>
  </w:style>
  <w:style w:type="paragraph" w:customStyle="1" w:styleId="31">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32">
    <w:name w:val="Table Paragraph"/>
    <w:basedOn w:val="1"/>
    <w:autoRedefine/>
    <w:qFormat/>
    <w:uiPriority w:val="0"/>
  </w:style>
  <w:style w:type="character" w:customStyle="1" w:styleId="33">
    <w:name w:val="font21"/>
    <w:autoRedefine/>
    <w:qFormat/>
    <w:uiPriority w:val="0"/>
    <w:rPr>
      <w:rFonts w:hint="default" w:ascii="font-weight : 400" w:hAnsi="font-weight : 400" w:eastAsia="font-weight : 400" w:cs="font-weight : 400"/>
      <w:color w:val="FF0000"/>
      <w:sz w:val="22"/>
      <w:szCs w:val="22"/>
      <w:u w:val="none"/>
    </w:rPr>
  </w:style>
  <w:style w:type="character" w:customStyle="1" w:styleId="34">
    <w:name w:val="font01"/>
    <w:autoRedefine/>
    <w:qFormat/>
    <w:uiPriority w:val="0"/>
    <w:rPr>
      <w:rFonts w:hint="default" w:ascii="font-weight : 400" w:hAnsi="font-weight : 400" w:eastAsia="font-weight : 400" w:cs="font-weight : 400"/>
      <w:color w:val="000000"/>
      <w:sz w:val="22"/>
      <w:szCs w:val="22"/>
      <w:u w:val="none"/>
    </w:rPr>
  </w:style>
  <w:style w:type="character" w:customStyle="1" w:styleId="35">
    <w:name w:val="font11"/>
    <w:autoRedefine/>
    <w:qFormat/>
    <w:uiPriority w:val="0"/>
    <w:rPr>
      <w:rFonts w:hint="eastAsia" w:ascii="宋体" w:hAnsi="宋体" w:eastAsia="宋体" w:cs="宋体"/>
      <w:color w:val="FF0000"/>
      <w:sz w:val="22"/>
      <w:szCs w:val="22"/>
      <w:u w:val="none"/>
    </w:rPr>
  </w:style>
  <w:style w:type="paragraph" w:customStyle="1" w:styleId="36">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7">
    <w:name w:val="List Paragraph"/>
    <w:basedOn w:val="1"/>
    <w:autoRedefine/>
    <w:qFormat/>
    <w:uiPriority w:val="0"/>
    <w:pPr>
      <w:ind w:firstLine="420" w:firstLineChars="200"/>
    </w:pPr>
  </w:style>
  <w:style w:type="table" w:customStyle="1" w:styleId="38">
    <w:name w:val="网格型浅色11"/>
    <w:basedOn w:val="19"/>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39">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0">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1">
    <w:name w:val="正文1"/>
    <w:autoRedefine/>
    <w:qFormat/>
    <w:uiPriority w:val="0"/>
    <w:rPr>
      <w:rFonts w:ascii="Times New Roman" w:hAnsi="Times New Roman" w:eastAsia="宋体" w:cs="Times New Roman"/>
      <w:sz w:val="24"/>
      <w:szCs w:val="24"/>
      <w:lang w:val="en-US" w:eastAsia="zh-CN" w:bidi="ar-SA"/>
    </w:rPr>
  </w:style>
  <w:style w:type="paragraph" w:customStyle="1" w:styleId="42">
    <w:name w:val="普通(网站)2"/>
    <w:autoRedefine/>
    <w:qFormat/>
    <w:uiPriority w:val="0"/>
    <w:rPr>
      <w:rFonts w:ascii="Times New Roman" w:hAnsi="Times New Roman" w:eastAsia="宋体" w:cs="Times New Roman"/>
      <w:sz w:val="24"/>
      <w:szCs w:val="24"/>
      <w:lang w:val="en-US" w:eastAsia="zh-CN" w:bidi="ar-SA"/>
    </w:rPr>
  </w:style>
  <w:style w:type="character" w:customStyle="1" w:styleId="43">
    <w:name w:val="fontstyle01"/>
    <w:autoRedefine/>
    <w:qFormat/>
    <w:uiPriority w:val="0"/>
    <w:rPr>
      <w:rFonts w:hint="default" w:ascii="DINPro-Regular" w:hAnsi="DINPro-Regular"/>
      <w:color w:val="404040"/>
      <w:sz w:val="20"/>
      <w:szCs w:val="20"/>
    </w:rPr>
  </w:style>
  <w:style w:type="character" w:customStyle="1" w:styleId="44">
    <w:name w:val="fontstyle21"/>
    <w:autoRedefine/>
    <w:qFormat/>
    <w:uiPriority w:val="0"/>
    <w:rPr>
      <w:rFonts w:hint="default" w:ascii="FZLTXHJW--GB1-0" w:hAnsi="FZLTXHJW--GB1-0"/>
      <w:color w:val="404040"/>
      <w:sz w:val="18"/>
      <w:szCs w:val="18"/>
    </w:rPr>
  </w:style>
  <w:style w:type="paragraph" w:customStyle="1" w:styleId="45">
    <w:name w:val="修订1"/>
    <w:autoRedefine/>
    <w:hidden/>
    <w:semiHidden/>
    <w:qFormat/>
    <w:uiPriority w:val="99"/>
    <w:rPr>
      <w:rFonts w:ascii="宋体" w:hAnsi="宋体" w:eastAsia="宋体" w:cs="宋体"/>
      <w:sz w:val="22"/>
      <w:szCs w:val="22"/>
      <w:lang w:val="en-US" w:eastAsia="zh-CN" w:bidi="ar-SA"/>
    </w:rPr>
  </w:style>
  <w:style w:type="table" w:customStyle="1" w:styleId="46">
    <w:name w:val="网格表 4 - 着色 1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7">
    <w:name w:val="网格表 4 - 着色 12"/>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48">
    <w:name w:val="样式1"/>
    <w:basedOn w:val="10"/>
    <w:autoRedefine/>
    <w:qFormat/>
    <w:uiPriority w:val="1"/>
    <w:pPr>
      <w:spacing w:line="276" w:lineRule="auto"/>
    </w:pPr>
    <w:rPr>
      <w:rFonts w:ascii="Times New Roman" w:hAnsi="Times New Roman" w:eastAsia="微软雅黑" w:cs="Times New Roman"/>
      <w:b/>
      <w:color w:val="45A3A7"/>
      <w:sz w:val="24"/>
      <w:szCs w:val="24"/>
    </w:rPr>
  </w:style>
  <w:style w:type="paragraph" w:customStyle="1" w:styleId="49">
    <w:name w:val="p1"/>
    <w:basedOn w:val="1"/>
    <w:qFormat/>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 w:type="character" w:customStyle="1" w:styleId="50">
    <w:name w:val="font41"/>
    <w:basedOn w:val="21"/>
    <w:qFormat/>
    <w:uiPriority w:val="0"/>
    <w:rPr>
      <w:rFonts w:ascii="宋体" w:hAnsi="宋体" w:eastAsia="宋体" w:cs="宋体"/>
      <w:b/>
      <w:bCs/>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apple\Library\Containers\com.kingsoft.wpsoffice.mac\Data\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35</Pages>
  <Words>2741</Words>
  <Characters>8277</Characters>
  <Lines>436</Lines>
  <Paragraphs>122</Paragraphs>
  <TotalTime>0</TotalTime>
  <ScaleCrop>false</ScaleCrop>
  <LinksUpToDate>false</LinksUpToDate>
  <CharactersWithSpaces>9164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2021-06-30T18:32:00Z</dcterms:created>
  <dc:creator>Administrator</dc:creator>
  <cp:lastModifiedBy>yolo</cp:lastModifiedBy>
  <dcterms:modified xsi:type="dcterms:W3CDTF">2025-11-28T02:37:13Z</dcterms:modified>
  <cp:revision>111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D8067B79DB7549E69B5AB4B4C10E9CA6_13</vt:lpwstr>
  </property>
  <property fmtid="{D5CDD505-2E9C-101B-9397-08002B2CF9AE}" pid="4" name="KSOTemplateDocerSaveRecord">
    <vt:lpwstr>eyJoZGlkIjoiNzhjODRmNWJhZTVkNTI1OGI2YWZlNjVkNDIwMWYwMDkiLCJ1c2VySWQiOiIzMTAxODgzOTQifQ==</vt:lpwstr>
  </property>
</Properties>
</file>