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52"/>
          <w:szCs w:val="52"/>
          <w:lang w:eastAsia="zh-CN"/>
        </w:rPr>
      </w:pPr>
      <w:r>
        <w:rPr>
          <w:rFonts w:hint="eastAsia" w:ascii="黑体" w:hAnsi="黑体" w:eastAsia="黑体" w:cs="黑体"/>
          <w:b/>
          <w:bCs/>
          <w:spacing w:val="23"/>
          <w:sz w:val="52"/>
          <w:szCs w:val="52"/>
          <w:lang w:val="en-US" w:eastAsia="zh-CN"/>
        </w:rPr>
        <w:t>肿瘤个性化诊疗指导</w:t>
      </w:r>
    </w:p>
    <w:p>
      <w:pPr>
        <w:jc w:val="right"/>
        <w:rPr>
          <w:rFonts w:hint="eastAsia" w:ascii="黑体" w:hAnsi="黑体" w:eastAsia="黑体" w:cs="黑体"/>
          <w:b/>
          <w:bCs/>
          <w:spacing w:val="23"/>
          <w:sz w:val="52"/>
          <w:szCs w:val="52"/>
        </w:rPr>
      </w:pPr>
      <w:r>
        <w:rPr>
          <w:rFonts w:hint="eastAsia" w:ascii="黑体" w:hAnsi="黑体" w:eastAsia="黑体" w:cs="黑体"/>
          <w:b/>
          <w:bCs/>
          <w:spacing w:val="23"/>
          <w:sz w:val="52"/>
          <w:szCs w:val="52"/>
          <w:lang w:val="en-US" w:eastAsia="zh-Hans"/>
        </w:rPr>
        <w:t>中国人群BRCA1/2基因分子分型研究</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6432"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_Toc7822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_Toc7822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_Toc19107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_Toc19107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_Toc3638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_Toc3638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_Toc20022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检测</w:t>
          </w:r>
          <w:r>
            <w:rPr>
              <w:rFonts w:hint="eastAsia" w:ascii="宋体" w:hAnsi="宋体" w:eastAsia="宋体" w:cs="宋体"/>
              <w:b/>
              <w:bCs/>
              <w:color w:val="005FBF"/>
              <w:spacing w:val="23"/>
              <w:sz w:val="28"/>
              <w:szCs w:val="28"/>
              <w:lang w:val="en-US" w:eastAsia="zh-Hans"/>
            </w:rPr>
            <w:t>方法介绍</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_Toc20022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_Toc1920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_Toc1920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4</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_Toc25461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_Toc25461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_Toc7433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靶向药物用药提示</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_Toc7433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_Toc6437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_Toc6437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8</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_Toc14009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_Toc14009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8</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bookmarkStart w:id="115" w:name="_GoBack"/>
          <w:bookmarkEnd w:id="115"/>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_Toc17144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_Toc17144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12</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_Toc24378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_Toc24378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12</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_Toc14248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BRCA1&amp;BRCA2基因背景介绍</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_Toc14248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_Toc5677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易感人群特征</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_Toc5677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14</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_Toc13532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_Toc13532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231F20"/>
          <w:spacing w:val="20"/>
          <w:kern w:val="2"/>
          <w:sz w:val="36"/>
          <w:szCs w:val="36"/>
          <w:lang w:val="en-US" w:eastAsia="zh-CN"/>
        </w:rPr>
      </w:pPr>
      <w:bookmarkStart w:id="0" w:name="_Toc24397"/>
      <w:bookmarkStart w:id="1" w:name="_Toc27500"/>
      <w:bookmarkStart w:id="2" w:name="_Toc32054"/>
      <w:bookmarkStart w:id="3" w:name="_Toc21009_WPSOffice_Level1"/>
      <w:bookmarkStart w:id="4" w:name="_Toc21669"/>
      <w:bookmarkStart w:id="5" w:name="_Toc30143_WPSOffice_Level1"/>
      <w:bookmarkStart w:id="6" w:name="_Toc24178_WPSOffice_Level1"/>
      <w:bookmarkStart w:id="7" w:name="_Toc13806"/>
      <w:r>
        <w:rPr>
          <w:rFonts w:hint="eastAsia" w:ascii="黑体" w:hAnsi="黑体" w:eastAsia="黑体" w:cs="黑体"/>
          <w:b/>
          <w:bCs/>
          <w:color w:val="231F20"/>
          <w:spacing w:val="20"/>
          <w:kern w:val="2"/>
          <w:sz w:val="36"/>
          <w:szCs w:val="36"/>
          <w:lang w:val="en-US" w:eastAsia="zh-CN"/>
        </w:rPr>
        <w:t>检测报告小结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r>
        <w:rPr>
          <w:rFonts w:hint="eastAsia" w:cs="宋体"/>
          <w:b/>
          <w:bCs/>
          <w:spacing w:val="20"/>
          <w:kern w:val="2"/>
          <w:sz w:val="24"/>
          <w:szCs w:val="24"/>
          <w:lang w:val="en-US" w:eastAsia="zh-Hans"/>
        </w:rPr>
        <w:t>一、样本信息</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cs="宋体"/>
          <w:b/>
          <w:bCs/>
          <w:spacing w:val="20"/>
          <w:kern w:val="2"/>
          <w:sz w:val="24"/>
          <w:szCs w:val="24"/>
          <w:lang w:val="en-US" w:eastAsia="zh-Hans"/>
        </w:rPr>
      </w:pPr>
      <w:r>
        <w:rPr>
          <w:rFonts w:hint="eastAsia" w:cs="宋体"/>
          <w:b/>
          <w:bCs/>
          <w:spacing w:val="20"/>
          <w:kern w:val="2"/>
          <w:sz w:val="24"/>
          <w:szCs w:val="24"/>
          <w:lang w:val="en-US" w:eastAsia="zh-Hans"/>
        </w:rPr>
        <w:t>二、检测项目及结果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spacing w:val="20"/>
          <w:kern w:val="2"/>
          <w:sz w:val="21"/>
          <w:szCs w:val="21"/>
          <w:lang w:val="en-US" w:eastAsia="zh-Hans"/>
        </w:rPr>
      </w:pPr>
      <w:r>
        <w:rPr>
          <w:rFonts w:hint="default" w:ascii="宋体" w:hAnsi="宋体" w:eastAsia="宋体" w:cs="宋体"/>
          <w:spacing w:val="20"/>
          <w:kern w:val="2"/>
          <w:sz w:val="21"/>
          <w:szCs w:val="21"/>
          <w:lang w:val="en-US" w:eastAsia="zh-Hans"/>
        </w:rPr>
        <w:t>检测BRCA1/BRCA2基因外显子编码区及外显子与内含子交界区+/-20bp区域，评估遗传性癌症风险及PARP抑制剂(如奥拉帕利、尼拉帕利、Rucaparib)的疗效。</w:t>
      </w:r>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181"/>
        <w:gridCol w:w="1238"/>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18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23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18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23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8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3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宋体"/>
          <w:b/>
          <w:bCs/>
          <w:spacing w:val="20"/>
          <w:kern w:val="2"/>
          <w:sz w:val="24"/>
          <w:szCs w:val="24"/>
          <w:lang w:val="en-US" w:eastAsia="zh-Hans"/>
        </w:rPr>
      </w:pPr>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8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2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靶向用药指导</w:t>
            </w:r>
          </w:p>
        </w:tc>
        <w:tc>
          <w:tcPr>
            <w:tcW w:w="80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spacing w:val="11"/>
                <w:kern w:val="2"/>
                <w:sz w:val="21"/>
                <w:szCs w:val="21"/>
                <w:lang w:val="en-US" w:eastAsia="zh-Hans"/>
              </w:rPr>
            </w:pPr>
            <w:r>
              <w:rPr>
                <w:rFonts w:hint="eastAsia" w:ascii="宋体" w:hAnsi="宋体" w:eastAsia="宋体" w:cs="宋体"/>
                <w:b w:val="0"/>
                <w:bCs w:val="0"/>
                <w:spacing w:val="11"/>
                <w:kern w:val="2"/>
                <w:sz w:val="21"/>
                <w:szCs w:val="21"/>
                <w:lang w:val="en-US" w:eastAsia="zh-Hans"/>
              </w:rPr>
              <w:t>共检出{{ summaryOfRresults.thisGeneticmarkerVwListSize }}个变异位点，其中{{ summaryOfRresults.somaticCellMedicationNum}}个与靶向药物相关{{bodyDrugStr}}</w:t>
            </w:r>
          </w:p>
        </w:tc>
      </w:tr>
    </w:tbl>
    <w:p>
      <w:pPr>
        <w:rPr>
          <w:rFonts w:hint="eastAsia" w:ascii="宋体" w:hAnsi="宋体" w:eastAsia="宋体" w:cs="宋体"/>
          <w:b/>
          <w:bCs/>
          <w:spacing w:val="20"/>
          <w:kern w:val="2"/>
          <w:sz w:val="24"/>
          <w:szCs w:val="24"/>
          <w:lang w:val="en-US" w:eastAsia="zh-CN"/>
        </w:rPr>
      </w:pPr>
      <w:r>
        <w:rPr>
          <w:rFonts w:hint="eastAsia" w:ascii="宋体" w:hAnsi="宋体" w:eastAsia="宋体" w:cs="宋体"/>
          <w:b/>
          <w:bCs/>
          <w:spacing w:val="20"/>
          <w:kern w:val="2"/>
          <w:sz w:val="24"/>
          <w:szCs w:val="24"/>
          <w:lang w:val="en-US"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7822"/>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2551"/>
        <w:gridCol w:w="2551"/>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姓名</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client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年龄</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age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性别</w:t>
            </w:r>
            <w:r>
              <w:rPr>
                <w:rFonts w:hint="eastAsia" w:ascii="宋体" w:hAnsi="宋体" w:eastAsia="宋体" w:cs="宋体"/>
                <w:spacing w:val="11"/>
                <w:kern w:val="2"/>
                <w:sz w:val="21"/>
                <w:szCs w:val="21"/>
                <w:lang w:val="en-US" w:eastAsia="zh-Hans"/>
              </w:rPr>
              <w:t>：</w:t>
            </w:r>
            <w:r>
              <w:rPr>
                <w:rFonts w:hint="eastAsia" w:ascii="宋体" w:hAnsi="宋体" w:eastAsia="宋体" w:cs="宋体"/>
                <w:bCs/>
                <w:color w:val="000000"/>
                <w:sz w:val="21"/>
                <w:szCs w:val="21"/>
                <w:lang w:eastAsia="zh-CN"/>
              </w:rPr>
              <w:t>{{ sex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条形码：</w:t>
            </w: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highlight w:val="none"/>
                <w:lang w:val="en-US" w:eastAsia="zh-Hans"/>
              </w:rPr>
              <w:t>病理号</w:t>
            </w:r>
            <w:r>
              <w:rPr>
                <w:rFonts w:hint="default" w:ascii="宋体" w:hAnsi="宋体" w:eastAsia="宋体" w:cs="宋体"/>
                <w:spacing w:val="11"/>
                <w:kern w:val="2"/>
                <w:sz w:val="21"/>
                <w:szCs w:val="21"/>
                <w:highlight w:val="none"/>
                <w:lang w:eastAsia="zh-Hans"/>
              </w:rPr>
              <w:t>/</w:t>
            </w:r>
            <w:r>
              <w:rPr>
                <w:rFonts w:hint="eastAsia" w:ascii="宋体" w:hAnsi="宋体" w:eastAsia="宋体" w:cs="宋体"/>
                <w:spacing w:val="11"/>
                <w:kern w:val="2"/>
                <w:sz w:val="21"/>
                <w:szCs w:val="21"/>
                <w:highlight w:val="none"/>
                <w:lang w:val="en-US" w:eastAsia="zh-Hans"/>
              </w:rPr>
              <w:t>住院号：</w:t>
            </w: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 xml:space="preserve">room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endif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样本类型：</w:t>
            </w:r>
            <w:r>
              <w:rPr>
                <w:rFonts w:hint="eastAsia" w:ascii="宋体" w:hAnsi="宋体" w:eastAsia="宋体" w:cs="宋体"/>
                <w:color w:val="000000"/>
                <w:sz w:val="21"/>
                <w:szCs w:val="21"/>
                <w:lang w:eastAsia="zh-CN"/>
              </w:rPr>
              <w:t>{{ specimentype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接收日期：</w:t>
            </w: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报告日期：</w:t>
            </w:r>
            <w:r>
              <w:rPr>
                <w:rFonts w:hint="eastAsia" w:ascii="宋体" w:hAnsi="宋体" w:eastAsia="宋体" w:cs="宋体"/>
                <w:b w:val="0"/>
                <w:bCs w:val="0"/>
                <w:spacing w:val="6"/>
                <w:kern w:val="2"/>
                <w:sz w:val="21"/>
                <w:szCs w:val="21"/>
                <w:lang w:eastAsia="zh-CN"/>
              </w:rPr>
              <w:t>{{ reportdate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临床诊断：</w:t>
            </w:r>
            <w:r>
              <w:rPr>
                <w:rFonts w:hint="eastAsia" w:ascii="宋体" w:hAnsi="宋体" w:eastAsia="宋体" w:cs="宋体"/>
                <w:bCs/>
                <w:color w:val="000000"/>
                <w:sz w:val="21"/>
                <w:szCs w:val="21"/>
                <w:lang w:eastAsia="zh-CN"/>
              </w:rPr>
              <w:t>{{ diseaseName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送检单位：</w:t>
            </w:r>
            <w:r>
              <w:rPr>
                <w:rFonts w:hint="eastAsia" w:ascii="宋体" w:hAnsi="宋体" w:eastAsia="宋体" w:cs="宋体"/>
                <w:bCs/>
                <w:color w:val="000000"/>
                <w:sz w:val="21"/>
                <w:szCs w:val="21"/>
                <w:lang w:eastAsia="zh-CN"/>
              </w:rPr>
              <w:t>{{ hospital }}</w:t>
            </w:r>
          </w:p>
        </w:tc>
        <w:tc>
          <w:tcPr>
            <w:tcW w:w="2551"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送检医生：{{ doctorname }}</w:t>
            </w:r>
          </w:p>
        </w:tc>
        <w:tc>
          <w:tcPr>
            <w:tcW w:w="2552"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备注：</w:t>
            </w:r>
            <w:r>
              <w:rPr>
                <w:rFonts w:hint="eastAsia" w:cs="宋体"/>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510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项目名称：中国人群BRCA1/2基因分子分型研究</w:t>
            </w:r>
          </w:p>
        </w:tc>
        <w:tc>
          <w:tcPr>
            <w:tcW w:w="510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ind w:left="66" w:leftChars="30"/>
              <w:jc w:val="both"/>
              <w:textAlignment w:val="auto"/>
              <w:rPr>
                <w:rFonts w:hint="default"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检测技术：目标区域捕获</w:t>
            </w:r>
            <w:r>
              <w:rPr>
                <w:rFonts w:hint="default" w:ascii="宋体" w:hAnsi="宋体" w:eastAsia="宋体" w:cs="宋体"/>
                <w:spacing w:val="11"/>
                <w:kern w:val="2"/>
                <w:sz w:val="21"/>
                <w:szCs w:val="21"/>
                <w:lang w:eastAsia="zh-Hans"/>
              </w:rPr>
              <w:t>+</w:t>
            </w:r>
            <w:r>
              <w:rPr>
                <w:rFonts w:hint="eastAsia" w:ascii="宋体" w:hAnsi="宋体" w:eastAsia="宋体" w:cs="宋体"/>
                <w:spacing w:val="11"/>
                <w:kern w:val="2"/>
                <w:sz w:val="21"/>
                <w:szCs w:val="21"/>
                <w:lang w:val="en-US" w:eastAsia="zh-Hans"/>
              </w:rPr>
              <w:t>高通量测序</w:t>
            </w:r>
          </w:p>
        </w:tc>
      </w:tr>
    </w:tbl>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7021_WPSOffice_Level1"/>
      <w:bookmarkStart w:id="10" w:name="_Toc18062_WPSOffice_Level1"/>
      <w:bookmarkStart w:id="11" w:name="_Toc11015_WPSOffice_Level1"/>
      <w:bookmarkStart w:id="12" w:name="_Toc19594"/>
      <w:bookmarkStart w:id="13" w:name="_Toc17451"/>
      <w:bookmarkStart w:id="14" w:name="_Toc11465"/>
      <w:bookmarkStart w:id="15" w:name="_Toc10518"/>
      <w:bookmarkStart w:id="16" w:name="_Toc19107"/>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bookmarkStart w:id="18" w:name="_Toc534807930"/>
      <w:r>
        <w:rPr>
          <w:rFonts w:hint="eastAsia" w:ascii="宋体" w:hAnsi="宋体" w:eastAsia="宋体" w:cs="宋体"/>
          <w:spacing w:val="20"/>
          <w:kern w:val="2"/>
          <w:sz w:val="21"/>
          <w:szCs w:val="21"/>
          <w:lang w:val="en-US" w:eastAsia="zh-CN"/>
        </w:rPr>
        <w:t>检测BRCA1/BRCA2基因外显子编码区及外显子与内含子交界区+/-20bp区域，评估遗传性癌症风险及PARP抑制剂(如奥拉帕利、尼拉帕利、Rucaparib)的疗效。</w:t>
      </w:r>
    </w:p>
    <w:p>
      <w:pPr>
        <w:bidi w:val="0"/>
        <w:rPr>
          <w:lang w:eastAsia="zh-CN"/>
        </w:rPr>
      </w:pP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3638"/>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1747"/>
        <w:gridCol w:w="5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项目名称</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检测方法</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400" w:type="dxa"/>
            <w:vAlign w:val="center"/>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val="0"/>
                <w:spacing w:val="11"/>
                <w:kern w:val="2"/>
                <w:sz w:val="21"/>
                <w:szCs w:val="21"/>
                <w:lang w:val="en-US" w:eastAsia="zh-CN"/>
              </w:rPr>
            </w:pPr>
            <w:r>
              <w:rPr>
                <w:rFonts w:hint="eastAsia" w:ascii="宋体" w:hAnsi="宋体" w:eastAsia="宋体" w:cs="宋体"/>
                <w:spacing w:val="20"/>
                <w:kern w:val="2"/>
                <w:sz w:val="21"/>
                <w:szCs w:val="21"/>
                <w:lang w:val="en-US" w:eastAsia="zh-CN"/>
              </w:rPr>
              <w:t>中国人群BRCA1/2基因分子分型研究</w:t>
            </w:r>
          </w:p>
        </w:tc>
        <w:tc>
          <w:tcPr>
            <w:tcW w:w="174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NGS</w:t>
            </w:r>
          </w:p>
        </w:tc>
        <w:tc>
          <w:tcPr>
            <w:tcW w:w="5058"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center"/>
              <w:textAlignment w:val="auto"/>
              <w:rPr>
                <w:rFonts w:hint="eastAsia" w:ascii="宋体" w:hAnsi="宋体" w:eastAsia="宋体" w:cs="宋体"/>
                <w:b w:val="0"/>
                <w:bCs w:val="0"/>
                <w:spacing w:val="11"/>
                <w:kern w:val="2"/>
                <w:sz w:val="21"/>
                <w:szCs w:val="21"/>
                <w:lang w:val="en-US" w:eastAsia="zh-Hans"/>
              </w:rPr>
            </w:pPr>
            <w:r>
              <w:rPr>
                <w:rFonts w:hint="eastAsia" w:cs="宋体"/>
                <w:b w:val="0"/>
                <w:bCs w:val="0"/>
                <w:spacing w:val="11"/>
                <w:kern w:val="2"/>
                <w:sz w:val="21"/>
                <w:szCs w:val="21"/>
                <w:lang w:val="en-US" w:eastAsia="zh-Hans"/>
              </w:rPr>
              <w:t>评估PARP抑制剂(如奥拉帕利、尼拉帕利、Rucaparib)的疗效以及遗传性癌症风险</w:t>
            </w:r>
          </w:p>
        </w:tc>
      </w:tr>
    </w:tbl>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default" w:ascii="宋体" w:hAnsi="宋体" w:eastAsia="宋体" w:cs="宋体"/>
          <w:b/>
          <w:bCs/>
          <w:spacing w:val="20"/>
          <w:kern w:val="2"/>
          <w:sz w:val="24"/>
          <w:szCs w:val="24"/>
          <w:lang w:val="en-US" w:eastAsia="zh-Hans"/>
        </w:rPr>
      </w:pPr>
      <w:bookmarkStart w:id="20" w:name="_Toc20022"/>
      <w:r>
        <w:rPr>
          <w:rFonts w:hint="eastAsia" w:ascii="宋体" w:hAnsi="宋体" w:eastAsia="宋体" w:cs="宋体"/>
          <w:b/>
          <w:bCs/>
          <w:spacing w:val="20"/>
          <w:kern w:val="2"/>
          <w:sz w:val="24"/>
          <w:szCs w:val="24"/>
          <w:lang w:val="en-US" w:eastAsia="zh-CN"/>
        </w:rPr>
        <w:t>检测</w:t>
      </w:r>
      <w:r>
        <w:rPr>
          <w:rFonts w:hint="eastAsia" w:ascii="宋体" w:hAnsi="宋体" w:eastAsia="宋体" w:cs="宋体"/>
          <w:b/>
          <w:bCs/>
          <w:spacing w:val="20"/>
          <w:kern w:val="2"/>
          <w:sz w:val="24"/>
          <w:szCs w:val="24"/>
          <w:lang w:val="en-US" w:eastAsia="zh-Hans"/>
        </w:rPr>
        <w:t>方法介绍</w:t>
      </w:r>
      <w:bookmarkEnd w:id="2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 xml:space="preserve">NGS </w:t>
      </w:r>
      <w:r>
        <w:rPr>
          <w:rFonts w:hint="eastAsia" w:ascii="宋体" w:hAnsi="宋体" w:eastAsia="宋体" w:cs="宋体"/>
          <w:spacing w:val="20"/>
          <w:kern w:val="2"/>
          <w:sz w:val="21"/>
          <w:szCs w:val="21"/>
          <w:lang w:val="en-US" w:eastAsia="zh-CN"/>
        </w:rPr>
        <w:t>又称大规模平行测序(</w:t>
      </w:r>
      <w:r>
        <w:rPr>
          <w:rFonts w:hint="default" w:ascii="宋体" w:hAnsi="宋体" w:eastAsia="宋体" w:cs="宋体"/>
          <w:spacing w:val="20"/>
          <w:kern w:val="2"/>
          <w:sz w:val="21"/>
          <w:szCs w:val="21"/>
          <w:lang w:val="en-US" w:eastAsia="zh-CN"/>
        </w:rPr>
        <w:t>MPS</w:t>
      </w:r>
      <w:r>
        <w:rPr>
          <w:rFonts w:hint="eastAsia" w:ascii="宋体" w:hAnsi="宋体" w:eastAsia="宋体" w:cs="宋体"/>
          <w:spacing w:val="20"/>
          <w:kern w:val="2"/>
          <w:sz w:val="21"/>
          <w:szCs w:val="21"/>
          <w:lang w:val="en-US" w:eastAsia="zh-CN"/>
        </w:rPr>
        <w:t>)，包含多种可以一次性产生大量数字化基因序列的测序技术，是继</w:t>
      </w:r>
      <w:r>
        <w:rPr>
          <w:rFonts w:hint="default" w:ascii="宋体" w:hAnsi="宋体" w:eastAsia="宋体" w:cs="宋体"/>
          <w:spacing w:val="20"/>
          <w:kern w:val="2"/>
          <w:sz w:val="21"/>
          <w:szCs w:val="21"/>
          <w:lang w:val="en-US" w:eastAsia="zh-CN"/>
        </w:rPr>
        <w:t>Sanger</w:t>
      </w:r>
      <w:r>
        <w:rPr>
          <w:rFonts w:hint="eastAsia" w:ascii="宋体" w:hAnsi="宋体" w:eastAsia="宋体" w:cs="宋体"/>
          <w:spacing w:val="20"/>
          <w:kern w:val="2"/>
          <w:sz w:val="21"/>
          <w:szCs w:val="21"/>
          <w:lang w:val="en-US" w:eastAsia="zh-CN"/>
        </w:rPr>
        <w:t xml:space="preserve">测序的革命性进步，采用平行测序的理念，能够同时对上百万甚至数十亿个 </w:t>
      </w:r>
      <w:r>
        <w:rPr>
          <w:rFonts w:hint="default" w:ascii="宋体" w:hAnsi="宋体" w:eastAsia="宋体" w:cs="宋体"/>
          <w:spacing w:val="20"/>
          <w:kern w:val="2"/>
          <w:sz w:val="21"/>
          <w:szCs w:val="21"/>
          <w:lang w:val="en-US" w:eastAsia="zh-CN"/>
        </w:rPr>
        <w:t xml:space="preserve">DNA </w:t>
      </w:r>
      <w:r>
        <w:rPr>
          <w:rFonts w:hint="eastAsia" w:ascii="宋体" w:hAnsi="宋体" w:eastAsia="宋体" w:cs="宋体"/>
          <w:spacing w:val="20"/>
          <w:kern w:val="2"/>
          <w:sz w:val="21"/>
          <w:szCs w:val="21"/>
          <w:lang w:val="en-US" w:eastAsia="zh-CN"/>
        </w:rPr>
        <w:t>分子进行测序，实现了大规模、高通量测序的目标。不同厂家的产品测序原理不同，主要分为边合成边测序(</w:t>
      </w:r>
      <w:r>
        <w:rPr>
          <w:rFonts w:hint="default" w:ascii="宋体" w:hAnsi="宋体" w:eastAsia="宋体" w:cs="宋体"/>
          <w:spacing w:val="20"/>
          <w:kern w:val="2"/>
          <w:sz w:val="21"/>
          <w:szCs w:val="21"/>
          <w:lang w:val="en-US" w:eastAsia="zh-CN"/>
        </w:rPr>
        <w:t>Sequencing by synthesis</w:t>
      </w:r>
      <w:r>
        <w:rPr>
          <w:rFonts w:hint="eastAsia" w:ascii="宋体" w:hAnsi="宋体" w:eastAsia="宋体" w:cs="宋体"/>
          <w:spacing w:val="20"/>
          <w:kern w:val="2"/>
          <w:sz w:val="21"/>
          <w:szCs w:val="21"/>
          <w:lang w:val="en-US" w:eastAsia="zh-CN"/>
        </w:rPr>
        <w:t>，</w:t>
      </w:r>
      <w:r>
        <w:rPr>
          <w:rFonts w:hint="default" w:ascii="宋体" w:hAnsi="宋体" w:eastAsia="宋体" w:cs="宋体"/>
          <w:spacing w:val="20"/>
          <w:kern w:val="2"/>
          <w:sz w:val="21"/>
          <w:szCs w:val="21"/>
          <w:lang w:val="en-US" w:eastAsia="zh-CN"/>
        </w:rPr>
        <w:t>SBS</w:t>
      </w:r>
      <w:r>
        <w:rPr>
          <w:rFonts w:hint="eastAsia" w:ascii="宋体" w:hAnsi="宋体" w:eastAsia="宋体" w:cs="宋体"/>
          <w:spacing w:val="20"/>
          <w:kern w:val="2"/>
          <w:sz w:val="21"/>
          <w:szCs w:val="21"/>
          <w:lang w:val="en-US" w:eastAsia="zh-CN"/>
        </w:rPr>
        <w:t>) 、基于</w:t>
      </w:r>
      <w:r>
        <w:rPr>
          <w:rFonts w:hint="default" w:ascii="宋体" w:hAnsi="宋体" w:eastAsia="宋体" w:cs="宋体"/>
          <w:spacing w:val="20"/>
          <w:kern w:val="2"/>
          <w:sz w:val="21"/>
          <w:szCs w:val="21"/>
          <w:lang w:val="en-US" w:eastAsia="zh-CN"/>
        </w:rPr>
        <w:t>“DNA</w:t>
      </w:r>
      <w:r>
        <w:rPr>
          <w:rFonts w:hint="eastAsia" w:ascii="宋体" w:hAnsi="宋体" w:eastAsia="宋体" w:cs="宋体"/>
          <w:spacing w:val="20"/>
          <w:kern w:val="2"/>
          <w:sz w:val="21"/>
          <w:szCs w:val="21"/>
          <w:lang w:val="en-US" w:eastAsia="zh-CN"/>
        </w:rPr>
        <w:t>簇</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和</w:t>
      </w: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可逆性末端终结(</w:t>
      </w:r>
      <w:r>
        <w:rPr>
          <w:rFonts w:hint="default" w:ascii="宋体" w:hAnsi="宋体" w:eastAsia="宋体" w:cs="宋体"/>
          <w:spacing w:val="20"/>
          <w:kern w:val="2"/>
          <w:sz w:val="21"/>
          <w:szCs w:val="21"/>
          <w:lang w:val="en-US" w:eastAsia="zh-CN"/>
        </w:rPr>
        <w:t>Reversible Terminator</w:t>
      </w:r>
      <w:r>
        <w:rPr>
          <w:rFonts w:hint="eastAsia" w:ascii="宋体" w:hAnsi="宋体" w:eastAsia="宋体" w:cs="宋体"/>
          <w:spacing w:val="20"/>
          <w:kern w:val="2"/>
          <w:sz w:val="21"/>
          <w:szCs w:val="21"/>
          <w:lang w:val="en-US" w:eastAsia="zh-CN"/>
        </w:rPr>
        <w:t>) 大规模平行测序、</w:t>
      </w:r>
      <w:r>
        <w:rPr>
          <w:rFonts w:hint="default" w:ascii="宋体" w:hAnsi="宋体" w:eastAsia="宋体" w:cs="宋体"/>
          <w:spacing w:val="20"/>
          <w:kern w:val="2"/>
          <w:sz w:val="21"/>
          <w:szCs w:val="21"/>
          <w:lang w:val="en-US" w:eastAsia="zh-CN"/>
        </w:rPr>
        <w:t xml:space="preserve">4 </w:t>
      </w:r>
      <w:r>
        <w:rPr>
          <w:rFonts w:hint="eastAsia" w:ascii="宋体" w:hAnsi="宋体" w:eastAsia="宋体" w:cs="宋体"/>
          <w:spacing w:val="20"/>
          <w:kern w:val="2"/>
          <w:sz w:val="21"/>
          <w:szCs w:val="21"/>
          <w:lang w:val="en-US" w:eastAsia="zh-CN"/>
        </w:rPr>
        <w:t>色荧光标记寡核苷酸的连续连接反应测序和半导体芯片测序。</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50" w:line="360" w:lineRule="auto"/>
        <w:ind w:leftChars="0"/>
        <w:jc w:val="both"/>
        <w:textAlignment w:val="auto"/>
        <w:rPr>
          <w:rFonts w:hint="eastAsia" w:ascii="宋体" w:hAnsi="宋体" w:eastAsia="宋体" w:cs="宋体"/>
          <w:spacing w:val="20"/>
          <w:kern w:val="2"/>
          <w:sz w:val="21"/>
          <w:szCs w:val="21"/>
          <w:lang w:val="en-US" w:eastAsia="zh-CN"/>
        </w:rPr>
      </w:pPr>
      <w:r>
        <w:rPr>
          <w:rFonts w:hint="default" w:ascii="宋体" w:hAnsi="宋体" w:eastAsia="宋体" w:cs="宋体"/>
          <w:spacing w:val="20"/>
          <w:kern w:val="2"/>
          <w:sz w:val="21"/>
          <w:szCs w:val="21"/>
          <w:lang w:val="en-US" w:eastAsia="zh-CN"/>
        </w:rPr>
        <w:t>#</w:t>
      </w:r>
      <w:r>
        <w:rPr>
          <w:rFonts w:hint="eastAsia" w:ascii="宋体" w:hAnsi="宋体" w:eastAsia="宋体" w:cs="宋体"/>
          <w:spacing w:val="20"/>
          <w:kern w:val="2"/>
          <w:sz w:val="21"/>
          <w:szCs w:val="21"/>
          <w:lang w:val="en-US" w:eastAsia="zh-CN"/>
        </w:rPr>
        <w:t>参考《肿瘤个性化治疗检测技术指南(</w:t>
      </w:r>
      <w:r>
        <w:rPr>
          <w:rFonts w:hint="default" w:ascii="宋体" w:hAnsi="宋体" w:eastAsia="宋体" w:cs="宋体"/>
          <w:spacing w:val="20"/>
          <w:kern w:val="2"/>
          <w:sz w:val="21"/>
          <w:szCs w:val="21"/>
          <w:lang w:val="en-US" w:eastAsia="zh-CN"/>
        </w:rPr>
        <w:t>2015</w:t>
      </w:r>
      <w:r>
        <w:rPr>
          <w:rFonts w:hint="eastAsia" w:ascii="宋体" w:hAnsi="宋体" w:eastAsia="宋体" w:cs="宋体"/>
          <w:spacing w:val="20"/>
          <w:kern w:val="2"/>
          <w:sz w:val="21"/>
          <w:szCs w:val="21"/>
          <w:lang w:val="en-US" w:eastAsia="zh-CN"/>
        </w:rPr>
        <w:t>年试行)》</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1" w:name="_Toc18058"/>
      <w:bookmarkStart w:id="22" w:name="_Toc23369_WPSOffice_Level1"/>
      <w:bookmarkStart w:id="23" w:name="_Toc3871"/>
      <w:bookmarkStart w:id="24" w:name="_Toc6221_WPSOffice_Level1"/>
      <w:bookmarkStart w:id="25" w:name="_Toc25920"/>
      <w:bookmarkStart w:id="26" w:name="_Toc4088"/>
      <w:bookmarkStart w:id="27" w:name="_Toc1410"/>
      <w:bookmarkStart w:id="28" w:name="_Toc1920"/>
      <w:r>
        <w:rPr>
          <w:rFonts w:hint="eastAsia" w:ascii="Times New Roman" w:hAnsi="Times New Roman" w:eastAsia="宋体" w:cs="宋体"/>
          <w:b/>
          <w:bCs/>
          <w:spacing w:val="23"/>
          <w:sz w:val="24"/>
          <w:szCs w:val="24"/>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181"/>
        <w:gridCol w:w="1238"/>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181"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238"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18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23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81"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38"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18"/>
          <w:szCs w:val="18"/>
          <w:lang w:val="en-US" w:eastAsia="zh-Hans"/>
        </w:rPr>
      </w:pPr>
      <w:r>
        <w:rPr>
          <w:rFonts w:hint="eastAsia" w:ascii="宋体" w:hAnsi="宋体" w:eastAsia="宋体" w:cs="宋体"/>
          <w:sz w:val="18"/>
          <w:szCs w:val="18"/>
          <w:lang w:val="en-US" w:eastAsia="zh-Hans"/>
        </w:rPr>
        <w:t>变异类型</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无义突变：指由于某个碱基的改变使代表某种氨基酸的密码子突变为终止密码子，从而使肽链合成提前终止。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错义突变：指编码某种氨基酸的密码子经碱基替换以后，变成编码另一种氨基酸的密码子，从而使多肽链的氨基酸种类和序列发生改变。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同义突变：不导致氨基酸改变的核苷酸变异。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移码突变：指在正常的</w:t>
      </w:r>
      <w:r>
        <w:rPr>
          <w:rFonts w:hint="default" w:ascii="宋体" w:hAnsi="宋体" w:eastAsia="宋体" w:cs="宋体"/>
          <w:sz w:val="18"/>
          <w:szCs w:val="18"/>
          <w:lang w:val="en-US" w:eastAsia="zh-CN"/>
        </w:rPr>
        <w:t xml:space="preserve">DNA </w:t>
      </w:r>
      <w:r>
        <w:rPr>
          <w:rFonts w:hint="eastAsia" w:ascii="宋体" w:hAnsi="宋体" w:eastAsia="宋体" w:cs="宋体"/>
          <w:sz w:val="18"/>
          <w:szCs w:val="18"/>
          <w:lang w:val="en-US" w:eastAsia="zh-CN"/>
        </w:rPr>
        <w:t xml:space="preserve">分子中，一对或少数几对邻接的核苷酸的增加或减少，造成这一位置之后的一系列编码发生移位错误的改变。 </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default" w:ascii="宋体" w:hAnsi="宋体" w:eastAsia="宋体" w:cs="宋体"/>
          <w:sz w:val="18"/>
          <w:szCs w:val="18"/>
          <w:lang w:val="en-US" w:eastAsia="zh-CN"/>
        </w:rPr>
        <w:t xml:space="preserve">. </w:t>
      </w:r>
      <w:r>
        <w:rPr>
          <w:rFonts w:hint="eastAsia" w:ascii="宋体" w:hAnsi="宋体" w:eastAsia="宋体" w:cs="宋体"/>
          <w:sz w:val="18"/>
          <w:szCs w:val="18"/>
          <w:lang w:val="en-US" w:eastAsia="zh-CN"/>
        </w:rPr>
        <w:t xml:space="preserve">剪接突变：由于剪接的供体、接纳体部位或其旁侧保守序列的碱基插入、缺失或改变，改变 </w:t>
      </w:r>
      <w:r>
        <w:rPr>
          <w:rFonts w:hint="default" w:ascii="宋体" w:hAnsi="宋体" w:eastAsia="宋体" w:cs="宋体"/>
          <w:sz w:val="18"/>
          <w:szCs w:val="18"/>
          <w:lang w:val="en-US" w:eastAsia="zh-CN"/>
        </w:rPr>
        <w:t xml:space="preserve">RNA </w:t>
      </w:r>
      <w:r>
        <w:rPr>
          <w:rFonts w:hint="eastAsia" w:ascii="宋体" w:hAnsi="宋体" w:eastAsia="宋体" w:cs="宋体"/>
          <w:sz w:val="18"/>
          <w:szCs w:val="18"/>
          <w:lang w:val="en-US" w:eastAsia="zh-CN"/>
        </w:rPr>
        <w:t xml:space="preserve">前体的剪接方式， 使得产生的成熟 </w:t>
      </w:r>
      <w:r>
        <w:rPr>
          <w:rFonts w:hint="default" w:ascii="宋体" w:hAnsi="宋体" w:eastAsia="宋体" w:cs="宋体"/>
          <w:sz w:val="18"/>
          <w:szCs w:val="18"/>
          <w:lang w:val="en-US" w:eastAsia="zh-CN"/>
        </w:rPr>
        <w:t>RNA</w:t>
      </w:r>
      <w:r>
        <w:rPr>
          <w:rFonts w:hint="eastAsia" w:ascii="宋体" w:hAnsi="宋体" w:eastAsia="宋体" w:cs="宋体"/>
          <w:sz w:val="18"/>
          <w:szCs w:val="18"/>
          <w:lang w:val="en-US" w:eastAsia="zh-CN"/>
        </w:rPr>
        <w:t xml:space="preserve">中含有内含子或缺失外显子序列的一类突变。 </w:t>
      </w:r>
    </w:p>
    <w:p>
      <w:pPr>
        <w:numPr>
          <w:ilvl w:val="0"/>
          <w:numId w:val="0"/>
        </w:numPr>
        <w:rPr>
          <w:rFonts w:ascii="微软雅黑" w:hAnsi="微软雅黑" w:eastAsia="微软雅黑" w:cs="微软雅黑"/>
          <w:sz w:val="18"/>
          <w:szCs w:val="18"/>
          <w:lang w:eastAsia="zh-CN" w:bidi="ar"/>
        </w:rPr>
      </w:pP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9" w:name="_Toc12381"/>
      <w:bookmarkStart w:id="30" w:name="_Toc22132"/>
      <w:bookmarkStart w:id="31" w:name="_Toc2781"/>
      <w:bookmarkStart w:id="32" w:name="_Toc14062"/>
      <w:bookmarkStart w:id="33" w:name="_Toc19898_WPSOffice_Level1"/>
      <w:bookmarkStart w:id="34" w:name="_Toc20136_WPSOffice_Level1"/>
      <w:bookmarkStart w:id="35" w:name="_Toc19184"/>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6" w:name="_Toc25461"/>
      <w:r>
        <w:rPr>
          <w:rFonts w:hint="eastAsia" w:ascii="Times New Roman" w:hAnsi="Times New Roman" w:eastAsia="宋体" w:cs="宋体"/>
          <w:b/>
          <w:bCs/>
          <w:spacing w:val="23"/>
          <w:sz w:val="24"/>
          <w:szCs w:val="24"/>
        </w:rPr>
        <w:t>检测结果及用药提示</w:t>
      </w:r>
      <w:bookmarkEnd w:id="18"/>
      <w:bookmarkEnd w:id="29"/>
      <w:bookmarkEnd w:id="30"/>
      <w:bookmarkEnd w:id="31"/>
      <w:bookmarkEnd w:id="32"/>
      <w:bookmarkEnd w:id="33"/>
      <w:bookmarkEnd w:id="34"/>
      <w:bookmarkEnd w:id="35"/>
      <w:bookmarkEnd w:id="36"/>
    </w:p>
    <w:p>
      <w:pPr>
        <w:pStyle w:val="38"/>
        <w:bidi w:val="0"/>
        <w:spacing w:line="360" w:lineRule="auto"/>
        <w:ind w:left="832" w:leftChars="0" w:hanging="832" w:firstLineChars="0"/>
        <w:jc w:val="left"/>
        <w:rPr>
          <w:b/>
          <w:bCs/>
          <w:spacing w:val="23"/>
          <w:sz w:val="21"/>
          <w:szCs w:val="21"/>
        </w:rPr>
      </w:pPr>
      <w:bookmarkStart w:id="37" w:name="_Toc23375"/>
      <w:bookmarkStart w:id="38" w:name="_Toc22976"/>
      <w:bookmarkStart w:id="39" w:name="_Toc18062_WPSOffice_Level2"/>
      <w:bookmarkStart w:id="40" w:name="_Toc24979"/>
      <w:bookmarkStart w:id="41" w:name="_Toc30265"/>
      <w:bookmarkStart w:id="42" w:name="_Toc9088"/>
      <w:bookmarkStart w:id="43" w:name="_Toc11015_WPSOffice_Level2"/>
      <w:bookmarkStart w:id="44" w:name="_Toc7433"/>
      <w:r>
        <w:rPr>
          <w:b/>
          <w:bCs/>
          <w:spacing w:val="23"/>
          <w:sz w:val="21"/>
          <w:szCs w:val="21"/>
        </w:rPr>
        <w:t>靶向药物用药提示</w:t>
      </w:r>
      <w:bookmarkEnd w:id="37"/>
      <w:bookmarkEnd w:id="38"/>
      <w:bookmarkEnd w:id="39"/>
      <w:bookmarkEnd w:id="40"/>
      <w:bookmarkEnd w:id="41"/>
      <w:bookmarkEnd w:id="42"/>
      <w:bookmarkEnd w:id="43"/>
      <w:bookmarkEnd w:id="44"/>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8480"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7456"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widowControl/>
        <w:rPr>
          <w:rFonts w:ascii="Times New Roman" w:hAnsi="Times New Roman" w:eastAsia="微软雅黑" w:cs="Times New Roman"/>
          <w:b w:val="0"/>
          <w:bCs w:val="0"/>
          <w:color w:val="0070C0"/>
          <w:sz w:val="28"/>
          <w:szCs w:val="28"/>
          <w:lang w:eastAsia="zh-CN"/>
        </w:rPr>
      </w:pPr>
      <w:r>
        <w:rPr>
          <w:sz w:val="22"/>
        </w:rPr>
        <w:drawing>
          <wp:anchor distT="0" distB="0" distL="114300" distR="114300" simplePos="0" relativeHeight="251665408" behindDoc="0" locked="0" layoutInCell="1" allowOverlap="1">
            <wp:simplePos x="0" y="0"/>
            <wp:positionH relativeFrom="column">
              <wp:posOffset>4973320</wp:posOffset>
            </wp:positionH>
            <wp:positionV relativeFrom="page">
              <wp:posOffset>9138285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0"/>
                    <a:stretch>
                      <a:fillRect/>
                    </a:stretch>
                  </pic:blipFill>
                  <pic:spPr>
                    <a:xfrm>
                      <a:off x="5518785" y="9132570"/>
                      <a:ext cx="1079500" cy="107950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4935855</wp:posOffset>
            </wp:positionH>
            <wp:positionV relativeFrom="page">
              <wp:posOffset>9178290</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r>
        <w:rPr>
          <w:rFonts w:ascii="Times New Roman" w:hAnsi="Times New Roman" w:eastAsia="微软雅黑" w:cs="Times New Roman"/>
          <w:b w:val="0"/>
          <w:bCs w:val="0"/>
          <w:color w:val="0070C0"/>
          <w:sz w:val="28"/>
          <w:szCs w:val="28"/>
          <w:lang w:eastAsia="zh-CN"/>
        </w:rPr>
        <w:br w:type="page"/>
      </w:r>
    </w:p>
    <w:p>
      <w:pPr>
        <w:rPr>
          <w:rFonts w:hint="eastAsia"/>
        </w:rPr>
      </w:pPr>
      <w:bookmarkStart w:id="45" w:name="_Toc32661"/>
      <w:bookmarkStart w:id="46" w:name="_Toc4331_WPSOffice_Level1"/>
      <w:bookmarkStart w:id="47" w:name="_Toc25727"/>
      <w:bookmarkStart w:id="48" w:name="_Toc32443_WPSOffice_Level1"/>
      <w:bookmarkStart w:id="49" w:name="_Toc5598"/>
      <w:bookmarkStart w:id="50" w:name="_Toc23903"/>
      <w:bookmarkStart w:id="51" w:name="_Toc23846_WPSOffice_Level1"/>
      <w:bookmarkStart w:id="52" w:name="_Toc28194"/>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3" w:name="_Toc6437"/>
      <w:r>
        <w:rPr>
          <w:rFonts w:hint="eastAsia" w:ascii="Times New Roman" w:hAnsi="Times New Roman" w:eastAsia="宋体" w:cs="宋体"/>
          <w:b/>
          <w:bCs/>
          <w:spacing w:val="23"/>
          <w:sz w:val="24"/>
          <w:szCs w:val="24"/>
        </w:rPr>
        <w:t>基因检测结果解析</w:t>
      </w:r>
      <w:bookmarkEnd w:id="45"/>
      <w:bookmarkEnd w:id="46"/>
      <w:bookmarkEnd w:id="47"/>
      <w:bookmarkEnd w:id="48"/>
      <w:bookmarkEnd w:id="49"/>
      <w:bookmarkEnd w:id="50"/>
      <w:bookmarkEnd w:id="51"/>
      <w:bookmarkEnd w:id="52"/>
      <w:bookmarkEnd w:id="53"/>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4" w:name="_Toc32468"/>
      <w:bookmarkStart w:id="55" w:name="_Toc26395"/>
      <w:bookmarkStart w:id="56" w:name="_Toc29383"/>
      <w:bookmarkStart w:id="57" w:name="_Toc6784"/>
      <w:r>
        <w:rPr>
          <w:rFonts w:hint="eastAsia" w:ascii="宋体" w:hAnsi="宋体" w:eastAsia="宋体" w:cs="宋体"/>
          <w:bCs/>
          <w:spacing w:val="6"/>
          <w:sz w:val="21"/>
          <w:szCs w:val="21"/>
          <w:lang w:eastAsia="zh-CN"/>
        </w:rPr>
        <w:t>{% if BodyDrugDrugDetectionStr == [] and unknownVarAnalysisStr == []%}未检出靶向用药相关的</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；未检出未知临床意义</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 endif %}</w:t>
      </w:r>
      <w:r>
        <w:rPr>
          <w:rFonts w:hint="eastAsia" w:ascii="宋体" w:hAnsi="宋体" w:eastAsia="宋体" w:cs="宋体"/>
          <w:b/>
          <w:color w:val="auto"/>
          <w:spacing w:val="6"/>
          <w:sz w:val="21"/>
          <w:szCs w:val="21"/>
          <w:lang w:eastAsia="zh-CN"/>
        </w:rPr>
        <w:t>{%if BodyDrugDrugDetectionStr or unknownVarAnalysisStr %}</w:t>
      </w:r>
    </w:p>
    <w:p>
      <w:pPr>
        <w:pStyle w:val="38"/>
        <w:numPr>
          <w:ilvl w:val="0"/>
          <w:numId w:val="10"/>
        </w:numPr>
        <w:bidi w:val="0"/>
        <w:spacing w:line="360" w:lineRule="auto"/>
        <w:jc w:val="left"/>
        <w:rPr>
          <w:b/>
          <w:bCs/>
          <w:spacing w:val="23"/>
          <w:sz w:val="21"/>
          <w:szCs w:val="21"/>
        </w:rPr>
      </w:pPr>
      <w:bookmarkStart w:id="58" w:name="_Toc32543"/>
      <w:bookmarkStart w:id="59" w:name="_Toc32302"/>
      <w:bookmarkStart w:id="60" w:name="_Toc4331_WPSOffice_Level2"/>
      <w:bookmarkStart w:id="61" w:name="_Toc32443_WPSOffice_Level2"/>
      <w:bookmarkStart w:id="62" w:name="_Toc23606"/>
      <w:bookmarkStart w:id="63" w:name="_Toc14009"/>
      <w:r>
        <w:rPr>
          <w:rFonts w:hint="eastAsia"/>
          <w:b/>
          <w:bCs/>
          <w:spacing w:val="23"/>
          <w:sz w:val="21"/>
          <w:szCs w:val="21"/>
        </w:rPr>
        <w:t>变异位点结果解析</w:t>
      </w:r>
      <w:bookmarkEnd w:id="58"/>
      <w:bookmarkEnd w:id="59"/>
      <w:bookmarkEnd w:id="60"/>
      <w:bookmarkEnd w:id="61"/>
      <w:bookmarkEnd w:id="62"/>
      <w:bookmarkEnd w:id="63"/>
    </w:p>
    <w:bookmarkEnd w:id="54"/>
    <w:bookmarkEnd w:id="55"/>
    <w:bookmarkEnd w:id="56"/>
    <w:bookmarkEnd w:id="57"/>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64" w:name="_Toc21764_WPSOffice_Level1"/>
      <w:bookmarkStart w:id="65" w:name="_Toc16594"/>
      <w:bookmarkStart w:id="66" w:name="_Toc1707_WPSOffice_Level1"/>
      <w:bookmarkStart w:id="67" w:name="_Toc12505"/>
      <w:bookmarkStart w:id="68" w:name="_Toc28240"/>
      <w:bookmarkStart w:id="69" w:name="_Toc27302"/>
      <w:bookmarkStart w:id="70" w:name="_Toc13196_WPSOffice_Level1"/>
      <w:bookmarkStart w:id="71" w:name="_Toc2409"/>
      <w:r>
        <w:rPr>
          <w:rFonts w:hint="eastAsia" w:ascii="宋体" w:hAnsi="宋体" w:eastAsia="宋体" w:cs="宋体"/>
          <w:b/>
          <w:bCs/>
          <w:sz w:val="10"/>
          <w:szCs w:val="10"/>
          <w:lang w:eastAsia="zh-CN"/>
        </w:rPr>
        <w:t>{% for tdd in BodyDrugNoComplexStr %}</w:t>
      </w:r>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pStyle w:val="25"/>
        <w:rPr>
          <w:rFonts w:hint="eastAsia" w:ascii="宋体" w:hAnsi="宋体" w:eastAsia="宋体" w:cs="宋体"/>
          <w:color w:val="auto"/>
          <w:sz w:val="20"/>
          <w:szCs w:val="18"/>
        </w:rPr>
      </w:pPr>
      <w:r>
        <w:rPr>
          <w:rFonts w:hint="eastAsia" w:ascii="宋体" w:hAnsi="宋体" w:eastAsia="宋体" w:cs="宋体"/>
          <w:b/>
          <w:color w:val="auto"/>
          <w:sz w:val="24"/>
          <w:szCs w:val="24"/>
          <w:lang w:eastAsia="zh-CN"/>
        </w:rPr>
        <w:t>{% endif %}{% endfor %}</w:t>
      </w:r>
      <w:r>
        <w:rPr>
          <w:rFonts w:hint="eastAsia" w:ascii="宋体" w:hAnsi="宋体" w:eastAsia="宋体" w:cs="宋体"/>
          <w:color w:val="auto"/>
          <w:sz w:val="20"/>
          <w:szCs w:val="18"/>
          <w:lang w:eastAsia="zh-CN"/>
        </w:rPr>
        <w:br w:type="page"/>
      </w:r>
      <w:r>
        <w:rPr>
          <w:rFonts w:hint="eastAsia" w:ascii="宋体" w:hAnsi="宋体" w:eastAsia="宋体" w:cs="宋体"/>
          <w:b/>
          <w:color w:val="auto"/>
          <w:sz w:val="24"/>
          <w:szCs w:val="24"/>
          <w:lang w:eastAsia="zh-CN"/>
        </w:rPr>
        <w:t>{% endif %}</w:t>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72" w:name="_Toc17144"/>
      <w:r>
        <w:rPr>
          <w:rFonts w:hint="eastAsia" w:ascii="Times New Roman" w:hAnsi="Times New Roman" w:eastAsia="宋体" w:cs="宋体"/>
          <w:b/>
          <w:bCs/>
          <w:spacing w:val="23"/>
          <w:sz w:val="24"/>
          <w:szCs w:val="24"/>
        </w:rPr>
        <w:t>附录</w:t>
      </w:r>
      <w:bookmarkEnd w:id="64"/>
      <w:bookmarkEnd w:id="65"/>
      <w:bookmarkEnd w:id="66"/>
      <w:bookmarkEnd w:id="67"/>
      <w:bookmarkEnd w:id="68"/>
      <w:bookmarkEnd w:id="69"/>
      <w:bookmarkEnd w:id="70"/>
      <w:bookmarkEnd w:id="71"/>
      <w:bookmarkEnd w:id="72"/>
    </w:p>
    <w:p>
      <w:pPr>
        <w:pStyle w:val="38"/>
        <w:numPr>
          <w:ilvl w:val="0"/>
          <w:numId w:val="11"/>
        </w:numPr>
        <w:bidi w:val="0"/>
        <w:spacing w:line="360" w:lineRule="auto"/>
        <w:ind w:left="832" w:leftChars="0" w:hanging="832" w:firstLineChars="0"/>
        <w:jc w:val="left"/>
        <w:rPr>
          <w:b/>
          <w:bCs/>
          <w:spacing w:val="23"/>
          <w:sz w:val="21"/>
          <w:szCs w:val="21"/>
        </w:rPr>
      </w:pPr>
      <w:bookmarkStart w:id="73" w:name="_Toc4168"/>
      <w:bookmarkStart w:id="74" w:name="_Toc24085_WPSOffice_Level1"/>
      <w:bookmarkStart w:id="75" w:name="_Toc14255_WPSOffice_Level1"/>
      <w:bookmarkStart w:id="76" w:name="_Toc31490"/>
      <w:bookmarkStart w:id="77" w:name="_Toc27075"/>
      <w:bookmarkStart w:id="78" w:name="_Toc15840_WPSOffice_Level1"/>
      <w:bookmarkStart w:id="79" w:name="_Toc24378"/>
      <w:r>
        <w:rPr>
          <w:rFonts w:hint="eastAsia"/>
          <w:b/>
          <w:bCs/>
          <w:spacing w:val="23"/>
          <w:sz w:val="21"/>
          <w:szCs w:val="21"/>
        </w:rPr>
        <w:t>样本质控情况</w:t>
      </w:r>
      <w:bookmarkEnd w:id="73"/>
      <w:bookmarkEnd w:id="74"/>
      <w:bookmarkEnd w:id="75"/>
      <w:bookmarkEnd w:id="76"/>
      <w:bookmarkEnd w:id="77"/>
      <w:bookmarkEnd w:id="78"/>
      <w:bookmarkEnd w:id="79"/>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numPr>
          <w:ilvl w:val="0"/>
          <w:numId w:val="13"/>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numPr>
          <w:ilvl w:val="0"/>
          <w:numId w:val="13"/>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numPr>
          <w:ilvl w:val="0"/>
          <w:numId w:val="13"/>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numPr>
          <w:ilvl w:val="0"/>
          <w:numId w:val="13"/>
        </w:numPr>
        <w:spacing w:line="360" w:lineRule="auto"/>
        <w:ind w:left="613" w:leftChars="150" w:hanging="283"/>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ascii="Times New Roman" w:hAnsi="Times New Roman" w:eastAsia="微软雅黑" w:cs="黑体"/>
          <w:sz w:val="21"/>
          <w:lang w:eastAsia="zh-CN"/>
        </w:rPr>
      </w:pPr>
    </w:p>
    <w:p>
      <w:pPr>
        <w:pStyle w:val="38"/>
        <w:numPr>
          <w:ilvl w:val="0"/>
          <w:numId w:val="11"/>
        </w:numPr>
        <w:bidi w:val="0"/>
        <w:spacing w:line="360" w:lineRule="auto"/>
        <w:ind w:left="832" w:leftChars="0" w:hanging="832" w:firstLineChars="0"/>
        <w:jc w:val="left"/>
        <w:rPr>
          <w:rFonts w:hint="eastAsia" w:ascii="宋体" w:hAnsi="宋体" w:eastAsia="宋体" w:cs="宋体"/>
          <w:b/>
          <w:bCs/>
          <w:spacing w:val="23"/>
          <w:sz w:val="21"/>
          <w:szCs w:val="21"/>
        </w:rPr>
      </w:pPr>
      <w:bookmarkStart w:id="80" w:name="_Toc14248"/>
      <w:bookmarkStart w:id="81" w:name="_Toc11193_WPSOffice_Level1"/>
      <w:bookmarkStart w:id="82" w:name="_Toc28810_WPSOffice_Level1"/>
      <w:r>
        <w:rPr>
          <w:rFonts w:hint="eastAsia" w:ascii="宋体" w:hAnsi="宋体" w:eastAsia="宋体" w:cs="宋体"/>
          <w:b/>
          <w:bCs/>
          <w:spacing w:val="23"/>
          <w:sz w:val="21"/>
          <w:szCs w:val="21"/>
        </w:rPr>
        <w:t>BRCA1&amp;BRCA2基因背景介绍</w:t>
      </w:r>
      <w:bookmarkEnd w:id="80"/>
    </w:p>
    <w:bookmarkEnd w:id="81"/>
    <w:bookmarkEnd w:id="82"/>
    <w:p>
      <w:pPr>
        <w:keepNext w:val="0"/>
        <w:keepLines w:val="0"/>
        <w:pageBreakBefore w:val="0"/>
        <w:widowControl w:val="0"/>
        <w:kinsoku/>
        <w:wordWrap/>
        <w:overflowPunct/>
        <w:topLinePunct w:val="0"/>
        <w:autoSpaceDE/>
        <w:autoSpaceDN/>
        <w:bidi w:val="0"/>
        <w:adjustRightInd/>
        <w:snapToGrid/>
        <w:spacing w:before="26"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keepNext w:val="0"/>
        <w:keepLines w:val="0"/>
        <w:pageBreakBefore w:val="0"/>
        <w:widowControl w:val="0"/>
        <w:kinsoku/>
        <w:wordWrap/>
        <w:overflowPunct/>
        <w:topLinePunct w:val="0"/>
        <w:autoSpaceDE/>
        <w:autoSpaceDN/>
        <w:bidi w:val="0"/>
        <w:adjustRightInd/>
        <w:snapToGrid/>
        <w:spacing w:before="26" w:line="312" w:lineRule="auto"/>
        <w:textAlignment w:val="auto"/>
        <w:rPr>
          <w:rFonts w:hint="eastAsia" w:ascii="宋体" w:hAnsi="宋体" w:eastAsia="宋体" w:cs="宋体"/>
          <w:sz w:val="21"/>
          <w:szCs w:val="21"/>
          <w:lang w:eastAsia="zh-CN"/>
        </w:rPr>
      </w:pPr>
      <w:r>
        <w:rPr>
          <w:rFonts w:hint="eastAsia" w:ascii="宋体" w:hAnsi="宋体" w:eastAsia="宋体" w:cs="宋体"/>
          <w:sz w:val="21"/>
          <w:szCs w:val="21"/>
          <w:vertAlign w:val="superscript"/>
          <w:lang w:eastAsia="zh-CN"/>
        </w:rPr>
        <w:t>a</w:t>
      </w:r>
      <w:r>
        <w:rPr>
          <w:rFonts w:hint="eastAsia" w:ascii="宋体" w:hAnsi="宋体" w:eastAsia="宋体" w:cs="宋体"/>
          <w:sz w:val="21"/>
          <w:szCs w:val="21"/>
          <w:lang w:eastAsia="zh-CN"/>
        </w:rPr>
        <w:t>数据出自世界范围内人群的调查，中国人群的BRCA有害突变携带者患病比例和其有一定的差异。</w:t>
      </w:r>
    </w:p>
    <w:p>
      <w:pPr>
        <w:rPr>
          <w:lang w:eastAsia="zh-CN"/>
        </w:rPr>
      </w:pPr>
      <w:r>
        <w:rPr>
          <w:rFonts w:hint="eastAsia" w:ascii="宋体" w:hAnsi="宋体" w:eastAsia="宋体" w:cs="宋体"/>
          <w:b/>
          <w:bCs/>
          <w:spacing w:val="20"/>
          <w:kern w:val="2"/>
          <w:sz w:val="21"/>
          <w:szCs w:val="21"/>
          <w:lang w:val="en-US" w:eastAsia="zh-CN"/>
        </w:rPr>
        <w:t>2.1、</w:t>
      </w:r>
      <w:r>
        <w:rPr>
          <w:rFonts w:hint="default" w:ascii="宋体" w:hAnsi="宋体" w:eastAsia="宋体" w:cs="宋体"/>
          <w:b/>
          <w:bCs/>
          <w:spacing w:val="20"/>
          <w:kern w:val="2"/>
          <w:sz w:val="21"/>
          <w:szCs w:val="21"/>
          <w:lang w:eastAsia="zh-CN"/>
        </w:rPr>
        <w:t>BRCA1&amp;BRCA2基因说明及用药提示</w:t>
      </w:r>
    </w:p>
    <w:bookmarkEnd w:id="17"/>
    <w:tbl>
      <w:tblPr>
        <w:tblStyle w:val="14"/>
        <w:tblW w:w="10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09" w:type="dxa"/>
            <w:shd w:val="clear" w:color="auto" w:fill="9DC3E6"/>
            <w:vAlign w:val="center"/>
          </w:tcPr>
          <w:p>
            <w:pPr>
              <w:pStyle w:val="20"/>
              <w:spacing w:before="10"/>
              <w:jc w:val="center"/>
              <w:rPr>
                <w:rFonts w:hint="eastAsia" w:ascii="宋体" w:hAnsi="宋体" w:eastAsia="宋体" w:cs="宋体"/>
                <w:b/>
                <w:color w:val="auto"/>
                <w:sz w:val="21"/>
                <w:szCs w:val="21"/>
              </w:rPr>
            </w:pPr>
            <w:bookmarkStart w:id="83" w:name="_Toc8003"/>
            <w:bookmarkStart w:id="84" w:name="_Toc12835"/>
            <w:bookmarkStart w:id="85" w:name="_Toc17792_WPSOffice_Level2"/>
            <w:r>
              <w:rPr>
                <w:rFonts w:hint="eastAsia" w:ascii="宋体" w:hAnsi="宋体" w:eastAsia="宋体" w:cs="宋体"/>
                <w:b/>
                <w:color w:val="auto"/>
                <w:sz w:val="21"/>
                <w:szCs w:val="21"/>
              </w:rPr>
              <w:t>基因</w:t>
            </w:r>
          </w:p>
        </w:tc>
        <w:tc>
          <w:tcPr>
            <w:tcW w:w="4820" w:type="dxa"/>
            <w:shd w:val="clear" w:color="auto" w:fill="9DC3E6"/>
            <w:vAlign w:val="center"/>
          </w:tcPr>
          <w:p>
            <w:pPr>
              <w:pStyle w:val="20"/>
              <w:spacing w:before="1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基因说明</w:t>
            </w:r>
          </w:p>
        </w:tc>
        <w:tc>
          <w:tcPr>
            <w:tcW w:w="2129"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靶向药物</w:t>
            </w:r>
          </w:p>
        </w:tc>
        <w:tc>
          <w:tcPr>
            <w:tcW w:w="2549" w:type="dxa"/>
            <w:shd w:val="clear" w:color="auto" w:fill="9DC3E6"/>
            <w:vAlign w:val="center"/>
          </w:tcPr>
          <w:p>
            <w:pPr>
              <w:pStyle w:val="20"/>
              <w:ind w:left="13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用药提示（仅供参考）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for brca in brcaGeneSpecification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709" w:type="dxa"/>
            <w:vAlign w:val="center"/>
          </w:tcPr>
          <w:p>
            <w:pPr>
              <w:pStyle w:val="20"/>
              <w:keepNext w:val="0"/>
              <w:keepLines w:val="0"/>
              <w:pageBreakBefore w:val="0"/>
              <w:widowControl w:val="0"/>
              <w:kinsoku/>
              <w:wordWrap w:val="0"/>
              <w:overflowPunct/>
              <w:topLinePunct w:val="0"/>
              <w:autoSpaceDE/>
              <w:autoSpaceDN/>
              <w:bidi w:val="0"/>
              <w:adjustRightInd/>
              <w:snapToGrid/>
              <w:spacing w:before="158"/>
              <w:jc w:val="both"/>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brca.gene }}</w:t>
            </w:r>
          </w:p>
        </w:tc>
        <w:tc>
          <w:tcPr>
            <w:tcW w:w="4820"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4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brca.gene_specification }}</w:t>
            </w:r>
          </w:p>
        </w:tc>
        <w:tc>
          <w:tcPr>
            <w:tcW w:w="2129" w:type="dxa"/>
            <w:vAlign w:val="center"/>
          </w:tcPr>
          <w:p>
            <w:pPr>
              <w:pStyle w:val="20"/>
              <w:keepNext w:val="0"/>
              <w:keepLines w:val="0"/>
              <w:pageBreakBefore w:val="0"/>
              <w:widowControl w:val="0"/>
              <w:kinsoku/>
              <w:wordWrap w:val="0"/>
              <w:overflowPunct/>
              <w:topLinePunct w:val="0"/>
              <w:autoSpaceDE/>
              <w:autoSpaceDN/>
              <w:bidi w:val="0"/>
              <w:adjustRightInd/>
              <w:snapToGrid/>
              <w:spacing w:before="35"/>
              <w:ind w:left="110" w:leftChars="5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b in brca.drugAndsuperscript %}{%if loop.last%}{{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{%else%}{{ b.targeted_drug }}</w:t>
            </w:r>
            <w:r>
              <w:rPr>
                <w:rFonts w:hint="eastAsia" w:ascii="宋体" w:hAnsi="宋体" w:eastAsia="宋体" w:cs="宋体"/>
                <w:sz w:val="21"/>
                <w:szCs w:val="21"/>
                <w:vertAlign w:val="superscript"/>
                <w:lang w:eastAsia="zh-CN"/>
              </w:rPr>
              <w:t>{{ b.superscript }}</w:t>
            </w:r>
            <w:r>
              <w:rPr>
                <w:rFonts w:hint="eastAsia" w:ascii="宋体" w:hAnsi="宋体" w:eastAsia="宋体" w:cs="宋体"/>
                <w:sz w:val="21"/>
                <w:szCs w:val="21"/>
                <w:lang w:eastAsia="zh-CN"/>
              </w:rPr>
              <w:t>、</w:t>
            </w:r>
          </w:p>
          <w:p>
            <w:pPr>
              <w:keepNext w:val="0"/>
              <w:keepLines w:val="0"/>
              <w:pageBreakBefore w:val="0"/>
              <w:widowControl w:val="0"/>
              <w:kinsoku/>
              <w:wordWrap w:val="0"/>
              <w:overflowPunct/>
              <w:topLinePunct w:val="0"/>
              <w:autoSpaceDE/>
              <w:autoSpaceDN/>
              <w:bidi w:val="0"/>
              <w:adjustRightInd/>
              <w:snapToGrid/>
              <w:ind w:left="110" w:leftChars="50"/>
              <w:jc w:val="both"/>
              <w:textAlignment w:val="auto"/>
              <w:rPr>
                <w:rFonts w:hint="eastAsia" w:ascii="宋体" w:hAnsi="宋体" w:eastAsia="宋体" w:cs="宋体"/>
                <w:sz w:val="21"/>
                <w:szCs w:val="21"/>
              </w:rPr>
            </w:pPr>
            <w:r>
              <w:rPr>
                <w:rFonts w:hint="eastAsia" w:ascii="宋体" w:hAnsi="宋体" w:eastAsia="宋体" w:cs="宋体"/>
                <w:sz w:val="21"/>
                <w:szCs w:val="21"/>
                <w:lang w:eastAsia="zh-CN"/>
              </w:rPr>
              <w:t>{%endif%}{% endfor %}</w:t>
            </w:r>
          </w:p>
        </w:tc>
        <w:tc>
          <w:tcPr>
            <w:tcW w:w="2549" w:type="dxa"/>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brca.medication_suggestion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207" w:type="dxa"/>
            <w:gridSpan w:val="4"/>
            <w:vAlign w:val="center"/>
          </w:tcPr>
          <w:p>
            <w:pPr>
              <w:pStyle w:val="20"/>
              <w:keepNext w:val="0"/>
              <w:keepLines w:val="0"/>
              <w:pageBreakBefore w:val="0"/>
              <w:widowControl w:val="0"/>
              <w:kinsoku/>
              <w:wordWrap w:val="0"/>
              <w:overflowPunct/>
              <w:topLinePunct w:val="0"/>
              <w:autoSpaceDE/>
              <w:autoSpaceDN/>
              <w:bidi w:val="0"/>
              <w:adjustRightInd/>
              <w:snapToGrid/>
              <w:ind w:left="119" w:right="181"/>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bookmarkEnd w:id="83"/>
      <w:bookmarkEnd w:id="84"/>
    </w:tbl>
    <w:p>
      <w:pPr>
        <w:keepNext w:val="0"/>
        <w:keepLines w:val="0"/>
        <w:pageBreakBefore w:val="0"/>
        <w:widowControl w:val="0"/>
        <w:kinsoku/>
        <w:wordWrap/>
        <w:overflowPunct/>
        <w:topLinePunct w:val="0"/>
        <w:autoSpaceDE/>
        <w:autoSpaceDN/>
        <w:bidi w:val="0"/>
        <w:adjustRightInd/>
        <w:snapToGrid/>
        <w:spacing w:before="0" w:beforeLines="50" w:line="240" w:lineRule="auto"/>
        <w:textAlignment w:val="auto"/>
        <w:rPr>
          <w:rFonts w:hint="eastAsia" w:ascii="宋体" w:hAnsi="宋体" w:eastAsia="宋体" w:cs="宋体"/>
          <w:b/>
          <w:sz w:val="18"/>
          <w:szCs w:val="18"/>
        </w:rPr>
      </w:pPr>
      <w:r>
        <w:rPr>
          <w:rFonts w:hint="eastAsia" w:ascii="宋体" w:hAnsi="宋体" w:eastAsia="宋体" w:cs="宋体"/>
          <w:b/>
          <w:sz w:val="18"/>
          <w:szCs w:val="18"/>
        </w:rPr>
        <w:t>注：</w:t>
      </w:r>
    </w:p>
    <w:p>
      <w:pPr>
        <w:pStyle w:val="39"/>
        <w:keepNext w:val="0"/>
        <w:keepLines w:val="0"/>
        <w:pageBreakBefore w:val="0"/>
        <w:widowControl w:val="0"/>
        <w:numPr>
          <w:ilvl w:val="0"/>
          <w:numId w:val="14"/>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数字1表示FDA获批药物；</w:t>
      </w:r>
    </w:p>
    <w:p>
      <w:pPr>
        <w:pStyle w:val="39"/>
        <w:keepNext w:val="0"/>
        <w:keepLines w:val="0"/>
        <w:pageBreakBefore w:val="0"/>
        <w:widowControl w:val="0"/>
        <w:numPr>
          <w:ilvl w:val="0"/>
          <w:numId w:val="14"/>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数字2表示临床试验的药物；</w:t>
      </w:r>
    </w:p>
    <w:p>
      <w:pPr>
        <w:pStyle w:val="39"/>
        <w:keepNext w:val="0"/>
        <w:keepLines w:val="0"/>
        <w:pageBreakBefore w:val="0"/>
        <w:widowControl w:val="0"/>
        <w:numPr>
          <w:ilvl w:val="0"/>
          <w:numId w:val="14"/>
        </w:numPr>
        <w:kinsoku/>
        <w:wordWrap/>
        <w:overflowPunct/>
        <w:topLinePunct w:val="0"/>
        <w:autoSpaceDE w:val="0"/>
        <w:autoSpaceDN w:val="0"/>
        <w:bidi w:val="0"/>
        <w:adjustRightInd/>
        <w:snapToGrid/>
        <w:spacing w:line="288" w:lineRule="auto"/>
        <w:ind w:left="420" w:hanging="420" w:firstLineChars="0"/>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*表示NMPA获批药物。</w:t>
      </w:r>
    </w:p>
    <w:p>
      <w:pPr>
        <w:rPr>
          <w:lang w:eastAsia="zh-CN"/>
        </w:rPr>
      </w:pPr>
      <w:r>
        <w:rPr>
          <w:lang w:eastAsia="zh-CN"/>
        </w:rPr>
        <w:br w:type="page"/>
      </w:r>
    </w:p>
    <w:p>
      <w:pPr>
        <w:pStyle w:val="38"/>
        <w:numPr>
          <w:ilvl w:val="0"/>
          <w:numId w:val="11"/>
        </w:numPr>
        <w:bidi w:val="0"/>
        <w:spacing w:line="360" w:lineRule="auto"/>
        <w:ind w:left="832" w:leftChars="0" w:hanging="832" w:firstLineChars="0"/>
        <w:jc w:val="left"/>
        <w:rPr>
          <w:rFonts w:hint="eastAsia"/>
          <w:b/>
          <w:bCs/>
          <w:spacing w:val="23"/>
          <w:sz w:val="21"/>
          <w:szCs w:val="21"/>
          <w:lang w:eastAsia="zh-CN"/>
        </w:rPr>
      </w:pPr>
      <w:bookmarkStart w:id="86" w:name="_Toc2110"/>
      <w:bookmarkStart w:id="87" w:name="_Toc5677"/>
      <w:bookmarkStart w:id="88" w:name="_Toc11901"/>
      <w:bookmarkStart w:id="89" w:name="_Toc4503"/>
      <w:bookmarkStart w:id="90" w:name="_Toc27809"/>
      <w:bookmarkStart w:id="91" w:name="_Toc19584_WPSOffice_Level1"/>
      <w:bookmarkStart w:id="92" w:name="_Toc13275"/>
      <w:bookmarkStart w:id="93" w:name="_Toc22162_WPSOffice_Level1"/>
      <w:bookmarkStart w:id="94" w:name="_Toc14611_WPSOffice_Level1"/>
      <w:bookmarkStart w:id="95" w:name="_Toc22623"/>
      <w:r>
        <w:rPr>
          <w:rFonts w:hint="eastAsia"/>
          <w:b/>
          <w:bCs/>
          <w:spacing w:val="23"/>
          <w:sz w:val="21"/>
          <w:szCs w:val="21"/>
          <w:lang w:eastAsia="zh-CN"/>
        </w:rPr>
        <w:t>易感人群特征</w:t>
      </w:r>
      <w:bookmarkEnd w:id="86"/>
      <w:bookmarkEnd w:id="87"/>
    </w:p>
    <w:p>
      <w:pPr>
        <w:spacing w:before="26" w:line="360" w:lineRule="auto"/>
        <w:rPr>
          <w:rFonts w:hint="eastAsia" w:ascii="宋体" w:hAnsi="宋体" w:eastAsia="宋体" w:cs="宋体"/>
          <w:b/>
          <w:sz w:val="21"/>
          <w:szCs w:val="21"/>
          <w:lang w:eastAsia="zh-CN"/>
        </w:rPr>
      </w:pPr>
      <w:r>
        <w:rPr>
          <w:rFonts w:hint="eastAsia" w:ascii="宋体" w:hAnsi="宋体" w:eastAsia="宋体" w:cs="宋体"/>
          <w:b/>
          <w:bCs/>
          <w:sz w:val="21"/>
          <w:szCs w:val="21"/>
          <w:lang w:val="en-US" w:eastAsia="zh-CN"/>
        </w:rPr>
        <w:t>3.1、</w:t>
      </w:r>
      <w:r>
        <w:rPr>
          <w:rFonts w:hint="eastAsia" w:ascii="宋体" w:hAnsi="宋体" w:eastAsia="宋体" w:cs="宋体"/>
          <w:b/>
          <w:bCs/>
          <w:sz w:val="21"/>
          <w:szCs w:val="21"/>
          <w:lang w:eastAsia="zh-CN"/>
        </w:rPr>
        <w:t>乳腺癌、卵巢癌易感人群特征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患者发病年龄≤45岁；</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患者发病年龄46~50岁发病，同时伴有：</w:t>
      </w:r>
    </w:p>
    <w:p>
      <w:pPr>
        <w:widowControl/>
        <w:numPr>
          <w:ilvl w:val="0"/>
          <w:numId w:val="15"/>
        </w:numPr>
        <w:spacing w:before="26" w:line="360" w:lineRule="auto"/>
        <w:ind w:firstLine="220" w:firstLineChars="100"/>
        <w:rPr>
          <w:rFonts w:hint="eastAsia" w:ascii="宋体" w:hAnsi="宋体" w:eastAsia="宋体" w:cs="宋体"/>
        </w:rPr>
      </w:pPr>
      <w:r>
        <w:rPr>
          <w:rFonts w:hint="eastAsia" w:ascii="宋体" w:hAnsi="宋体" w:eastAsia="宋体" w:cs="宋体"/>
        </w:rPr>
        <w:t>第二原发性乳腺癌；</w:t>
      </w:r>
    </w:p>
    <w:p>
      <w:pPr>
        <w:spacing w:before="26" w:line="360" w:lineRule="auto"/>
        <w:ind w:firstLine="220" w:firstLineChars="100"/>
        <w:rPr>
          <w:rFonts w:hint="eastAsia" w:ascii="宋体" w:hAnsi="宋体" w:eastAsia="宋体" w:cs="宋体"/>
          <w:lang w:eastAsia="zh-CN"/>
        </w:rPr>
      </w:pPr>
      <w:r>
        <w:rPr>
          <w:rFonts w:hint="eastAsia" w:ascii="宋体" w:hAnsi="宋体" w:eastAsia="宋体" w:cs="宋体"/>
          <w:lang w:eastAsia="zh-CN"/>
        </w:rPr>
        <w:t>(2) 满足≥1项以下家族史标准：</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① ≥1血缘近亲有任何年龄发病的乳腺癌史、卵巢癌史、胰腺癌史、前列腺癌史（Gleason评分≥7）或导管内前列腺癌；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未知或有限的家族史；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患者发病年龄≤60岁发病，同时伴有：三阴性乳腺癌；</w:t>
      </w:r>
    </w:p>
    <w:p>
      <w:pPr>
        <w:spacing w:before="26" w:line="360" w:lineRule="auto"/>
        <w:rPr>
          <w:rFonts w:hint="eastAsia" w:ascii="宋体" w:hAnsi="宋体" w:eastAsia="宋体" w:cs="宋体"/>
          <w:lang w:eastAsia="zh-CN"/>
        </w:rPr>
      </w:pPr>
      <w:r>
        <w:rPr>
          <w:rFonts w:hint="eastAsia" w:ascii="宋体" w:hAnsi="宋体" w:eastAsia="宋体" w:cs="宋体"/>
          <w:lang w:eastAsia="zh-CN"/>
        </w:rPr>
        <w:t>4 所有男性乳腺癌患者；</w:t>
      </w:r>
    </w:p>
    <w:p>
      <w:pPr>
        <w:spacing w:before="26" w:line="360" w:lineRule="auto"/>
        <w:rPr>
          <w:rFonts w:hint="eastAsia" w:ascii="宋体" w:hAnsi="宋体" w:eastAsia="宋体" w:cs="宋体"/>
          <w:lang w:eastAsia="zh-CN"/>
        </w:rPr>
      </w:pPr>
      <w:r>
        <w:rPr>
          <w:rFonts w:hint="eastAsia" w:ascii="宋体" w:hAnsi="宋体" w:eastAsia="宋体" w:cs="宋体"/>
          <w:lang w:eastAsia="zh-CN"/>
        </w:rPr>
        <w:t>5 任何年龄发病，同时满足≥1项以下家族史标准：</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① ≥1血缘近亲有≤50岁发病的乳腺癌史；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② 在任何年龄被诊断患有卵巢癌、胰腺癌或转移性前列腺癌或导管内前列腺癌；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③ ≥2血缘近亲有任何年龄发病的乳腺癌或前列腺癌（任何级别）；</w:t>
      </w:r>
    </w:p>
    <w:p>
      <w:pPr>
        <w:spacing w:before="26" w:line="360" w:lineRule="auto"/>
        <w:ind w:left="880" w:leftChars="300" w:hanging="220" w:hangingChars="100"/>
        <w:rPr>
          <w:rFonts w:hint="eastAsia" w:ascii="宋体" w:hAnsi="宋体" w:eastAsia="宋体" w:cs="宋体"/>
          <w:lang w:eastAsia="zh-CN"/>
        </w:rPr>
      </w:pPr>
      <w:r>
        <w:rPr>
          <w:rFonts w:hint="eastAsia" w:ascii="宋体" w:hAnsi="宋体" w:eastAsia="宋体" w:cs="宋体"/>
          <w:lang w:eastAsia="zh-CN"/>
        </w:rPr>
        <w:t>④ 有三级亲属患有乳腺癌和（或）卵巢癌，同时其有≥2血缘近亲患有乳腺癌（其中至少有1例≤50岁）和（或）卵巢癌；</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⑤ 血缘近亲有男性乳腺癌家族史；</w:t>
      </w:r>
    </w:p>
    <w:p>
      <w:pPr>
        <w:spacing w:before="26" w:line="360" w:lineRule="auto"/>
        <w:ind w:firstLine="660" w:firstLineChars="300"/>
        <w:rPr>
          <w:rFonts w:hint="eastAsia" w:ascii="宋体" w:hAnsi="宋体" w:eastAsia="宋体" w:cs="宋体"/>
          <w:lang w:eastAsia="zh-CN"/>
        </w:rPr>
      </w:pPr>
      <w:r>
        <w:rPr>
          <w:rFonts w:hint="eastAsia" w:ascii="宋体" w:hAnsi="宋体" w:eastAsia="宋体" w:cs="宋体"/>
          <w:lang w:eastAsia="zh-CN"/>
        </w:rPr>
        <w:t>⑥ 有已知的家族型致病性BRCA1/2基因突变。</w:t>
      </w:r>
    </w:p>
    <w:p>
      <w:pPr>
        <w:spacing w:before="26"/>
        <w:ind w:firstLine="660" w:firstLineChars="300"/>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sz w:val="4"/>
          <w:szCs w:val="21"/>
          <w:lang w:eastAsia="zh-CN"/>
        </w:rPr>
      </w:pPr>
      <w:r>
        <w:rPr>
          <w:rFonts w:hint="eastAsia" w:ascii="宋体" w:hAnsi="宋体" w:eastAsia="宋体" w:cs="宋体"/>
          <w:b/>
          <w:bCs/>
          <w:color w:val="416AAB"/>
          <w:sz w:val="24"/>
          <w:szCs w:val="24"/>
          <w:lang w:eastAsia="zh-CN"/>
        </w:rPr>
        <w:br w:type="page"/>
      </w:r>
      <w:r>
        <w:rPr>
          <w:rFonts w:hint="eastAsia" w:ascii="宋体" w:hAnsi="宋体" w:eastAsia="宋体" w:cs="宋体"/>
          <w:b/>
          <w:bCs/>
          <w:sz w:val="21"/>
          <w:szCs w:val="21"/>
          <w:lang w:val="en-US" w:eastAsia="zh-CN"/>
        </w:rPr>
        <w:t>3.2、</w:t>
      </w:r>
      <w:r>
        <w:rPr>
          <w:rFonts w:hint="eastAsia" w:ascii="宋体" w:hAnsi="宋体" w:eastAsia="宋体" w:cs="宋体"/>
          <w:b/>
          <w:bCs/>
          <w:sz w:val="21"/>
          <w:szCs w:val="21"/>
          <w:lang w:eastAsia="zh-CN"/>
        </w:rPr>
        <w:t>前列腺癌易感人群特征</w:t>
      </w:r>
    </w:p>
    <w:p>
      <w:pPr>
        <w:spacing w:before="26" w:line="360" w:lineRule="auto"/>
        <w:rPr>
          <w:rFonts w:hint="eastAsia" w:ascii="宋体" w:hAnsi="宋体" w:eastAsia="宋体" w:cs="宋体"/>
          <w:lang w:eastAsia="zh-CN"/>
        </w:rPr>
      </w:pPr>
      <w:r>
        <w:rPr>
          <w:rFonts w:hint="eastAsia" w:ascii="宋体" w:hAnsi="宋体" w:eastAsia="宋体" w:cs="宋体"/>
          <w:lang w:eastAsia="zh-CN"/>
        </w:rPr>
        <w:t>1 &gt;50岁的男性；</w:t>
      </w:r>
    </w:p>
    <w:p>
      <w:pPr>
        <w:spacing w:before="26" w:line="360" w:lineRule="auto"/>
        <w:rPr>
          <w:rFonts w:hint="eastAsia" w:ascii="宋体" w:hAnsi="宋体" w:eastAsia="宋体" w:cs="宋体"/>
          <w:lang w:eastAsia="zh-CN"/>
        </w:rPr>
      </w:pPr>
      <w:r>
        <w:rPr>
          <w:rFonts w:hint="eastAsia" w:ascii="宋体" w:hAnsi="宋体" w:eastAsia="宋体" w:cs="宋体"/>
          <w:lang w:eastAsia="zh-CN"/>
        </w:rPr>
        <w:t>2 患者个人有男性乳腺癌或胰腺癌病史；</w:t>
      </w:r>
    </w:p>
    <w:p>
      <w:pPr>
        <w:spacing w:before="26" w:line="360" w:lineRule="auto"/>
        <w:rPr>
          <w:rFonts w:hint="eastAsia" w:ascii="宋体" w:hAnsi="宋体" w:eastAsia="宋体" w:cs="宋体"/>
          <w:lang w:eastAsia="zh-CN"/>
        </w:rPr>
      </w:pPr>
      <w:r>
        <w:rPr>
          <w:rFonts w:hint="eastAsia" w:ascii="宋体" w:hAnsi="宋体" w:eastAsia="宋体" w:cs="宋体"/>
          <w:lang w:eastAsia="zh-CN"/>
        </w:rPr>
        <w:t>3 &gt;40岁且前列腺特异性抗原（PSA）&gt;1μg/L；</w:t>
      </w:r>
    </w:p>
    <w:p>
      <w:pPr>
        <w:spacing w:before="26" w:line="360" w:lineRule="auto"/>
        <w:rPr>
          <w:rFonts w:hint="eastAsia" w:ascii="宋体" w:hAnsi="宋体" w:eastAsia="宋体" w:cs="宋体"/>
          <w:lang w:eastAsia="zh-CN"/>
        </w:rPr>
      </w:pPr>
      <w:r>
        <w:rPr>
          <w:rFonts w:hint="eastAsia" w:ascii="宋体" w:hAnsi="宋体" w:eastAsia="宋体" w:cs="宋体"/>
          <w:lang w:eastAsia="zh-CN"/>
        </w:rPr>
        <w:t>4 &gt;45岁，同时满足≥1项一下家族史：</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有兄弟、父亲或其他家族成员在60岁前诊断为前列腺癌或因前列腺癌死亡；</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同系家属中具有多名包括胆管癌、乳腺癌、胰腺癌、前列腺癌、卵巢癌、结直肠癌、子宫内膜癌、胃癌、肾癌、黑色素瘤、小肠癌以及尿路上皮癌患者，特别是其确诊年龄≤50岁；</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③ 已知家族携带相关胚系致病基因（BRCA1/BRCA2等）突变。</w:t>
      </w:r>
    </w:p>
    <w:p>
      <w:pPr>
        <w:spacing w:before="26" w:line="360" w:lineRule="auto"/>
        <w:ind w:left="218" w:leftChars="99" w:firstLine="2"/>
        <w:rPr>
          <w:rFonts w:hint="eastAsia" w:ascii="宋体" w:hAnsi="宋体" w:eastAsia="宋体" w:cs="宋体"/>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3.3、胰腺癌易感人群特征</w:t>
      </w:r>
    </w:p>
    <w:p>
      <w:pPr>
        <w:pStyle w:val="27"/>
        <w:spacing w:line="360" w:lineRule="auto"/>
        <w:outlineLvl w:val="9"/>
        <w:rPr>
          <w:rFonts w:hint="eastAsia" w:ascii="宋体" w:hAnsi="宋体" w:eastAsia="宋体" w:cs="宋体"/>
          <w:b w:val="0"/>
          <w:bCs w:val="0"/>
          <w:color w:val="auto"/>
          <w:sz w:val="22"/>
          <w:szCs w:val="22"/>
        </w:rPr>
      </w:pPr>
      <w:bookmarkStart w:id="96" w:name="_Toc29283"/>
      <w:bookmarkStart w:id="97" w:name="_Toc4680"/>
      <w:bookmarkStart w:id="98" w:name="_Toc5400"/>
      <w:bookmarkStart w:id="99" w:name="_Toc32060"/>
      <w:bookmarkStart w:id="100" w:name="_Toc24391"/>
      <w:bookmarkStart w:id="101" w:name="_Toc3846"/>
      <w:bookmarkStart w:id="102" w:name="_Toc27291"/>
      <w:bookmarkStart w:id="103" w:name="_Toc24719"/>
      <w:bookmarkStart w:id="104" w:name="_Toc29484"/>
      <w:r>
        <w:rPr>
          <w:rFonts w:hint="eastAsia" w:ascii="宋体" w:hAnsi="宋体" w:eastAsia="宋体" w:cs="宋体"/>
          <w:b w:val="0"/>
          <w:bCs w:val="0"/>
          <w:color w:val="auto"/>
          <w:sz w:val="22"/>
          <w:szCs w:val="22"/>
        </w:rPr>
        <w:t>1 40岁以上，同时伴有≥1项下述者</w:t>
      </w:r>
      <w:bookmarkEnd w:id="96"/>
      <w:bookmarkEnd w:id="97"/>
      <w:bookmarkEnd w:id="98"/>
      <w:bookmarkEnd w:id="99"/>
      <w:bookmarkEnd w:id="100"/>
      <w:bookmarkEnd w:id="101"/>
      <w:bookmarkEnd w:id="102"/>
      <w:bookmarkEnd w:id="103"/>
      <w:bookmarkEnd w:id="104"/>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无家族遗传史的新近突发糖尿病患者；</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② 有长期吸烟、饮酒、高脂肪和高蛋白饮食史；</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慢性胰腺炎反复发作者，尤其合并胰管结石的慢性胰腺炎；在胰腺炎发病后20年或在40岁时（选较早者）进行胰腺癌筛查；</w:t>
      </w:r>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④ 主胰管型粘液乳头状瘤、粘液性囊性腺瘤，突性假乳头状瘤患者，有血清CA19-9升高者；</w:t>
      </w:r>
    </w:p>
    <w:p>
      <w:pPr>
        <w:pStyle w:val="27"/>
        <w:spacing w:line="360" w:lineRule="auto"/>
        <w:outlineLvl w:val="9"/>
        <w:rPr>
          <w:rFonts w:hint="eastAsia" w:ascii="宋体" w:hAnsi="宋体" w:eastAsia="宋体" w:cs="宋体"/>
          <w:b w:val="0"/>
          <w:bCs w:val="0"/>
          <w:color w:val="auto"/>
          <w:sz w:val="22"/>
          <w:szCs w:val="22"/>
        </w:rPr>
      </w:pPr>
      <w:bookmarkStart w:id="105" w:name="_Toc126"/>
      <w:bookmarkStart w:id="106" w:name="_Toc1891"/>
      <w:bookmarkStart w:id="107" w:name="_Toc26941"/>
      <w:bookmarkStart w:id="108" w:name="_Toc21034"/>
      <w:bookmarkStart w:id="109" w:name="_Toc22196"/>
      <w:bookmarkStart w:id="110" w:name="_Toc10299"/>
      <w:bookmarkStart w:id="111" w:name="_Toc783"/>
      <w:bookmarkStart w:id="112" w:name="_Toc17386"/>
      <w:bookmarkStart w:id="113" w:name="_Toc32349"/>
      <w:r>
        <w:rPr>
          <w:rFonts w:hint="eastAsia" w:ascii="宋体" w:hAnsi="宋体" w:eastAsia="宋体" w:cs="宋体"/>
          <w:b w:val="0"/>
          <w:bCs w:val="0"/>
          <w:color w:val="auto"/>
          <w:sz w:val="22"/>
          <w:szCs w:val="22"/>
        </w:rPr>
        <w:t>2 有胰腺癌家族史、糖尿病史</w:t>
      </w:r>
      <w:bookmarkEnd w:id="105"/>
      <w:bookmarkEnd w:id="106"/>
      <w:bookmarkEnd w:id="107"/>
      <w:bookmarkEnd w:id="108"/>
      <w:bookmarkEnd w:id="109"/>
      <w:bookmarkEnd w:id="110"/>
      <w:bookmarkEnd w:id="111"/>
      <w:bookmarkEnd w:id="112"/>
      <w:bookmarkEnd w:id="113"/>
    </w:p>
    <w:p>
      <w:pPr>
        <w:spacing w:before="26" w:line="360" w:lineRule="auto"/>
        <w:ind w:left="218" w:leftChars="99" w:firstLine="110" w:firstLineChars="50"/>
        <w:rPr>
          <w:rFonts w:hint="eastAsia" w:ascii="宋体" w:hAnsi="宋体" w:eastAsia="宋体" w:cs="宋体"/>
          <w:lang w:eastAsia="zh-CN"/>
        </w:rPr>
      </w:pPr>
      <w:r>
        <w:rPr>
          <w:rFonts w:hint="eastAsia" w:ascii="宋体" w:hAnsi="宋体" w:eastAsia="宋体" w:cs="宋体"/>
          <w:lang w:eastAsia="zh-CN"/>
        </w:rPr>
        <w:t>① 一级亲属被确认患有胰腺外分泌癌的个体；</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② 携带已知的胰腺癌遗传易感基因的致病/疑似致病突变（包括ATM、BRCA1、BRCA2、CDKN2A等，具体可参考第一部分所列基因）和有胰腺癌家族史（血缘一级亲属或二级亲属为胰腺癌患者）的人群；</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pPr>
        <w:spacing w:before="26" w:line="360" w:lineRule="auto"/>
        <w:ind w:left="438" w:leftChars="149" w:hanging="110" w:hangingChars="50"/>
        <w:rPr>
          <w:rFonts w:hint="eastAsia" w:ascii="宋体" w:hAnsi="宋体" w:eastAsia="宋体" w:cs="宋体"/>
          <w:lang w:eastAsia="zh-CN"/>
        </w:rPr>
      </w:pPr>
      <w:r>
        <w:rPr>
          <w:rFonts w:hint="eastAsia" w:ascii="宋体" w:hAnsi="宋体" w:eastAsia="宋体" w:cs="宋体"/>
          <w:lang w:eastAsia="zh-CN"/>
        </w:rPr>
        <w:t xml:space="preserve">④ </w:t>
      </w:r>
      <w:r>
        <w:rPr>
          <w:rFonts w:hint="eastAsia" w:cs="宋体"/>
          <w:lang w:val="en-US" w:eastAsia="zh-CN"/>
        </w:rPr>
        <w:t>家</w:t>
      </w:r>
      <w:r>
        <w:rPr>
          <w:rFonts w:hint="eastAsia" w:ascii="宋体" w:hAnsi="宋体" w:eastAsia="宋体" w:cs="宋体"/>
          <w:lang w:eastAsia="zh-CN"/>
        </w:rPr>
        <w:t>族中有≥3个同支的一级和/或二级亲属确诊为胰腺外分泌癌时，即使家族中没有携带已知的胚系致病/疑似致病突变也要进行筛查。</w:t>
      </w:r>
    </w:p>
    <w:p>
      <w:pPr>
        <w:spacing w:before="26" w:line="360" w:lineRule="auto"/>
        <w:rPr>
          <w:rFonts w:hint="eastAsia" w:ascii="宋体" w:hAnsi="宋体" w:eastAsia="宋体" w:cs="宋体"/>
          <w:sz w:val="18"/>
          <w:szCs w:val="18"/>
          <w:lang w:eastAsia="zh-CN"/>
        </w:rPr>
      </w:pPr>
    </w:p>
    <w:p>
      <w:pPr>
        <w:spacing w:before="26"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line="360" w:lineRule="auto"/>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
      <w:pPr>
        <w:pStyle w:val="38"/>
        <w:numPr>
          <w:ilvl w:val="0"/>
          <w:numId w:val="11"/>
        </w:numPr>
        <w:bidi w:val="0"/>
        <w:spacing w:line="360" w:lineRule="auto"/>
        <w:ind w:left="832" w:leftChars="0" w:hanging="832" w:firstLineChars="0"/>
        <w:jc w:val="left"/>
        <w:rPr>
          <w:b/>
          <w:bCs/>
          <w:spacing w:val="23"/>
          <w:sz w:val="21"/>
          <w:szCs w:val="21"/>
        </w:rPr>
      </w:pPr>
      <w:bookmarkStart w:id="114" w:name="_Toc13532"/>
      <w:r>
        <w:rPr>
          <w:b/>
          <w:bCs/>
          <w:spacing w:val="23"/>
          <w:sz w:val="21"/>
          <w:szCs w:val="21"/>
        </w:rPr>
        <w:t>参考文献</w:t>
      </w:r>
      <w:bookmarkEnd w:id="88"/>
      <w:bookmarkEnd w:id="89"/>
      <w:bookmarkEnd w:id="90"/>
      <w:bookmarkEnd w:id="114"/>
    </w:p>
    <w:bookmarkEnd w:id="85"/>
    <w:bookmarkEnd w:id="91"/>
    <w:bookmarkEnd w:id="92"/>
    <w:bookmarkEnd w:id="93"/>
    <w:bookmarkEnd w:id="94"/>
    <w:bookmarkEnd w:id="95"/>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Nakonechny Q B, Gilks C B. Ovarian cancer in hereditary cancer susceptibility syndromes[J]. Surgical pathology clinics, 2016, 9(2): 189-199. [PMID: 27241103]</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Chui M H, Ryan P, Radigan J, et al. The histomorphology of Lynch syndrome–associated ovarian carcinomas: toward a subtype-specific screening strategy[J]. The American journal of surgical pathology, 2014, 38(9): 1173-1181. [PMID: 25025451]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Lu K H, Daniels M. Endometrial and ovarian cancer in women with Lynch syndrome: update in screening and prevention[J]. Familial cancer, 2013, 12(2): 273-277. [PMID: 23765559]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Lancaster J M, Powell C B, Chen L, et al. Society of Gynecologic Oncology statement on risk assessment for inherited gynecologic cancer predispositions[J]. Gynecologic oncology, 2015, 136(1): 3-7. [PMID: 25238946]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R, Mitra N, Wan F, et al. Association of type and location of BRCA1 and BRCA2 mutations with risk of breast and ovarian cancer[J]. JAMA INTERNAL MEDICINE, 2015 (Aprile): 1347-1361. [PMID: 25849179]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Daly M B, Axilbund J E, Buys S, et al. Genetic/familial high-risk assessment: breast and ovarian[J]. Journal of the National Comprehensive Cancer Network, 2010, 8(5): 562-594. [PMID: 20495085]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Walsh C S, Blum A, Walts A, et al. Lynch syndrome among gynecologic oncology patients meeting Bethesda guidelines for screening[J]. Gynecologic oncology, 2010, 116(3): 516-521. [PMID: 20034658]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Shulman L P. Hereditary breast and ovarian cancer (HBOC): clinical features and counseling for BRCA1 and BRCA2, Lynch syndrome, Cowden syndrome, and Li-Fraumeni syndrome[J]. Obstetrics and Gynecology Clinics, 2010, 37(1): 109-133. [PMID: 20494261]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Zhang S, Royer R, Li S, et al. Frequencies of BRCA1 and BRCA2 mutations among 1,342 unselected patients with invasive ovarian cancer[J]. Gynecologic oncology, 2011, 121(2): 353-357. [PMID: 21324516]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Liu G, Yang D, Sun Y, et al. Differing clinical impact of BRCA1 and BRCA2 mutations in serous ovarian cancer[J]. Pharmacogenomics, 2012, 13(13): 1523-1535. [PMID: 23057551]</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Finch A, Beiner M, Lubinski J, et al. Salpingo-oophorectomy and the risk of ovarian, fallopian tube, and peritoneal cancers in women with a BRCA1 or BRCA2 Mutation[J]. Jama, 2006, 296(2): 185-192. [PMID: 16835424]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Stan D L, Shuster L T, Wick M J, et al. Challenging and complex decisions in the management of the BRCA mutation carrier[J]. Journal of Women's Health, 2013, 22(10): 825-834. [PMID: 23987739]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Elit L, Hirte H. Palliative systemic therapy for women with recurrent epithelial ovarian cancer: current options[J]. OncoTargets and therapy, 2013, 6: 107. [PMID: 23459506]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Suh D H, Lee K H, Kim K, et al. Major clinical research advances in gynecologic cancer in 2014[J]. Journal of gynecologic oncology, 2015, 26(2): 156-167. [PMID: 25872896]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Arnold Lee. Fuzuloparib: First Approval[J]. Drugs. 2021, 81(10):1221-1226. [PMID: 34118019]</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Anthony Markham. Pamiparib: First Approval[J]. Drugs. 2021. [PMID: 34287805]Muthiah Bose, Juliane Sachsenweger, Niina Laurila, et al. BRCA1 mislocalization leads to aberrant DNA damage response in heterozygous ABRAXAS1 mutation carrier cells[J]. Hum Mol Genet, 2019,28(24):4148-4160. [PMID: 31630195]</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Zdenek Kleibl, Vessela N Kristensen. Women at High Risk of Breast Cancer: Molecular Characteristics, Clinical Presentation and Management[J]. Breast, 2016, 28:136-44. [PMID: 27318168]</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Clare Turnbull, Sarah Hines, Anthony Renwick. Mutation and Association Analysis of GEN1 in Breast Cancer Susceptibility[J], Breast Cancer Res Treat, 2010, 124(1):283-8. [PMID: 20512659]</w:t>
      </w:r>
    </w:p>
    <w:sectPr>
      <w:footerReference r:id="rId5" w:type="default"/>
      <w:pgSz w:w="11910" w:h="16840"/>
      <w:pgMar w:top="1417" w:right="805" w:bottom="737"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E7DCC9E3"/>
    <w:multiLevelType w:val="multilevel"/>
    <w:tmpl w:val="E7DCC9E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6"/>
  </w:num>
  <w:num w:numId="5">
    <w:abstractNumId w:val="7"/>
  </w:num>
  <w:num w:numId="6">
    <w:abstractNumId w:val="0"/>
  </w:num>
  <w:num w:numId="7">
    <w:abstractNumId w:val="1"/>
  </w:num>
  <w:num w:numId="8">
    <w:abstractNumId w:val="3"/>
  </w:num>
  <w:num w:numId="9">
    <w:abstractNumId w:val="2"/>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9"/>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3466F6"/>
    <w:rsid w:val="018016F0"/>
    <w:rsid w:val="01A0337A"/>
    <w:rsid w:val="01BA291F"/>
    <w:rsid w:val="02337A11"/>
    <w:rsid w:val="02497534"/>
    <w:rsid w:val="028358E7"/>
    <w:rsid w:val="029A67E2"/>
    <w:rsid w:val="02CA5230"/>
    <w:rsid w:val="02F77009"/>
    <w:rsid w:val="0329174C"/>
    <w:rsid w:val="033463D6"/>
    <w:rsid w:val="038726D8"/>
    <w:rsid w:val="03E921F1"/>
    <w:rsid w:val="04455AD9"/>
    <w:rsid w:val="04791D69"/>
    <w:rsid w:val="04871837"/>
    <w:rsid w:val="04A167FA"/>
    <w:rsid w:val="04BD1641"/>
    <w:rsid w:val="04C17114"/>
    <w:rsid w:val="04CD44FD"/>
    <w:rsid w:val="05815BFE"/>
    <w:rsid w:val="05887898"/>
    <w:rsid w:val="05B13825"/>
    <w:rsid w:val="05F23D13"/>
    <w:rsid w:val="06A4457F"/>
    <w:rsid w:val="06A61E8D"/>
    <w:rsid w:val="06E36A2C"/>
    <w:rsid w:val="06EB7F4D"/>
    <w:rsid w:val="07114ABD"/>
    <w:rsid w:val="07250EAC"/>
    <w:rsid w:val="073B3D11"/>
    <w:rsid w:val="074043CC"/>
    <w:rsid w:val="07AB34E7"/>
    <w:rsid w:val="07B844DF"/>
    <w:rsid w:val="07D36A00"/>
    <w:rsid w:val="07D93108"/>
    <w:rsid w:val="07DB59EB"/>
    <w:rsid w:val="083F50A2"/>
    <w:rsid w:val="088D7FF0"/>
    <w:rsid w:val="09705B33"/>
    <w:rsid w:val="097539E9"/>
    <w:rsid w:val="0A043ABA"/>
    <w:rsid w:val="0A337BEA"/>
    <w:rsid w:val="0A757891"/>
    <w:rsid w:val="0A8703FE"/>
    <w:rsid w:val="0ADA7F11"/>
    <w:rsid w:val="0ADD29EC"/>
    <w:rsid w:val="0AEC09F3"/>
    <w:rsid w:val="0B5F0945"/>
    <w:rsid w:val="0BA82D72"/>
    <w:rsid w:val="0C1768CC"/>
    <w:rsid w:val="0C3A0C95"/>
    <w:rsid w:val="0C3E5385"/>
    <w:rsid w:val="0C96240B"/>
    <w:rsid w:val="0D055CE8"/>
    <w:rsid w:val="0D0E2E15"/>
    <w:rsid w:val="0D194A15"/>
    <w:rsid w:val="0D877621"/>
    <w:rsid w:val="0D9819F1"/>
    <w:rsid w:val="0E11445D"/>
    <w:rsid w:val="0E542351"/>
    <w:rsid w:val="0E60008E"/>
    <w:rsid w:val="0E632099"/>
    <w:rsid w:val="0E644C2B"/>
    <w:rsid w:val="0E707BF7"/>
    <w:rsid w:val="0E82580A"/>
    <w:rsid w:val="0EBF2A43"/>
    <w:rsid w:val="0EC91129"/>
    <w:rsid w:val="0ED843CC"/>
    <w:rsid w:val="0F2012A5"/>
    <w:rsid w:val="0FB9297A"/>
    <w:rsid w:val="0FEF6595"/>
    <w:rsid w:val="0FFE1C1F"/>
    <w:rsid w:val="10A519AE"/>
    <w:rsid w:val="10D26947"/>
    <w:rsid w:val="11067689"/>
    <w:rsid w:val="110D3F98"/>
    <w:rsid w:val="118B49B4"/>
    <w:rsid w:val="12071DA1"/>
    <w:rsid w:val="12722FE7"/>
    <w:rsid w:val="12850E64"/>
    <w:rsid w:val="12963DA1"/>
    <w:rsid w:val="12F372F0"/>
    <w:rsid w:val="132612E4"/>
    <w:rsid w:val="13897526"/>
    <w:rsid w:val="13AB527B"/>
    <w:rsid w:val="14157116"/>
    <w:rsid w:val="143D5D55"/>
    <w:rsid w:val="147565B0"/>
    <w:rsid w:val="14872247"/>
    <w:rsid w:val="148972D9"/>
    <w:rsid w:val="149B7751"/>
    <w:rsid w:val="14C82A00"/>
    <w:rsid w:val="14E50274"/>
    <w:rsid w:val="150E31A1"/>
    <w:rsid w:val="15196B67"/>
    <w:rsid w:val="152B5F53"/>
    <w:rsid w:val="152E3223"/>
    <w:rsid w:val="153F7D0D"/>
    <w:rsid w:val="156E1C8F"/>
    <w:rsid w:val="158B683E"/>
    <w:rsid w:val="15D73C77"/>
    <w:rsid w:val="165063E4"/>
    <w:rsid w:val="16A6744E"/>
    <w:rsid w:val="16BD5BE8"/>
    <w:rsid w:val="16E67B0D"/>
    <w:rsid w:val="16EF32B7"/>
    <w:rsid w:val="16F8465A"/>
    <w:rsid w:val="175C3095"/>
    <w:rsid w:val="179E5A16"/>
    <w:rsid w:val="17A96330"/>
    <w:rsid w:val="17D52505"/>
    <w:rsid w:val="17EF172D"/>
    <w:rsid w:val="18036692"/>
    <w:rsid w:val="18115FA7"/>
    <w:rsid w:val="184F5A03"/>
    <w:rsid w:val="188B1EE6"/>
    <w:rsid w:val="188E10A8"/>
    <w:rsid w:val="18A5002C"/>
    <w:rsid w:val="18CE184F"/>
    <w:rsid w:val="19437087"/>
    <w:rsid w:val="195752BF"/>
    <w:rsid w:val="1969147D"/>
    <w:rsid w:val="199369D8"/>
    <w:rsid w:val="19C03740"/>
    <w:rsid w:val="1A5E6E15"/>
    <w:rsid w:val="1A9C4C96"/>
    <w:rsid w:val="1ABF08C1"/>
    <w:rsid w:val="1AF45ED7"/>
    <w:rsid w:val="1B10343F"/>
    <w:rsid w:val="1B28649B"/>
    <w:rsid w:val="1B3B4866"/>
    <w:rsid w:val="1B824137"/>
    <w:rsid w:val="1BA36B7F"/>
    <w:rsid w:val="1BAD3E87"/>
    <w:rsid w:val="1C166655"/>
    <w:rsid w:val="1C7A05D0"/>
    <w:rsid w:val="1C98707F"/>
    <w:rsid w:val="1CCD19AC"/>
    <w:rsid w:val="1CD3634C"/>
    <w:rsid w:val="1CFB3D7D"/>
    <w:rsid w:val="1D0B7646"/>
    <w:rsid w:val="1D103BE7"/>
    <w:rsid w:val="1D306ECF"/>
    <w:rsid w:val="1DE8432D"/>
    <w:rsid w:val="1E1954BB"/>
    <w:rsid w:val="1E4567AB"/>
    <w:rsid w:val="1E5B4AE9"/>
    <w:rsid w:val="1EAB0C6A"/>
    <w:rsid w:val="1EAF2912"/>
    <w:rsid w:val="1EE510E1"/>
    <w:rsid w:val="1EEB2832"/>
    <w:rsid w:val="1F2B7CAE"/>
    <w:rsid w:val="1FB23A5A"/>
    <w:rsid w:val="1FC77337"/>
    <w:rsid w:val="20205A20"/>
    <w:rsid w:val="202D7F0F"/>
    <w:rsid w:val="20855B55"/>
    <w:rsid w:val="209432E5"/>
    <w:rsid w:val="20943D07"/>
    <w:rsid w:val="20C205EB"/>
    <w:rsid w:val="20CA3A62"/>
    <w:rsid w:val="21182154"/>
    <w:rsid w:val="216F18A9"/>
    <w:rsid w:val="218960DE"/>
    <w:rsid w:val="21D55A39"/>
    <w:rsid w:val="22180203"/>
    <w:rsid w:val="22322E8D"/>
    <w:rsid w:val="224C7FA0"/>
    <w:rsid w:val="226A689A"/>
    <w:rsid w:val="22D4409F"/>
    <w:rsid w:val="23116357"/>
    <w:rsid w:val="2322058C"/>
    <w:rsid w:val="232B252D"/>
    <w:rsid w:val="235C2C2A"/>
    <w:rsid w:val="23DC4798"/>
    <w:rsid w:val="23FF1819"/>
    <w:rsid w:val="240007AE"/>
    <w:rsid w:val="2436525A"/>
    <w:rsid w:val="244D2216"/>
    <w:rsid w:val="24ED4AF2"/>
    <w:rsid w:val="250E3D96"/>
    <w:rsid w:val="25152B1F"/>
    <w:rsid w:val="253036C5"/>
    <w:rsid w:val="256C4478"/>
    <w:rsid w:val="25C7784B"/>
    <w:rsid w:val="25CB59E7"/>
    <w:rsid w:val="26976104"/>
    <w:rsid w:val="271A3FF4"/>
    <w:rsid w:val="271C165B"/>
    <w:rsid w:val="2786240A"/>
    <w:rsid w:val="27870460"/>
    <w:rsid w:val="27984A7E"/>
    <w:rsid w:val="27EA6CAB"/>
    <w:rsid w:val="28642123"/>
    <w:rsid w:val="28855B91"/>
    <w:rsid w:val="28B63ACE"/>
    <w:rsid w:val="28B640D1"/>
    <w:rsid w:val="28B74238"/>
    <w:rsid w:val="28B83CA7"/>
    <w:rsid w:val="28E502F9"/>
    <w:rsid w:val="292D0C40"/>
    <w:rsid w:val="29363F06"/>
    <w:rsid w:val="296F5B95"/>
    <w:rsid w:val="29DE0525"/>
    <w:rsid w:val="29EF70C8"/>
    <w:rsid w:val="29F633A4"/>
    <w:rsid w:val="2A221D03"/>
    <w:rsid w:val="2A3716AB"/>
    <w:rsid w:val="2A51621C"/>
    <w:rsid w:val="2AD829F0"/>
    <w:rsid w:val="2ADA4197"/>
    <w:rsid w:val="2ADE2A02"/>
    <w:rsid w:val="2B485DBB"/>
    <w:rsid w:val="2B692B05"/>
    <w:rsid w:val="2B8C0A94"/>
    <w:rsid w:val="2BA074D5"/>
    <w:rsid w:val="2BDE1876"/>
    <w:rsid w:val="2BE90339"/>
    <w:rsid w:val="2C165FD1"/>
    <w:rsid w:val="2C427C83"/>
    <w:rsid w:val="2D536BB2"/>
    <w:rsid w:val="2DBF16F4"/>
    <w:rsid w:val="2E0C0EE9"/>
    <w:rsid w:val="2E3D6CA4"/>
    <w:rsid w:val="2E6C3ADF"/>
    <w:rsid w:val="2E7C3545"/>
    <w:rsid w:val="2E824F5C"/>
    <w:rsid w:val="2EB35A8A"/>
    <w:rsid w:val="2F28730D"/>
    <w:rsid w:val="2F324DC4"/>
    <w:rsid w:val="30310CEB"/>
    <w:rsid w:val="304862D7"/>
    <w:rsid w:val="30DA24F1"/>
    <w:rsid w:val="30E41C41"/>
    <w:rsid w:val="31033685"/>
    <w:rsid w:val="310959FE"/>
    <w:rsid w:val="3109732A"/>
    <w:rsid w:val="31464ABB"/>
    <w:rsid w:val="315E5833"/>
    <w:rsid w:val="32080EDC"/>
    <w:rsid w:val="32176B79"/>
    <w:rsid w:val="324E6866"/>
    <w:rsid w:val="32AB7EAB"/>
    <w:rsid w:val="32B71D27"/>
    <w:rsid w:val="32DB7156"/>
    <w:rsid w:val="32DE07F1"/>
    <w:rsid w:val="32F01EBB"/>
    <w:rsid w:val="33323300"/>
    <w:rsid w:val="33725A73"/>
    <w:rsid w:val="338527AA"/>
    <w:rsid w:val="33AE0711"/>
    <w:rsid w:val="33CF05AE"/>
    <w:rsid w:val="33E6227C"/>
    <w:rsid w:val="346D24B1"/>
    <w:rsid w:val="34777EA9"/>
    <w:rsid w:val="348573AD"/>
    <w:rsid w:val="349D0F69"/>
    <w:rsid w:val="34EA0013"/>
    <w:rsid w:val="35055D74"/>
    <w:rsid w:val="354B10C4"/>
    <w:rsid w:val="357E5409"/>
    <w:rsid w:val="35945D5F"/>
    <w:rsid w:val="35B3556B"/>
    <w:rsid w:val="35F5325E"/>
    <w:rsid w:val="360630CA"/>
    <w:rsid w:val="360A76FC"/>
    <w:rsid w:val="367860B7"/>
    <w:rsid w:val="36940077"/>
    <w:rsid w:val="36E25529"/>
    <w:rsid w:val="371E73E3"/>
    <w:rsid w:val="37E81DE8"/>
    <w:rsid w:val="3848012E"/>
    <w:rsid w:val="39334160"/>
    <w:rsid w:val="39525C52"/>
    <w:rsid w:val="399A5E65"/>
    <w:rsid w:val="39A64D30"/>
    <w:rsid w:val="3A202424"/>
    <w:rsid w:val="3A49481A"/>
    <w:rsid w:val="3A4D09F5"/>
    <w:rsid w:val="3A9A1B61"/>
    <w:rsid w:val="3AF460F5"/>
    <w:rsid w:val="3B6B584B"/>
    <w:rsid w:val="3B721C7C"/>
    <w:rsid w:val="3B99114B"/>
    <w:rsid w:val="3B9B0105"/>
    <w:rsid w:val="3BEA5380"/>
    <w:rsid w:val="3BF35040"/>
    <w:rsid w:val="3C0A04F9"/>
    <w:rsid w:val="3C3F24CA"/>
    <w:rsid w:val="3C5D7D9D"/>
    <w:rsid w:val="3CC95781"/>
    <w:rsid w:val="3D1C54C3"/>
    <w:rsid w:val="3D621347"/>
    <w:rsid w:val="3D6C60E9"/>
    <w:rsid w:val="3D855C98"/>
    <w:rsid w:val="3D8E6B72"/>
    <w:rsid w:val="3DB27834"/>
    <w:rsid w:val="3E5C4C18"/>
    <w:rsid w:val="3E7C5ED0"/>
    <w:rsid w:val="3E7D0E01"/>
    <w:rsid w:val="3EC949BD"/>
    <w:rsid w:val="3F051B05"/>
    <w:rsid w:val="3F1D1FAD"/>
    <w:rsid w:val="3F4343E8"/>
    <w:rsid w:val="3FC0487B"/>
    <w:rsid w:val="3FCB42E0"/>
    <w:rsid w:val="3FF2193A"/>
    <w:rsid w:val="405979F4"/>
    <w:rsid w:val="407F3756"/>
    <w:rsid w:val="40890521"/>
    <w:rsid w:val="40895D14"/>
    <w:rsid w:val="40BA2B58"/>
    <w:rsid w:val="40CD5E20"/>
    <w:rsid w:val="41C73588"/>
    <w:rsid w:val="41EC43CC"/>
    <w:rsid w:val="41FF695D"/>
    <w:rsid w:val="42AF2F7A"/>
    <w:rsid w:val="42D665BD"/>
    <w:rsid w:val="42E32EA1"/>
    <w:rsid w:val="42F70CC1"/>
    <w:rsid w:val="435766B4"/>
    <w:rsid w:val="43821027"/>
    <w:rsid w:val="44024434"/>
    <w:rsid w:val="44C23006"/>
    <w:rsid w:val="44C6598F"/>
    <w:rsid w:val="452112A4"/>
    <w:rsid w:val="452C52BD"/>
    <w:rsid w:val="454A2BAB"/>
    <w:rsid w:val="459308E1"/>
    <w:rsid w:val="45A93012"/>
    <w:rsid w:val="45D4644E"/>
    <w:rsid w:val="45F01940"/>
    <w:rsid w:val="45FA0F57"/>
    <w:rsid w:val="46550A34"/>
    <w:rsid w:val="469824C9"/>
    <w:rsid w:val="46A072C4"/>
    <w:rsid w:val="46B63378"/>
    <w:rsid w:val="46B72EB2"/>
    <w:rsid w:val="470B23FB"/>
    <w:rsid w:val="47855EE6"/>
    <w:rsid w:val="47A33F8A"/>
    <w:rsid w:val="4811052D"/>
    <w:rsid w:val="48552080"/>
    <w:rsid w:val="4883115E"/>
    <w:rsid w:val="488A5A4F"/>
    <w:rsid w:val="48C65C4C"/>
    <w:rsid w:val="48F33103"/>
    <w:rsid w:val="49114D9F"/>
    <w:rsid w:val="499E6F1D"/>
    <w:rsid w:val="49C56F37"/>
    <w:rsid w:val="4A1A1AFC"/>
    <w:rsid w:val="4A1C7F69"/>
    <w:rsid w:val="4A2048F5"/>
    <w:rsid w:val="4A4A7BE5"/>
    <w:rsid w:val="4A4C0DA7"/>
    <w:rsid w:val="4A4F7BFE"/>
    <w:rsid w:val="4A590643"/>
    <w:rsid w:val="4A693618"/>
    <w:rsid w:val="4A7345CA"/>
    <w:rsid w:val="4A83553B"/>
    <w:rsid w:val="4AA36DBB"/>
    <w:rsid w:val="4AEF7D5A"/>
    <w:rsid w:val="4B315A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414BB2"/>
    <w:rsid w:val="4EB776DE"/>
    <w:rsid w:val="4ED24E8A"/>
    <w:rsid w:val="4ED75229"/>
    <w:rsid w:val="4ED77978"/>
    <w:rsid w:val="4ED84F0E"/>
    <w:rsid w:val="4EED06FD"/>
    <w:rsid w:val="4F0A4F22"/>
    <w:rsid w:val="4F2C4F1E"/>
    <w:rsid w:val="4F3B50DC"/>
    <w:rsid w:val="4F491728"/>
    <w:rsid w:val="4F5624CB"/>
    <w:rsid w:val="4F8A3F4D"/>
    <w:rsid w:val="4FB467F9"/>
    <w:rsid w:val="4FD02F65"/>
    <w:rsid w:val="502D4F37"/>
    <w:rsid w:val="50FC115E"/>
    <w:rsid w:val="510D07DF"/>
    <w:rsid w:val="511A2283"/>
    <w:rsid w:val="514D0773"/>
    <w:rsid w:val="516F1C65"/>
    <w:rsid w:val="519B28E7"/>
    <w:rsid w:val="51D35A9F"/>
    <w:rsid w:val="524D5852"/>
    <w:rsid w:val="52594F0F"/>
    <w:rsid w:val="5282034B"/>
    <w:rsid w:val="52832C8D"/>
    <w:rsid w:val="52DB3A4A"/>
    <w:rsid w:val="52DC5D03"/>
    <w:rsid w:val="52E57CC3"/>
    <w:rsid w:val="5312550A"/>
    <w:rsid w:val="53667193"/>
    <w:rsid w:val="53BC2C8F"/>
    <w:rsid w:val="53D1543B"/>
    <w:rsid w:val="53DE69BF"/>
    <w:rsid w:val="541A0F48"/>
    <w:rsid w:val="541C0D17"/>
    <w:rsid w:val="541E45C6"/>
    <w:rsid w:val="542A6641"/>
    <w:rsid w:val="544B130D"/>
    <w:rsid w:val="54AB72C9"/>
    <w:rsid w:val="54C71FE7"/>
    <w:rsid w:val="54D44608"/>
    <w:rsid w:val="54D723E8"/>
    <w:rsid w:val="550721D5"/>
    <w:rsid w:val="553D567B"/>
    <w:rsid w:val="55645861"/>
    <w:rsid w:val="556F2AE4"/>
    <w:rsid w:val="55A47060"/>
    <w:rsid w:val="55AC636A"/>
    <w:rsid w:val="55C15CC7"/>
    <w:rsid w:val="55F3376F"/>
    <w:rsid w:val="563648E8"/>
    <w:rsid w:val="567222CB"/>
    <w:rsid w:val="56A650A5"/>
    <w:rsid w:val="56B967C0"/>
    <w:rsid w:val="56BE67A9"/>
    <w:rsid w:val="56EE7782"/>
    <w:rsid w:val="571C57F3"/>
    <w:rsid w:val="57345015"/>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27169E"/>
    <w:rsid w:val="599C7C0C"/>
    <w:rsid w:val="59FB3CA9"/>
    <w:rsid w:val="5A21029D"/>
    <w:rsid w:val="5A3C11E6"/>
    <w:rsid w:val="5A540A70"/>
    <w:rsid w:val="5AA63E98"/>
    <w:rsid w:val="5AE075FC"/>
    <w:rsid w:val="5B19039D"/>
    <w:rsid w:val="5B2616E5"/>
    <w:rsid w:val="5B3A4C3E"/>
    <w:rsid w:val="5B884B96"/>
    <w:rsid w:val="5B8E5C17"/>
    <w:rsid w:val="5BA557F4"/>
    <w:rsid w:val="5C3E7DDB"/>
    <w:rsid w:val="5CA06501"/>
    <w:rsid w:val="5D090FC9"/>
    <w:rsid w:val="5D616655"/>
    <w:rsid w:val="5E112F6F"/>
    <w:rsid w:val="5E1455E7"/>
    <w:rsid w:val="5E4D291A"/>
    <w:rsid w:val="5E9E54E7"/>
    <w:rsid w:val="5F7128AF"/>
    <w:rsid w:val="5F850887"/>
    <w:rsid w:val="5FA2526B"/>
    <w:rsid w:val="5FAA3C47"/>
    <w:rsid w:val="5FB850F5"/>
    <w:rsid w:val="5FC12063"/>
    <w:rsid w:val="5FDC1404"/>
    <w:rsid w:val="5FF61953"/>
    <w:rsid w:val="600E54F4"/>
    <w:rsid w:val="606B09F8"/>
    <w:rsid w:val="606C77EB"/>
    <w:rsid w:val="607B75C7"/>
    <w:rsid w:val="60A827A3"/>
    <w:rsid w:val="60D51A59"/>
    <w:rsid w:val="60E82224"/>
    <w:rsid w:val="60F575C1"/>
    <w:rsid w:val="61147D5F"/>
    <w:rsid w:val="6141130F"/>
    <w:rsid w:val="61426DE4"/>
    <w:rsid w:val="61B17DFE"/>
    <w:rsid w:val="62070A08"/>
    <w:rsid w:val="622567A6"/>
    <w:rsid w:val="62601E58"/>
    <w:rsid w:val="62847EA7"/>
    <w:rsid w:val="62DB637F"/>
    <w:rsid w:val="62FA10BA"/>
    <w:rsid w:val="62FD5017"/>
    <w:rsid w:val="63296CF6"/>
    <w:rsid w:val="634624B2"/>
    <w:rsid w:val="63522758"/>
    <w:rsid w:val="63532130"/>
    <w:rsid w:val="63B77886"/>
    <w:rsid w:val="63C57EA5"/>
    <w:rsid w:val="63D615FE"/>
    <w:rsid w:val="640B7333"/>
    <w:rsid w:val="64582635"/>
    <w:rsid w:val="6469117D"/>
    <w:rsid w:val="64871562"/>
    <w:rsid w:val="64EA7FB1"/>
    <w:rsid w:val="64EC6C5A"/>
    <w:rsid w:val="653D7AF3"/>
    <w:rsid w:val="655E7666"/>
    <w:rsid w:val="6569254B"/>
    <w:rsid w:val="658D3BDA"/>
    <w:rsid w:val="65B119A5"/>
    <w:rsid w:val="65F916BF"/>
    <w:rsid w:val="6602534E"/>
    <w:rsid w:val="6622535F"/>
    <w:rsid w:val="663A6D90"/>
    <w:rsid w:val="66565CBE"/>
    <w:rsid w:val="670E76D1"/>
    <w:rsid w:val="67326007"/>
    <w:rsid w:val="67574E33"/>
    <w:rsid w:val="675C4146"/>
    <w:rsid w:val="67D77C44"/>
    <w:rsid w:val="67DE460B"/>
    <w:rsid w:val="68645048"/>
    <w:rsid w:val="6884286B"/>
    <w:rsid w:val="690459DC"/>
    <w:rsid w:val="690B7AFD"/>
    <w:rsid w:val="69404AFD"/>
    <w:rsid w:val="694F2539"/>
    <w:rsid w:val="69543567"/>
    <w:rsid w:val="6A6D318E"/>
    <w:rsid w:val="6A90444F"/>
    <w:rsid w:val="6A930078"/>
    <w:rsid w:val="6AAE2501"/>
    <w:rsid w:val="6AFC4C50"/>
    <w:rsid w:val="6AFF6DD9"/>
    <w:rsid w:val="6B2031BA"/>
    <w:rsid w:val="6B206811"/>
    <w:rsid w:val="6B274553"/>
    <w:rsid w:val="6B456FE3"/>
    <w:rsid w:val="6B6721F6"/>
    <w:rsid w:val="6B713444"/>
    <w:rsid w:val="6B7A60D6"/>
    <w:rsid w:val="6B9F6D44"/>
    <w:rsid w:val="6BF26F47"/>
    <w:rsid w:val="6C203A9A"/>
    <w:rsid w:val="6C385BB0"/>
    <w:rsid w:val="6C43246F"/>
    <w:rsid w:val="6CA6506C"/>
    <w:rsid w:val="6CB75CCD"/>
    <w:rsid w:val="6CB84D0B"/>
    <w:rsid w:val="6D2D26D4"/>
    <w:rsid w:val="6D425E8D"/>
    <w:rsid w:val="6D550E72"/>
    <w:rsid w:val="6D6F7597"/>
    <w:rsid w:val="6DA84871"/>
    <w:rsid w:val="6DD662C6"/>
    <w:rsid w:val="6E2A4841"/>
    <w:rsid w:val="6E411486"/>
    <w:rsid w:val="6E6602A3"/>
    <w:rsid w:val="6E9303C1"/>
    <w:rsid w:val="6EAE7221"/>
    <w:rsid w:val="6ECF03D4"/>
    <w:rsid w:val="6EEA4B30"/>
    <w:rsid w:val="6EEB1850"/>
    <w:rsid w:val="6F313CA3"/>
    <w:rsid w:val="6FBE7937"/>
    <w:rsid w:val="6FC02C16"/>
    <w:rsid w:val="6FF6475E"/>
    <w:rsid w:val="70093B7A"/>
    <w:rsid w:val="70184EA3"/>
    <w:rsid w:val="704C5807"/>
    <w:rsid w:val="70673B2B"/>
    <w:rsid w:val="70687850"/>
    <w:rsid w:val="7070566E"/>
    <w:rsid w:val="707A1033"/>
    <w:rsid w:val="70CB53E1"/>
    <w:rsid w:val="70E45041"/>
    <w:rsid w:val="70ED01E4"/>
    <w:rsid w:val="714E12CF"/>
    <w:rsid w:val="71561022"/>
    <w:rsid w:val="717604C9"/>
    <w:rsid w:val="7207078C"/>
    <w:rsid w:val="7209016D"/>
    <w:rsid w:val="7259341C"/>
    <w:rsid w:val="728B00C1"/>
    <w:rsid w:val="72BA43E6"/>
    <w:rsid w:val="734521A8"/>
    <w:rsid w:val="73707E67"/>
    <w:rsid w:val="73776F50"/>
    <w:rsid w:val="73790E37"/>
    <w:rsid w:val="737A7538"/>
    <w:rsid w:val="73AA7D0C"/>
    <w:rsid w:val="73E922BE"/>
    <w:rsid w:val="741F0C23"/>
    <w:rsid w:val="743439CA"/>
    <w:rsid w:val="748F3308"/>
    <w:rsid w:val="74BC7F66"/>
    <w:rsid w:val="74C44D3C"/>
    <w:rsid w:val="74DD127A"/>
    <w:rsid w:val="75260EE2"/>
    <w:rsid w:val="753D1C2F"/>
    <w:rsid w:val="75590BA4"/>
    <w:rsid w:val="75686B98"/>
    <w:rsid w:val="75874327"/>
    <w:rsid w:val="766C1E9B"/>
    <w:rsid w:val="7677072C"/>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BE2A91"/>
    <w:rsid w:val="79CF1C14"/>
    <w:rsid w:val="79F301DD"/>
    <w:rsid w:val="79F9757E"/>
    <w:rsid w:val="7A290C7B"/>
    <w:rsid w:val="7A6634A8"/>
    <w:rsid w:val="7A697D45"/>
    <w:rsid w:val="7A7F2AA0"/>
    <w:rsid w:val="7A992CC0"/>
    <w:rsid w:val="7AE42B80"/>
    <w:rsid w:val="7B3A50B0"/>
    <w:rsid w:val="7B8B2C1D"/>
    <w:rsid w:val="7BCA3B47"/>
    <w:rsid w:val="7BD020E4"/>
    <w:rsid w:val="7BDE06A1"/>
    <w:rsid w:val="7BFD07D5"/>
    <w:rsid w:val="7C01614C"/>
    <w:rsid w:val="7CAC2026"/>
    <w:rsid w:val="7D12020E"/>
    <w:rsid w:val="7D2F0819"/>
    <w:rsid w:val="7D2F33BE"/>
    <w:rsid w:val="7D793C28"/>
    <w:rsid w:val="7D8C0F6F"/>
    <w:rsid w:val="7DA062E2"/>
    <w:rsid w:val="7E517338"/>
    <w:rsid w:val="7E9771C1"/>
    <w:rsid w:val="7EB604BE"/>
    <w:rsid w:val="7EC33344"/>
    <w:rsid w:val="7F143B0B"/>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7077</Words>
  <Characters>17743</Characters>
  <Lines>395</Lines>
  <Paragraphs>111</Paragraphs>
  <TotalTime>0</TotalTime>
  <ScaleCrop>false</ScaleCrop>
  <LinksUpToDate>false</LinksUpToDate>
  <CharactersWithSpaces>19435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2024-06-12T07:03:14Z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