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/>
    <w:p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{% if PDInfo == undefined %}中国人群BRCA1/2基因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分子分型研究{% else %}中国人群BRCA1/2基因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分子分型研究+PD-L1检测报告{% endif %}</w:t>
      </w:r>
    </w:p>
    <w:p>
      <w:pPr>
        <w:pStyle w:val="6"/>
        <w:rPr>
          <w:rFonts w:ascii="黑体"/>
          <w:sz w:val="48"/>
          <w:lang w:eastAsia="zh-CN"/>
        </w:rPr>
      </w:pPr>
    </w:p>
    <w:tbl>
      <w:tblPr>
        <w:tblStyle w:val="15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6"/>
              <w:jc w:val="center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{{ client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reportdate }}</w:t>
            </w:r>
          </w:p>
        </w:tc>
      </w:tr>
    </w:tbl>
    <w:p>
      <w:pPr>
        <w:pStyle w:val="6"/>
        <w:rPr>
          <w:rFonts w:ascii="黑体"/>
          <w:sz w:val="48"/>
          <w:lang w:eastAsia="zh-CN"/>
        </w:rPr>
      </w:pPr>
    </w:p>
    <w:p>
      <w:pPr>
        <w:pStyle w:val="6"/>
        <w:rPr>
          <w:rFonts w:ascii="Times New Roman" w:hAnsi="Times New Roman" w:eastAsia="微软雅黑" w:cs="Times New Roman"/>
          <w:sz w:val="30"/>
          <w:szCs w:val="30"/>
          <w:lang w:eastAsia="zh-CN"/>
        </w:rPr>
      </w:pPr>
    </w:p>
    <w:p>
      <w:pPr>
        <w:tabs>
          <w:tab w:val="left" w:pos="6082"/>
          <w:tab w:val="left" w:pos="6324"/>
          <w:tab w:val="left" w:pos="9183"/>
        </w:tabs>
        <w:spacing w:before="411" w:line="308" w:lineRule="auto"/>
        <w:ind w:right="2699"/>
        <w:jc w:val="both"/>
        <w:rPr>
          <w:sz w:val="30"/>
          <w:u w:val="single"/>
          <w:lang w:eastAsia="zh-CN"/>
        </w:rPr>
        <w:sectPr>
          <w:headerReference r:id="rId3" w:type="default"/>
          <w:headerReference r:id="rId4" w:type="even"/>
          <w:pgSz w:w="11905" w:h="16838"/>
          <w:pgMar w:top="1037" w:right="1020" w:bottom="981" w:left="102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0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color w:val="auto"/>
          <w:sz w:val="36"/>
          <w:szCs w:val="36"/>
          <w:lang w:val="en-US" w:eastAsia="zh-CN"/>
        </w:rPr>
        <w:t>Content</w:t>
      </w:r>
    </w:p>
    <w:p>
      <w:pPr>
        <w:rPr>
          <w:lang w:eastAsia="zh-CN"/>
        </w:rPr>
      </w:pPr>
    </w:p>
    <w:p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_Toc4459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_Toc4459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_Toc17542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_Toc17542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_Toc4356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检测结果</w:t>
      </w:r>
      <w:r>
        <w:rPr>
          <w:rFonts w:hint="eastAsia" w:ascii="Times New Roman" w:hAnsi="Times New Roman" w:eastAsia="微软雅黑" w:cs="宋体"/>
          <w:b/>
          <w:color w:val="62B541"/>
          <w:sz w:val="32"/>
          <w:lang w:val="en-US" w:eastAsia="zh-CN"/>
        </w:rPr>
        <w:t>总览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_Toc4356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_Toc15559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检测结果小结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_Toc15559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_Toc32184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default" w:ascii="Times New Roman" w:hAnsi="Times New Roman" w:eastAsia="微软雅黑" w:cs="宋体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_Toc32184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2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_Toc18026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结果提示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_Toc18026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2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%}</w:t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_Toc302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PD-L1检测结果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_Toc302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5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%}{%if geneticCancerRiskInfo %}</w:t>
      </w:r>
    </w:p>
    <w:p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_Toc11267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_Toc11267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7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_Toc3350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变异</w:t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结果解析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_Toc3350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7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bookmarkStart w:id="0" w:name="OLE_LINK10"/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</w:t>
      </w:r>
      <w:bookmarkEnd w:id="0"/>
    </w:p>
    <w:p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_Toc11355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_Toc11355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9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_Toc4476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样本质控情况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_Toc4476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9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_Toc14841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BRCA1&amp;BRCA2基因背景介绍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_Toc14841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10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_Toc5846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易感人群特征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_Toc5846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_Toc21441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检测方法与局限性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_Toc21441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13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_Toc4517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参考文献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_Toc4517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14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>
      <w:pPr>
        <w:tabs>
          <w:tab w:val="left" w:pos="1650"/>
        </w:tabs>
        <w:sectPr>
          <w:headerReference r:id="rId5" w:type="default"/>
          <w:footerReference r:id="rId6" w:type="default"/>
          <w:pgSz w:w="11905" w:h="16838"/>
          <w:pgMar w:top="1037" w:right="1020" w:bottom="981" w:left="102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299" w:charSpace="0"/>
        </w:sectPr>
      </w:pPr>
      <w:r>
        <w:rPr>
          <w:lang w:eastAsia="zh-CN"/>
        </w:rPr>
        <w:fldChar w:fldCharType="end"/>
      </w:r>
      <w:bookmarkStart w:id="1" w:name="_Toc24178_WPSOffice_Level1"/>
      <w:bookmarkStart w:id="2" w:name="_Toc21009_WPSOffice_Level1"/>
      <w:bookmarkStart w:id="3" w:name="_Toc21669"/>
      <w:bookmarkStart w:id="4" w:name="_Toc30143_WPSOffice_Level1"/>
      <w:bookmarkStart w:id="5" w:name="_Toc13806"/>
    </w:p>
    <w:p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4459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1"/>
      <w:bookmarkEnd w:id="2"/>
      <w:bookmarkEnd w:id="3"/>
      <w:bookmarkEnd w:id="4"/>
      <w:bookmarkEnd w:id="5"/>
      <w:bookmarkEnd w:id="6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bookmarkStart w:id="7" w:name="OLE_LINK12"/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  <w:bookmarkEnd w:id="7"/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18062_WPSOffice_Level1"/>
      <w:bookmarkStart w:id="9" w:name="_Toc17451"/>
      <w:bookmarkStart w:id="10" w:name="_Toc11015_WPSOffice_Level1"/>
      <w:bookmarkStart w:id="11" w:name="_Toc17542"/>
      <w:bookmarkStart w:id="12" w:name="_Toc7021_WPSOffice_Level1"/>
      <w:bookmarkStart w:id="13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8"/>
      <w:bookmarkEnd w:id="9"/>
      <w:bookmarkEnd w:id="10"/>
      <w:bookmarkEnd w:id="11"/>
      <w:bookmarkEnd w:id="12"/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4" w:name="_Toc18058"/>
      <w:bookmarkStart w:id="15" w:name="_Toc23369_WPSOffice_Level1"/>
      <w:bookmarkStart w:id="16" w:name="_Toc6221_WPSOffice_Level1"/>
      <w:bookmarkStart w:id="17" w:name="_Toc25920"/>
      <w:bookmarkStart w:id="18" w:name="_Toc4356"/>
      <w:bookmarkStart w:id="19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4"/>
      <w:bookmarkEnd w:id="15"/>
      <w:bookmarkEnd w:id="16"/>
      <w:bookmarkEnd w:id="17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8"/>
      <w:bookmarkStart w:id="98" w:name="_GoBack"/>
      <w:bookmarkEnd w:id="98"/>
    </w:p>
    <w:p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20" w:name="OLE_LINK13"/>
      <w:bookmarkStart w:id="21" w:name="_Toc15559"/>
      <w:bookmarkStart w:id="22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0"/>
      <w:bookmarkEnd w:id="21"/>
      <w:bookmarkEnd w:id="22"/>
    </w:p>
    <w:tbl>
      <w:tblPr>
        <w:tblStyle w:val="14"/>
        <w:tblpPr w:leftFromText="181" w:rightFromText="181" w:vertAnchor="text" w:horzAnchor="page" w:tblpXSpec="center" w:tblpY="114"/>
        <w:tblOverlap w:val="never"/>
        <w:tblW w:w="9932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8"/>
        <w:gridCol w:w="6014"/>
      </w:tblGrid>
      <w:tr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>
      <w:pPr>
        <w:ind w:left="0" w:leftChars="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>
      <w:pPr>
        <w:numPr>
          <w:ilvl w:val="0"/>
          <w:numId w:val="6"/>
        </w:numPr>
        <w:ind w:left="755" w:leftChars="0" w:hanging="75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>
      <w:pPr>
        <w:numPr>
          <w:ilvl w:val="0"/>
          <w:numId w:val="6"/>
        </w:numPr>
        <w:ind w:left="755" w:leftChars="0" w:hanging="755" w:firstLineChars="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该样本测序深度不足，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风险出具，检测结果仅供参考。{% endif %}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br w:type="page"/>
      </w:r>
    </w:p>
    <w:bookmarkEnd w:id="13"/>
    <w:bookmarkEnd w:id="19"/>
    <w:p>
      <w:pPr>
        <w:pStyle w:val="2"/>
        <w:numPr>
          <w:ilvl w:val="0"/>
          <w:numId w:val="0"/>
        </w:numPr>
        <w:jc w:val="both"/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3" w:name="_Toc32184"/>
      <w:bookmarkStart w:id="24" w:name="_Toc19898_WPSOffice_Level1"/>
      <w:bookmarkStart w:id="25" w:name="_Toc22132"/>
      <w:bookmarkStart w:id="26" w:name="_Toc2781"/>
      <w:bookmarkStart w:id="27" w:name="_Toc31696"/>
      <w:bookmarkStart w:id="28" w:name="_Toc20136_WPSOffice_Level1"/>
      <w:bookmarkStart w:id="29" w:name="_Toc25727"/>
      <w:bookmarkStart w:id="30" w:name="_Toc23903"/>
      <w:bookmarkStart w:id="31" w:name="_Toc32443_WPSOffice_Level1"/>
      <w:bookmarkStart w:id="32" w:name="_Toc23846_WPSOffice_Level1"/>
      <w:bookmarkStart w:id="33" w:name="_Toc4331_WPSOffice_Level1"/>
      <w:r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23"/>
      <w:bookmarkEnd w:id="24"/>
      <w:bookmarkEnd w:id="25"/>
      <w:bookmarkEnd w:id="26"/>
      <w:bookmarkEnd w:id="27"/>
      <w:bookmarkEnd w:id="28"/>
    </w:p>
    <w:p>
      <w:pPr>
        <w:pStyle w:val="3"/>
        <w:numPr>
          <w:ilvl w:val="255"/>
          <w:numId w:val="0"/>
        </w:numPr>
        <w:jc w:val="left"/>
      </w:pPr>
      <w:bookmarkStart w:id="34" w:name="_Toc149837259"/>
      <w:bookmarkStart w:id="35" w:name="_Toc4979"/>
      <w:bookmarkStart w:id="36" w:name="_Toc18026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34"/>
      <w:bookmarkEnd w:id="35"/>
      <w:bookmarkEnd w:id="36"/>
    </w:p>
    <w:p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。{%if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{%tr if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or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可能致病性变异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FF0000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cr.Clinical_significance }}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cr.Clinical_significance }}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1778"/>
        <w:gridCol w:w="1291"/>
        <w:gridCol w:w="1075"/>
        <w:gridCol w:w="2251"/>
        <w:gridCol w:w="2255"/>
      </w:tblGrid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本次检测未发现靶药相关致病性及可能致病性变异位点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>
      <w:pPr>
        <w:rPr>
          <w:rFonts w:ascii="Times New Roman" w:hAnsi="Times New Roman" w:eastAsia="微软雅黑" w:cs="黑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sz w:val="30"/>
          <w:szCs w:val="30"/>
          <w:lang w:eastAsia="zh-CN"/>
        </w:rPr>
        <w:br w:type="page"/>
      </w:r>
    </w:p>
    <w:p>
      <w:pPr>
        <w:rPr>
          <w:rFonts w:ascii="Times New Roman" w:hAnsi="Times New Roman" w:eastAsia="微软雅黑" w:cs="Times New Roman"/>
          <w:sz w:val="18"/>
          <w:szCs w:val="18"/>
          <w:highlight w:val="none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%}</w:t>
      </w:r>
    </w:p>
    <w:p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highlight w:val="none"/>
          <w:lang w:eastAsia="zh-CN"/>
        </w:rPr>
      </w:pPr>
      <w:bookmarkStart w:id="37" w:name="_Toc10223"/>
      <w:bookmarkStart w:id="38" w:name="_Toc106719764"/>
      <w:bookmarkStart w:id="39" w:name="_Toc20034"/>
      <w:bookmarkStart w:id="40" w:name="_Toc302"/>
      <w:r>
        <w:rPr>
          <w:rFonts w:hint="eastAsia"/>
          <w:color w:val="auto"/>
          <w:sz w:val="30"/>
          <w:highlight w:val="none"/>
          <w:lang w:eastAsia="zh-CN"/>
        </w:rPr>
        <w:t>PD-L1检测结果</w:t>
      </w:r>
      <w:bookmarkEnd w:id="37"/>
      <w:bookmarkEnd w:id="38"/>
      <w:bookmarkEnd w:id="39"/>
      <w:bookmarkEnd w:id="40"/>
    </w:p>
    <w:p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5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>
            <w:pPr>
              <w:pStyle w:val="42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>
            <w:pPr>
              <w:pStyle w:val="43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4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>
            <w:pPr>
              <w:pStyle w:val="44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>
            <w:pPr>
              <w:pStyle w:val="44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5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>
      <w:pPr>
        <w:pStyle w:val="6"/>
        <w:spacing w:before="18"/>
        <w:rPr>
          <w:b/>
          <w:sz w:val="6"/>
        </w:rPr>
      </w:pPr>
    </w:p>
    <w:tbl>
      <w:tblPr>
        <w:tblStyle w:val="14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End w:id="29"/>
      <w:bookmarkEnd w:id="30"/>
      <w:bookmarkEnd w:id="31"/>
      <w:bookmarkEnd w:id="32"/>
      <w:bookmarkEnd w:id="33"/>
      <w:bookmarkStart w:id="41" w:name="_Toc6931_WPSOffice_Level3"/>
      <w:bookmarkStart w:id="42" w:name="_Toc15289_WPSOffice_Level3"/>
      <w:bookmarkStart w:id="43" w:name="_Toc26395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{%if geneticCancerRiskInfo %}</w:t>
      </w:r>
    </w:p>
    <w:p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bookmarkStart w:id="44" w:name="_Toc1566"/>
      <w:bookmarkStart w:id="45" w:name="_Toc11267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44"/>
      <w:bookmarkEnd w:id="45"/>
    </w:p>
    <w:p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46" w:name="_Toc3350"/>
      <w:bookmarkStart w:id="47" w:name="_Toc5547"/>
      <w:bookmarkStart w:id="48" w:name="_Toc149837265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46"/>
    </w:p>
    <w:p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for tdd in geneticCancerRiskInfo %}</w:t>
      </w:r>
      <w:bookmarkEnd w:id="47"/>
      <w:bookmarkEnd w:id="48"/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 xml:space="preserve">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pStyle w:val="25"/>
        <w:rPr>
          <w:color w:val="auto"/>
          <w:sz w:val="16"/>
        </w:rPr>
      </w:pPr>
      <w:r>
        <w:rPr>
          <w:rFonts w:hint="eastAsia" w:ascii="Times New Roman" w:hAnsi="Times New Roman" w:eastAsia="微软雅黑" w:cs="Times New Roman"/>
          <w:b w:val="0"/>
          <w:bCs/>
          <w:color w:val="auto"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</w:p>
    <w:bookmarkEnd w:id="41"/>
    <w:bookmarkEnd w:id="42"/>
    <w:bookmarkEnd w:id="43"/>
    <w:p>
      <w:pPr>
        <w:bidi w:val="0"/>
        <w:rPr>
          <w:rFonts w:hint="eastAsia"/>
        </w:rPr>
      </w:pPr>
      <w:bookmarkStart w:id="49" w:name="_Toc28240"/>
      <w:bookmarkStart w:id="50" w:name="_Toc1707_WPSOffice_Level1"/>
      <w:bookmarkStart w:id="51" w:name="_Toc27302"/>
      <w:bookmarkStart w:id="52" w:name="_Toc21764_WPSOffice_Level1"/>
      <w:bookmarkStart w:id="53" w:name="_Toc13196_WPSOffice_Level1"/>
      <w:r>
        <w:rPr>
          <w:rFonts w:hint="eastAsia"/>
          <w:color w:val="auto"/>
          <w:sz w:val="20"/>
          <w:szCs w:val="20"/>
        </w:rPr>
        <w:t>{% endif %}</w:t>
      </w:r>
    </w:p>
    <w:p>
      <w:pPr>
        <w:numPr>
          <w:ilvl w:val="-1"/>
          <w:numId w:val="0"/>
        </w:numPr>
        <w:ind w:left="0" w:firstLine="0"/>
        <w:jc w:val="both"/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4" w:name="_Toc11355"/>
      <w:r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49"/>
      <w:bookmarkEnd w:id="50"/>
      <w:bookmarkEnd w:id="51"/>
      <w:bookmarkEnd w:id="52"/>
      <w:bookmarkEnd w:id="53"/>
    </w:p>
    <w:bookmarkEnd w:id="54"/>
    <w:p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val="en-US" w:eastAsia="zh-CN"/>
        </w:rPr>
      </w:pPr>
      <w:bookmarkStart w:id="55" w:name="_Toc4476"/>
      <w:bookmarkStart w:id="56" w:name="_Toc3674"/>
      <w:bookmarkStart w:id="57" w:name="_Toc14255_WPSOffice_Level1"/>
      <w:bookmarkStart w:id="58" w:name="_Toc24085_WPSOffice_Level1"/>
      <w:bookmarkStart w:id="59" w:name="_Toc15840_WPSOffice_Level1"/>
      <w:bookmarkStart w:id="60" w:name="_Toc9066"/>
      <w:bookmarkStart w:id="61" w:name="_Hlk33190413"/>
      <w:bookmarkStart w:id="62" w:name="_Toc18699"/>
      <w:bookmarkStart w:id="63" w:name="_Toc28810_WPSOffice_Level1"/>
      <w:bookmarkStart w:id="64" w:name="_Toc11193_WPSOffice_Level1"/>
      <w:bookmarkStart w:id="65" w:name="_Toc11896_WPSOffice_Level1"/>
      <w:r>
        <w:rPr>
          <w:rFonts w:hint="eastAsia" w:ascii="Times New Roman" w:hAnsi="Times New Roman"/>
          <w:color w:val="auto"/>
          <w:sz w:val="30"/>
          <w:lang w:val="en-US" w:eastAsia="zh-CN"/>
        </w:rPr>
        <w:t>样本质控情况</w:t>
      </w:r>
      <w:bookmarkEnd w:id="55"/>
      <w:bookmarkEnd w:id="56"/>
      <w:bookmarkEnd w:id="57"/>
      <w:bookmarkEnd w:id="58"/>
      <w:bookmarkEnd w:id="59"/>
      <w:bookmarkEnd w:id="60"/>
    </w:p>
    <w:p>
      <w:pPr>
        <w:rPr>
          <w:lang w:eastAsia="zh-CN"/>
        </w:rPr>
      </w:pPr>
    </w:p>
    <w:p>
      <w:pPr>
        <w:pStyle w:val="6"/>
        <w:rPr>
          <w:b/>
          <w:sz w:val="6"/>
        </w:rPr>
      </w:pPr>
    </w:p>
    <w:tbl>
      <w:tblPr>
        <w:tblStyle w:val="14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A4A4A4" w:sz="4" w:space="0"/>
          <w:right w:val="single" w:color="416AAB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tcBorders>
              <w:top w:val="nil"/>
              <w:lef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shd w:val="clear" w:color="auto" w:fill="auto"/>
            <w:vAlign w:val="center"/>
          </w:tcPr>
          <w:p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shd w:val="clear" w:color="auto" w:fill="auto"/>
            <w:vAlign w:val="center"/>
          </w:tcPr>
          <w:p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00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shd w:val="clear" w:color="auto" w:fill="auto"/>
            <w:vAlign w:val="center"/>
          </w:tcPr>
          <w:p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shd w:val="clear" w:color="auto" w:fill="auto"/>
            <w:vAlign w:val="center"/>
          </w:tcPr>
          <w:p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  <w:jc w:val="center"/>
        </w:trPr>
        <w:tc>
          <w:tcPr>
            <w:tcW w:w="1984" w:type="dxa"/>
            <w:tcBorders>
              <w:left w:val="nil"/>
            </w:tcBorders>
            <w:shd w:val="clear" w:color="auto" w:fill="F1F1F1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right w:val="nil"/>
            </w:tcBorders>
            <w:shd w:val="clear" w:color="auto" w:fill="F1F1F1"/>
            <w:vAlign w:val="center"/>
          </w:tcPr>
          <w:p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>
      <w:pPr>
        <w:spacing w:before="47"/>
        <w:rPr>
          <w:rFonts w:hint="default" w:ascii="Times New Roman" w:hAnsi="Times New Roman" w:eastAsia="微软雅黑" w:cs="Times New Roman"/>
          <w:b/>
          <w:b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注：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highlight w:val="none"/>
          <w:lang w:eastAsia="zh-CN"/>
        </w:rPr>
      </w:pPr>
      <w:bookmarkStart w:id="66" w:name="_Toc14841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BRCA1&amp;BRCA2</w:t>
      </w:r>
      <w:bookmarkEnd w:id="61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基因背景介绍</w:t>
      </w:r>
      <w:bookmarkEnd w:id="62"/>
      <w:bookmarkEnd w:id="66"/>
    </w:p>
    <w:p>
      <w:pPr>
        <w:spacing w:before="26"/>
        <w:jc w:val="both"/>
        <w:rPr>
          <w:rFonts w:ascii="Times New Roman" w:hAnsi="Times New Roman" w:eastAsia="微软雅黑" w:cs="Times New Roman"/>
          <w:sz w:val="8"/>
          <w:highlight w:val="none"/>
          <w:lang w:eastAsia="zh-CN"/>
        </w:rPr>
      </w:pPr>
      <w:r>
        <w:rPr>
          <w:rFonts w:ascii="Times New Roman" w:hAnsi="Times New Roman" w:eastAsia="微软雅黑" w:cs="Times New Roman"/>
          <w:highlight w:val="none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highlight w:val="none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highlight w:val="none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>
      <w:pPr>
        <w:spacing w:before="26"/>
        <w:rPr>
          <w:rFonts w:ascii="Times New Roman" w:hAnsi="Times New Roman" w:eastAsia="微软雅黑" w:cs="Times New Roman"/>
          <w:sz w:val="18"/>
          <w:szCs w:val="18"/>
          <w:highlight w:val="yellow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highlight w:val="none"/>
          <w:lang w:eastAsia="zh-CN"/>
        </w:rPr>
        <w:t>a数据出自世界范围内人群的调查，中国人群的BRCA有害突变携带者患病比例和其有一定的差异。</w:t>
      </w:r>
    </w:p>
    <w:p>
      <w:pPr>
        <w:spacing w:before="26"/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  <w:t>BRCA1&amp;BRCA2基因说明及用药提示</w:t>
      </w:r>
      <w:bookmarkStart w:id="67" w:name="_Hlk33179213"/>
    </w:p>
    <w:bookmarkEnd w:id="67"/>
    <w:tbl>
      <w:tblPr>
        <w:tblStyle w:val="14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>
            <w:pPr>
              <w:pStyle w:val="20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  <w:lang w:eastAsia="zh-CN"/>
              </w:rPr>
              <w:t>用药提示（仅供参考）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{%tr for brca in brcaGeneSpecification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>
            <w:pPr>
              <w:pStyle w:val="20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>
            <w:pPr>
              <w:pStyle w:val="20"/>
              <w:ind w:left="119" w:leftChars="0" w:right="40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>
            <w:pPr>
              <w:pStyle w:val="20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{% for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brca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.drugAndsuperscript %}{%if loop.last%}{{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{%else%}{{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、</w:t>
            </w:r>
          </w:p>
          <w:p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{%endif%}{% endfor %}</w:t>
            </w:r>
          </w:p>
          <w:p>
            <w:pPr>
              <w:pStyle w:val="20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</w:p>
        </w:tc>
        <w:tc>
          <w:tcPr>
            <w:tcW w:w="2549" w:type="dxa"/>
            <w:vAlign w:val="center"/>
          </w:tcPr>
          <w:p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brca.medication_suggestion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 xml:space="preserve">{%tr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>end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for %}</w:t>
            </w:r>
          </w:p>
        </w:tc>
      </w:tr>
    </w:tbl>
    <w:p>
      <w:pPr>
        <w:rPr>
          <w:rFonts w:ascii="微软雅黑 Light" w:hAnsi="微软雅黑 Light" w:eastAsia="微软雅黑 Light"/>
          <w:b/>
          <w:sz w:val="18"/>
          <w:szCs w:val="18"/>
          <w:highlight w:val="none"/>
        </w:rPr>
      </w:pPr>
      <w:r>
        <w:rPr>
          <w:rFonts w:ascii="微软雅黑 Light" w:hAnsi="微软雅黑 Light" w:eastAsia="微软雅黑 Light"/>
          <w:b/>
          <w:sz w:val="18"/>
          <w:szCs w:val="18"/>
          <w:highlight w:val="none"/>
        </w:rPr>
        <w:t>注：</w:t>
      </w:r>
    </w:p>
    <w:p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；</w:t>
      </w:r>
    </w:p>
    <w:p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表示临床试验的药物；</w:t>
      </w:r>
    </w:p>
    <w:p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br w:type="page"/>
      </w:r>
    </w:p>
    <w:p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68" w:name="_Toc5846"/>
      <w:bookmarkStart w:id="69" w:name="_Toc26220"/>
      <w:r>
        <w:rPr>
          <w:rFonts w:hint="eastAsia" w:ascii="Times New Roman" w:hAnsi="Times New Roman"/>
          <w:color w:val="auto"/>
          <w:sz w:val="30"/>
          <w:lang w:eastAsia="zh-CN"/>
        </w:rPr>
        <w:t>易感人群特征</w:t>
      </w:r>
      <w:bookmarkEnd w:id="68"/>
      <w:bookmarkEnd w:id="69"/>
    </w:p>
    <w:p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>
      <w:pPr>
        <w:widowControl/>
        <w:numPr>
          <w:ilvl w:val="0"/>
          <w:numId w:val="11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0" w:name="_Toc23769"/>
      <w:bookmarkStart w:id="71" w:name="_Toc9076"/>
      <w:bookmarkStart w:id="72" w:name="_Toc3846"/>
      <w:bookmarkStart w:id="73" w:name="_Toc32060"/>
      <w:bookmarkStart w:id="74" w:name="_Toc30922"/>
      <w:bookmarkStart w:id="75" w:name="_Toc8993"/>
      <w:bookmarkStart w:id="76" w:name="_Toc17547"/>
      <w:bookmarkStart w:id="77" w:name="_Toc5400"/>
      <w:r>
        <w:rPr>
          <w:b w:val="0"/>
          <w:bCs w:val="0"/>
          <w:color w:val="auto"/>
          <w:sz w:val="22"/>
          <w:szCs w:val="22"/>
        </w:rPr>
        <w:t>1 40岁以上，同时伴有≥1项下述者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8" w:name="_Toc3389"/>
      <w:bookmarkStart w:id="79" w:name="_Toc30105"/>
      <w:bookmarkStart w:id="80" w:name="_Toc126"/>
      <w:bookmarkStart w:id="81" w:name="_Toc22196"/>
      <w:bookmarkStart w:id="82" w:name="_Toc22915"/>
      <w:bookmarkStart w:id="83" w:name="_Toc24939"/>
      <w:bookmarkStart w:id="84" w:name="_Toc15385"/>
      <w:bookmarkStart w:id="85" w:name="_Toc10299"/>
      <w:r>
        <w:rPr>
          <w:b w:val="0"/>
          <w:bCs w:val="0"/>
          <w:color w:val="auto"/>
          <w:sz w:val="22"/>
          <w:szCs w:val="22"/>
        </w:rPr>
        <w:t>2 有胰腺癌家族史、糖尿病史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bookmarkEnd w:id="63"/>
    <w:bookmarkEnd w:id="64"/>
    <w:bookmarkEnd w:id="65"/>
    <w:p>
      <w:pPr>
        <w:rPr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br w:type="page"/>
      </w:r>
    </w:p>
    <w:p>
      <w:pPr>
        <w:pStyle w:val="3"/>
        <w:numPr>
          <w:ilvl w:val="255"/>
          <w:numId w:val="0"/>
        </w:numPr>
        <w:jc w:val="left"/>
        <w:rPr>
          <w:color w:val="auto"/>
          <w:sz w:val="30"/>
          <w:highlight w:val="none"/>
          <w:lang w:eastAsia="zh-CN"/>
        </w:rPr>
      </w:pPr>
      <w:bookmarkStart w:id="86" w:name="_Toc15114"/>
      <w:bookmarkStart w:id="87" w:name="_Toc21441"/>
      <w:bookmarkStart w:id="88" w:name="_Toc3409"/>
      <w:bookmarkStart w:id="89" w:name="_Toc20170_WPSOffice_Level1"/>
      <w:bookmarkStart w:id="90" w:name="_Toc28454_WPSOffice_Level1"/>
      <w:bookmarkStart w:id="91" w:name="_Toc26985_WPSOffice_Level1"/>
      <w:r>
        <w:rPr>
          <w:rFonts w:hint="eastAsia"/>
          <w:color w:val="auto"/>
          <w:sz w:val="30"/>
          <w:highlight w:val="none"/>
          <w:lang w:eastAsia="zh-CN"/>
        </w:rPr>
        <w:t>检测方法与局限性</w:t>
      </w:r>
      <w:bookmarkEnd w:id="86"/>
      <w:bookmarkEnd w:id="87"/>
      <w:bookmarkEnd w:id="88"/>
    </w:p>
    <w:p>
      <w:pPr>
        <w:rPr>
          <w:highlight w:val="yellow"/>
          <w:lang w:eastAsia="zh-CN"/>
        </w:rPr>
      </w:pPr>
    </w:p>
    <w:p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检测方法</w:t>
      </w:r>
    </w:p>
    <w:p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summaryOfRresults.productModularization.detection_method | nl() %}{%if loop.last%}{{ b }}{%else%}{{ b }}</w:t>
      </w:r>
    </w:p>
    <w:p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>
      <w:pP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</w:p>
    <w:p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局限性说明</w:t>
      </w:r>
    </w:p>
    <w:p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>
      <w:pPr>
        <w:rPr>
          <w:rFonts w:hint="eastAsia" w:ascii="Times New Roman" w:hAnsi="Times New Roman"/>
          <w:color w:val="auto"/>
          <w:sz w:val="30"/>
          <w:lang w:eastAsia="zh-CN"/>
        </w:rPr>
      </w:pPr>
      <w:r>
        <w:rPr>
          <w:rFonts w:hint="eastAsia" w:ascii="Times New Roman" w:hAnsi="Times New Roman"/>
          <w:color w:val="auto"/>
          <w:sz w:val="30"/>
          <w:lang w:eastAsia="zh-CN"/>
        </w:rPr>
        <w:br w:type="page"/>
      </w:r>
    </w:p>
    <w:bookmarkEnd w:id="89"/>
    <w:bookmarkEnd w:id="90"/>
    <w:bookmarkEnd w:id="91"/>
    <w:p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92" w:name="_Toc22162_WPSOffice_Level1"/>
      <w:bookmarkStart w:id="93" w:name="_Toc19584_WPSOffice_Level1"/>
      <w:bookmarkStart w:id="94" w:name="_Toc4517"/>
      <w:bookmarkStart w:id="95" w:name="_Toc13275"/>
      <w:bookmarkStart w:id="96" w:name="_Toc14611_WPSOffice_Level1"/>
      <w:bookmarkStart w:id="97" w:name="_Toc22623"/>
      <w:r>
        <w:rPr>
          <w:rFonts w:hint="eastAsia" w:ascii="Times New Roman" w:hAnsi="Times New Roman"/>
          <w:color w:val="auto"/>
          <w:sz w:val="30"/>
          <w:lang w:eastAsia="zh-CN"/>
        </w:rPr>
        <w:t>参考文献</w:t>
      </w:r>
      <w:bookmarkEnd w:id="92"/>
      <w:bookmarkEnd w:id="93"/>
      <w:bookmarkEnd w:id="94"/>
      <w:bookmarkEnd w:id="95"/>
    </w:p>
    <w:p>
      <w:pPr>
        <w:rPr>
          <w:lang w:eastAsia="zh-CN"/>
        </w:rPr>
      </w:pPr>
    </w:p>
    <w:bookmarkEnd w:id="96"/>
    <w:bookmarkEnd w:id="97"/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27241103]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25025451]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23765559]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25238946]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25849179]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20495085]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20034658]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20494261]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21324516]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23057551]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16835424]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23987739]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23459506]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25872896]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Chee Khoon Lee, Michael L Friedlander, Angelina Tjokrowidjaja, et al. Molecular and clinical predictors of improvement in progression‐free survival with maintenance PARP inhibitor therapy in women with platinum‐sensitive, recurrent ovarian cancer: A meta‐analysis[J]. Cancer, 2021. 127(14):2432-2441. [PMID: 33740262]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Arnold Lee. Fuzuloparib: First Approval[J]. Drugs. 2021, 81(10):1221-1226. [PMID: 34118019]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fldChar w:fldCharType="end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. Pamiparib: First Approval[J]. Drugs. 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2021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, et al. BRCA1 mislocalization leads to aberrant DNA damage response in heterozygous ABRAXAS1 mutation carrier cells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[J]. Hum Mol Genet, 2019,28(24):4148-4160.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31630195]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27318168]</w:t>
      </w:r>
    </w:p>
    <w:p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 2010, 124(1):283-8.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20512659]</w:t>
      </w:r>
    </w:p>
    <w:p>
      <w:pPr>
        <w:pStyle w:val="13"/>
        <w:widowControl/>
        <w:rPr>
          <w:rFonts w:ascii="Times New Roman" w:hAnsi="Times New Roman" w:eastAsia="等线"/>
          <w:sz w:val="22"/>
          <w:highlight w:val="none"/>
        </w:rPr>
      </w:pPr>
    </w:p>
    <w:sectPr>
      <w:headerReference r:id="rId7" w:type="default"/>
      <w:footerReference r:id="rId8" w:type="default"/>
      <w:pgSz w:w="11905" w:h="16838"/>
      <w:pgMar w:top="1037" w:right="1020" w:bottom="981" w:left="1020" w:header="85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val="en-US" w:eastAsia="zh-CN"/>
                            </w:rPr>
                            <w:instrText xml:space="preserve">2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EyFQwzAgAAYwQAAA4AAABkcnMvZTJvRG9jLnhtbK1UzY7TMBC+I/EO&#10;lu80aYGqqp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TdTSjRTqPjlx/fL&#10;z4fLr28EZxCotn6OuJ1FZGjemQZtM5x7HEbeTeFU/IIRgR/ynq/yiiYQHi/NJrNZCheHb9gAP3m8&#10;bp0P74VRJBoZdahfKys7bX3oQoeQmE2bTSVlW0OpSZ3R6eu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EyFQ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val="en-US" w:eastAsia="zh-CN"/>
                      </w:rPr>
                      <w:instrText xml:space="preserve">2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20" w:beforeLines="50"/>
      <w:jc w:val="right"/>
      <w:rPr>
        <w:color w:val="7F7F7F"/>
        <w:sz w:val="20"/>
        <w:szCs w:val="20"/>
        <w:lang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0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01939"/>
    <w:rsid w:val="011A0D8B"/>
    <w:rsid w:val="01200570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492BAA"/>
    <w:rsid w:val="05A815F4"/>
    <w:rsid w:val="067768A4"/>
    <w:rsid w:val="069D414D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BA7D6D"/>
    <w:rsid w:val="0BFF4523"/>
    <w:rsid w:val="0C3A0C95"/>
    <w:rsid w:val="0C3E5385"/>
    <w:rsid w:val="0C96240B"/>
    <w:rsid w:val="0C9C7F73"/>
    <w:rsid w:val="0D2E3A92"/>
    <w:rsid w:val="0D6143A4"/>
    <w:rsid w:val="0D71225A"/>
    <w:rsid w:val="0DB72312"/>
    <w:rsid w:val="0DF210E4"/>
    <w:rsid w:val="0E0A4A44"/>
    <w:rsid w:val="0E11445D"/>
    <w:rsid w:val="0E1307EF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1144A7E"/>
    <w:rsid w:val="1143495E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6D46F11"/>
    <w:rsid w:val="17482F1B"/>
    <w:rsid w:val="17BA680D"/>
    <w:rsid w:val="17EF172D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B1CCD"/>
    <w:rsid w:val="1DAE6F6E"/>
    <w:rsid w:val="1DE03A12"/>
    <w:rsid w:val="1E517E32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62525F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870460"/>
    <w:rsid w:val="27D66E1E"/>
    <w:rsid w:val="27E004F2"/>
    <w:rsid w:val="27F27066"/>
    <w:rsid w:val="28707737"/>
    <w:rsid w:val="28B74238"/>
    <w:rsid w:val="293B2954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F300935"/>
    <w:rsid w:val="2F5813F2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7E5409"/>
    <w:rsid w:val="35B3556B"/>
    <w:rsid w:val="35F5325E"/>
    <w:rsid w:val="360326C8"/>
    <w:rsid w:val="36251143"/>
    <w:rsid w:val="362E0676"/>
    <w:rsid w:val="36350561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902B51"/>
    <w:rsid w:val="39BC590A"/>
    <w:rsid w:val="3CA02650"/>
    <w:rsid w:val="3D1C54C3"/>
    <w:rsid w:val="3D1E52E4"/>
    <w:rsid w:val="3D515A29"/>
    <w:rsid w:val="3D6C60E9"/>
    <w:rsid w:val="3D855C98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CE4733"/>
    <w:rsid w:val="42DF0F29"/>
    <w:rsid w:val="42E96B02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C108F4"/>
    <w:rsid w:val="4DD83BC7"/>
    <w:rsid w:val="4E135FA8"/>
    <w:rsid w:val="4E9C6F05"/>
    <w:rsid w:val="4EC52594"/>
    <w:rsid w:val="4ED24E8A"/>
    <w:rsid w:val="503A0EF6"/>
    <w:rsid w:val="504704F1"/>
    <w:rsid w:val="50AB59C1"/>
    <w:rsid w:val="511416C5"/>
    <w:rsid w:val="51184C27"/>
    <w:rsid w:val="51521F59"/>
    <w:rsid w:val="520B5239"/>
    <w:rsid w:val="524F55DC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0260D"/>
    <w:rsid w:val="56BE67A9"/>
    <w:rsid w:val="573568BB"/>
    <w:rsid w:val="575B708E"/>
    <w:rsid w:val="57AE4059"/>
    <w:rsid w:val="57B51456"/>
    <w:rsid w:val="57BB7D3A"/>
    <w:rsid w:val="57C733D2"/>
    <w:rsid w:val="57C96345"/>
    <w:rsid w:val="580D6958"/>
    <w:rsid w:val="582735C7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A90690D"/>
    <w:rsid w:val="5B2F358E"/>
    <w:rsid w:val="5C1D56F3"/>
    <w:rsid w:val="5C1D57FF"/>
    <w:rsid w:val="5C28702B"/>
    <w:rsid w:val="5C8C6A8B"/>
    <w:rsid w:val="5CCE20CE"/>
    <w:rsid w:val="5D090FC9"/>
    <w:rsid w:val="5DE923B9"/>
    <w:rsid w:val="5EE43933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EC6B7E"/>
    <w:rsid w:val="640B7333"/>
    <w:rsid w:val="643F07E6"/>
    <w:rsid w:val="6469117D"/>
    <w:rsid w:val="64AC5747"/>
    <w:rsid w:val="64EC6C5A"/>
    <w:rsid w:val="6517290F"/>
    <w:rsid w:val="6584207D"/>
    <w:rsid w:val="659A6D3E"/>
    <w:rsid w:val="65B119A5"/>
    <w:rsid w:val="65B14162"/>
    <w:rsid w:val="65FB0593"/>
    <w:rsid w:val="664A244C"/>
    <w:rsid w:val="670E76D1"/>
    <w:rsid w:val="673C24CA"/>
    <w:rsid w:val="67620161"/>
    <w:rsid w:val="679C3EC4"/>
    <w:rsid w:val="67D77C44"/>
    <w:rsid w:val="67F15F78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5D3B97"/>
    <w:rsid w:val="6C8E458B"/>
    <w:rsid w:val="6CBB6C46"/>
    <w:rsid w:val="6D10181E"/>
    <w:rsid w:val="6D2E6B75"/>
    <w:rsid w:val="6D5F2A16"/>
    <w:rsid w:val="6D94661B"/>
    <w:rsid w:val="6DF52F94"/>
    <w:rsid w:val="6ECA61E9"/>
    <w:rsid w:val="6F8037B0"/>
    <w:rsid w:val="70184EA3"/>
    <w:rsid w:val="70CB53E1"/>
    <w:rsid w:val="70F85FDA"/>
    <w:rsid w:val="71673B96"/>
    <w:rsid w:val="71B01D04"/>
    <w:rsid w:val="724D2459"/>
    <w:rsid w:val="7259341C"/>
    <w:rsid w:val="72624781"/>
    <w:rsid w:val="73284FC8"/>
    <w:rsid w:val="734521A8"/>
    <w:rsid w:val="73707E67"/>
    <w:rsid w:val="73E30F79"/>
    <w:rsid w:val="741F0C23"/>
    <w:rsid w:val="7458797A"/>
    <w:rsid w:val="74BC7F66"/>
    <w:rsid w:val="74CC5B4C"/>
    <w:rsid w:val="74DF0CAA"/>
    <w:rsid w:val="7500507A"/>
    <w:rsid w:val="75480A65"/>
    <w:rsid w:val="75686B98"/>
    <w:rsid w:val="758F0D88"/>
    <w:rsid w:val="76657C67"/>
    <w:rsid w:val="76A021B3"/>
    <w:rsid w:val="76B664D7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990717"/>
    <w:rsid w:val="7AAB0443"/>
    <w:rsid w:val="7ABA3AA8"/>
    <w:rsid w:val="7B3A50B0"/>
    <w:rsid w:val="7BCA3B47"/>
    <w:rsid w:val="7C01614C"/>
    <w:rsid w:val="7C491EEE"/>
    <w:rsid w:val="7C7B71BF"/>
    <w:rsid w:val="7D365449"/>
    <w:rsid w:val="7D793C28"/>
    <w:rsid w:val="7D795A89"/>
    <w:rsid w:val="7D7D2DDE"/>
    <w:rsid w:val="7D8C0E93"/>
    <w:rsid w:val="7DAA0961"/>
    <w:rsid w:val="7DC52E5A"/>
    <w:rsid w:val="7EB20667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5908</Words>
  <Characters>14665</Characters>
  <Lines>131</Lines>
  <Paragraphs>37</Paragraphs>
  <TotalTime>1</TotalTime>
  <ScaleCrop>false</ScaleCrop>
  <LinksUpToDate>false</LinksUpToDate>
  <CharactersWithSpaces>16125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yolo</cp:lastModifiedBy>
  <dcterms:modified xsi:type="dcterms:W3CDTF">2024-01-05T05:25:39Z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5A9C6865C0E94403B978EC563EE2B991_13</vt:lpwstr>
  </property>
  <property fmtid="{D5CDD505-2E9C-101B-9397-08002B2CF9AE}" pid="4" name="commondata">
    <vt:lpwstr>eyJoZGlkIjoiNzhjODRmNWJhZTVkNTI1OGI2YWZlNjVkNDIwMWYwMDkifQ==</vt:lpwstr>
  </property>
</Properties>
</file>