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lang w:val="en-US" w:eastAsia="zh-CN"/>
        </w:rPr>
      </w:pPr>
      <w:r>
        <w:rPr>
          <w:rFonts w:hint="eastAsia" w:ascii="黑体" w:hAnsi="黑体" w:eastAsia="黑体" w:cs="黑体"/>
          <w:b/>
          <w:bCs/>
          <w:spacing w:val="23"/>
          <w:sz w:val="72"/>
          <w:szCs w:val="72"/>
          <w:lang w:val="en-US" w:eastAsia="zh-Hans"/>
        </w:rPr>
        <w:t>子宫内膜癌分子分型检测</w:t>
      </w:r>
      <w:r>
        <w:rPr>
          <w:rFonts w:hint="eastAsia" w:ascii="黑体" w:hAnsi="黑体" w:eastAsia="黑体" w:cs="黑体"/>
          <w:b/>
          <w:bCs/>
          <w:spacing w:val="23"/>
          <w:sz w:val="72"/>
          <w:szCs w:val="72"/>
          <w:lang w:val="en-US" w:eastAsia="zh-CN"/>
        </w:rPr>
        <w:t>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_Toc3118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_Toc3118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_Toc28943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_Toc28943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_Toc24668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_Toc24668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_Toc3478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_Toc3478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_Toc21948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_Toc21948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_Toc2619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TCGA分子分型检测结果</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_Toc2619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3</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_Toc4247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微卫星不稳定（MSI）检测结果</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_Toc4247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4</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_Toc29164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体细胞变异分级提示</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_Toc29164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5</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_Toc4319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胚系变异结果提示</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_Toc4319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8</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_Toc19105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_Toc19105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10</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_Toc31543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_Toc31543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11</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_Toc10967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微卫星不稳定（MSI）检测结果解析</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_Toc10967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11</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_Toc1792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体细胞变异结果解析</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_Toc1792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12</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_Toc25558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胚系变异结果解析</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_Toc25558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16</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_Toc8717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附录</w:t>
          </w:r>
          <w:r>
            <w:rPr>
              <w:rFonts w:hint="eastAsia" w:ascii="宋体" w:hAnsi="宋体" w:eastAsia="宋体" w:cs="宋体"/>
              <w:b/>
              <w:bCs/>
              <w:color w:val="005FBF"/>
              <w:spacing w:val="23"/>
              <w:sz w:val="28"/>
              <w:szCs w:val="28"/>
              <w:lang w:eastAsia="zh-CN"/>
            </w:rPr>
            <w:tab/>
          </w: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PAGEREF _Toc8717 \h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18</w:t>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_Toc12079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_Toc12079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18</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_Toc7849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子宫内膜癌分子分型与预后的相关性</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_Toc7849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20</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val="en-US" w:eastAsia="zh-CN"/>
              <w14:textFill>
                <w14:solidFill>
                  <w14:schemeClr w14:val="tx1"/>
                </w14:solidFill>
              </w14:textFill>
            </w:rPr>
          </w:pP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HYPERLINK \l _Toc271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参考文献</w:t>
          </w:r>
          <w:r>
            <w:rPr>
              <w:rFonts w:hint="eastAsia" w:ascii="宋体" w:hAnsi="宋体" w:eastAsia="宋体" w:cs="宋体"/>
              <w:color w:val="000000" w:themeColor="text1"/>
              <w:spacing w:val="23"/>
              <w:sz w:val="24"/>
              <w:szCs w:val="24"/>
              <w:lang w:val="en-US" w:eastAsia="zh-CN"/>
              <w14:textFill>
                <w14:solidFill>
                  <w14:schemeClr w14:val="tx1"/>
                </w14:solidFill>
              </w14:textFill>
            </w:rPr>
            <w:tab/>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val="en-US" w:eastAsia="zh-CN"/>
              <w14:textFill>
                <w14:solidFill>
                  <w14:schemeClr w14:val="tx1"/>
                </w14:solidFill>
              </w14:textFill>
            </w:rPr>
            <w:instrText xml:space="preserve"> PAGEREF _Toc271 \h </w:instrTex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22</w:t>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val="en-US" w:eastAsia="zh-CN"/>
              <w14:textFill>
                <w14:solidFill>
                  <w14:schemeClr w14:val="tx1"/>
                </w14:solidFill>
              </w14:textFill>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21009_WPSOffice_Level1"/>
      <w:bookmarkStart w:id="1" w:name="_Toc30143_WPSOffice_Level1"/>
      <w:bookmarkStart w:id="2" w:name="_Toc27500"/>
      <w:bookmarkStart w:id="3" w:name="_Toc24397"/>
      <w:bookmarkStart w:id="4" w:name="_Toc32054"/>
      <w:bookmarkStart w:id="5" w:name="_Toc21669"/>
      <w:bookmarkStart w:id="6" w:name="_Toc13806"/>
      <w:bookmarkStart w:id="7" w:name="_Toc24178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3118"/>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0518"/>
      <w:bookmarkStart w:id="10" w:name="_Toc28943"/>
      <w:bookmarkStart w:id="11" w:name="_Toc7021_WPSOffice_Level1"/>
      <w:bookmarkStart w:id="12" w:name="_Toc11465"/>
      <w:bookmarkStart w:id="13" w:name="_Toc11015_WPSOffice_Level1"/>
      <w:bookmarkStart w:id="14" w:name="_Toc18062_WPSOffice_Level1"/>
      <w:bookmarkStart w:id="15" w:name="_Toc19594"/>
      <w:bookmarkStart w:id="16" w:name="_Toc17451"/>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本产品对与子宫内膜癌密切相关的</w:t>
      </w:r>
      <w:r>
        <w:rPr>
          <w:rFonts w:hint="eastAsia" w:cs="宋体"/>
          <w:bCs/>
          <w:spacing w:val="11"/>
          <w:sz w:val="21"/>
          <w:szCs w:val="21"/>
          <w:lang w:val="en-US" w:eastAsia="zh-CN"/>
        </w:rPr>
        <w:t>36</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w:t>
      </w:r>
      <w:r>
        <w:rPr>
          <w:rFonts w:hint="eastAsia" w:cs="宋体"/>
          <w:bCs/>
          <w:spacing w:val="11"/>
          <w:sz w:val="21"/>
          <w:szCs w:val="21"/>
          <w:lang w:eastAsia="zh-CN"/>
        </w:rPr>
        <w:t>、</w:t>
      </w:r>
      <w:r>
        <w:rPr>
          <w:rFonts w:hint="eastAsia" w:ascii="宋体" w:hAnsi="宋体" w:eastAsia="宋体" w:cs="宋体"/>
          <w:bCs/>
          <w:spacing w:val="11"/>
          <w:sz w:val="21"/>
          <w:szCs w:val="21"/>
          <w:lang w:eastAsia="zh-CN"/>
        </w:rPr>
        <w:t>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本报告分析基因变异与TCGA分子分型、微卫星不稳定性（MSI）、靶向药物和遗传风险相关性，给出靶向药物（FDA/NMPA批准药物、临床试验药物等）的用药提示信息，从而为临床制定治疗方案提供参考信息。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24668"/>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6" w:type="dxa"/>
            <w:gridSpan w:val="6"/>
          </w:tcPr>
          <w:p>
            <w:pPr>
              <w:adjustRightInd w:val="0"/>
              <w:snapToGrid w:val="0"/>
              <w:jc w:val="center"/>
              <w:rPr>
                <w:rFonts w:ascii="Times New Roman" w:hAnsi="Times New Roman" w:cs="Times New Roman"/>
                <w:kern w:val="2"/>
                <w:lang w:eastAsia="zh-CN"/>
              </w:rPr>
            </w:pPr>
            <w:r>
              <w:rPr>
                <w:rFonts w:hint="eastAsia" w:ascii="宋体" w:hAnsi="宋体" w:eastAsia="宋体" w:cs="宋体"/>
                <w:sz w:val="18"/>
                <w:szCs w:val="18"/>
                <w:lang w:eastAsia="zh-CN"/>
              </w:rPr>
              <w:t xml:space="preserve">{%tr for Gene in </w:t>
            </w:r>
            <w:r>
              <w:rPr>
                <w:rFonts w:hint="eastAsia" w:ascii="宋体" w:hAnsi="宋体" w:eastAsia="宋体" w:cs="宋体"/>
                <w:sz w:val="18"/>
                <w:szCs w:val="18"/>
                <w:lang w:val="en-US" w:eastAsia="zh-CN"/>
              </w:rPr>
              <w:t>gene.genes</w:t>
            </w:r>
            <w:r>
              <w:rPr>
                <w:rFonts w:hint="eastAsia" w:ascii="宋体" w:hAnsi="宋体" w:eastAsia="宋体" w:cs="宋体"/>
                <w:sz w:val="18"/>
                <w:szCs w:val="18"/>
                <w:lang w:eastAsia="zh-CN"/>
              </w:rPr>
              <w:t xml:space="preserve"> | </w:t>
            </w:r>
            <w:r>
              <w:rPr>
                <w:rFonts w:hint="eastAsia" w:cs="宋体"/>
                <w:sz w:val="18"/>
                <w:szCs w:val="18"/>
                <w:lang w:eastAsia="zh-CN"/>
              </w:rPr>
              <w:t>red2(</w:t>
            </w:r>
            <w:r>
              <w:rPr>
                <w:rFonts w:hint="eastAsia" w:cs="宋体"/>
                <w:sz w:val="18"/>
                <w:szCs w:val="18"/>
                <w:lang w:val="en-US" w:eastAsia="zh-CN"/>
              </w:rPr>
              <w:t>6</w:t>
            </w:r>
            <w:r>
              <w:rPr>
                <w:rFonts w:hint="eastAsia" w:cs="宋体"/>
                <w:sz w:val="18"/>
                <w:szCs w:val="18"/>
                <w:lang w:eastAsia="zh-CN"/>
              </w:rPr>
              <w:t>,21,'宋体','宋体',False)</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pPr>
              <w:widowControl/>
              <w:spacing w:line="240" w:lineRule="auto"/>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pPr>
              <w:widowControl/>
              <w:spacing w:line="240" w:lineRule="auto"/>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pPr>
              <w:widowControl/>
              <w:spacing w:line="240" w:lineRule="auto"/>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pPr>
              <w:widowControl/>
              <w:spacing w:line="240" w:lineRule="auto"/>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pPr>
              <w:widowControl/>
              <w:spacing w:line="240" w:lineRule="auto"/>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pPr>
              <w:widowControl/>
              <w:spacing w:line="240" w:lineRule="auto"/>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3871"/>
      <w:bookmarkStart w:id="21" w:name="_Toc4088"/>
      <w:bookmarkStart w:id="22" w:name="_Toc25920"/>
      <w:bookmarkStart w:id="23" w:name="_Toc6221_WPSOffice_Level1"/>
      <w:bookmarkStart w:id="24" w:name="_Toc18058"/>
      <w:bookmarkStart w:id="25" w:name="_Toc3478"/>
      <w:bookmarkStart w:id="26" w:name="_Toc1410"/>
      <w:bookmarkStart w:id="27" w:name="_Toc23369_WPSOffice_Level1"/>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044"/>
        <w:gridCol w:w="1375"/>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4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37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ascii="宋体" w:hAnsi="宋体" w:eastAsia="宋体" w:cs="宋体"/>
                <w:b/>
                <w:bCs/>
                <w:i w:val="0"/>
                <w:iCs w:val="0"/>
                <w:color w:val="auto"/>
                <w:kern w:val="0"/>
                <w:sz w:val="21"/>
                <w:szCs w:val="21"/>
                <w:u w:val="none"/>
                <w:lang w:val="en-US" w:eastAsia="zh-CN" w:bidi="ar"/>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28" w:name="_Toc22132"/>
      <w:bookmarkStart w:id="29" w:name="_Toc12381"/>
      <w:bookmarkStart w:id="30" w:name="_Toc19898_WPSOffice_Level1"/>
      <w:bookmarkStart w:id="31" w:name="_Toc19184"/>
      <w:bookmarkStart w:id="32" w:name="_Toc14062"/>
      <w:bookmarkStart w:id="33" w:name="_Toc2781"/>
      <w:bookmarkStart w:id="34" w:name="_Toc20136_WPSOffice_Level1"/>
      <w:bookmarkStart w:id="35" w:name="_Toc21948"/>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pStyle w:val="38"/>
        <w:bidi w:val="0"/>
        <w:spacing w:line="360" w:lineRule="auto"/>
        <w:ind w:left="832" w:leftChars="0" w:hanging="832" w:firstLineChars="0"/>
        <w:jc w:val="left"/>
        <w:rPr>
          <w:rFonts w:hint="eastAsia" w:ascii="宋体" w:hAnsi="宋体" w:eastAsia="宋体" w:cs="宋体"/>
          <w:color w:val="auto"/>
          <w:sz w:val="21"/>
          <w:szCs w:val="21"/>
          <w:lang w:eastAsia="zh-CN"/>
        </w:rPr>
      </w:pPr>
      <w:bookmarkStart w:id="36" w:name="_Toc19163"/>
      <w:bookmarkStart w:id="37" w:name="_Toc106294397"/>
      <w:bookmarkStart w:id="38" w:name="_Toc2619"/>
      <w:bookmarkStart w:id="39" w:name="_Toc18062_WPSOffice_Level2"/>
      <w:bookmarkStart w:id="40" w:name="_Toc23375"/>
      <w:bookmarkStart w:id="41" w:name="_Toc11015_WPSOffice_Level2"/>
      <w:bookmarkStart w:id="42" w:name="_Toc22976"/>
      <w:bookmarkStart w:id="43" w:name="_Toc30265"/>
      <w:bookmarkStart w:id="44" w:name="_Toc9088"/>
      <w:bookmarkStart w:id="45" w:name="_Toc24979"/>
      <w:r>
        <w:rPr>
          <w:rFonts w:hint="eastAsia" w:ascii="Times New Roman" w:hAnsi="Times New Roman" w:eastAsia="宋体" w:cs="宋体"/>
          <w:b/>
          <w:bCs/>
          <w:spacing w:val="23"/>
          <w:sz w:val="21"/>
          <w:szCs w:val="21"/>
          <w:lang w:val="en-US" w:eastAsia="zh-CN"/>
        </w:rPr>
        <w:t>TCGA分子分型检测结果</w:t>
      </w:r>
      <w:bookmarkEnd w:id="36"/>
      <w:bookmarkEnd w:id="37"/>
      <w:bookmarkEnd w:id="3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8"/>
        <w:gridCol w:w="5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8" w:type="dxa"/>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5535" w:type="dxa"/>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8" w:type="dxa"/>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TCGA分子分型</w:t>
            </w:r>
          </w:p>
        </w:tc>
        <w:tc>
          <w:tcPr>
            <w:tcW w:w="5535" w:type="dxa"/>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summaryOfRresults.tcga }}</w:t>
            </w:r>
          </w:p>
        </w:tc>
      </w:tr>
    </w:tbl>
    <w:p>
      <w:pPr>
        <w:spacing w:before="47"/>
        <w:rPr>
          <w:rFonts w:hint="eastAsia" w:ascii="宋体" w:hAnsi="宋体" w:eastAsia="宋体" w:cs="宋体"/>
          <w:sz w:val="18"/>
          <w:szCs w:val="18"/>
          <w:highlight w:val="yellow"/>
          <w:lang w:eastAsia="zh-CN"/>
        </w:rPr>
      </w:pPr>
      <w:r>
        <w:rPr>
          <w:rFonts w:hint="eastAsia" w:ascii="宋体" w:hAnsi="宋体" w:eastAsia="宋体" w:cs="宋体"/>
          <w:b/>
          <w:bCs/>
          <w:sz w:val="18"/>
          <w:szCs w:val="18"/>
          <w:lang w:eastAsia="zh-CN"/>
        </w:rPr>
        <w:t>注：</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2013年，癌症基因组图谱（The Cancer Geenome Atlas，TCGA）多组学研究全面揭示了子宫内膜癌的分子遗传图谱，提出新的分子分型策略，依据多组学特征和预后的关联性分为4个亚型：POLE突变型、微卫星不稳定型（MSI-H）、高拷贝型（CN-H）和低拷贝型（CN-L），用于子宫内膜癌患者预后和复发风险评估。当前，该分子分型策略已被纳入NCCN、ESGO等多个指南中，分型规则如下：</w:t>
      </w:r>
    </w:p>
    <w:p>
      <w:pPr>
        <w:widowControl/>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pPr>
        <w:widowControl/>
        <w:rPr>
          <w:rFonts w:hint="eastAsia" w:ascii="宋体" w:hAnsi="宋体" w:eastAsia="宋体" w:cs="宋体"/>
          <w:lang w:eastAsia="zh-CN"/>
        </w:rPr>
      </w:pPr>
    </w:p>
    <w:p>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图：子宫内膜癌分子分型规则（参考自</w:t>
      </w:r>
      <w:r>
        <w:rPr>
          <w:rFonts w:hint="eastAsia" w:ascii="宋体" w:hAnsi="宋体" w:eastAsia="宋体" w:cs="宋体"/>
          <w:color w:val="000000"/>
          <w:sz w:val="20"/>
          <w:szCs w:val="20"/>
          <w:lang w:eastAsia="zh-CN" w:bidi="ar"/>
        </w:rPr>
        <w:t>NCCN《子宫肿瘤临床实践指南》Version2.2022</w:t>
      </w:r>
      <w:r>
        <w:rPr>
          <w:rFonts w:hint="eastAsia" w:ascii="宋体" w:hAnsi="宋体" w:eastAsia="宋体" w:cs="宋体"/>
          <w:sz w:val="20"/>
          <w:szCs w:val="20"/>
          <w:lang w:eastAsia="zh-CN"/>
        </w:rPr>
        <w:t>）</w:t>
      </w:r>
    </w:p>
    <w:p>
      <w:pPr>
        <w:rPr>
          <w:rFonts w:hint="eastAsia" w:ascii="宋体" w:hAnsi="宋体" w:eastAsia="宋体" w:cs="宋体"/>
          <w:sz w:val="18"/>
          <w:lang w:eastAsia="zh-CN"/>
        </w:rPr>
      </w:pP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根据TCGA分子分型可以对患者的预后进行预测，其中POLE突变型患者预后最好，微卫星不稳定型和低拷贝数型患者预后中等，高拷贝数型患者预后最差。</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eastAsia" w:ascii="宋体" w:hAnsi="宋体" w:eastAsia="宋体" w:cs="宋体"/>
          <w:spacing w:val="0"/>
          <w:sz w:val="18"/>
          <w:szCs w:val="18"/>
          <w:lang w:eastAsia="zh-CN"/>
        </w:rPr>
        <w:t>目前针对TCGA分子分型指导子宫内膜癌辅助治疗的临床应用尚缺乏前瞻性研究结果，但欧洲妇科肿瘤学会（ESGO）、欧洲放射治疗和肿瘤学会（ESTRO）、欧洲病理学家协会（ESP）联合制定的《ESGO/ESTRO/ESP指南：子宫内膜癌患者的管理（2020版）》，推荐将分子分型结果与临床、病理特征进行整合，对患者的复发风险进行分层，用于指导辅助治疗。该风险分层和辅助治疗建议进一步被中国抗癌协会妇科肿瘤专业委员会制定的《子宫内膜癌诊断与治疗指南（2021版）》所引用和推荐。复发风险分层和辅助治疗建议见附录[子宫内膜癌分子分型与预后的相关性]，具体治疗策略还需结合临床及病理特征综合判断，请遵医嘱。</w:t>
      </w:r>
    </w:p>
    <w:p>
      <w:pPr>
        <w:widowControl/>
        <w:numPr>
          <w:ilvl w:val="0"/>
          <w:numId w:val="0"/>
        </w:numPr>
        <w:spacing w:line="360" w:lineRule="auto"/>
        <w:rPr>
          <w:rFonts w:hint="eastAsia" w:ascii="宋体" w:hAnsi="宋体" w:eastAsia="宋体" w:cs="宋体"/>
          <w:sz w:val="18"/>
          <w:szCs w:val="18"/>
          <w:lang w:eastAsia="zh-CN"/>
        </w:rPr>
      </w:pPr>
    </w:p>
    <w:p>
      <w:pPr>
        <w:pStyle w:val="38"/>
        <w:bidi w:val="0"/>
        <w:spacing w:line="360" w:lineRule="auto"/>
        <w:ind w:left="832" w:leftChars="0" w:hanging="832" w:firstLineChars="0"/>
        <w:jc w:val="left"/>
        <w:rPr>
          <w:rFonts w:hint="eastAsia" w:ascii="宋体" w:hAnsi="宋体" w:eastAsia="宋体" w:cs="宋体"/>
          <w:b/>
          <w:color w:val="auto"/>
          <w:spacing w:val="6"/>
          <w:sz w:val="21"/>
          <w:szCs w:val="21"/>
          <w:lang w:eastAsia="zh-CN"/>
        </w:rPr>
      </w:pPr>
      <w:bookmarkStart w:id="46" w:name="_Toc4247"/>
      <w:bookmarkStart w:id="47" w:name="_Toc11562_WPSOffice_Level3"/>
      <w:r>
        <w:rPr>
          <w:rFonts w:hint="eastAsia" w:ascii="Times New Roman" w:hAnsi="Times New Roman" w:eastAsia="宋体" w:cs="宋体"/>
          <w:b/>
          <w:bCs/>
          <w:spacing w:val="23"/>
          <w:sz w:val="21"/>
          <w:szCs w:val="21"/>
          <w:lang w:val="en-US" w:eastAsia="zh-CN"/>
        </w:rPr>
        <w:t>微卫星不稳定（MSI）检测结果</w:t>
      </w:r>
      <w:bookmarkEnd w:id="46"/>
      <w:bookmarkEnd w:id="47"/>
    </w:p>
    <w:tbl>
      <w:tblPr>
        <w:tblStyle w:val="14"/>
        <w:tblW w:w="1020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74"/>
        <w:gridCol w:w="2693"/>
        <w:gridCol w:w="3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74"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检出指标/基因</w:t>
            </w:r>
          </w:p>
        </w:tc>
        <w:tc>
          <w:tcPr>
            <w:tcW w:w="2693"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39"/>
                <w:rFonts w:hint="eastAsia" w:ascii="宋体" w:hAnsi="宋体" w:eastAsia="宋体" w:cs="宋体"/>
                <w:b/>
                <w:bCs/>
                <w:color w:val="auto"/>
                <w:lang w:eastAsia="zh-CN" w:bidi="ar"/>
              </w:rPr>
              <w:t>检测结果</w:t>
            </w:r>
          </w:p>
        </w:tc>
        <w:tc>
          <w:tcPr>
            <w:tcW w:w="3538"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39"/>
                <w:rFonts w:hint="eastAsia" w:ascii="宋体" w:hAnsi="宋体" w:eastAsia="宋体" w:cs="宋体"/>
                <w:b/>
                <w:bCs/>
                <w:color w:val="auto"/>
                <w:lang w:eastAsia="zh-CN" w:bidi="ar"/>
              </w:rPr>
              <w:t>检测意义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74" w:type="dxa"/>
            <w:shd w:val="clear" w:color="auto" w:fill="auto"/>
            <w:vAlign w:val="center"/>
          </w:tcPr>
          <w:p>
            <w:pPr>
              <w:widowControl/>
              <w:snapToGrid w:val="0"/>
              <w:jc w:val="center"/>
              <w:textAlignment w:val="center"/>
              <w:rPr>
                <w:rFonts w:hint="eastAsia" w:ascii="宋体" w:hAnsi="宋体" w:eastAsia="宋体" w:cs="宋体"/>
                <w:b/>
                <w:bCs/>
                <w:color w:val="000000"/>
                <w:sz w:val="21"/>
                <w:szCs w:val="21"/>
                <w:lang w:eastAsia="zh-CN"/>
              </w:rPr>
            </w:pPr>
            <w:r>
              <w:rPr>
                <w:rStyle w:val="40"/>
                <w:rFonts w:hint="eastAsia" w:ascii="宋体" w:hAnsi="宋体" w:eastAsia="宋体" w:cs="宋体"/>
                <w:lang w:eastAsia="zh-CN" w:bidi="ar"/>
              </w:rPr>
              <w:t>微卫星不稳定（</w:t>
            </w:r>
            <w:r>
              <w:rPr>
                <w:rStyle w:val="41"/>
                <w:rFonts w:hint="eastAsia" w:ascii="宋体" w:hAnsi="宋体" w:eastAsia="宋体" w:cs="宋体"/>
                <w:lang w:eastAsia="zh-CN" w:bidi="ar"/>
              </w:rPr>
              <w:t>MSI</w:t>
            </w:r>
            <w:r>
              <w:rPr>
                <w:rStyle w:val="40"/>
                <w:rFonts w:hint="eastAsia" w:ascii="宋体" w:hAnsi="宋体" w:eastAsia="宋体" w:cs="宋体"/>
                <w:lang w:eastAsia="zh-CN" w:bidi="ar"/>
              </w:rPr>
              <w:t>）</w:t>
            </w:r>
          </w:p>
        </w:tc>
        <w:tc>
          <w:tcPr>
            <w:tcW w:w="2693" w:type="dxa"/>
            <w:shd w:val="clear" w:color="auto" w:fill="auto"/>
            <w:vAlign w:val="center"/>
          </w:tcPr>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summaryOfRresults.msi_status_state }}</w:t>
            </w:r>
          </w:p>
        </w:tc>
        <w:tc>
          <w:tcPr>
            <w:tcW w:w="3538" w:type="dxa"/>
            <w:shd w:val="clear" w:color="auto" w:fill="auto"/>
            <w:vAlign w:val="center"/>
          </w:tcPr>
          <w:p>
            <w:pPr>
              <w:keepNext w:val="0"/>
              <w:keepLines w:val="0"/>
              <w:pageBreakBefore w:val="0"/>
              <w:widowControl/>
              <w:kinsoku/>
              <w:wordWrap/>
              <w:overflowPunct/>
              <w:topLinePunct w:val="0"/>
              <w:autoSpaceDE/>
              <w:autoSpaceDN/>
              <w:bidi w:val="0"/>
              <w:adjustRightInd/>
              <w:snapToGrid w:val="0"/>
              <w:spacing w:before="0" w:beforeLines="30" w:line="288" w:lineRule="auto"/>
              <w:jc w:val="both"/>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if summaryOfRresults.msi_status == ‘MSI-H’ %}</w:t>
            </w:r>
            <w:r>
              <w:rPr>
                <w:rStyle w:val="42"/>
                <w:rFonts w:hint="eastAsia" w:ascii="宋体" w:hAnsi="宋体" w:eastAsia="宋体" w:cs="宋体"/>
                <w:lang w:eastAsia="zh-CN" w:bidi="ar"/>
              </w:rPr>
              <w:t>微卫星不稳定型（</w:t>
            </w:r>
            <w:r>
              <w:rPr>
                <w:rStyle w:val="43"/>
                <w:rFonts w:hint="eastAsia" w:ascii="宋体" w:hAnsi="宋体" w:eastAsia="宋体" w:cs="宋体"/>
                <w:lang w:eastAsia="zh-CN" w:bidi="ar"/>
              </w:rPr>
              <w:t>MSI-H</w:t>
            </w:r>
            <w:r>
              <w:rPr>
                <w:rStyle w:val="42"/>
                <w:rFonts w:hint="eastAsia" w:ascii="宋体" w:hAnsi="宋体" w:eastAsia="宋体" w:cs="宋体"/>
                <w:lang w:eastAsia="zh-CN" w:bidi="ar"/>
              </w:rPr>
              <w:t>）患者免疫治疗预后较好，接受免疫检查点抑制剂药物治疗的获益率较高。</w:t>
            </w:r>
            <w:r>
              <w:rPr>
                <w:rFonts w:hint="eastAsia" w:ascii="宋体" w:hAnsi="宋体" w:eastAsia="宋体" w:cs="宋体"/>
                <w:sz w:val="21"/>
                <w:szCs w:val="21"/>
                <w:lang w:eastAsia="zh-CN"/>
              </w:rPr>
              <w:t>{% else %}</w:t>
            </w:r>
            <w:r>
              <w:rPr>
                <w:rFonts w:hint="eastAsia" w:ascii="宋体" w:hAnsi="宋体" w:eastAsia="宋体" w:cs="宋体"/>
                <w:color w:val="000000"/>
                <w:sz w:val="21"/>
                <w:szCs w:val="21"/>
                <w:lang w:eastAsia="zh-CN" w:bidi="ar"/>
              </w:rPr>
              <w:t>微卫星稳定型（MSS）患者接受免疫检查点抑制剂药物治疗的获益率较低。</w:t>
            </w:r>
            <w:r>
              <w:rPr>
                <w:rFonts w:hint="eastAsia" w:ascii="宋体" w:hAnsi="宋体" w:eastAsia="宋体" w:cs="宋体"/>
                <w:sz w:val="21"/>
                <w:szCs w:val="21"/>
                <w:lang w:eastAsia="zh-CN"/>
              </w:rPr>
              <w:t>{%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val="0"/>
          <w:bCs/>
          <w:sz w:val="18"/>
          <w:szCs w:val="18"/>
          <w:lang w:eastAsia="zh-CN"/>
        </w:rPr>
      </w:pPr>
      <w:r>
        <w:rPr>
          <w:rFonts w:hint="eastAsia" w:ascii="宋体" w:hAnsi="宋体" w:eastAsia="宋体" w:cs="宋体"/>
          <w:b w:val="0"/>
          <w:bCs/>
          <w:sz w:val="18"/>
          <w:szCs w:val="18"/>
          <w:lang w:eastAsia="zh-CN"/>
        </w:rPr>
        <w:t>注：</w:t>
      </w:r>
    </w:p>
    <w:p>
      <w:pPr>
        <w:numPr>
          <w:ilvl w:val="0"/>
          <w:numId w:val="9"/>
        </w:numPr>
        <w:spacing w:line="360" w:lineRule="auto"/>
        <w:rPr>
          <w:rFonts w:hint="eastAsia" w:ascii="宋体" w:hAnsi="宋体" w:eastAsia="宋体" w:cs="宋体"/>
          <w:sz w:val="18"/>
          <w:shd w:val="clear" w:color="auto" w:fill="FFFFFF"/>
          <w:lang w:eastAsia="zh-CN"/>
        </w:rPr>
      </w:pPr>
      <w:r>
        <w:rPr>
          <w:rFonts w:hint="eastAsia" w:ascii="宋体" w:hAnsi="宋体" w:eastAsia="宋体" w:cs="宋体"/>
          <w:sz w:val="18"/>
          <w:shd w:val="clear" w:color="auto" w:fill="FFFFFF"/>
          <w:lang w:eastAsia="zh-CN"/>
        </w:rPr>
        <w:t>免疫药物疗效相关基因突变检测及免疫药物用药提示：通过高通量测序法检测与免疫药物疗效相关的基因突变，评估免疫检查点抑制剂获益情况。</w:t>
      </w:r>
    </w:p>
    <w:p>
      <w:pPr>
        <w:numPr>
          <w:ilvl w:val="0"/>
          <w:numId w:val="9"/>
        </w:numPr>
        <w:spacing w:line="360" w:lineRule="auto"/>
        <w:rPr>
          <w:rFonts w:hint="eastAsia" w:ascii="宋体" w:hAnsi="宋体" w:eastAsia="宋体" w:cs="宋体"/>
          <w:sz w:val="18"/>
          <w:shd w:val="clear" w:color="auto" w:fill="FFFFFF"/>
          <w:lang w:eastAsia="zh-CN"/>
        </w:rPr>
      </w:pPr>
      <w:r>
        <w:rPr>
          <w:rFonts w:hint="eastAsia" w:ascii="宋体" w:hAnsi="宋体" w:eastAsia="宋体" w:cs="宋体"/>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numPr>
          <w:ilvl w:val="0"/>
          <w:numId w:val="9"/>
        </w:numPr>
        <w:spacing w:line="360" w:lineRule="auto"/>
        <w:rPr>
          <w:rFonts w:hint="eastAsia" w:ascii="宋体" w:hAnsi="宋体" w:eastAsia="宋体" w:cs="宋体"/>
          <w:sz w:val="18"/>
          <w:shd w:val="clear" w:color="auto" w:fill="FFFFFF"/>
          <w:lang w:eastAsia="zh-CN"/>
        </w:rPr>
      </w:pPr>
      <w:r>
        <w:rPr>
          <w:rFonts w:hint="eastAsia" w:ascii="宋体" w:hAnsi="宋体" w:eastAsia="宋体" w:cs="宋体"/>
          <w:sz w:val="18"/>
          <w:shd w:val="clear" w:color="auto" w:fill="FFFFFF"/>
          <w:lang w:eastAsia="zh-CN"/>
        </w:rPr>
        <w:t>指标详细解析说明见免疫检查点抑制剂治疗相关指标检测结果解析。</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39"/>
    <w:bookmarkEnd w:id="40"/>
    <w:bookmarkEnd w:id="41"/>
    <w:bookmarkEnd w:id="42"/>
    <w:bookmarkEnd w:id="43"/>
    <w:bookmarkEnd w:id="44"/>
    <w:bookmarkEnd w:id="45"/>
    <w:p>
      <w:pPr>
        <w:pStyle w:val="38"/>
        <w:bidi w:val="0"/>
        <w:spacing w:line="360" w:lineRule="auto"/>
        <w:ind w:left="832" w:leftChars="0" w:hanging="832" w:firstLineChars="0"/>
        <w:jc w:val="left"/>
        <w:rPr>
          <w:b/>
          <w:bCs/>
          <w:spacing w:val="23"/>
          <w:sz w:val="21"/>
          <w:szCs w:val="21"/>
        </w:rPr>
      </w:pPr>
      <w:bookmarkStart w:id="48" w:name="_Toc29164"/>
      <w:r>
        <w:rPr>
          <w:rFonts w:hint="eastAsia" w:ascii="Times New Roman" w:hAnsi="Times New Roman" w:eastAsia="宋体" w:cs="宋体"/>
          <w:b/>
          <w:bCs/>
          <w:spacing w:val="23"/>
          <w:sz w:val="21"/>
          <w:szCs w:val="21"/>
          <w:lang w:val="en-US" w:eastAsia="zh-CN"/>
        </w:rPr>
        <w:t>体细胞变异分级提示</w:t>
      </w:r>
      <w:bookmarkEnd w:id="48"/>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p>
      <w:pPr>
        <w:widowControl/>
        <w:rPr>
          <w:rFonts w:ascii="Times New Roman" w:hAnsi="Times New Roman" w:eastAsia="微软雅黑" w:cs="Times New Roman"/>
          <w:b w:val="0"/>
          <w:bCs w:val="0"/>
          <w:color w:val="0070C0"/>
          <w:sz w:val="28"/>
          <w:szCs w:val="28"/>
          <w:lang w:eastAsia="zh-CN"/>
        </w:rPr>
      </w:pPr>
      <w:r>
        <w:rPr>
          <w:rFonts w:ascii="Times New Roman" w:hAnsi="Times New Roman" w:eastAsia="微软雅黑" w:cs="Times New Roman"/>
          <w:b w:val="0"/>
          <w:bCs w:val="0"/>
          <w:color w:val="0070C0"/>
          <w:sz w:val="28"/>
          <w:szCs w:val="28"/>
          <w:lang w:eastAsia="zh-CN"/>
        </w:rPr>
        <w:br w:type="page"/>
      </w:r>
    </w:p>
    <w:p>
      <w:pPr>
        <w:pStyle w:val="38"/>
        <w:bidi w:val="0"/>
        <w:spacing w:line="360" w:lineRule="auto"/>
        <w:ind w:left="832" w:leftChars="0" w:hanging="832" w:firstLineChars="0"/>
        <w:jc w:val="left"/>
        <w:rPr>
          <w:rFonts w:hint="eastAsia" w:ascii="Times New Roman" w:hAnsi="Times New Roman" w:eastAsia="宋体" w:cs="宋体"/>
          <w:b/>
          <w:bCs/>
          <w:spacing w:val="23"/>
          <w:sz w:val="21"/>
          <w:szCs w:val="21"/>
          <w:lang w:eastAsia="zh-CN"/>
        </w:rPr>
      </w:pPr>
      <w:bookmarkStart w:id="49" w:name="_Toc1824"/>
      <w:bookmarkStart w:id="50" w:name="_Toc4319"/>
      <w:bookmarkStart w:id="51" w:name="_Toc28194"/>
      <w:bookmarkStart w:id="52" w:name="_Toc32443_WPSOffice_Level1"/>
      <w:bookmarkStart w:id="53" w:name="_Toc25727"/>
      <w:bookmarkStart w:id="54" w:name="_Toc32661"/>
      <w:bookmarkStart w:id="55" w:name="_Toc23903"/>
      <w:bookmarkStart w:id="56" w:name="_Toc23846_WPSOffice_Level1"/>
      <w:bookmarkStart w:id="57" w:name="_Toc5598"/>
      <w:bookmarkStart w:id="58" w:name="_Toc4331_WPSOffice_Level1"/>
      <w:r>
        <w:rPr>
          <w:rFonts w:hint="eastAsia" w:ascii="Times New Roman" w:hAnsi="Times New Roman" w:eastAsia="宋体" w:cs="宋体"/>
          <w:b/>
          <w:bCs/>
          <w:spacing w:val="23"/>
          <w:sz w:val="21"/>
          <w:szCs w:val="21"/>
          <w:lang w:val="en-US" w:eastAsia="zh-CN"/>
        </w:rPr>
        <w:t>胚系变异结果提示</w:t>
      </w:r>
      <w:bookmarkEnd w:id="49"/>
      <w:bookmarkEnd w:id="50"/>
    </w:p>
    <w:p>
      <w:pPr>
        <w:pStyle w:val="38"/>
        <w:numPr>
          <w:ilvl w:val="0"/>
          <w:numId w:val="0"/>
        </w:numPr>
        <w:bidi w:val="0"/>
        <w:spacing w:line="360" w:lineRule="auto"/>
        <w:ind w:leftChars="0"/>
        <w:jc w:val="left"/>
        <w:outlineLvl w:val="9"/>
        <w:rPr>
          <w:rFonts w:hint="eastAsia" w:ascii="宋体" w:hAnsi="宋体" w:eastAsia="宋体" w:cs="宋体"/>
          <w:b/>
          <w:color w:val="auto"/>
          <w:spacing w:val="23"/>
          <w:sz w:val="21"/>
          <w:szCs w:val="21"/>
          <w:lang w:val="en-US" w:eastAsia="zh-CN"/>
        </w:rPr>
      </w:pPr>
      <w:bookmarkStart w:id="59" w:name="_Toc2655"/>
      <w:r>
        <w:rPr>
          <w:rFonts w:hint="eastAsia" w:ascii="宋体" w:hAnsi="宋体" w:cs="宋体"/>
          <w:b/>
          <w:color w:val="auto"/>
          <w:spacing w:val="23"/>
          <w:sz w:val="21"/>
          <w:szCs w:val="21"/>
          <w:lang w:val="en-US" w:eastAsia="zh-CN"/>
        </w:rPr>
        <w:t>4.1</w:t>
      </w:r>
      <w:r>
        <w:rPr>
          <w:rFonts w:hint="eastAsia" w:ascii="宋体" w:hAnsi="宋体" w:eastAsia="宋体" w:cs="宋体"/>
          <w:b/>
          <w:color w:val="auto"/>
          <w:spacing w:val="23"/>
          <w:sz w:val="21"/>
          <w:szCs w:val="21"/>
          <w:lang w:val="en-US" w:eastAsia="zh-CN"/>
        </w:rPr>
        <w:t>肿瘤遗传风险检测</w:t>
      </w:r>
      <w:bookmarkEnd w:id="59"/>
    </w:p>
    <w:p>
      <w:pPr>
        <w:keepNext w:val="0"/>
        <w:keepLines w:val="0"/>
        <w:pageBreakBefore w:val="0"/>
        <w:widowControl w:val="0"/>
        <w:kinsoku/>
        <w:wordWrap/>
        <w:overflowPunct/>
        <w:topLinePunct w:val="0"/>
        <w:autoSpaceDE/>
        <w:autoSpaceDN/>
        <w:bidi w:val="0"/>
        <w:adjustRightInd/>
        <w:snapToGrid/>
        <w:spacing w:line="360" w:lineRule="auto"/>
        <w:ind w:right="215"/>
        <w:jc w:val="both"/>
        <w:textAlignment w:val="auto"/>
        <w:rPr>
          <w:rFonts w:hint="eastAsia" w:ascii="宋体" w:hAnsi="宋体" w:eastAsia="宋体" w:cs="宋体"/>
          <w:b w:val="0"/>
          <w:bCs/>
          <w:color w:val="000000" w:themeColor="text1"/>
          <w:spacing w:val="6"/>
          <w:sz w:val="21"/>
          <w:szCs w:val="21"/>
          <w:lang w:val="en-US"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如果您有家族遗传史，可联系我们做进一步的检测。{%if geneticCancerRiskInfo %}具体信息见“基因检测结果解析”。{%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01"/>
        <w:gridCol w:w="855"/>
        <w:gridCol w:w="855"/>
        <w:gridCol w:w="1188"/>
        <w:gridCol w:w="1095"/>
        <w:gridCol w:w="1182"/>
        <w:gridCol w:w="1182"/>
        <w:gridCol w:w="964"/>
        <w:gridCol w:w="1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125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lang w:eastAsia="zh-CN"/>
              </w:rPr>
              <w:t>突变</w:t>
            </w:r>
            <w:r>
              <w:rPr>
                <w:rFonts w:hint="eastAsia" w:ascii="宋体" w:hAnsi="宋体" w:eastAsia="宋体" w:cs="宋体"/>
                <w:b/>
                <w:bCs/>
                <w:color w:val="auto"/>
                <w:sz w:val="21"/>
                <w:szCs w:val="21"/>
              </w:rPr>
              <w:t>基因</w:t>
            </w:r>
          </w:p>
        </w:tc>
        <w:tc>
          <w:tcPr>
            <w:tcW w:w="82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染色体</w:t>
            </w:r>
          </w:p>
        </w:tc>
        <w:tc>
          <w:tcPr>
            <w:tcW w:w="82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区域</w:t>
            </w:r>
          </w:p>
        </w:tc>
        <w:tc>
          <w:tcPr>
            <w:tcW w:w="1146"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核苷酸</w:t>
            </w:r>
          </w:p>
        </w:tc>
        <w:tc>
          <w:tcPr>
            <w:tcW w:w="1056"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氨基酸</w:t>
            </w:r>
          </w:p>
        </w:tc>
        <w:tc>
          <w:tcPr>
            <w:tcW w:w="1140" w:type="dxa"/>
            <w:shd w:val="clear" w:color="auto" w:fill="9DC3E6"/>
            <w:vAlign w:val="center"/>
          </w:tcPr>
          <w:p>
            <w:pPr>
              <w:pStyle w:val="20"/>
              <w:jc w:val="center"/>
              <w:rPr>
                <w:rFonts w:hint="eastAsia" w:ascii="宋体" w:hAnsi="宋体" w:eastAsia="宋体" w:cs="宋体"/>
                <w:b/>
                <w:bCs/>
                <w:color w:val="auto"/>
                <w:spacing w:val="-1"/>
                <w:sz w:val="21"/>
                <w:szCs w:val="21"/>
              </w:rPr>
            </w:pPr>
            <w:r>
              <w:rPr>
                <w:rFonts w:hint="eastAsia" w:ascii="宋体" w:hAnsi="宋体" w:eastAsia="宋体" w:cs="宋体"/>
                <w:b/>
                <w:bCs/>
                <w:color w:val="auto"/>
                <w:sz w:val="21"/>
                <w:szCs w:val="21"/>
              </w:rPr>
              <w:t>突变类型</w:t>
            </w:r>
          </w:p>
        </w:tc>
        <w:tc>
          <w:tcPr>
            <w:tcW w:w="1140"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pacing w:val="-1"/>
                <w:sz w:val="21"/>
                <w:szCs w:val="21"/>
              </w:rPr>
              <w:t>杂合/纯合</w:t>
            </w:r>
          </w:p>
        </w:tc>
        <w:tc>
          <w:tcPr>
            <w:tcW w:w="930"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千人频率</w:t>
            </w:r>
          </w:p>
        </w:tc>
        <w:tc>
          <w:tcPr>
            <w:tcW w:w="1527" w:type="dxa"/>
            <w:shd w:val="clear" w:color="auto" w:fill="9DC3E6"/>
            <w:vAlign w:val="center"/>
          </w:tcPr>
          <w:p>
            <w:pPr>
              <w:pStyle w:val="20"/>
              <w:spacing w:before="24" w:beforeLines="1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crCheckLineStrYF1280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cr in crCheckLineStrYF1280 %}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auto"/>
            <w:vAlign w:val="center"/>
          </w:tcPr>
          <w:p>
            <w:pPr>
              <w:spacing w:before="20"/>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 cr.Gene }}</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cr.Chr }}</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cr.exon }}</w:t>
            </w:r>
          </w:p>
        </w:tc>
        <w:tc>
          <w:tcPr>
            <w:tcW w:w="114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cr.cHGVS }}</w:t>
            </w:r>
          </w:p>
        </w:tc>
        <w:tc>
          <w:tcPr>
            <w:tcW w:w="105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cr.pHGVS }}</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cr.ExonicFunc }}</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cr.Zygosity }}</w:t>
            </w:r>
          </w:p>
        </w:tc>
        <w:tc>
          <w:tcPr>
            <w:tcW w:w="93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cr.c1000g2015aug_all }}</w:t>
            </w:r>
          </w:p>
        </w:tc>
        <w:tc>
          <w:tcPr>
            <w:tcW w:w="1527"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05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93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527"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spacing w:before="29" w:line="240" w:lineRule="auto"/>
        <w:rPr>
          <w:rFonts w:hint="eastAsia" w:ascii="宋体" w:hAnsi="宋体" w:eastAsia="宋体" w:cs="宋体"/>
          <w:b/>
          <w:color w:val="auto"/>
          <w:spacing w:val="6"/>
          <w:sz w:val="21"/>
          <w:szCs w:val="21"/>
          <w:lang w:val="en-US" w:eastAsia="zh-CN"/>
        </w:rPr>
      </w:pPr>
    </w:p>
    <w:p>
      <w:pPr>
        <w:pStyle w:val="38"/>
        <w:numPr>
          <w:ilvl w:val="0"/>
          <w:numId w:val="0"/>
        </w:numPr>
        <w:bidi w:val="0"/>
        <w:spacing w:line="360" w:lineRule="auto"/>
        <w:ind w:leftChars="0"/>
        <w:jc w:val="left"/>
        <w:outlineLvl w:val="9"/>
        <w:rPr>
          <w:rFonts w:hint="eastAsia" w:ascii="宋体" w:hAnsi="宋体" w:eastAsia="宋体" w:cs="宋体"/>
          <w:b/>
          <w:color w:val="auto"/>
          <w:spacing w:val="23"/>
          <w:sz w:val="21"/>
          <w:szCs w:val="21"/>
          <w:lang w:val="en-US" w:eastAsia="zh-CN"/>
        </w:rPr>
      </w:pPr>
      <w:bookmarkStart w:id="60" w:name="_Toc7554"/>
      <w:r>
        <w:rPr>
          <w:rFonts w:hint="eastAsia" w:ascii="宋体" w:hAnsi="宋体" w:cs="宋体"/>
          <w:b/>
          <w:color w:val="auto"/>
          <w:spacing w:val="23"/>
          <w:sz w:val="21"/>
          <w:szCs w:val="21"/>
          <w:lang w:val="en-US" w:eastAsia="zh-CN"/>
        </w:rPr>
        <w:t>4.2</w:t>
      </w:r>
      <w:r>
        <w:rPr>
          <w:rFonts w:hint="eastAsia" w:ascii="宋体" w:hAnsi="宋体" w:eastAsia="宋体" w:cs="宋体"/>
          <w:b/>
          <w:color w:val="auto"/>
          <w:spacing w:val="23"/>
          <w:sz w:val="21"/>
          <w:szCs w:val="21"/>
          <w:lang w:val="en-US" w:eastAsia="zh-CN"/>
        </w:rPr>
        <w:t>胚系变异用药提示</w:t>
      </w:r>
      <w:bookmarkEnd w:id="60"/>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91"/>
        <w:gridCol w:w="4330"/>
        <w:gridCol w:w="4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691"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4330"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4184"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宋体" w:hAnsi="宋体" w:eastAsia="宋体" w:cs="宋体"/>
                <w:sz w:val="21"/>
                <w:szCs w:val="21"/>
                <w:lang w:eastAsia="zh-CN"/>
              </w:rPr>
              <w:t>{%tr if embryonalDrugTipLineStr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embryonalDrugTipLineStr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691"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4330"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c>
          <w:tcPr>
            <w:tcW w:w="41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本次检测未发现靶药相关致病性及可能致病性胚系突变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注：</w:t>
      </w:r>
    </w:p>
    <w:p>
      <w:pPr>
        <w:pStyle w:val="22"/>
        <w:numPr>
          <w:ilvl w:val="0"/>
          <w:numId w:val="11"/>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本报告只给出千人频率均在2%以下的胚系非同义突变。</w:t>
      </w:r>
    </w:p>
    <w:p>
      <w:pPr>
        <w:pStyle w:val="22"/>
        <w:numPr>
          <w:ilvl w:val="0"/>
          <w:numId w:val="11"/>
        </w:numPr>
        <w:spacing w:before="47"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根据美国医学遗传医师学会（ACMG）指导意见，个体携带的变异，分为5个大类：</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致病性变异：有大量证据表明这种变异是高风险的致病性变异。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可能致病性变异：有一些证据表明这种变异是高风险的致病性变异。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不确定性变异：没有足够的证据，将变异分类到其他四类中。</w:t>
      </w:r>
    </w:p>
    <w:p>
      <w:pPr>
        <w:numPr>
          <w:ilvl w:val="0"/>
          <w:numId w:val="12"/>
        </w:numPr>
        <w:spacing w:line="360" w:lineRule="auto"/>
        <w:ind w:left="420" w:leftChars="0" w:firstLine="20" w:firstLineChars="0"/>
        <w:rPr>
          <w:rFonts w:hint="eastAsia" w:ascii="宋体" w:hAnsi="宋体" w:eastAsia="宋体" w:cs="宋体"/>
          <w:sz w:val="18"/>
          <w:szCs w:val="18"/>
          <w:lang w:val="zh-CN" w:eastAsia="zh-CN"/>
        </w:rPr>
      </w:pPr>
      <w:r>
        <w:rPr>
          <w:rFonts w:hint="eastAsia" w:ascii="宋体" w:hAnsi="宋体" w:eastAsia="宋体" w:cs="宋体"/>
          <w:sz w:val="18"/>
          <w:szCs w:val="18"/>
          <w:lang w:eastAsia="zh-CN"/>
        </w:rPr>
        <w:t>可能良性</w:t>
      </w:r>
      <w:r>
        <w:rPr>
          <w:rFonts w:hint="eastAsia" w:ascii="宋体" w:hAnsi="宋体" w:eastAsia="宋体" w:cs="宋体"/>
          <w:sz w:val="18"/>
          <w:szCs w:val="18"/>
          <w:lang w:val="zh-CN" w:eastAsia="zh-CN"/>
        </w:rPr>
        <w:t>变异：有一些证据表明这种变异不是高风险的致病变异。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eastAsia="zh-CN"/>
        </w:rPr>
        <w:t>良性</w:t>
      </w:r>
      <w:r>
        <w:rPr>
          <w:rFonts w:hint="eastAsia" w:ascii="宋体" w:hAnsi="宋体" w:eastAsia="宋体" w:cs="宋体"/>
          <w:sz w:val="18"/>
          <w:szCs w:val="18"/>
          <w:lang w:val="zh-CN" w:eastAsia="zh-CN"/>
        </w:rPr>
        <w:t>变异：有大量证据表明这种变异不是高风险的致病变异。</w:t>
      </w:r>
    </w:p>
    <w:p>
      <w:pPr>
        <w:pStyle w:val="22"/>
        <w:numPr>
          <w:ilvl w:val="0"/>
          <w:numId w:val="11"/>
        </w:numPr>
        <w:spacing w:before="47"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基因变异临床意义等级来源于ACMG指南及Clinvar等公共数据库，随着相关指南、数据库不断完善以及临床数据的更新，变异分级可能发生变化。</w:t>
      </w:r>
    </w:p>
    <w:p>
      <w:pPr>
        <w:pStyle w:val="22"/>
        <w:numPr>
          <w:ilvl w:val="0"/>
          <w:numId w:val="11"/>
        </w:numPr>
        <w:spacing w:before="47" w:line="36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良性变异和可能良性变异不在报告中展示。</w:t>
      </w:r>
    </w:p>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drawing>
                <wp:anchor distT="0" distB="0" distL="114300" distR="114300" simplePos="0" relativeHeight="251665408" behindDoc="0" locked="0" layoutInCell="1" allowOverlap="1">
                  <wp:simplePos x="0" y="0"/>
                  <wp:positionH relativeFrom="column">
                    <wp:posOffset>410210</wp:posOffset>
                  </wp:positionH>
                  <wp:positionV relativeFrom="page">
                    <wp:posOffset>-362585</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rPr>
          <w:rFonts w:hint="eastAsia"/>
        </w:rPr>
      </w:pPr>
      <w:r>
        <w:rPr>
          <w:sz w:val="22"/>
        </w:rPr>
        <w:drawing>
          <wp:anchor distT="0" distB="0" distL="114300" distR="114300" simplePos="0" relativeHeight="251666432" behindDoc="0" locked="0" layoutInCell="1" allowOverlap="1">
            <wp:simplePos x="0" y="0"/>
            <wp:positionH relativeFrom="column">
              <wp:posOffset>5034280</wp:posOffset>
            </wp:positionH>
            <wp:positionV relativeFrom="page">
              <wp:posOffset>9130665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2"/>
                    <a:stretch>
                      <a:fillRect/>
                    </a:stretch>
                  </pic:blipFill>
                  <pic:spPr>
                    <a:xfrm>
                      <a:off x="0" y="0"/>
                      <a:ext cx="1079500" cy="1079500"/>
                    </a:xfrm>
                    <a:prstGeom prst="rect">
                      <a:avLst/>
                    </a:prstGeom>
                    <a:noFill/>
                    <a:ln>
                      <a:noFill/>
                    </a:ln>
                  </pic:spPr>
                </pic:pic>
              </a:graphicData>
            </a:graphic>
          </wp:anchor>
        </w:drawing>
      </w:r>
      <w:r>
        <w:rPr>
          <w:rFonts w:hint="eastAsia"/>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61" w:name="_Toc11398"/>
      <w:bookmarkStart w:id="62" w:name="_Toc18258"/>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bidi w:val="0"/>
        <w:spacing w:line="360" w:lineRule="auto"/>
        <w:ind w:left="832" w:leftChars="0" w:hanging="832" w:firstLineChars="0"/>
        <w:jc w:val="left"/>
        <w:rPr>
          <w:rFonts w:hint="eastAsia" w:ascii="Times New Roman" w:hAnsi="Times New Roman" w:eastAsia="宋体" w:cs="宋体"/>
          <w:b/>
          <w:bCs/>
          <w:spacing w:val="23"/>
          <w:sz w:val="21"/>
          <w:szCs w:val="21"/>
          <w:lang w:val="en-US" w:eastAsia="zh-CN"/>
        </w:rPr>
      </w:pPr>
      <w:bookmarkStart w:id="63" w:name="_Toc17511"/>
      <w:bookmarkStart w:id="64" w:name="_Toc19105"/>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61"/>
      <w:bookmarkEnd w:id="62"/>
      <w:bookmarkEnd w:id="63"/>
      <w:bookmarkEnd w:id="64"/>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rPr>
          <w:rFonts w:hint="eastAsia" w:ascii="宋体" w:hAnsi="宋体" w:eastAsia="宋体" w:cs="宋体"/>
          <w:b/>
          <w:color w:val="auto"/>
          <w:spacing w:val="6"/>
          <w:sz w:val="21"/>
          <w:szCs w:val="21"/>
          <w:lang w:val="en-US" w:eastAsia="zh-CN"/>
        </w:rPr>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65" w:name="_Toc31543"/>
      <w:r>
        <w:rPr>
          <w:rFonts w:hint="eastAsia" w:ascii="Times New Roman" w:hAnsi="Times New Roman" w:eastAsia="宋体" w:cs="宋体"/>
          <w:b/>
          <w:bCs/>
          <w:spacing w:val="23"/>
          <w:sz w:val="24"/>
          <w:szCs w:val="24"/>
        </w:rPr>
        <w:t>基因检测结果解析</w:t>
      </w:r>
      <w:bookmarkEnd w:id="51"/>
      <w:bookmarkEnd w:id="52"/>
      <w:bookmarkEnd w:id="53"/>
      <w:bookmarkEnd w:id="54"/>
      <w:bookmarkEnd w:id="55"/>
      <w:bookmarkEnd w:id="56"/>
      <w:bookmarkEnd w:id="57"/>
      <w:bookmarkEnd w:id="58"/>
      <w:bookmarkEnd w:id="65"/>
    </w:p>
    <w:p>
      <w:pPr>
        <w:pStyle w:val="38"/>
        <w:numPr>
          <w:ilvl w:val="0"/>
          <w:numId w:val="13"/>
        </w:numPr>
        <w:bidi w:val="0"/>
        <w:spacing w:line="360" w:lineRule="auto"/>
        <w:jc w:val="left"/>
        <w:rPr>
          <w:rFonts w:hint="eastAsia" w:ascii="宋体" w:hAnsi="宋体" w:eastAsia="宋体" w:cs="宋体"/>
          <w:b/>
          <w:color w:val="auto"/>
          <w:sz w:val="21"/>
          <w:szCs w:val="21"/>
          <w:lang w:eastAsia="zh-CN"/>
        </w:rPr>
      </w:pPr>
      <w:bookmarkStart w:id="66" w:name="_Toc10967"/>
      <w:bookmarkStart w:id="67" w:name="_Toc6784"/>
      <w:bookmarkStart w:id="68" w:name="_Toc29383"/>
      <w:bookmarkStart w:id="69" w:name="_Toc26395"/>
      <w:bookmarkStart w:id="70" w:name="_Toc32468"/>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微卫星不稳定（MSI）检测结果解析</w:t>
      </w:r>
      <w:bookmarkEnd w:id="66"/>
    </w:p>
    <w:tbl>
      <w:tblPr>
        <w:tblStyle w:val="14"/>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750"/>
        <w:gridCol w:w="44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4294"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微卫星不稳定（microsatellite instability，MSI）</w:t>
            </w:r>
          </w:p>
        </w:tc>
        <w:tc>
          <w:tcPr>
            <w:tcW w:w="4294"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summaryOfRresults.</w:t>
            </w:r>
            <w:r>
              <w:rPr>
                <w:rFonts w:hint="eastAsia" w:ascii="宋体" w:hAnsi="宋体" w:eastAsia="宋体" w:cs="宋体"/>
                <w:sz w:val="21"/>
                <w:lang w:eastAsia="zh-CN"/>
              </w:rPr>
              <w:t>msi_status_state</w:t>
            </w:r>
            <w:r>
              <w:rPr>
                <w:rFonts w:hint="eastAsia" w:ascii="宋体" w:hAnsi="宋体" w:eastAsia="宋体" w:cs="宋体"/>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6" w:hRule="atLeast"/>
          <w:jc w:val="center"/>
        </w:trPr>
        <w:tc>
          <w:tcPr>
            <w:tcW w:w="5543"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4294"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z w:val="18"/>
                <w:shd w:val="clear" w:color="auto" w:fill="FFFFFF"/>
                <w:lang w:eastAsia="zh-CN"/>
              </w:rPr>
            </w:pPr>
            <w:r>
              <w:rPr>
                <w:rFonts w:hint="eastAsia" w:ascii="宋体" w:hAnsi="宋体" w:eastAsia="宋体" w:cs="宋体"/>
                <w:spacing w:val="6"/>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10"/>
                <w:szCs w:val="10"/>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临床意义：</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keepNext w:val="0"/>
              <w:keepLines w:val="0"/>
              <w:pageBreakBefore w:val="0"/>
              <w:widowControl w:val="0"/>
              <w:numPr>
                <w:ilvl w:val="0"/>
                <w:numId w:val="14"/>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rPr>
            </w:pPr>
            <w:r>
              <w:rPr>
                <w:rFonts w:hint="eastAsia" w:ascii="宋体" w:hAnsi="宋体" w:eastAsia="宋体" w:cs="宋体"/>
                <w:b/>
                <w:spacing w:val="6"/>
                <w:sz w:val="18"/>
                <w:shd w:val="clear" w:color="auto" w:fill="FFFFFF"/>
              </w:rPr>
              <w:t>注：</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本次检测使用NGS技术结合生物信息学算法，基于内部验证数据，通过微卫星位点的长度分布评估判断MSI状态。</w:t>
            </w:r>
          </w:p>
          <w:p>
            <w:pPr>
              <w:keepNext w:val="0"/>
              <w:keepLines w:val="0"/>
              <w:pageBreakBefore w:val="0"/>
              <w:widowControl w:val="0"/>
              <w:numPr>
                <w:ilvl w:val="0"/>
                <w:numId w:val="15"/>
              </w:numPr>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lang w:eastAsia="zh-CN"/>
              </w:rPr>
            </w:pPr>
            <w:r>
              <w:rPr>
                <w:rFonts w:hint="eastAsia" w:ascii="宋体" w:hAnsi="宋体" w:eastAsia="宋体" w:cs="宋体"/>
                <w:spacing w:val="6"/>
                <w:sz w:val="18"/>
                <w:szCs w:val="18"/>
                <w:shd w:val="clear" w:color="auto" w:fill="FFFFFF"/>
                <w:lang w:eastAsia="zh-CN"/>
              </w:rPr>
              <w:t>血液MSI值预测免疫检查点抑制剂治疗疗效处于临床研究阶段，证据尚不充分，报告仅供临床参考。</w:t>
            </w:r>
          </w:p>
        </w:tc>
      </w:tr>
    </w:tbl>
    <w:p>
      <w:pPr>
        <w:rPr>
          <w:rFonts w:hint="eastAsia" w:ascii="宋体" w:hAnsi="宋体" w:eastAsia="宋体" w:cs="宋体"/>
          <w:b/>
          <w:color w:val="auto"/>
          <w:sz w:val="24"/>
          <w:szCs w:val="24"/>
          <w:lang w:eastAsia="zh-CN" w:bidi="ar"/>
        </w:rPr>
      </w:pPr>
      <w:r>
        <w:rPr>
          <w:rFonts w:hint="eastAsia" w:ascii="宋体" w:hAnsi="宋体" w:eastAsia="宋体" w:cs="宋体"/>
          <w:b/>
          <w:color w:val="auto"/>
          <w:sz w:val="24"/>
          <w:szCs w:val="24"/>
          <w:lang w:eastAsia="zh-CN" w:bidi="ar"/>
        </w:rPr>
        <w:br w:type="page"/>
      </w:r>
    </w:p>
    <w:p>
      <w:pPr>
        <w:pStyle w:val="38"/>
        <w:numPr>
          <w:ilvl w:val="0"/>
          <w:numId w:val="13"/>
        </w:numPr>
        <w:bidi w:val="0"/>
        <w:spacing w:line="360" w:lineRule="auto"/>
        <w:jc w:val="left"/>
        <w:rPr>
          <w:rFonts w:hint="eastAsia" w:ascii="Times New Roman" w:hAnsi="Times New Roman" w:eastAsia="宋体" w:cs="宋体"/>
          <w:b w:val="0"/>
          <w:bCs w:val="0"/>
          <w:color w:val="000000" w:themeColor="text1"/>
          <w:spacing w:val="23"/>
          <w:sz w:val="21"/>
          <w:szCs w:val="21"/>
          <w:lang w:val="en-US" w:eastAsia="zh-CN" w:bidi="ar-SA"/>
          <w14:textFill>
            <w14:solidFill>
              <w14:schemeClr w14:val="tx1"/>
            </w14:solidFill>
          </w14:textFill>
        </w:rPr>
      </w:pPr>
      <w:bookmarkStart w:id="71" w:name="_Toc1792"/>
      <w:bookmarkStart w:id="72" w:name="_Toc4331_WPSOffice_Level2"/>
      <w:bookmarkStart w:id="73" w:name="_Toc32543"/>
      <w:bookmarkStart w:id="74" w:name="_Toc32443_WPSOffice_Level2"/>
      <w:bookmarkStart w:id="75" w:name="_Toc32302"/>
      <w:bookmarkStart w:id="76" w:name="_Toc23606"/>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体细胞变异结果解析</w:t>
      </w:r>
      <w:bookmarkEnd w:id="67"/>
      <w:bookmarkEnd w:id="68"/>
      <w:bookmarkEnd w:id="69"/>
      <w:bookmarkEnd w:id="70"/>
      <w:bookmarkEnd w:id="71"/>
      <w:bookmarkEnd w:id="72"/>
      <w:bookmarkEnd w:id="73"/>
      <w:bookmarkEnd w:id="74"/>
      <w:bookmarkEnd w:id="75"/>
      <w:bookmarkEnd w:id="76"/>
    </w:p>
    <w:p>
      <w:pPr>
        <w:pStyle w:val="38"/>
        <w:keepNext w:val="0"/>
        <w:keepLines w:val="0"/>
        <w:pageBreakBefore w:val="0"/>
        <w:widowControl w:val="0"/>
        <w:numPr>
          <w:ilvl w:val="0"/>
          <w:numId w:val="0"/>
        </w:numPr>
        <w:kinsoku/>
        <w:wordWrap/>
        <w:overflowPunct/>
        <w:topLinePunct w:val="0"/>
        <w:autoSpaceDE/>
        <w:autoSpaceDN/>
        <w:bidi w:val="0"/>
        <w:adjustRightInd/>
        <w:snapToGrid/>
        <w:spacing w:before="0" w:beforeLines="20" w:after="0" w:afterLines="20" w:line="240" w:lineRule="auto"/>
        <w:ind w:leftChars="0"/>
        <w:jc w:val="left"/>
        <w:textAlignment w:val="auto"/>
        <w:outlineLvl w:val="9"/>
        <w:rPr>
          <w:rFonts w:hint="eastAsia" w:ascii="宋体" w:hAnsi="宋体" w:eastAsia="宋体" w:cs="宋体"/>
          <w:b w:val="0"/>
          <w:bCs/>
          <w:spacing w:val="23"/>
          <w:sz w:val="21"/>
          <w:szCs w:val="21"/>
        </w:rPr>
      </w:pPr>
      <w:bookmarkStart w:id="77" w:name="_Toc8327"/>
      <w:bookmarkStart w:id="78" w:name="_Toc3782"/>
      <w:bookmarkStart w:id="79" w:name="_Toc15530"/>
      <w:bookmarkStart w:id="80" w:name="_Toc6988"/>
      <w:bookmarkStart w:id="81" w:name="_Toc1707_WPSOffice_Level2"/>
      <w:bookmarkStart w:id="82" w:name="_Toc21764_WPSOffice_Level2"/>
      <w:bookmarkStart w:id="83" w:name="_Toc16347"/>
      <w:bookmarkStart w:id="84" w:name="_Toc26649"/>
      <w:r>
        <w:rPr>
          <w:rFonts w:hint="eastAsia" w:ascii="宋体" w:hAnsi="宋体" w:eastAsia="宋体" w:cs="宋体"/>
          <w:b w:val="0"/>
          <w:bCs/>
          <w:spacing w:val="6"/>
          <w:sz w:val="21"/>
          <w:szCs w:val="21"/>
          <w:lang w:eastAsia="zh-CN"/>
        </w:rPr>
        <w:t>{% if BodyDrugDrugDetectionStr == [] and unknownVarAnalysisStr == []%}未检出靶向用药相关的体细胞基因突变；未检出未知临床意义体细胞基因突变。{% endif %}</w:t>
      </w:r>
      <w:r>
        <w:rPr>
          <w:rFonts w:hint="eastAsia" w:ascii="宋体" w:hAnsi="宋体" w:eastAsia="宋体" w:cs="宋体"/>
          <w:b w:val="0"/>
          <w:bCs/>
          <w:sz w:val="21"/>
          <w:szCs w:val="21"/>
          <w:lang w:eastAsia="zh-CN"/>
        </w:rPr>
        <w:t>{%if BodyDrugDrugDetectionStr or unknownVarAnalysisStr %}{% for tdd in BodyDrugNoComplexStr %}</w:t>
      </w:r>
      <w:bookmarkEnd w:id="77"/>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b w:val="0"/>
          <w:bCs/>
          <w:sz w:val="21"/>
          <w:szCs w:val="21"/>
          <w:lang w:eastAsia="zh-CN"/>
        </w:rPr>
      </w:pPr>
      <w:r>
        <w:rPr>
          <w:rFonts w:hint="eastAsia" w:ascii="宋体" w:hAnsi="宋体" w:eastAsia="宋体" w:cs="宋体"/>
          <w:b w:val="0"/>
          <w:bCs/>
          <w:sz w:val="24"/>
          <w:szCs w:val="24"/>
          <w:lang w:eastAsia="zh-CN"/>
        </w:rPr>
        <w:t>{% endif %}{% endfor %}</w:t>
      </w:r>
      <w:r>
        <w:rPr>
          <w:rFonts w:hint="eastAsia" w:ascii="宋体" w:hAnsi="宋体" w:eastAsia="宋体" w:cs="宋体"/>
          <w:b w:val="0"/>
          <w:bCs/>
          <w:sz w:val="20"/>
          <w:szCs w:val="18"/>
          <w:lang w:eastAsia="zh-CN"/>
        </w:rPr>
        <w:br w:type="page"/>
      </w:r>
      <w:r>
        <w:rPr>
          <w:rFonts w:hint="eastAsia" w:ascii="宋体" w:hAnsi="宋体" w:eastAsia="宋体" w:cs="宋体"/>
          <w:b w:val="0"/>
          <w:bCs/>
          <w:sz w:val="21"/>
          <w:szCs w:val="21"/>
          <w:lang w:eastAsia="zh-CN"/>
        </w:rPr>
        <w:t>{% endif %}</w:t>
      </w:r>
    </w:p>
    <w:p>
      <w:pPr>
        <w:pStyle w:val="38"/>
        <w:numPr>
          <w:ilvl w:val="0"/>
          <w:numId w:val="13"/>
        </w:numPr>
        <w:bidi w:val="0"/>
        <w:spacing w:line="360" w:lineRule="auto"/>
        <w:jc w:val="left"/>
        <w:rPr>
          <w:rFonts w:hint="eastAsia" w:ascii="宋体" w:hAnsi="宋体" w:eastAsia="宋体" w:cs="宋体"/>
          <w:b/>
          <w:sz w:val="24"/>
          <w:szCs w:val="24"/>
          <w:lang w:eastAsia="zh-CN"/>
        </w:rPr>
      </w:pPr>
      <w:bookmarkStart w:id="85" w:name="_Toc25558"/>
      <w:bookmarkStart w:id="86" w:name="_Toc32364"/>
      <w:bookmarkStart w:id="87" w:name="_Toc4772"/>
      <w:bookmarkStart w:id="88" w:name="_Toc20052"/>
      <w:bookmarkStart w:id="89" w:name="_Toc13925"/>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胚系变异结果解析</w:t>
      </w:r>
      <w:bookmarkEnd w:id="85"/>
      <w:bookmarkEnd w:id="86"/>
      <w:bookmarkEnd w:id="87"/>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{%if geneticCancerRiskInfo %}</w:t>
      </w:r>
      <w:r>
        <w:rPr>
          <w:rFonts w:hint="eastAsia" w:ascii="宋体" w:hAnsi="宋体" w:eastAsia="宋体" w:cs="宋体"/>
          <w:b w:val="0"/>
          <w:bCs w:val="0"/>
          <w:sz w:val="21"/>
          <w:szCs w:val="21"/>
          <w:lang w:eastAsia="zh-CN"/>
        </w:rPr>
        <w:t>{% for tdd in geneticCancerRiskInfo %}</w:t>
      </w:r>
      <w:bookmarkEnd w:id="88"/>
      <w:bookmarkEnd w:id="89"/>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'变异解析:'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6"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798"/>
        <w:gridCol w:w="1517"/>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79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17"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79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17"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pStyle w:val="25"/>
        <w:rPr>
          <w:rFonts w:hint="eastAsia" w:ascii="宋体" w:hAnsi="宋体" w:eastAsia="宋体" w:cs="宋体"/>
          <w:b w:val="0"/>
          <w:bCs/>
          <w:color w:val="auto"/>
          <w:spacing w:val="6"/>
          <w:sz w:val="21"/>
          <w:szCs w:val="21"/>
          <w:lang w:eastAsia="zh-CN"/>
        </w:rPr>
      </w:pPr>
      <w:r>
        <w:rPr>
          <w:rFonts w:hint="eastAsia" w:ascii="宋体" w:hAnsi="宋体" w:eastAsia="宋体" w:cs="宋体"/>
          <w:b/>
          <w:color w:val="auto"/>
          <w:sz w:val="24"/>
          <w:szCs w:val="24"/>
          <w:lang w:eastAsia="zh-CN"/>
        </w:rPr>
        <w:t>{% endif %}{% endfor %}</w:t>
      </w:r>
      <w:r>
        <w:rPr>
          <w:rFonts w:ascii="Times New Roman" w:hAnsi="Times New Roman" w:eastAsia="微软雅黑" w:cs="Times New Roman"/>
          <w:color w:val="000000" w:themeColor="text1"/>
          <w:sz w:val="20"/>
          <w:szCs w:val="18"/>
          <w:lang w:eastAsia="zh-CN"/>
          <w14:textFill>
            <w14:solidFill>
              <w14:schemeClr w14:val="tx1"/>
            </w14:solidFill>
          </w14:textFill>
        </w:rPr>
        <w:br w:type="page"/>
      </w:r>
      <w:r>
        <w:rPr>
          <w:rFonts w:hint="eastAsia" w:ascii="宋体" w:hAnsi="宋体" w:eastAsia="宋体" w:cs="宋体"/>
          <w:b w:val="0"/>
          <w:bCs/>
          <w:color w:val="auto"/>
          <w:sz w:val="24"/>
          <w:szCs w:val="24"/>
          <w:lang w:eastAsia="zh-CN"/>
        </w:rPr>
        <w:t>{% else %}未检出致病或可能致病性胚系突变</w:t>
      </w:r>
      <w:r>
        <w:rPr>
          <w:rFonts w:hint="eastAsia" w:ascii="宋体" w:hAnsi="宋体" w:eastAsia="宋体" w:cs="宋体"/>
          <w:b w:val="0"/>
          <w:bCs/>
          <w:color w:val="auto"/>
          <w:spacing w:val="6"/>
          <w:sz w:val="21"/>
          <w:szCs w:val="21"/>
          <w:lang w:eastAsia="zh-CN"/>
        </w:rPr>
        <w:t>。</w:t>
      </w:r>
    </w:p>
    <w:p>
      <w:pPr>
        <w:pStyle w:val="25"/>
        <w:rPr>
          <w:rFonts w:hint="eastAsia" w:ascii="宋体" w:hAnsi="宋体" w:eastAsia="宋体" w:cs="宋体"/>
          <w:color w:val="auto"/>
          <w:sz w:val="20"/>
          <w:szCs w:val="18"/>
        </w:rPr>
      </w:pPr>
      <w:r>
        <w:rPr>
          <w:rFonts w:hint="eastAsia"/>
          <w:color w:val="000000" w:themeColor="text1"/>
          <w:sz w:val="16"/>
          <w14:textFill>
            <w14:solidFill>
              <w14:schemeClr w14:val="tx1"/>
            </w14:solidFill>
          </w14:textFill>
        </w:rPr>
        <w:t>{% endif %}</w:t>
      </w:r>
    </w:p>
    <w:bookmarkEnd w:id="78"/>
    <w:bookmarkEnd w:id="79"/>
    <w:bookmarkEnd w:id="80"/>
    <w:bookmarkEnd w:id="81"/>
    <w:bookmarkEnd w:id="82"/>
    <w:bookmarkEnd w:id="83"/>
    <w:bookmarkEnd w:id="84"/>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90" w:name="_Toc13196_WPSOffice_Level1"/>
      <w:bookmarkStart w:id="91" w:name="_Toc12505"/>
      <w:bookmarkStart w:id="92" w:name="_Toc2409"/>
      <w:bookmarkStart w:id="93" w:name="_Toc16594"/>
      <w:bookmarkStart w:id="94" w:name="_Toc27302"/>
      <w:bookmarkStart w:id="95" w:name="_Toc28240"/>
      <w:bookmarkStart w:id="96" w:name="_Toc1707_WPSOffice_Level1"/>
      <w:bookmarkStart w:id="97" w:name="_Toc8717"/>
      <w:bookmarkStart w:id="98" w:name="_Toc21764_WPSOffice_Level1"/>
      <w:r>
        <w:rPr>
          <w:rFonts w:hint="eastAsia" w:ascii="Times New Roman" w:hAnsi="Times New Roman" w:eastAsia="宋体" w:cs="宋体"/>
          <w:b/>
          <w:bCs/>
          <w:spacing w:val="23"/>
          <w:sz w:val="24"/>
          <w:szCs w:val="24"/>
        </w:rPr>
        <w:t>附录</w:t>
      </w:r>
      <w:bookmarkEnd w:id="90"/>
      <w:bookmarkEnd w:id="91"/>
      <w:bookmarkEnd w:id="92"/>
      <w:bookmarkEnd w:id="93"/>
      <w:bookmarkEnd w:id="94"/>
      <w:bookmarkEnd w:id="95"/>
      <w:bookmarkEnd w:id="96"/>
      <w:bookmarkEnd w:id="97"/>
      <w:bookmarkEnd w:id="98"/>
    </w:p>
    <w:p>
      <w:pPr>
        <w:pStyle w:val="38"/>
        <w:numPr>
          <w:ilvl w:val="0"/>
          <w:numId w:val="16"/>
        </w:numPr>
        <w:bidi w:val="0"/>
        <w:spacing w:line="360" w:lineRule="auto"/>
        <w:ind w:left="832" w:leftChars="0" w:hanging="832" w:firstLineChars="0"/>
        <w:jc w:val="left"/>
        <w:rPr>
          <w:b/>
          <w:bCs/>
          <w:spacing w:val="23"/>
          <w:sz w:val="21"/>
          <w:szCs w:val="21"/>
        </w:rPr>
      </w:pPr>
      <w:bookmarkStart w:id="99" w:name="_Toc15840_WPSOffice_Level1"/>
      <w:bookmarkStart w:id="100" w:name="_Toc14255_WPSOffice_Level1"/>
      <w:bookmarkStart w:id="101" w:name="_Toc24085_WPSOffice_Level1"/>
      <w:bookmarkStart w:id="102" w:name="_Toc4168"/>
      <w:bookmarkStart w:id="103" w:name="_Toc12079"/>
      <w:bookmarkStart w:id="104" w:name="_Toc27075"/>
      <w:bookmarkStart w:id="105" w:name="_Toc31490"/>
      <w:r>
        <w:rPr>
          <w:rFonts w:hint="eastAsia"/>
          <w:b/>
          <w:bCs/>
          <w:spacing w:val="23"/>
          <w:sz w:val="21"/>
          <w:szCs w:val="21"/>
        </w:rPr>
        <w:t>样本质控情况</w:t>
      </w:r>
      <w:bookmarkEnd w:id="99"/>
      <w:bookmarkEnd w:id="100"/>
      <w:bookmarkEnd w:id="101"/>
      <w:bookmarkEnd w:id="102"/>
      <w:bookmarkEnd w:id="103"/>
      <w:bookmarkEnd w:id="104"/>
      <w:bookmarkEnd w:id="105"/>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24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bookmarkStart w:id="123" w:name="_GoBack"/>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keepNext w:val="0"/>
        <w:keepLines w:val="0"/>
        <w:pageBreakBefore w:val="0"/>
        <w:widowControl w:val="0"/>
        <w:numPr>
          <w:ilvl w:val="0"/>
          <w:numId w:val="17"/>
        </w:numPr>
        <w:kinsoku/>
        <w:wordWrap/>
        <w:overflowPunct/>
        <w:topLinePunct w:val="0"/>
        <w:autoSpaceDE/>
        <w:autoSpaceDN/>
        <w:bidi w:val="0"/>
        <w:adjustRightInd/>
        <w:snapToGrid/>
        <w:spacing w:before="53" w:line="312"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bookmarkEnd w:id="123"/>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pPr>
        <w:pStyle w:val="38"/>
        <w:numPr>
          <w:ilvl w:val="0"/>
          <w:numId w:val="16"/>
        </w:numPr>
        <w:bidi w:val="0"/>
        <w:spacing w:line="360" w:lineRule="auto"/>
        <w:ind w:left="832" w:leftChars="0" w:hanging="832" w:firstLineChars="0"/>
        <w:jc w:val="left"/>
        <w:rPr>
          <w:rFonts w:hint="eastAsia"/>
          <w:b/>
          <w:bCs/>
          <w:spacing w:val="23"/>
          <w:sz w:val="21"/>
          <w:szCs w:val="21"/>
        </w:rPr>
      </w:pPr>
      <w:bookmarkStart w:id="106" w:name="_Toc11446"/>
      <w:bookmarkStart w:id="107" w:name="_Toc106294408"/>
      <w:bookmarkStart w:id="108" w:name="_Toc17216"/>
      <w:bookmarkStart w:id="109" w:name="_Toc15564"/>
      <w:bookmarkStart w:id="110" w:name="_Toc7849"/>
      <w:bookmarkStart w:id="111" w:name="_Toc22606"/>
      <w:bookmarkStart w:id="112" w:name="_Toc3454"/>
      <w:bookmarkStart w:id="113" w:name="_Toc4503"/>
      <w:bookmarkStart w:id="114" w:name="_Toc27809"/>
      <w:bookmarkStart w:id="115" w:name="_Toc11901"/>
      <w:bookmarkStart w:id="116" w:name="_Toc19584_WPSOffice_Level1"/>
      <w:bookmarkStart w:id="117" w:name="_Toc22162_WPSOffice_Level1"/>
      <w:bookmarkStart w:id="118" w:name="_Toc17792_WPSOffice_Level2"/>
      <w:bookmarkStart w:id="119" w:name="_Toc14611_WPSOffice_Level1"/>
      <w:bookmarkStart w:id="120" w:name="_Toc22623"/>
      <w:bookmarkStart w:id="121" w:name="_Toc13275"/>
      <w:r>
        <w:rPr>
          <w:rFonts w:hint="eastAsia"/>
          <w:b/>
          <w:bCs/>
          <w:spacing w:val="23"/>
          <w:sz w:val="21"/>
          <w:szCs w:val="21"/>
        </w:rPr>
        <w:t>子宫内膜癌分子分型与预后的相关性</w:t>
      </w:r>
      <w:bookmarkEnd w:id="106"/>
      <w:bookmarkEnd w:id="107"/>
      <w:bookmarkEnd w:id="108"/>
      <w:bookmarkEnd w:id="109"/>
      <w:bookmarkEnd w:id="110"/>
      <w:bookmarkEnd w:id="111"/>
      <w:bookmarkEnd w:id="112"/>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子宫内膜癌诊断与治疗指南（2021年版）中关于子宫内膜癌预后危险因素定义和分组</w:t>
      </w:r>
      <w:r>
        <w:rPr>
          <w:rFonts w:hint="eastAsia" w:ascii="宋体" w:hAnsi="宋体" w:eastAsia="宋体" w:cs="宋体"/>
          <w:sz w:val="21"/>
          <w:szCs w:val="21"/>
          <w:lang w:val="en-US" w:eastAsia="zh-CN"/>
        </w:rPr>
        <w:t>以及对应的术后辅助治疗建议</w:t>
      </w:r>
      <w:r>
        <w:rPr>
          <w:rFonts w:hint="eastAsia" w:ascii="宋体" w:hAnsi="宋体" w:eastAsia="宋体" w:cs="宋体"/>
          <w:sz w:val="21"/>
          <w:szCs w:val="21"/>
          <w:lang w:eastAsia="zh-CN"/>
        </w:rPr>
        <w:t>的具体描述见表1，不同分子分型命名对照见表2。</w:t>
      </w:r>
    </w:p>
    <w:p>
      <w:pPr>
        <w:keepNext w:val="0"/>
        <w:keepLines w:val="0"/>
        <w:pageBreakBefore w:val="0"/>
        <w:widowControl w:val="0"/>
        <w:kinsoku/>
        <w:wordWrap/>
        <w:overflowPunct/>
        <w:topLinePunct w:val="0"/>
        <w:autoSpaceDE/>
        <w:autoSpaceDN/>
        <w:bidi w:val="0"/>
        <w:adjustRightInd/>
        <w:snapToGrid/>
        <w:spacing w:after="0" w:after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表1. 预后危险因素定义和分组</w:t>
      </w:r>
      <w:r>
        <w:rPr>
          <w:rFonts w:hint="eastAsia" w:ascii="宋体" w:hAnsi="宋体" w:eastAsia="宋体" w:cs="宋体"/>
          <w:sz w:val="21"/>
          <w:szCs w:val="21"/>
          <w:lang w:val="en-US" w:eastAsia="zh-CN"/>
        </w:rPr>
        <w:t>及术后辅助治疗方案</w:t>
      </w:r>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2976"/>
        <w:gridCol w:w="2892"/>
        <w:gridCol w:w="3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2" w:type="dxa"/>
            <w:shd w:val="clear" w:color="auto" w:fill="9DC3E6"/>
            <w:vAlign w:val="center"/>
          </w:tcPr>
          <w:p>
            <w:pPr>
              <w:spacing w:before="13" w:line="252" w:lineRule="auto"/>
              <w:ind w:right="174"/>
              <w:jc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eastAsia="zh-CN"/>
              </w:rPr>
              <w:t>危险分期</w:t>
            </w:r>
          </w:p>
        </w:tc>
        <w:tc>
          <w:tcPr>
            <w:tcW w:w="2976" w:type="dxa"/>
            <w:shd w:val="clear" w:color="auto" w:fill="9DC3E6"/>
            <w:vAlign w:val="center"/>
          </w:tcPr>
          <w:p>
            <w:pPr>
              <w:spacing w:before="13" w:line="252" w:lineRule="auto"/>
              <w:ind w:right="174"/>
              <w:jc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eastAsia="zh-CN"/>
              </w:rPr>
              <w:t>分子分型未知</w:t>
            </w:r>
          </w:p>
        </w:tc>
        <w:tc>
          <w:tcPr>
            <w:tcW w:w="2892" w:type="dxa"/>
            <w:shd w:val="clear" w:color="auto" w:fill="9DC3E6"/>
            <w:vAlign w:val="center"/>
          </w:tcPr>
          <w:p>
            <w:pPr>
              <w:spacing w:before="13" w:line="252" w:lineRule="auto"/>
              <w:ind w:right="174"/>
              <w:jc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eastAsia="zh-CN"/>
              </w:rPr>
              <w:t>分子分型已知</w:t>
            </w:r>
            <w:r>
              <w:rPr>
                <w:rFonts w:hint="eastAsia" w:ascii="宋体" w:hAnsi="宋体" w:eastAsia="宋体" w:cs="宋体"/>
                <w:b w:val="0"/>
                <w:bCs w:val="0"/>
                <w:color w:val="auto"/>
                <w:sz w:val="21"/>
                <w:szCs w:val="21"/>
                <w:vertAlign w:val="superscript"/>
                <w:lang w:eastAsia="zh-CN"/>
              </w:rPr>
              <w:t>△</w:t>
            </w:r>
          </w:p>
        </w:tc>
        <w:tc>
          <w:tcPr>
            <w:tcW w:w="3505" w:type="dxa"/>
            <w:shd w:val="clear" w:color="auto" w:fill="9DC3E6"/>
            <w:vAlign w:val="center"/>
          </w:tcPr>
          <w:p>
            <w:pPr>
              <w:spacing w:before="13" w:line="252" w:lineRule="auto"/>
              <w:ind w:right="174"/>
              <w:jc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val="en-US" w:eastAsia="zh-CN"/>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2" w:type="dxa"/>
            <w:vAlign w:val="center"/>
          </w:tcPr>
          <w:p>
            <w:pPr>
              <w:widowControl/>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低危</w:t>
            </w:r>
          </w:p>
        </w:tc>
        <w:tc>
          <w:tcPr>
            <w:tcW w:w="2976"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ⅠA期内膜样癌+低级别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+LVSI无或局灶</w:t>
            </w:r>
          </w:p>
        </w:tc>
        <w:tc>
          <w:tcPr>
            <w:tcW w:w="2892"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Ⅰ~Ⅱ期，</w:t>
            </w:r>
            <w:r>
              <w:rPr>
                <w:rFonts w:hint="eastAsia" w:ascii="宋体" w:hAnsi="宋体" w:eastAsia="宋体" w:cs="宋体"/>
                <w:b w:val="0"/>
                <w:bCs w:val="0"/>
                <w:i/>
                <w:iCs/>
                <w:sz w:val="21"/>
                <w:szCs w:val="21"/>
                <w:lang w:eastAsia="zh-CN"/>
              </w:rPr>
              <w:t>POLE</w:t>
            </w:r>
            <w:r>
              <w:rPr>
                <w:rFonts w:hint="eastAsia" w:ascii="宋体" w:hAnsi="宋体" w:eastAsia="宋体" w:cs="宋体"/>
                <w:b w:val="0"/>
                <w:bCs w:val="0"/>
                <w:sz w:val="21"/>
                <w:szCs w:val="21"/>
                <w:lang w:eastAsia="zh-CN"/>
              </w:rPr>
              <w:t xml:space="preserve"> mut内膜样癌，无残留病灶</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ⅠA期，dMMR/NSMP内膜样癌+低级别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+LVSI无或局灶</w:t>
            </w:r>
          </w:p>
        </w:tc>
        <w:tc>
          <w:tcPr>
            <w:tcW w:w="3505"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2" w:type="dxa"/>
            <w:vAlign w:val="center"/>
          </w:tcPr>
          <w:p>
            <w:pPr>
              <w:widowControl/>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中危</w:t>
            </w:r>
          </w:p>
        </w:tc>
        <w:tc>
          <w:tcPr>
            <w:tcW w:w="2976"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ⅠB期内膜样癌+低级别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+LVSI无或局灶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ⅠA期内膜样癌+高级别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+LVSI无或局灶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ⅠA期非内膜样癌（浆液性癌、透明细胞癌、未分化癌、癌肉瘤、混合细胞癌）不伴肌层浸润</w:t>
            </w:r>
          </w:p>
        </w:tc>
        <w:tc>
          <w:tcPr>
            <w:tcW w:w="2892"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ⅠB期，dMMR/NSMP内膜样癌+低级别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+LVSI无或局灶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ⅠA期，dMMR/NSMP内膜样癌+高级别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+LVSI无或局灶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ⅠA期，p53abn和（或）非内膜样癌（浆液性癌、透明细胞癌、未分化癌、癌肉瘤、混合细胞癌）不伴肌层浸润</w:t>
            </w:r>
          </w:p>
        </w:tc>
        <w:tc>
          <w:tcPr>
            <w:tcW w:w="3505"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近距离腔内放疗可以减少中危子宫内膜癌患者的复发风险，对中危患者也可不进行辅助治疗，尤其是60岁以下的患者。已知分子分型后，p53abn内膜样癌局限于内膜层或不伴肌层浸润者，通常不建议辅助治疗。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2" w:type="dxa"/>
            <w:vAlign w:val="center"/>
          </w:tcPr>
          <w:p>
            <w:pPr>
              <w:widowControl/>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高-中危</w:t>
            </w:r>
          </w:p>
        </w:tc>
        <w:tc>
          <w:tcPr>
            <w:tcW w:w="2976"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Ⅰ期内膜样癌+弥漫LVSI，无论级别与浸润深度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ⅠB期内膜样癌＋高级别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，无论LVSI状态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Ⅱ期</w:t>
            </w:r>
          </w:p>
        </w:tc>
        <w:tc>
          <w:tcPr>
            <w:tcW w:w="2892"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Ⅰ期，dMMR/NSMP内膜样癌+弥漫LVSI，无论级别或浸润深度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ⅠB期，dMMR/NSMP内膜样癌高级别</w:t>
            </w:r>
            <w:r>
              <w:rPr>
                <w:rFonts w:hint="eastAsia" w:ascii="宋体" w:hAnsi="宋体" w:eastAsia="宋体" w:cs="宋体"/>
                <w:b w:val="0"/>
                <w:bCs w:val="0"/>
                <w:sz w:val="21"/>
                <w:szCs w:val="21"/>
                <w:vertAlign w:val="superscript"/>
                <w:lang w:eastAsia="zh-CN"/>
              </w:rPr>
              <w:t>*</w:t>
            </w:r>
            <w:r>
              <w:rPr>
                <w:rFonts w:hint="eastAsia" w:ascii="宋体" w:hAnsi="宋体" w:eastAsia="宋体" w:cs="宋体"/>
                <w:b w:val="0"/>
                <w:bCs w:val="0"/>
                <w:sz w:val="21"/>
                <w:szCs w:val="21"/>
                <w:lang w:eastAsia="zh-CN"/>
              </w:rPr>
              <w:t xml:space="preserve"> ，无论LVSI状态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Ⅱ期，dMMR/NSMP内膜样癌</w:t>
            </w:r>
          </w:p>
        </w:tc>
        <w:tc>
          <w:tcPr>
            <w:tcW w:w="3505"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淋巴结分期为pN</w:t>
            </w:r>
            <w:r>
              <w:rPr>
                <w:rFonts w:hint="eastAsia" w:ascii="宋体" w:hAnsi="宋体" w:eastAsia="宋体" w:cs="宋体"/>
                <w:b w:val="0"/>
                <w:bCs w:val="0"/>
                <w:sz w:val="21"/>
                <w:szCs w:val="21"/>
                <w:vertAlign w:val="subscript"/>
                <w:lang w:eastAsia="zh-CN"/>
              </w:rPr>
              <w:t>0</w:t>
            </w:r>
            <w:r>
              <w:rPr>
                <w:rFonts w:hint="eastAsia" w:ascii="宋体" w:hAnsi="宋体" w:eastAsia="宋体" w:cs="宋体"/>
                <w:b w:val="0"/>
                <w:bCs w:val="0"/>
                <w:sz w:val="21"/>
                <w:szCs w:val="21"/>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未进行淋巴结分期手术（cN</w:t>
            </w:r>
            <w:r>
              <w:rPr>
                <w:rFonts w:hint="eastAsia" w:ascii="宋体" w:hAnsi="宋体" w:eastAsia="宋体" w:cs="宋体"/>
                <w:b w:val="0"/>
                <w:bCs w:val="0"/>
                <w:sz w:val="21"/>
                <w:szCs w:val="21"/>
                <w:vertAlign w:val="subscript"/>
                <w:lang w:eastAsia="zh-CN"/>
              </w:rPr>
              <w:t>0</w:t>
            </w:r>
            <w:r>
              <w:rPr>
                <w:rFonts w:hint="eastAsia" w:ascii="宋体" w:hAnsi="宋体" w:eastAsia="宋体" w:cs="宋体"/>
                <w:b w:val="0"/>
                <w:bCs w:val="0"/>
                <w:sz w:val="21"/>
                <w:szCs w:val="21"/>
                <w:lang w:eastAsia="zh-CN"/>
              </w:rPr>
              <w:t>/pN</w:t>
            </w:r>
            <w:r>
              <w:rPr>
                <w:rFonts w:hint="eastAsia" w:ascii="宋体" w:hAnsi="宋体" w:eastAsia="宋体" w:cs="宋体"/>
                <w:b w:val="0"/>
                <w:bCs w:val="0"/>
                <w:sz w:val="21"/>
                <w:szCs w:val="21"/>
                <w:vertAlign w:val="subscript"/>
                <w:lang w:eastAsia="zh-CN"/>
              </w:rPr>
              <w:t>x</w:t>
            </w:r>
            <w:r>
              <w:rPr>
                <w:rFonts w:hint="eastAsia" w:ascii="宋体" w:hAnsi="宋体" w:eastAsia="宋体" w:cs="宋体"/>
                <w:b w:val="0"/>
                <w:bCs w:val="0"/>
                <w:sz w:val="21"/>
                <w:szCs w:val="21"/>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2" w:type="dxa"/>
            <w:vAlign w:val="center"/>
          </w:tcPr>
          <w:p>
            <w:pPr>
              <w:widowControl/>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高危</w:t>
            </w:r>
          </w:p>
        </w:tc>
        <w:tc>
          <w:tcPr>
            <w:tcW w:w="2976"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Ⅲ~ⅣA期，无残留病灶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Ⅰ~ⅣA期，非内膜样癌（浆液性癌、透明细胞癌、未分化癌、癌肉瘤、混合细胞癌）伴肌层浸润，无残留病灶</w:t>
            </w:r>
          </w:p>
          <w:p>
            <w:pPr>
              <w:widowControl/>
              <w:jc w:val="both"/>
              <w:rPr>
                <w:rFonts w:hint="eastAsia" w:ascii="宋体" w:hAnsi="宋体" w:eastAsia="宋体" w:cs="宋体"/>
                <w:b w:val="0"/>
                <w:bCs w:val="0"/>
                <w:sz w:val="21"/>
                <w:szCs w:val="21"/>
                <w:lang w:eastAsia="zh-CN"/>
              </w:rPr>
            </w:pPr>
          </w:p>
        </w:tc>
        <w:tc>
          <w:tcPr>
            <w:tcW w:w="2892"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Ⅲ~ⅣA期，dMMR/NSMP内膜样癌无残留病灶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Ⅰ~ⅣA期，p53abn内膜样癌伴肌层浸润，无残留病灶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Ⅰ~ⅣA期，dMMR/NSMP非内膜样癌（浆液性癌、未分化癌、癌肉瘤），伴肌层浸润，无残留病灶</w:t>
            </w:r>
          </w:p>
        </w:tc>
        <w:tc>
          <w:tcPr>
            <w:tcW w:w="3505"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2" w:type="dxa"/>
            <w:vAlign w:val="center"/>
          </w:tcPr>
          <w:p>
            <w:pPr>
              <w:widowControl/>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晚期转移</w:t>
            </w:r>
          </w:p>
        </w:tc>
        <w:tc>
          <w:tcPr>
            <w:tcW w:w="2976"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Ⅲ~ⅣA期伴残留病灶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ⅣB期</w:t>
            </w:r>
          </w:p>
        </w:tc>
        <w:tc>
          <w:tcPr>
            <w:tcW w:w="2892"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 xml:space="preserve">Ⅲ~ⅣA期，伴残留病灶，任何分子分型 </w:t>
            </w:r>
          </w:p>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ⅣB期，任何分子分型</w:t>
            </w:r>
          </w:p>
        </w:tc>
        <w:tc>
          <w:tcPr>
            <w:tcW w:w="3505" w:type="dxa"/>
            <w:vAlign w:val="center"/>
          </w:tcPr>
          <w:p>
            <w:pPr>
              <w:widowControl/>
              <w:numPr>
                <w:ilvl w:val="0"/>
                <w:numId w:val="19"/>
              </w:numPr>
              <w:ind w:left="215" w:leftChars="0" w:hanging="215" w:firstLineChars="0"/>
              <w:jc w:val="both"/>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line="360" w:lineRule="auto"/>
        <w:rPr>
          <w:rFonts w:hint="eastAsia" w:ascii="宋体" w:hAnsi="宋体" w:eastAsia="宋体" w:cs="宋体"/>
          <w:sz w:val="18"/>
          <w:szCs w:val="18"/>
          <w:lang w:eastAsia="zh-CN"/>
        </w:rPr>
      </w:pP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：对Ⅲ~ⅣA期POLEmut子宫内膜样癌和Ⅰ~ⅣA期dMMR或NSMP透明细胞癌伴肌层浸润者，没有充分的数据将这些患者分配到分子分型的预后危险组别中去。建议进行前瞻性登记；</w:t>
      </w:r>
      <w:r>
        <w:rPr>
          <w:rFonts w:hint="eastAsia" w:ascii="宋体" w:hAnsi="宋体" w:eastAsia="宋体" w:cs="宋体"/>
          <w:sz w:val="18"/>
          <w:szCs w:val="18"/>
          <w:vertAlign w:val="superscript"/>
          <w:lang w:eastAsia="zh-CN"/>
        </w:rPr>
        <w:t>*</w:t>
      </w:r>
      <w:r>
        <w:rPr>
          <w:rFonts w:hint="eastAsia" w:ascii="宋体" w:hAnsi="宋体" w:eastAsia="宋体" w:cs="宋体"/>
          <w:sz w:val="18"/>
          <w:szCs w:val="18"/>
          <w:lang w:eastAsia="zh-CN"/>
        </w:rPr>
        <w:t>：根据FIGO分级两分类，G1和G2定义为低级别，G3为高级别。</w:t>
      </w:r>
    </w:p>
    <w:p>
      <w:pPr>
        <w:keepNext w:val="0"/>
        <w:keepLines w:val="0"/>
        <w:pageBreakBefore w:val="0"/>
        <w:widowControl w:val="0"/>
        <w:kinsoku/>
        <w:wordWrap/>
        <w:overflowPunct/>
        <w:topLinePunct w:val="0"/>
        <w:autoSpaceDE/>
        <w:autoSpaceDN/>
        <w:bidi w:val="0"/>
        <w:adjustRightInd/>
        <w:snapToGrid/>
        <w:spacing w:after="0" w:after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1512"/>
        <w:gridCol w:w="1975"/>
        <w:gridCol w:w="1913"/>
        <w:gridCol w:w="1435"/>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99"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WHO</w:t>
            </w:r>
          </w:p>
        </w:tc>
        <w:tc>
          <w:tcPr>
            <w:tcW w:w="1512"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ESGO</w:t>
            </w:r>
          </w:p>
        </w:tc>
        <w:tc>
          <w:tcPr>
            <w:tcW w:w="1975"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NCCN</w:t>
            </w:r>
          </w:p>
        </w:tc>
        <w:tc>
          <w:tcPr>
            <w:tcW w:w="1913"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TCGA</w:t>
            </w:r>
          </w:p>
        </w:tc>
        <w:tc>
          <w:tcPr>
            <w:tcW w:w="1435"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ProMisE</w:t>
            </w:r>
          </w:p>
        </w:tc>
        <w:tc>
          <w:tcPr>
            <w:tcW w:w="1664"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mut</w:t>
            </w:r>
          </w:p>
        </w:tc>
        <w:tc>
          <w:tcPr>
            <w:tcW w:w="1512"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mut</w:t>
            </w:r>
          </w:p>
        </w:tc>
        <w:tc>
          <w:tcPr>
            <w:tcW w:w="197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p>
        </w:tc>
        <w:tc>
          <w:tcPr>
            <w:tcW w:w="1913"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(ultramutated)</w:t>
            </w:r>
          </w:p>
        </w:tc>
        <w:tc>
          <w:tcPr>
            <w:tcW w:w="143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EDM</w:t>
            </w:r>
          </w:p>
        </w:tc>
        <w:tc>
          <w:tcPr>
            <w:tcW w:w="1664"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512"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97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MSI-H</w:t>
            </w:r>
          </w:p>
        </w:tc>
        <w:tc>
          <w:tcPr>
            <w:tcW w:w="1913"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 (hypermutated)</w:t>
            </w:r>
          </w:p>
        </w:tc>
        <w:tc>
          <w:tcPr>
            <w:tcW w:w="143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64"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c>
          <w:tcPr>
            <w:tcW w:w="1512"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c>
          <w:tcPr>
            <w:tcW w:w="197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low</w:t>
            </w:r>
          </w:p>
        </w:tc>
        <w:tc>
          <w:tcPr>
            <w:tcW w:w="1913"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low (endometrioid)</w:t>
            </w:r>
          </w:p>
        </w:tc>
        <w:tc>
          <w:tcPr>
            <w:tcW w:w="143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wt</w:t>
            </w:r>
          </w:p>
        </w:tc>
        <w:tc>
          <w:tcPr>
            <w:tcW w:w="1664"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512"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97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high</w:t>
            </w:r>
          </w:p>
        </w:tc>
        <w:tc>
          <w:tcPr>
            <w:tcW w:w="1913"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high (serous-like)</w:t>
            </w:r>
          </w:p>
        </w:tc>
        <w:tc>
          <w:tcPr>
            <w:tcW w:w="1435"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64"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p53-mutant</w:t>
            </w:r>
          </w:p>
        </w:tc>
      </w:tr>
    </w:tbl>
    <w:p>
      <w:pPr>
        <w:widowControl/>
        <w:spacing w:before="120" w:beforeLines="50"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hint="eastAsia" w:ascii="宋体" w:hAnsi="宋体" w:eastAsia="宋体" w:cs="宋体"/>
          <w:sz w:val="21"/>
          <w:szCs w:val="21"/>
          <w:lang w:eastAsia="zh-CN"/>
        </w:rPr>
      </w:pPr>
    </w:p>
    <w:p>
      <w:pPr>
        <w:rPr>
          <w:rFonts w:hint="eastAsia" w:ascii="宋体" w:hAnsi="宋体" w:eastAsia="宋体" w:cs="宋体"/>
          <w:sz w:val="21"/>
          <w:szCs w:val="21"/>
          <w:lang w:eastAsia="zh-CN"/>
        </w:rPr>
      </w:pPr>
      <w:r>
        <w:rPr>
          <w:rFonts w:hint="eastAsia" w:ascii="宋体" w:hAnsi="宋体" w:eastAsia="宋体" w:cs="宋体"/>
          <w:sz w:val="21"/>
          <w:szCs w:val="21"/>
          <w:lang w:eastAsia="zh-CN"/>
        </w:rPr>
        <w:t>参考文献：</w:t>
      </w:r>
    </w:p>
    <w:p>
      <w:pPr>
        <w:numPr>
          <w:ilvl w:val="0"/>
          <w:numId w:val="20"/>
        </w:numPr>
        <w:rPr>
          <w:rFonts w:hint="eastAsia" w:ascii="宋体" w:hAnsi="宋体" w:eastAsia="宋体" w:cs="宋体"/>
          <w:sz w:val="21"/>
          <w:szCs w:val="21"/>
          <w:lang w:eastAsia="zh-CN"/>
        </w:rPr>
      </w:pPr>
      <w:r>
        <w:rPr>
          <w:rFonts w:hint="eastAsia" w:ascii="宋体" w:hAnsi="宋体" w:eastAsia="宋体" w:cs="宋体"/>
          <w:sz w:val="21"/>
          <w:szCs w:val="21"/>
          <w:lang w:eastAsia="zh-CN"/>
        </w:rPr>
        <w:t>《ESGO／ESTRO／ESP指南：子宫内膜癌患者的管理（2020版）》；</w:t>
      </w:r>
    </w:p>
    <w:p>
      <w:pPr>
        <w:numPr>
          <w:ilvl w:val="0"/>
          <w:numId w:val="20"/>
        </w:numPr>
        <w:rPr>
          <w:rFonts w:hint="eastAsia" w:ascii="宋体" w:hAnsi="宋体" w:eastAsia="宋体" w:cs="宋体"/>
          <w:sz w:val="21"/>
          <w:szCs w:val="21"/>
          <w:lang w:eastAsia="zh-CN"/>
        </w:rPr>
      </w:pPr>
      <w:r>
        <w:rPr>
          <w:rFonts w:hint="eastAsia" w:ascii="宋体" w:hAnsi="宋体" w:eastAsia="宋体" w:cs="宋体"/>
          <w:sz w:val="21"/>
          <w:szCs w:val="21"/>
          <w:lang w:eastAsia="zh-CN"/>
        </w:rPr>
        <w:t>《子宫内膜癌诊断与治疗指南（2021版）》；</w:t>
      </w:r>
    </w:p>
    <w:p>
      <w:pPr>
        <w:numPr>
          <w:ilvl w:val="0"/>
          <w:numId w:val="20"/>
        </w:numPr>
        <w:rPr>
          <w:rFonts w:hint="eastAsia" w:ascii="宋体" w:hAnsi="宋体" w:eastAsia="宋体" w:cs="宋体"/>
          <w:sz w:val="21"/>
          <w:szCs w:val="21"/>
          <w:lang w:eastAsia="zh-CN"/>
        </w:rPr>
      </w:pPr>
      <w:r>
        <w:rPr>
          <w:rFonts w:hint="eastAsia" w:ascii="宋体" w:hAnsi="宋体" w:eastAsia="宋体" w:cs="宋体"/>
          <w:sz w:val="21"/>
          <w:szCs w:val="21"/>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pStyle w:val="38"/>
        <w:numPr>
          <w:ilvl w:val="0"/>
          <w:numId w:val="16"/>
        </w:numPr>
        <w:bidi w:val="0"/>
        <w:spacing w:line="360" w:lineRule="auto"/>
        <w:ind w:left="832" w:leftChars="0" w:hanging="832" w:firstLineChars="0"/>
        <w:jc w:val="left"/>
        <w:rPr>
          <w:b/>
          <w:bCs/>
          <w:spacing w:val="23"/>
          <w:sz w:val="21"/>
          <w:szCs w:val="21"/>
        </w:rPr>
      </w:pPr>
      <w:bookmarkStart w:id="122" w:name="_Toc271"/>
      <w:r>
        <w:rPr>
          <w:b/>
          <w:bCs/>
          <w:spacing w:val="23"/>
          <w:sz w:val="21"/>
          <w:szCs w:val="21"/>
        </w:rPr>
        <w:t>参考文献</w:t>
      </w:r>
      <w:bookmarkEnd w:id="113"/>
      <w:bookmarkEnd w:id="114"/>
      <w:bookmarkEnd w:id="115"/>
      <w:bookmarkEnd w:id="122"/>
    </w:p>
    <w:bookmarkEnd w:id="116"/>
    <w:bookmarkEnd w:id="117"/>
    <w:bookmarkEnd w:id="118"/>
    <w:bookmarkEnd w:id="119"/>
    <w:bookmarkEnd w:id="120"/>
    <w:bookmarkEnd w:id="121"/>
    <w:p>
      <w:pPr>
        <w:widowControl/>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t>Cancer Genome Atlas Research Network, Kandoth C, Schultz N, et al. Integrated genomic characterization of endometrial carcinoma. Nature. 2013 May 2;497(7447):67-73. [PMID: 23636398]</w:t>
      </w:r>
    </w:p>
    <w:p>
      <w:pPr>
        <w:widowControl/>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t>Talhouk A, McConechy MK, Leung S, et al. A clinically applicable molecular-based classification for endometrial cancers. Br J Cancer. 2015 Jul 14;113(2):299-310. [PMID: 26172027]</w:t>
      </w:r>
    </w:p>
    <w:p>
      <w:pPr>
        <w:widowControl/>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t>Talhouk A, McConechy MK, Leung S, et al. Confirmation of ProMisE: A simple, genomics-based clinical classifier for endometrial cancer. Cancer. 2017 Mar 1;123(5):802-813. [PMID: 28061006]</w:t>
      </w:r>
    </w:p>
    <w:p>
      <w:pPr>
        <w:widowControl/>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t>Stelloo E, Bosse T, Nout RA, et al. Refining prognosis and identifying targetable pathways for high-risk endometrial cancer; a TransPORTEC initiative. Mod Pathol. 2015 Jun;28(6):836-44. [PMID: 25720322]</w:t>
      </w:r>
    </w:p>
    <w:p>
      <w:pPr>
        <w:widowControl/>
        <w:adjustRightInd w:val="0"/>
        <w:snapToGrid w:val="0"/>
        <w:spacing w:after="120" w:afterLines="50" w:line="360" w:lineRule="auto"/>
        <w:jc w:val="both"/>
        <w:rPr>
          <w:rFonts w:hint="eastAsia" w:ascii="宋体" w:hAnsi="宋体" w:eastAsia="宋体" w:cs="宋体"/>
          <w:sz w:val="18"/>
          <w:szCs w:val="18"/>
        </w:rPr>
      </w:pPr>
      <w:r>
        <w:rPr>
          <w:rFonts w:hint="eastAsia" w:ascii="宋体" w:hAnsi="宋体" w:eastAsia="宋体" w:cs="宋体"/>
          <w:sz w:val="18"/>
          <w:szCs w:val="18"/>
        </w:rPr>
        <w:t>Stelloo E, Nout RA, Osse EM, et al. Improved Risk Assessment by Integrating Molecular and Clinicopathological Factors in Early-stage Endometrial Cancer-Combined Analysis of the PORTEC Cohorts. Clin Cancer Res. 2016 Aug 15;22(16):4215-24. [PMID: 27006490]</w:t>
      </w:r>
    </w:p>
    <w:p>
      <w:pPr>
        <w:widowControl/>
        <w:adjustRightInd w:val="0"/>
        <w:snapToGrid w:val="0"/>
        <w:spacing w:after="120" w:afterLines="50" w:line="360" w:lineRule="auto"/>
        <w:jc w:val="both"/>
        <w:rPr>
          <w:rFonts w:hint="eastAsia" w:ascii="宋体" w:hAnsi="宋体" w:eastAsia="宋体" w:cs="宋体"/>
          <w:sz w:val="18"/>
          <w:szCs w:val="18"/>
          <w:lang w:eastAsia="zh-CN"/>
        </w:rPr>
      </w:pPr>
      <w:r>
        <w:rPr>
          <w:rFonts w:hint="eastAsia" w:ascii="宋体" w:hAnsi="宋体" w:eastAsia="宋体" w:cs="宋体"/>
          <w:sz w:val="18"/>
          <w:szCs w:val="18"/>
        </w:rPr>
        <w:t>NCCN《子宫肿瘤临床实践指南》（Version 1.2022）</w:t>
      </w:r>
    </w:p>
    <w:sectPr>
      <w:footerReference r:id="rId5" w:type="default"/>
      <w:pgSz w:w="11910" w:h="16840"/>
      <w:pgMar w:top="1417" w:right="805" w:bottom="737"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2">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sz w:val="21"/>
        <w:szCs w:val="21"/>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rPr>
        <w:rFonts w:hint="default"/>
        <w:sz w:val="18"/>
        <w:szCs w:val="18"/>
      </w:rPr>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FD2A38E"/>
    <w:multiLevelType w:val="singleLevel"/>
    <w:tmpl w:val="3FD2A38E"/>
    <w:lvl w:ilvl="0" w:tentative="0">
      <w:start w:val="1"/>
      <w:numFmt w:val="decimal"/>
      <w:lvlText w:val="%1."/>
      <w:lvlJc w:val="left"/>
      <w:pPr>
        <w:ind w:left="425" w:hanging="425"/>
      </w:pPr>
      <w:rPr>
        <w:rFonts w:hint="default" w:ascii="宋体" w:hAnsi="宋体" w:eastAsia="宋体" w:cs="宋体"/>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6">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7"/>
  </w:num>
  <w:num w:numId="3">
    <w:abstractNumId w:val="14"/>
  </w:num>
  <w:num w:numId="4">
    <w:abstractNumId w:val="8"/>
  </w:num>
  <w:num w:numId="5">
    <w:abstractNumId w:val="9"/>
  </w:num>
  <w:num w:numId="6">
    <w:abstractNumId w:val="0"/>
  </w:num>
  <w:num w:numId="7">
    <w:abstractNumId w:val="2"/>
  </w:num>
  <w:num w:numId="8">
    <w:abstractNumId w:val="6"/>
  </w:num>
  <w:num w:numId="9">
    <w:abstractNumId w:val="10"/>
  </w:num>
  <w:num w:numId="10">
    <w:abstractNumId w:val="3"/>
  </w:num>
  <w:num w:numId="11">
    <w:abstractNumId w:val="11"/>
  </w:num>
  <w:num w:numId="12">
    <w:abstractNumId w:val="15"/>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3"/>
  </w:num>
  <w:num w:numId="19">
    <w:abstractNumId w:val="1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14285"/>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329174C"/>
    <w:rsid w:val="033463D6"/>
    <w:rsid w:val="03836A76"/>
    <w:rsid w:val="038726D8"/>
    <w:rsid w:val="03E921F1"/>
    <w:rsid w:val="04455AD9"/>
    <w:rsid w:val="04791D69"/>
    <w:rsid w:val="04871837"/>
    <w:rsid w:val="04A167FA"/>
    <w:rsid w:val="04BD1641"/>
    <w:rsid w:val="04C17114"/>
    <w:rsid w:val="04CD44FD"/>
    <w:rsid w:val="05815BFE"/>
    <w:rsid w:val="05887898"/>
    <w:rsid w:val="059E1945"/>
    <w:rsid w:val="05B13825"/>
    <w:rsid w:val="05F23D13"/>
    <w:rsid w:val="0654497D"/>
    <w:rsid w:val="06A4457F"/>
    <w:rsid w:val="06A61E8D"/>
    <w:rsid w:val="06E36A2C"/>
    <w:rsid w:val="06EB7F4D"/>
    <w:rsid w:val="07250EAC"/>
    <w:rsid w:val="074043CC"/>
    <w:rsid w:val="07AB34E7"/>
    <w:rsid w:val="07BB0B45"/>
    <w:rsid w:val="07D36A00"/>
    <w:rsid w:val="07DB59EB"/>
    <w:rsid w:val="083F50A2"/>
    <w:rsid w:val="088D7FF0"/>
    <w:rsid w:val="08F43C68"/>
    <w:rsid w:val="09212671"/>
    <w:rsid w:val="095F057B"/>
    <w:rsid w:val="09705B33"/>
    <w:rsid w:val="09B469B1"/>
    <w:rsid w:val="09B73345"/>
    <w:rsid w:val="0A043ABA"/>
    <w:rsid w:val="0A337BEA"/>
    <w:rsid w:val="0A757891"/>
    <w:rsid w:val="0A8703FE"/>
    <w:rsid w:val="0ADA7F11"/>
    <w:rsid w:val="0ADD29EC"/>
    <w:rsid w:val="0AEC09F3"/>
    <w:rsid w:val="0B5F0945"/>
    <w:rsid w:val="0BA82D72"/>
    <w:rsid w:val="0C1768CC"/>
    <w:rsid w:val="0C17712A"/>
    <w:rsid w:val="0C3A0C95"/>
    <w:rsid w:val="0C3E5385"/>
    <w:rsid w:val="0C96240B"/>
    <w:rsid w:val="0D055CE8"/>
    <w:rsid w:val="0D0E2E15"/>
    <w:rsid w:val="0D194A15"/>
    <w:rsid w:val="0D877621"/>
    <w:rsid w:val="0D9819F1"/>
    <w:rsid w:val="0DAD1717"/>
    <w:rsid w:val="0E11445D"/>
    <w:rsid w:val="0E2E3F54"/>
    <w:rsid w:val="0E542351"/>
    <w:rsid w:val="0E632099"/>
    <w:rsid w:val="0E644C2B"/>
    <w:rsid w:val="0E7850F0"/>
    <w:rsid w:val="0E82580A"/>
    <w:rsid w:val="0EBF2A43"/>
    <w:rsid w:val="0EC91129"/>
    <w:rsid w:val="0ED4253A"/>
    <w:rsid w:val="0ED843CC"/>
    <w:rsid w:val="0F2012A5"/>
    <w:rsid w:val="0FB020EC"/>
    <w:rsid w:val="0FB9297A"/>
    <w:rsid w:val="0FC36845"/>
    <w:rsid w:val="0FEA70D2"/>
    <w:rsid w:val="0FEF6595"/>
    <w:rsid w:val="0FFE1C1F"/>
    <w:rsid w:val="10A519AE"/>
    <w:rsid w:val="10D26947"/>
    <w:rsid w:val="11046F6E"/>
    <w:rsid w:val="11067689"/>
    <w:rsid w:val="110D3F98"/>
    <w:rsid w:val="118B49B4"/>
    <w:rsid w:val="125939E4"/>
    <w:rsid w:val="12722FE7"/>
    <w:rsid w:val="12850E64"/>
    <w:rsid w:val="12963DA1"/>
    <w:rsid w:val="12AA1A4D"/>
    <w:rsid w:val="12F372F0"/>
    <w:rsid w:val="132612E4"/>
    <w:rsid w:val="132E255A"/>
    <w:rsid w:val="13897526"/>
    <w:rsid w:val="13AB527B"/>
    <w:rsid w:val="147565B0"/>
    <w:rsid w:val="14872247"/>
    <w:rsid w:val="148972D9"/>
    <w:rsid w:val="149B7751"/>
    <w:rsid w:val="14AA5F0C"/>
    <w:rsid w:val="14C82A00"/>
    <w:rsid w:val="14E50274"/>
    <w:rsid w:val="150E31A1"/>
    <w:rsid w:val="15196B67"/>
    <w:rsid w:val="152B5F53"/>
    <w:rsid w:val="152E3223"/>
    <w:rsid w:val="153F7D0D"/>
    <w:rsid w:val="156E1C8F"/>
    <w:rsid w:val="15D73C77"/>
    <w:rsid w:val="16345977"/>
    <w:rsid w:val="165063E4"/>
    <w:rsid w:val="16A6744E"/>
    <w:rsid w:val="16BD5BE8"/>
    <w:rsid w:val="16E67B0D"/>
    <w:rsid w:val="16EF32B7"/>
    <w:rsid w:val="16F8465A"/>
    <w:rsid w:val="171B03A6"/>
    <w:rsid w:val="175C3095"/>
    <w:rsid w:val="179E5A16"/>
    <w:rsid w:val="17C57C22"/>
    <w:rsid w:val="17EF172D"/>
    <w:rsid w:val="18036692"/>
    <w:rsid w:val="18115FA7"/>
    <w:rsid w:val="184F5A03"/>
    <w:rsid w:val="188B1EE6"/>
    <w:rsid w:val="188E10A8"/>
    <w:rsid w:val="18A5002C"/>
    <w:rsid w:val="19437087"/>
    <w:rsid w:val="1969147D"/>
    <w:rsid w:val="199369D8"/>
    <w:rsid w:val="19B52627"/>
    <w:rsid w:val="1A5E6E15"/>
    <w:rsid w:val="1A9C4C96"/>
    <w:rsid w:val="1AAE1E0B"/>
    <w:rsid w:val="1AE12A56"/>
    <w:rsid w:val="1AF45ED7"/>
    <w:rsid w:val="1B10343F"/>
    <w:rsid w:val="1B28649B"/>
    <w:rsid w:val="1B3B4866"/>
    <w:rsid w:val="1BA36B7F"/>
    <w:rsid w:val="1BAD3E87"/>
    <w:rsid w:val="1C166655"/>
    <w:rsid w:val="1C7A05D0"/>
    <w:rsid w:val="1C98707F"/>
    <w:rsid w:val="1CCD19AC"/>
    <w:rsid w:val="1CD3634C"/>
    <w:rsid w:val="1CFB3D7D"/>
    <w:rsid w:val="1D0B7646"/>
    <w:rsid w:val="1D103BE7"/>
    <w:rsid w:val="1D306ECF"/>
    <w:rsid w:val="1DE8432D"/>
    <w:rsid w:val="1E1954BB"/>
    <w:rsid w:val="1E424F38"/>
    <w:rsid w:val="1E5B4AE9"/>
    <w:rsid w:val="1E5D40E4"/>
    <w:rsid w:val="1E620F2A"/>
    <w:rsid w:val="1EAB0C6A"/>
    <w:rsid w:val="1EAF2912"/>
    <w:rsid w:val="1EE510E1"/>
    <w:rsid w:val="1EEB2832"/>
    <w:rsid w:val="1F2B7CAE"/>
    <w:rsid w:val="1F4A1388"/>
    <w:rsid w:val="1FB23A5A"/>
    <w:rsid w:val="1FC77337"/>
    <w:rsid w:val="20205A20"/>
    <w:rsid w:val="202D7F0F"/>
    <w:rsid w:val="20855B55"/>
    <w:rsid w:val="209432E5"/>
    <w:rsid w:val="20943D07"/>
    <w:rsid w:val="20B86351"/>
    <w:rsid w:val="20C205EB"/>
    <w:rsid w:val="20CA3A62"/>
    <w:rsid w:val="216F18A9"/>
    <w:rsid w:val="218960DE"/>
    <w:rsid w:val="21D55A39"/>
    <w:rsid w:val="22180203"/>
    <w:rsid w:val="22322E8D"/>
    <w:rsid w:val="224C7FA0"/>
    <w:rsid w:val="226A689A"/>
    <w:rsid w:val="22B1632D"/>
    <w:rsid w:val="22D4409F"/>
    <w:rsid w:val="2322058C"/>
    <w:rsid w:val="232B252D"/>
    <w:rsid w:val="235C2C2A"/>
    <w:rsid w:val="23DC4798"/>
    <w:rsid w:val="23FF1819"/>
    <w:rsid w:val="240007AE"/>
    <w:rsid w:val="244D2216"/>
    <w:rsid w:val="25077C29"/>
    <w:rsid w:val="250E3D96"/>
    <w:rsid w:val="25152B1F"/>
    <w:rsid w:val="253036C5"/>
    <w:rsid w:val="256C4478"/>
    <w:rsid w:val="25B12B77"/>
    <w:rsid w:val="25C7784B"/>
    <w:rsid w:val="267A1191"/>
    <w:rsid w:val="26976104"/>
    <w:rsid w:val="271A3FF4"/>
    <w:rsid w:val="271C165B"/>
    <w:rsid w:val="2786240A"/>
    <w:rsid w:val="27870460"/>
    <w:rsid w:val="27984A7E"/>
    <w:rsid w:val="27EA6CAB"/>
    <w:rsid w:val="284B38D4"/>
    <w:rsid w:val="28642123"/>
    <w:rsid w:val="28855B91"/>
    <w:rsid w:val="28B63ACE"/>
    <w:rsid w:val="28B640D1"/>
    <w:rsid w:val="28B74238"/>
    <w:rsid w:val="28B83CA7"/>
    <w:rsid w:val="28C86CFA"/>
    <w:rsid w:val="28CB616B"/>
    <w:rsid w:val="28E3589C"/>
    <w:rsid w:val="28E502F9"/>
    <w:rsid w:val="292D0C40"/>
    <w:rsid w:val="29345F99"/>
    <w:rsid w:val="29363F06"/>
    <w:rsid w:val="29555C64"/>
    <w:rsid w:val="296F5B95"/>
    <w:rsid w:val="2980313B"/>
    <w:rsid w:val="29CB7AAA"/>
    <w:rsid w:val="29DE0525"/>
    <w:rsid w:val="29EF70C8"/>
    <w:rsid w:val="2A1A3A09"/>
    <w:rsid w:val="2A221D03"/>
    <w:rsid w:val="2A3716AB"/>
    <w:rsid w:val="2A51621C"/>
    <w:rsid w:val="2A53692A"/>
    <w:rsid w:val="2A7F29B1"/>
    <w:rsid w:val="2ADE2A02"/>
    <w:rsid w:val="2AF84B7E"/>
    <w:rsid w:val="2B485DBB"/>
    <w:rsid w:val="2B692B05"/>
    <w:rsid w:val="2B8C0A94"/>
    <w:rsid w:val="2BC41327"/>
    <w:rsid w:val="2BDE1876"/>
    <w:rsid w:val="2BF57C61"/>
    <w:rsid w:val="2C165FD1"/>
    <w:rsid w:val="2C427C83"/>
    <w:rsid w:val="2C576226"/>
    <w:rsid w:val="2C771236"/>
    <w:rsid w:val="2CB436C8"/>
    <w:rsid w:val="2D061413"/>
    <w:rsid w:val="2D990B6A"/>
    <w:rsid w:val="2E0C0EE9"/>
    <w:rsid w:val="2E3D6CA4"/>
    <w:rsid w:val="2E7C3545"/>
    <w:rsid w:val="2E824F5C"/>
    <w:rsid w:val="2EB35A8A"/>
    <w:rsid w:val="2F28730D"/>
    <w:rsid w:val="2FB12A1A"/>
    <w:rsid w:val="301013A3"/>
    <w:rsid w:val="30310CEB"/>
    <w:rsid w:val="304862D7"/>
    <w:rsid w:val="30DA24F1"/>
    <w:rsid w:val="30E41C41"/>
    <w:rsid w:val="31033685"/>
    <w:rsid w:val="310959FE"/>
    <w:rsid w:val="3109732A"/>
    <w:rsid w:val="31421E08"/>
    <w:rsid w:val="31464ABB"/>
    <w:rsid w:val="31466CA2"/>
    <w:rsid w:val="315D56F4"/>
    <w:rsid w:val="315E5833"/>
    <w:rsid w:val="32080EDC"/>
    <w:rsid w:val="324E6866"/>
    <w:rsid w:val="32AB7EAB"/>
    <w:rsid w:val="32B71D27"/>
    <w:rsid w:val="32DB7156"/>
    <w:rsid w:val="32DE07F1"/>
    <w:rsid w:val="32F01EBB"/>
    <w:rsid w:val="33323300"/>
    <w:rsid w:val="33725A73"/>
    <w:rsid w:val="338527AA"/>
    <w:rsid w:val="33AE0711"/>
    <w:rsid w:val="33CF05AE"/>
    <w:rsid w:val="346D24B1"/>
    <w:rsid w:val="34777EA9"/>
    <w:rsid w:val="348573AD"/>
    <w:rsid w:val="34EA0013"/>
    <w:rsid w:val="350514A9"/>
    <w:rsid w:val="35055D74"/>
    <w:rsid w:val="354A1BBF"/>
    <w:rsid w:val="354B10C4"/>
    <w:rsid w:val="357E5409"/>
    <w:rsid w:val="35945D5F"/>
    <w:rsid w:val="35B03228"/>
    <w:rsid w:val="35B3556B"/>
    <w:rsid w:val="35F5325E"/>
    <w:rsid w:val="360630CA"/>
    <w:rsid w:val="360A76FC"/>
    <w:rsid w:val="363528B8"/>
    <w:rsid w:val="36940077"/>
    <w:rsid w:val="36B042A1"/>
    <w:rsid w:val="36C00E6C"/>
    <w:rsid w:val="36E25529"/>
    <w:rsid w:val="371E73E3"/>
    <w:rsid w:val="37731B0B"/>
    <w:rsid w:val="37E81DE8"/>
    <w:rsid w:val="3848012E"/>
    <w:rsid w:val="389D76B7"/>
    <w:rsid w:val="39334160"/>
    <w:rsid w:val="39525C52"/>
    <w:rsid w:val="399A5E65"/>
    <w:rsid w:val="39A64D30"/>
    <w:rsid w:val="3A202424"/>
    <w:rsid w:val="3A49481A"/>
    <w:rsid w:val="3A4D09F5"/>
    <w:rsid w:val="3AF460F5"/>
    <w:rsid w:val="3B414471"/>
    <w:rsid w:val="3B57420B"/>
    <w:rsid w:val="3B6B584B"/>
    <w:rsid w:val="3B721C7C"/>
    <w:rsid w:val="3B8B7C9A"/>
    <w:rsid w:val="3B99114B"/>
    <w:rsid w:val="3B9B0105"/>
    <w:rsid w:val="3BEA5380"/>
    <w:rsid w:val="3BF35040"/>
    <w:rsid w:val="3C3F24CA"/>
    <w:rsid w:val="3C5D7D9D"/>
    <w:rsid w:val="3CC95781"/>
    <w:rsid w:val="3D105F1B"/>
    <w:rsid w:val="3D1C54C3"/>
    <w:rsid w:val="3D621347"/>
    <w:rsid w:val="3D6C60E9"/>
    <w:rsid w:val="3D855C98"/>
    <w:rsid w:val="3DB27834"/>
    <w:rsid w:val="3E177369"/>
    <w:rsid w:val="3E2919ED"/>
    <w:rsid w:val="3E5C4C18"/>
    <w:rsid w:val="3E7D0E01"/>
    <w:rsid w:val="3EC949BD"/>
    <w:rsid w:val="3F051B05"/>
    <w:rsid w:val="3F1D1FAD"/>
    <w:rsid w:val="3F4343E8"/>
    <w:rsid w:val="3FC0487B"/>
    <w:rsid w:val="3FCB42E0"/>
    <w:rsid w:val="3FF2193A"/>
    <w:rsid w:val="40006924"/>
    <w:rsid w:val="405979F4"/>
    <w:rsid w:val="40890521"/>
    <w:rsid w:val="40895D14"/>
    <w:rsid w:val="40BA2B58"/>
    <w:rsid w:val="40CD5E20"/>
    <w:rsid w:val="41105CD2"/>
    <w:rsid w:val="41B015F1"/>
    <w:rsid w:val="41C73588"/>
    <w:rsid w:val="41EC43CC"/>
    <w:rsid w:val="41FF695D"/>
    <w:rsid w:val="42AF2F7A"/>
    <w:rsid w:val="42D665BD"/>
    <w:rsid w:val="42F70CC1"/>
    <w:rsid w:val="435766B4"/>
    <w:rsid w:val="43821027"/>
    <w:rsid w:val="43D87FA5"/>
    <w:rsid w:val="44024434"/>
    <w:rsid w:val="447174F8"/>
    <w:rsid w:val="44C23006"/>
    <w:rsid w:val="44C6598F"/>
    <w:rsid w:val="452112A4"/>
    <w:rsid w:val="452C52BD"/>
    <w:rsid w:val="454A2BAB"/>
    <w:rsid w:val="45755361"/>
    <w:rsid w:val="459308E1"/>
    <w:rsid w:val="45A93012"/>
    <w:rsid w:val="45D4644E"/>
    <w:rsid w:val="45E05087"/>
    <w:rsid w:val="45F02992"/>
    <w:rsid w:val="46550A34"/>
    <w:rsid w:val="46A072C4"/>
    <w:rsid w:val="46A249D3"/>
    <w:rsid w:val="46B72EB2"/>
    <w:rsid w:val="46E4791E"/>
    <w:rsid w:val="470B23FB"/>
    <w:rsid w:val="473A6980"/>
    <w:rsid w:val="47413589"/>
    <w:rsid w:val="47A33F8A"/>
    <w:rsid w:val="4811052D"/>
    <w:rsid w:val="48552080"/>
    <w:rsid w:val="4883115E"/>
    <w:rsid w:val="488A5A4F"/>
    <w:rsid w:val="48C65C4C"/>
    <w:rsid w:val="48F33103"/>
    <w:rsid w:val="49114D9F"/>
    <w:rsid w:val="494F5588"/>
    <w:rsid w:val="499E6F1D"/>
    <w:rsid w:val="49C56F37"/>
    <w:rsid w:val="4A1A1AFC"/>
    <w:rsid w:val="4A1C7F69"/>
    <w:rsid w:val="4A2048F5"/>
    <w:rsid w:val="4A4A7BE5"/>
    <w:rsid w:val="4A4C0DA7"/>
    <w:rsid w:val="4A4F7BFE"/>
    <w:rsid w:val="4A693618"/>
    <w:rsid w:val="4A7345CA"/>
    <w:rsid w:val="4A83553B"/>
    <w:rsid w:val="4AA36DBB"/>
    <w:rsid w:val="4B315A79"/>
    <w:rsid w:val="4B4D7464"/>
    <w:rsid w:val="4B577B99"/>
    <w:rsid w:val="4B6232EC"/>
    <w:rsid w:val="4B986BFD"/>
    <w:rsid w:val="4BC14EAA"/>
    <w:rsid w:val="4BE42260"/>
    <w:rsid w:val="4C050246"/>
    <w:rsid w:val="4C0B1AE7"/>
    <w:rsid w:val="4C0F23A4"/>
    <w:rsid w:val="4C120763"/>
    <w:rsid w:val="4C1677E9"/>
    <w:rsid w:val="4C6263AC"/>
    <w:rsid w:val="4CD12DC0"/>
    <w:rsid w:val="4D123B20"/>
    <w:rsid w:val="4D6A309D"/>
    <w:rsid w:val="4D9E31C3"/>
    <w:rsid w:val="4DB6655A"/>
    <w:rsid w:val="4DC108F4"/>
    <w:rsid w:val="4DC26600"/>
    <w:rsid w:val="4E010F87"/>
    <w:rsid w:val="4E0176F5"/>
    <w:rsid w:val="4E414BB2"/>
    <w:rsid w:val="4E8E63A1"/>
    <w:rsid w:val="4EBE0BED"/>
    <w:rsid w:val="4ED24E8A"/>
    <w:rsid w:val="4ED75229"/>
    <w:rsid w:val="4ED84F0E"/>
    <w:rsid w:val="4EED06FD"/>
    <w:rsid w:val="4F0A4F22"/>
    <w:rsid w:val="4F2C4F1E"/>
    <w:rsid w:val="4F5624CB"/>
    <w:rsid w:val="4F7C23E2"/>
    <w:rsid w:val="4F8A3F4D"/>
    <w:rsid w:val="4FB467F9"/>
    <w:rsid w:val="4FD02F65"/>
    <w:rsid w:val="4FF32B52"/>
    <w:rsid w:val="4FFD0EF1"/>
    <w:rsid w:val="502D4F37"/>
    <w:rsid w:val="507E34D2"/>
    <w:rsid w:val="50FC115E"/>
    <w:rsid w:val="510D07DF"/>
    <w:rsid w:val="511A2283"/>
    <w:rsid w:val="516F1C65"/>
    <w:rsid w:val="519B28E7"/>
    <w:rsid w:val="524D5852"/>
    <w:rsid w:val="52594F0F"/>
    <w:rsid w:val="5282034B"/>
    <w:rsid w:val="52832C8D"/>
    <w:rsid w:val="528E13BC"/>
    <w:rsid w:val="52DB3A4A"/>
    <w:rsid w:val="52DC5D03"/>
    <w:rsid w:val="52E57CC3"/>
    <w:rsid w:val="5312550A"/>
    <w:rsid w:val="53667193"/>
    <w:rsid w:val="536C59BD"/>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EE7782"/>
    <w:rsid w:val="571C57F3"/>
    <w:rsid w:val="57345015"/>
    <w:rsid w:val="574134AB"/>
    <w:rsid w:val="576B0D91"/>
    <w:rsid w:val="57830686"/>
    <w:rsid w:val="57C96345"/>
    <w:rsid w:val="57CB6623"/>
    <w:rsid w:val="57D92384"/>
    <w:rsid w:val="57F17DFC"/>
    <w:rsid w:val="58020827"/>
    <w:rsid w:val="581808D2"/>
    <w:rsid w:val="58355EB2"/>
    <w:rsid w:val="585D27D8"/>
    <w:rsid w:val="58791C73"/>
    <w:rsid w:val="5889686F"/>
    <w:rsid w:val="58941028"/>
    <w:rsid w:val="58A44110"/>
    <w:rsid w:val="58A47FA0"/>
    <w:rsid w:val="58DE21CC"/>
    <w:rsid w:val="58E6455C"/>
    <w:rsid w:val="5927169E"/>
    <w:rsid w:val="5A21029D"/>
    <w:rsid w:val="5A3C11E6"/>
    <w:rsid w:val="5A540A70"/>
    <w:rsid w:val="5A730264"/>
    <w:rsid w:val="5AA63E98"/>
    <w:rsid w:val="5B19039D"/>
    <w:rsid w:val="5B2616E5"/>
    <w:rsid w:val="5B3A4C3E"/>
    <w:rsid w:val="5B884B96"/>
    <w:rsid w:val="5BA557F4"/>
    <w:rsid w:val="5C0E6F4D"/>
    <w:rsid w:val="5C9A78E6"/>
    <w:rsid w:val="5CA06501"/>
    <w:rsid w:val="5D090FC9"/>
    <w:rsid w:val="5E112F6F"/>
    <w:rsid w:val="5E1455E7"/>
    <w:rsid w:val="5E2C0A11"/>
    <w:rsid w:val="5E454407"/>
    <w:rsid w:val="5E4D291A"/>
    <w:rsid w:val="5E9E54E7"/>
    <w:rsid w:val="5F045FDE"/>
    <w:rsid w:val="5F3B7088"/>
    <w:rsid w:val="5F7128AF"/>
    <w:rsid w:val="5FA2526B"/>
    <w:rsid w:val="5FAA3C47"/>
    <w:rsid w:val="5FB850F5"/>
    <w:rsid w:val="5FC12063"/>
    <w:rsid w:val="5FDC1404"/>
    <w:rsid w:val="5FF61953"/>
    <w:rsid w:val="60095CC9"/>
    <w:rsid w:val="600E54F4"/>
    <w:rsid w:val="606B09F8"/>
    <w:rsid w:val="607B75C7"/>
    <w:rsid w:val="60A827A3"/>
    <w:rsid w:val="60D51A59"/>
    <w:rsid w:val="60E82224"/>
    <w:rsid w:val="60F575C1"/>
    <w:rsid w:val="61147D5F"/>
    <w:rsid w:val="6141130F"/>
    <w:rsid w:val="61426DE4"/>
    <w:rsid w:val="61B17DFE"/>
    <w:rsid w:val="61C20E69"/>
    <w:rsid w:val="62070A08"/>
    <w:rsid w:val="627E6257"/>
    <w:rsid w:val="62847EA7"/>
    <w:rsid w:val="62DB637F"/>
    <w:rsid w:val="62F95138"/>
    <w:rsid w:val="62FA10BA"/>
    <w:rsid w:val="62FD5017"/>
    <w:rsid w:val="63296CF6"/>
    <w:rsid w:val="634624B2"/>
    <w:rsid w:val="63532130"/>
    <w:rsid w:val="63B77886"/>
    <w:rsid w:val="63C57EA5"/>
    <w:rsid w:val="63D615FE"/>
    <w:rsid w:val="640B7333"/>
    <w:rsid w:val="6420166C"/>
    <w:rsid w:val="64582635"/>
    <w:rsid w:val="6469117D"/>
    <w:rsid w:val="64871562"/>
    <w:rsid w:val="64912AE1"/>
    <w:rsid w:val="64991F04"/>
    <w:rsid w:val="649B069F"/>
    <w:rsid w:val="64AA3487"/>
    <w:rsid w:val="64EA7FB1"/>
    <w:rsid w:val="64EC6C5A"/>
    <w:rsid w:val="653D7AF3"/>
    <w:rsid w:val="655E7666"/>
    <w:rsid w:val="6569254B"/>
    <w:rsid w:val="658D3BDA"/>
    <w:rsid w:val="65B119A5"/>
    <w:rsid w:val="65F916BF"/>
    <w:rsid w:val="6622535F"/>
    <w:rsid w:val="663A6D90"/>
    <w:rsid w:val="664F2357"/>
    <w:rsid w:val="66565CBE"/>
    <w:rsid w:val="665F3BAB"/>
    <w:rsid w:val="670E76D1"/>
    <w:rsid w:val="67326007"/>
    <w:rsid w:val="67574E33"/>
    <w:rsid w:val="675C4146"/>
    <w:rsid w:val="67D77C44"/>
    <w:rsid w:val="682847AB"/>
    <w:rsid w:val="68645048"/>
    <w:rsid w:val="6884286B"/>
    <w:rsid w:val="690459DC"/>
    <w:rsid w:val="690B7AFD"/>
    <w:rsid w:val="69404AFD"/>
    <w:rsid w:val="694F2539"/>
    <w:rsid w:val="69543567"/>
    <w:rsid w:val="6A6D318E"/>
    <w:rsid w:val="6A90444F"/>
    <w:rsid w:val="6A930078"/>
    <w:rsid w:val="6AAC300D"/>
    <w:rsid w:val="6AFC4C50"/>
    <w:rsid w:val="6AFF6DD9"/>
    <w:rsid w:val="6B2031BA"/>
    <w:rsid w:val="6B274553"/>
    <w:rsid w:val="6B456FE3"/>
    <w:rsid w:val="6B6721F6"/>
    <w:rsid w:val="6B713444"/>
    <w:rsid w:val="6B7A60D6"/>
    <w:rsid w:val="6B9F6D44"/>
    <w:rsid w:val="6BF26F47"/>
    <w:rsid w:val="6C203A9A"/>
    <w:rsid w:val="6C385BB0"/>
    <w:rsid w:val="6C3A4716"/>
    <w:rsid w:val="6C4A35E0"/>
    <w:rsid w:val="6CA6506C"/>
    <w:rsid w:val="6CB75CCD"/>
    <w:rsid w:val="6D2B6338"/>
    <w:rsid w:val="6D2D26D4"/>
    <w:rsid w:val="6D425E8D"/>
    <w:rsid w:val="6D550E72"/>
    <w:rsid w:val="6D6F7597"/>
    <w:rsid w:val="6DA84871"/>
    <w:rsid w:val="6E411486"/>
    <w:rsid w:val="6E6602A3"/>
    <w:rsid w:val="6E9303C1"/>
    <w:rsid w:val="6EAE7221"/>
    <w:rsid w:val="6ECF03D4"/>
    <w:rsid w:val="6EEA4B30"/>
    <w:rsid w:val="6EEB1850"/>
    <w:rsid w:val="6F313CA3"/>
    <w:rsid w:val="6F6A54D1"/>
    <w:rsid w:val="6FBE7937"/>
    <w:rsid w:val="6FC02C16"/>
    <w:rsid w:val="6FF6475E"/>
    <w:rsid w:val="70093B7A"/>
    <w:rsid w:val="70184EA3"/>
    <w:rsid w:val="704C5807"/>
    <w:rsid w:val="70687850"/>
    <w:rsid w:val="706A53C9"/>
    <w:rsid w:val="707A1033"/>
    <w:rsid w:val="70CB53E1"/>
    <w:rsid w:val="70E45041"/>
    <w:rsid w:val="71303482"/>
    <w:rsid w:val="714E12CF"/>
    <w:rsid w:val="71561022"/>
    <w:rsid w:val="717604C9"/>
    <w:rsid w:val="71EC218B"/>
    <w:rsid w:val="7207078C"/>
    <w:rsid w:val="7209016D"/>
    <w:rsid w:val="720F3910"/>
    <w:rsid w:val="722D38CE"/>
    <w:rsid w:val="72351C36"/>
    <w:rsid w:val="7259341C"/>
    <w:rsid w:val="728B00C1"/>
    <w:rsid w:val="72BF32CC"/>
    <w:rsid w:val="72E256EB"/>
    <w:rsid w:val="734521A8"/>
    <w:rsid w:val="735B2D23"/>
    <w:rsid w:val="73707E67"/>
    <w:rsid w:val="73776F50"/>
    <w:rsid w:val="73E922BE"/>
    <w:rsid w:val="741F0C23"/>
    <w:rsid w:val="743439CA"/>
    <w:rsid w:val="748F3308"/>
    <w:rsid w:val="74BC7F66"/>
    <w:rsid w:val="74DD127A"/>
    <w:rsid w:val="75260EE2"/>
    <w:rsid w:val="753D1C2F"/>
    <w:rsid w:val="75686B98"/>
    <w:rsid w:val="75874327"/>
    <w:rsid w:val="75C5557C"/>
    <w:rsid w:val="7677072C"/>
    <w:rsid w:val="768317F7"/>
    <w:rsid w:val="76A00464"/>
    <w:rsid w:val="76A021B3"/>
    <w:rsid w:val="76B664D7"/>
    <w:rsid w:val="76E33575"/>
    <w:rsid w:val="76EB2B73"/>
    <w:rsid w:val="770B0914"/>
    <w:rsid w:val="77430656"/>
    <w:rsid w:val="774424D0"/>
    <w:rsid w:val="77473CE9"/>
    <w:rsid w:val="775D41D3"/>
    <w:rsid w:val="7770053A"/>
    <w:rsid w:val="77A33591"/>
    <w:rsid w:val="77D16924"/>
    <w:rsid w:val="77DA2952"/>
    <w:rsid w:val="7824651E"/>
    <w:rsid w:val="782C2784"/>
    <w:rsid w:val="78326601"/>
    <w:rsid w:val="783F2C86"/>
    <w:rsid w:val="78B9498D"/>
    <w:rsid w:val="797F7147"/>
    <w:rsid w:val="79907C4E"/>
    <w:rsid w:val="79BE2A91"/>
    <w:rsid w:val="79CE1B3B"/>
    <w:rsid w:val="79F9757E"/>
    <w:rsid w:val="7A0F0FE1"/>
    <w:rsid w:val="7A1545F8"/>
    <w:rsid w:val="7A6634A8"/>
    <w:rsid w:val="7A697D45"/>
    <w:rsid w:val="7A992CC0"/>
    <w:rsid w:val="7B3A50B0"/>
    <w:rsid w:val="7B8B2C1D"/>
    <w:rsid w:val="7BCA3B47"/>
    <w:rsid w:val="7BD020E4"/>
    <w:rsid w:val="7BDE06A1"/>
    <w:rsid w:val="7C01614C"/>
    <w:rsid w:val="7D067CA7"/>
    <w:rsid w:val="7D12020E"/>
    <w:rsid w:val="7D1E37CD"/>
    <w:rsid w:val="7D2F0819"/>
    <w:rsid w:val="7D2F33BE"/>
    <w:rsid w:val="7D793C28"/>
    <w:rsid w:val="7D8C0F6F"/>
    <w:rsid w:val="7E517338"/>
    <w:rsid w:val="7E9771C1"/>
    <w:rsid w:val="7E9B5E7E"/>
    <w:rsid w:val="7EB604BE"/>
    <w:rsid w:val="7EC33344"/>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9346</Words>
  <Characters>20688</Characters>
  <Lines>395</Lines>
  <Paragraphs>111</Paragraphs>
  <TotalTime>0</TotalTime>
  <ScaleCrop>false</ScaleCrop>
  <LinksUpToDate>false</LinksUpToDate>
  <CharactersWithSpaces>22294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2024-06-12T09:51:53Z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