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pPr>
        <w:jc w:val="center"/>
        <w:rPr>
          <w:sz w:val="20"/>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rPr>
          <w:sz w:val="21"/>
          <w:szCs w:val="21"/>
          <w:lang w:eastAsia="zh-CN"/>
        </w:rPr>
      </w:pPr>
    </w:p>
    <w:p>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_Toc10319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_Toc10319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_Toc32392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_Toc32392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_Toc15968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_Toc15968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_Toc23611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_Toc23611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_Toc15284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_Toc15284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_Toc16032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_Toc16032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_Toc11397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微卫星不稳定（MSI）检测结果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_Toc11397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_Toc11973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_Toc11973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_Toc29802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_Toc29802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_Toc28093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_Toc28093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_Toc21681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_Toc21681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65"/>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_Toc20989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_Toc20989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4"/>
        <w:tabs>
          <w:tab w:val="right" w:leader="dot" w:pos="9861"/>
        </w:tabs>
        <w:ind w:left="440"/>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_Toc726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rPr>
        <w:t>微卫星不稳定（MSI）检测结果解析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_Toc726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highlight w:val="none"/>
          <w:lang w:eastAsia="zh-CN"/>
        </w:rPr>
        <w:t>{%if BodyDrugDrugDetectionStr or unknownVarAnalysisStr %}</w:t>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_Toc30847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_Toc30847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_Toc14226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_Toc14226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_Toc12324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_Toc12324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_Toc9023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样本质控情况</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_Toc9023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_Toc30950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子宫内膜癌分子分型与预后的相关性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_Toc30950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_Toc23225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检测基因列表</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_Toc23225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22</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_Toc32217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highlight w:val="none"/>
          <w:lang w:eastAsia="zh-CN"/>
          <w14:textFill>
            <w14:solidFill>
              <w14:schemeClr w14:val="tx1"/>
            </w14:solidFill>
          </w14:textFill>
        </w:rPr>
        <w:t>检测方法与局限性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_Toc32217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23</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_Toc26644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参考文献</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_Toc26644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24</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pPr>
        <w:rPr>
          <w:sz w:val="21"/>
          <w:szCs w:val="21"/>
          <w:lang w:eastAsia="zh-CN"/>
        </w:rPr>
      </w:pPr>
      <w:r>
        <w:rPr>
          <w:rFonts w:hint="default" w:ascii="Times New Roman" w:hAnsi="Times New Roman" w:eastAsia="微软雅黑" w:cs="Times New Roman"/>
          <w:szCs w:val="21"/>
          <w:lang w:eastAsia="zh-CN"/>
        </w:rPr>
        <w:fldChar w:fldCharType="end"/>
      </w:r>
    </w:p>
    <w:p>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2054"/>
      <w:bookmarkStart w:id="1" w:name="_Toc10319"/>
      <w:bookmarkStart w:id="2" w:name="_Toc13806"/>
      <w:bookmarkStart w:id="3" w:name="_Toc106294392"/>
      <w:bookmarkStart w:id="4" w:name="_Toc27500"/>
      <w:bookmarkStart w:id="5" w:name="_Toc21009_WPSOffice_Level1"/>
      <w:bookmarkStart w:id="6" w:name="_Toc21669"/>
      <w:bookmarkStart w:id="7" w:name="_Toc11269"/>
      <w:bookmarkStart w:id="8" w:name="_Toc24178_WPSOffice_Level1"/>
      <w:bookmarkStart w:id="9" w:name="_Toc30143_WPSOffice_Level1"/>
      <w:bookmarkStart w:id="10" w:name="_Toc2439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sz w:val="21"/>
          <w:szCs w:val="21"/>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7451"/>
      <w:bookmarkStart w:id="12" w:name="_Toc19594"/>
      <w:bookmarkStart w:id="13" w:name="_Toc11465"/>
      <w:bookmarkStart w:id="14" w:name="_Toc18062_WPSOffice_Level1"/>
      <w:bookmarkStart w:id="15" w:name="_Toc11015_WPSOffice_Level1"/>
      <w:bookmarkStart w:id="16" w:name="_Toc7021_WPSOffice_Level1"/>
      <w:bookmarkStart w:id="17" w:name="_Toc21469"/>
      <w:bookmarkStart w:id="18" w:name="_Toc32392"/>
      <w:bookmarkStart w:id="19" w:name="_Toc106294393"/>
      <w:bookmarkStart w:id="20" w:name="_Toc1051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920"/>
      <w:bookmarkStart w:id="24" w:name="_Toc18058"/>
      <w:bookmarkStart w:id="25" w:name="_Toc23369_WPSOffice_Level1"/>
      <w:bookmarkStart w:id="26" w:name="_Toc6221_WPSOffice_Level1"/>
      <w:bookmarkStart w:id="27" w:name="_Toc4088"/>
      <w:bookmarkStart w:id="28" w:name="_Toc3871"/>
      <w:bookmarkStart w:id="29" w:name="_Toc106294395"/>
      <w:bookmarkStart w:id="30" w:name="_Toc1410"/>
      <w:bookmarkStart w:id="31" w:name="_Toc32007"/>
      <w:bookmarkStart w:id="32" w:name="_Toc1596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1061"/>
      <w:bookmarkStart w:id="35" w:name="_Toc23611"/>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bookmarkEnd w:id="22"/>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30953"/>
      <w:bookmarkStart w:id="37" w:name="_Toc106294396"/>
      <w:bookmarkStart w:id="38" w:name="_Toc1528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032"/>
      <w:bookmarkStart w:id="40" w:name="_Toc106294397"/>
      <w:bookmarkStart w:id="41" w:name="_Toc1653"/>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1397"/>
      <w:bookmarkStart w:id="43" w:name="_Toc15285"/>
      <w:bookmarkStart w:id="44" w:name="_Toc11347"/>
      <w:bookmarkStart w:id="45" w:name="_Toc106294398"/>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49837258"/>
            <w:bookmarkStart w:id="47" w:name="_Toc24061"/>
            <w:bookmarkStart w:id="48" w:name="_Toc11973"/>
            <w:bookmarkStart w:id="49" w:name="_Toc19898_WPSOffice_Level2"/>
            <w:bookmarkStart w:id="50" w:name="_Toc13489_WPSOffice_Level2"/>
            <w:bookmarkStart w:id="51" w:name="_Toc4331_WPSOffice_Level1"/>
            <w:bookmarkStart w:id="52" w:name="_Toc25727"/>
            <w:bookmarkStart w:id="53" w:name="_Toc27804"/>
            <w:bookmarkStart w:id="54" w:name="_Toc32661"/>
            <w:bookmarkStart w:id="55" w:name="_Toc30343"/>
            <w:bookmarkStart w:id="56" w:name="_Toc24038"/>
            <w:bookmarkStart w:id="57" w:name="_Toc13107"/>
            <w:bookmarkStart w:id="58" w:name="_Toc5598"/>
            <w:bookmarkStart w:id="59" w:name="_Toc27731"/>
            <w:bookmarkStart w:id="60" w:name="_Toc29093"/>
            <w:bookmarkStart w:id="61" w:name="_Hlk516758315"/>
            <w:bookmarkStart w:id="62" w:name="_Toc28194"/>
            <w:bookmarkStart w:id="63" w:name="_Toc10743"/>
            <w:bookmarkStart w:id="64" w:name="_Toc106294400"/>
            <w:bookmarkStart w:id="65" w:name="_Toc23903"/>
            <w:bookmarkStart w:id="66" w:name="_Toc32443_WPSOffice_Level1"/>
            <w:bookmarkStart w:id="67" w:name="_Toc23846_WPSOffice_Level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pPr>
        <w:pStyle w:val="3"/>
        <w:numPr>
          <w:ilvl w:val="255"/>
          <w:numId w:val="0"/>
        </w:numPr>
        <w:jc w:val="left"/>
        <w:rPr>
          <w:color w:val="auto"/>
          <w:sz w:val="30"/>
          <w:lang w:eastAsia="zh-CN"/>
        </w:rPr>
      </w:pPr>
      <w:r>
        <w:rPr>
          <w:rFonts w:hint="eastAsia"/>
          <w:color w:val="auto"/>
          <w:sz w:val="30"/>
          <w:lang w:eastAsia="zh-CN"/>
        </w:rPr>
        <w:t>体细胞变异分级提示</w:t>
      </w:r>
      <w:bookmarkEnd w:id="46"/>
      <w:bookmarkEnd w:id="47"/>
      <w:bookmarkEnd w:id="48"/>
    </w:p>
    <w:p>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68" w:name="_Toc149837259"/>
      <w:bookmarkStart w:id="69" w:name="_Toc24065"/>
      <w:bookmarkStart w:id="70" w:name="_Toc29802"/>
      <w:r>
        <w:rPr>
          <w:rFonts w:hint="eastAsia"/>
          <w:color w:val="auto"/>
          <w:sz w:val="30"/>
          <w:lang w:eastAsia="zh-CN"/>
        </w:rPr>
        <w:t>胚系变异结果提示</w:t>
      </w:r>
      <w:bookmarkEnd w:id="68"/>
      <w:bookmarkEnd w:id="69"/>
      <w:bookmarkEnd w:id="70"/>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pPr>
        <w:pStyle w:val="3"/>
        <w:numPr>
          <w:ilvl w:val="255"/>
          <w:numId w:val="0"/>
        </w:numPr>
        <w:jc w:val="left"/>
        <w:rPr>
          <w:lang w:eastAsia="zh-CN"/>
        </w:rPr>
      </w:pPr>
      <w:bookmarkStart w:id="71" w:name="_Toc25231"/>
      <w:bookmarkStart w:id="72" w:name="_Toc28093"/>
      <w:bookmarkStart w:id="73" w:name="_Toc149837260"/>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pPr>
        <w:pStyle w:val="3"/>
        <w:numPr>
          <w:ilvl w:val="255"/>
          <w:numId w:val="0"/>
        </w:numPr>
        <w:jc w:val="left"/>
        <w:rPr>
          <w:color w:val="auto"/>
          <w:sz w:val="30"/>
          <w:lang w:eastAsia="zh-CN"/>
        </w:rPr>
      </w:pPr>
      <w:bookmarkStart w:id="74" w:name="_Toc149837262"/>
      <w:bookmarkStart w:id="75" w:name="_Toc21681"/>
      <w:bookmarkStart w:id="76" w:name="_Toc106719764"/>
      <w:bookmarkStart w:id="77" w:name="_Toc10223"/>
      <w:bookmarkStart w:id="78" w:name="_Toc20034"/>
      <w:bookmarkStart w:id="79" w:name="_Toc23431"/>
      <w:bookmarkStart w:id="80" w:name="_Toc106294401"/>
      <w:bookmarkStart w:id="81" w:name="_Toc26583"/>
      <w:bookmarkStart w:id="82" w:name="_Toc12505"/>
      <w:bookmarkStart w:id="83" w:name="_Toc28240"/>
      <w:bookmarkStart w:id="84" w:name="_Toc2409"/>
      <w:bookmarkStart w:id="85" w:name="_Toc21764_WPSOffice_Level1"/>
      <w:bookmarkStart w:id="86" w:name="_Toc16594"/>
      <w:bookmarkStart w:id="87" w:name="_Toc13196_WPSOffice_Level1"/>
      <w:bookmarkStart w:id="88" w:name="_Toc1707_WPSOffice_Level1"/>
      <w:bookmarkStart w:id="89" w:name="_Toc27302"/>
      <w:bookmarkStart w:id="148" w:name="_GoBack"/>
      <w:bookmarkEnd w:id="148"/>
      <w:r>
        <w:rPr>
          <w:rFonts w:hint="eastAsia"/>
          <w:color w:val="auto"/>
          <w:sz w:val="30"/>
          <w:lang w:eastAsia="zh-CN"/>
        </w:rPr>
        <w:t>PD-L1检测结果</w:t>
      </w:r>
      <w:bookmarkEnd w:id="74"/>
      <w:bookmarkEnd w:id="75"/>
      <w:bookmarkEnd w:id="76"/>
      <w:bookmarkEnd w:id="77"/>
      <w:bookmarkEnd w:id="78"/>
      <w:bookmarkEnd w:id="79"/>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0989"/>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1309"/>
      <w:bookmarkStart w:id="94" w:name="_Toc726"/>
      <w:bookmarkStart w:id="95" w:name="_Toc106294402"/>
      <w:bookmarkStart w:id="96" w:name="_Toc29106"/>
      <w:bookmarkStart w:id="97" w:name="_Toc16200"/>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15"/>
                <w:szCs w:val="15"/>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5"/>
                <w:szCs w:val="15"/>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5"/>
                <w:szCs w:val="15"/>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101" w:name="_Toc32443_WPSOffice_Level2"/>
      <w:bookmarkStart w:id="102" w:name="_Toc32302"/>
      <w:bookmarkStart w:id="103" w:name="_Toc30847"/>
      <w:bookmarkStart w:id="104" w:name="_Toc4331_WPSOffice_Level2"/>
      <w:bookmarkStart w:id="105" w:name="_Toc23606"/>
      <w:bookmarkStart w:id="106" w:name="_Toc149837264"/>
      <w:bookmarkStart w:id="107" w:name="_Toc30024"/>
      <w:r>
        <w:rPr>
          <w:rFonts w:hint="eastAsia"/>
          <w:color w:val="auto"/>
          <w:sz w:val="30"/>
          <w:lang w:eastAsia="zh-CN"/>
        </w:rPr>
        <w:t>体细胞变异结果解析</w:t>
      </w:r>
      <w:bookmarkEnd w:id="101"/>
      <w:bookmarkEnd w:id="102"/>
      <w:bookmarkEnd w:id="103"/>
      <w:bookmarkEnd w:id="104"/>
      <w:bookmarkEnd w:id="105"/>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108" w:name="_Toc14226"/>
      <w:bookmarkStart w:id="109" w:name="_Toc18929"/>
      <w:bookmarkStart w:id="110" w:name="_Toc149837265"/>
      <w:r>
        <w:rPr>
          <w:rFonts w:hint="eastAsia"/>
          <w:color w:val="auto"/>
          <w:sz w:val="30"/>
          <w:lang w:eastAsia="zh-CN"/>
        </w:rPr>
        <w:t>胚系变异结果解析</w:t>
      </w:r>
      <w:bookmarkEnd w:id="108"/>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2324"/>
      <w:bookmarkStart w:id="112" w:name="_Toc1680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15840_WPSOffice_Level1"/>
      <w:bookmarkStart w:id="114" w:name="_Toc24085_WPSOffice_Level1"/>
      <w:bookmarkStart w:id="115" w:name="_Toc27075"/>
      <w:bookmarkStart w:id="116" w:name="_Toc106294406"/>
      <w:bookmarkStart w:id="117" w:name="_Toc9023"/>
      <w:bookmarkStart w:id="118" w:name="_Toc4168"/>
      <w:bookmarkStart w:id="119" w:name="_Toc14255_WPSOffice_Level1"/>
      <w:bookmarkStart w:id="120" w:name="_Toc31490"/>
      <w:bookmarkStart w:id="121" w:name="_Toc11369"/>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eastAsia" w:ascii="Times New Roman" w:hAnsi="Times New Roman" w:eastAsia="微软雅黑" w:cs="Times New Roman"/>
          <w:b/>
          <w:sz w:val="18"/>
          <w:lang w:eastAsia="zh-CN"/>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149837270"/>
      <w:bookmarkStart w:id="123" w:name="_Toc7597"/>
      <w:bookmarkStart w:id="124" w:name="_Toc17216"/>
      <w:bookmarkStart w:id="125" w:name="_Toc11446"/>
      <w:bookmarkStart w:id="126" w:name="_Toc3454"/>
      <w:bookmarkStart w:id="127" w:name="_Toc106294408"/>
      <w:bookmarkStart w:id="128" w:name="_Toc30950"/>
      <w:bookmarkStart w:id="129" w:name="_Toc27809"/>
      <w:bookmarkStart w:id="130" w:name="_Toc11901"/>
      <w:bookmarkStart w:id="131" w:name="_Toc4503"/>
      <w:bookmarkStart w:id="132" w:name="_Toc106294410"/>
      <w:bookmarkStart w:id="133" w:name="_Toc17792_WPSOffice_Level2"/>
      <w:bookmarkStart w:id="134" w:name="_Toc13275"/>
      <w:bookmarkStart w:id="135" w:name="_Toc22162_WPSOffice_Level1"/>
      <w:bookmarkStart w:id="136" w:name="_Toc22623"/>
      <w:bookmarkStart w:id="137" w:name="_Toc14611_WPSOffice_Level1"/>
      <w:bookmarkStart w:id="138" w:name="_Toc19584_WPSOffice_Level1"/>
      <w:r>
        <w:rPr>
          <w:rFonts w:hint="eastAsia"/>
          <w:color w:val="auto"/>
          <w:sz w:val="30"/>
        </w:rPr>
        <w:t>子宫内膜癌分子分型与预后的相关性</w:t>
      </w:r>
      <w:bookmarkEnd w:id="122"/>
      <w:bookmarkEnd w:id="123"/>
      <w:bookmarkEnd w:id="124"/>
      <w:bookmarkEnd w:id="125"/>
      <w:bookmarkEnd w:id="126"/>
      <w:bookmarkEnd w:id="127"/>
      <w:bookmarkEnd w:id="128"/>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widowControl/>
        <w:spacing w:before="120" w:beforeLines="50"/>
        <w:rPr>
          <w:rFonts w:hint="eastAsia" w:ascii="Times New Roman" w:hAnsi="Times New Roman" w:eastAsia="微软雅黑" w:cs="Times New Roman"/>
          <w:sz w:val="16"/>
          <w:szCs w:val="16"/>
          <w:lang w:eastAsia="zh-CN"/>
        </w:rPr>
      </w:pP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pPr>
        <w:pStyle w:val="3"/>
        <w:numPr>
          <w:ilvl w:val="255"/>
          <w:numId w:val="0"/>
        </w:numPr>
        <w:jc w:val="left"/>
        <w:rPr>
          <w:color w:val="auto"/>
          <w:sz w:val="30"/>
          <w:lang w:eastAsia="zh-CN"/>
        </w:rPr>
      </w:pPr>
      <w:bookmarkStart w:id="139" w:name="_Toc32674"/>
      <w:bookmarkStart w:id="140" w:name="_Toc23225"/>
      <w:bookmarkStart w:id="141" w:name="_Toc4976"/>
      <w:bookmarkStart w:id="142" w:name="_Toc15114"/>
      <w:bookmarkStart w:id="143" w:name="_Toc3409"/>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pPr>
        <w:pStyle w:val="3"/>
        <w:numPr>
          <w:ilvl w:val="255"/>
          <w:numId w:val="0"/>
        </w:numPr>
        <w:jc w:val="left"/>
        <w:rPr>
          <w:color w:val="auto"/>
          <w:sz w:val="30"/>
          <w:highlight w:val="none"/>
          <w:lang w:eastAsia="zh-CN"/>
        </w:rPr>
      </w:pPr>
      <w:bookmarkStart w:id="144" w:name="_Toc6450"/>
      <w:bookmarkStart w:id="145" w:name="_Toc32217"/>
      <w:r>
        <w:rPr>
          <w:rFonts w:hint="eastAsia"/>
          <w:color w:val="auto"/>
          <w:sz w:val="30"/>
          <w:highlight w:val="none"/>
          <w:lang w:eastAsia="zh-CN"/>
        </w:rPr>
        <w:t>检测方法与局限性</w:t>
      </w:r>
      <w:bookmarkEnd w:id="142"/>
      <w:bookmarkEnd w:id="143"/>
      <w:bookmarkEnd w:id="144"/>
      <w:bookmarkEnd w:id="145"/>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rPr>
      </w:pPr>
      <w:r>
        <w:rPr>
          <w:rFonts w:hint="eastAsia" w:ascii="Times New Roman" w:hAnsi="Times New Roman"/>
          <w:color w:val="auto"/>
          <w:sz w:val="30"/>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26644"/>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pPr>
        <w:spacing w:after="84" w:line="260" w:lineRule="auto"/>
        <w:rPr>
          <w:rFonts w:ascii="Times New Roman" w:hAnsi="Times New Roman" w:eastAsia="微软雅黑" w:cs="Times New Roman"/>
          <w:sz w:val="15"/>
          <w:szCs w:val="15"/>
        </w:rPr>
      </w:pP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pPr>
        <w:pStyle w:val="15"/>
        <w:widowControl/>
        <w:rPr>
          <w:rFonts w:ascii="Times New Roman" w:hAnsi="Times New Roman" w:eastAsia="等线"/>
          <w:sz w:val="22"/>
        </w:rPr>
      </w:pPr>
    </w:p>
    <w:sectPr>
      <w:headerReference r:id="rId5" w:type="default"/>
      <w:footerReference r:id="rId6" w:type="default"/>
      <w:pgSz w:w="11905" w:h="16838"/>
      <w:pgMar w:top="1037" w:right="1020" w:bottom="981" w:left="1020" w:header="850"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E0EDD"/>
    <w:rsid w:val="110D3F98"/>
    <w:rsid w:val="11CC38CA"/>
    <w:rsid w:val="126971EB"/>
    <w:rsid w:val="12850E64"/>
    <w:rsid w:val="12963DA1"/>
    <w:rsid w:val="12AA6CF0"/>
    <w:rsid w:val="12F372F0"/>
    <w:rsid w:val="132612E4"/>
    <w:rsid w:val="13897526"/>
    <w:rsid w:val="13AB527B"/>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6152</Words>
  <Characters>13989</Characters>
  <Lines>874</Lines>
  <Paragraphs>246</Paragraphs>
  <TotalTime>0</TotalTime>
  <ScaleCrop>false</ScaleCrop>
  <LinksUpToDate>false</LinksUpToDate>
  <CharactersWithSpaces>15063</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2024-01-05T05:57:25Z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EBA4B656BE5D4CF297D822159E5910BD_13</vt:lpwstr>
  </property>
</Properties>
</file>