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right"/>
        <w:rPr>
          <w:b/>
          <w:bCs/>
          <w:sz w:val="72"/>
          <w:szCs w:val="72"/>
          <w:lang w:eastAsia="zh-CN"/>
        </w:rPr>
      </w:pPr>
      <w:r>
        <w:rPr>
          <w:rFonts w:hint="eastAsia" w:ascii="黑体" w:hAnsi="黑体" w:eastAsia="黑体" w:cs="黑体"/>
          <w:b/>
          <w:bCs/>
          <w:spacing w:val="23"/>
          <w:sz w:val="72"/>
          <w:szCs w:val="72"/>
          <w:lang w:val="en-US" w:eastAsia="zh-CN"/>
        </w:rPr>
        <w:t>肿瘤个性化诊疗指导</w:t>
      </w:r>
    </w:p>
    <w:p>
      <w:pPr>
        <w:jc w:val="right"/>
        <w:rPr>
          <w:rFonts w:hint="eastAsia" w:ascii="黑体" w:hAnsi="黑体" w:eastAsia="黑体" w:cs="黑体"/>
          <w:b/>
          <w:bCs/>
          <w:spacing w:val="23"/>
          <w:sz w:val="72"/>
          <w:szCs w:val="72"/>
        </w:rPr>
      </w:pPr>
      <w:r>
        <w:rPr>
          <w:rFonts w:hint="eastAsia" w:ascii="黑体" w:hAnsi="黑体" w:eastAsia="黑体" w:cs="黑体"/>
          <w:b/>
          <w:bCs/>
          <w:spacing w:val="23"/>
          <w:sz w:val="72"/>
          <w:szCs w:val="72"/>
          <w:lang w:val="en-US" w:eastAsia="zh-Hans"/>
        </w:rPr>
        <w:t>实体瘤</w:t>
      </w:r>
      <w:r>
        <w:rPr>
          <w:rFonts w:hint="eastAsia" w:ascii="黑体" w:hAnsi="黑体" w:eastAsia="黑体" w:cs="黑体"/>
          <w:b/>
          <w:bCs/>
          <w:spacing w:val="23"/>
          <w:sz w:val="72"/>
          <w:szCs w:val="72"/>
          <w:lang w:val="en-US" w:eastAsia="zh-CN"/>
        </w:rPr>
        <w:t>76</w:t>
      </w:r>
      <w:r>
        <w:rPr>
          <w:rFonts w:hint="eastAsia" w:ascii="黑体" w:hAnsi="黑体" w:eastAsia="黑体" w:cs="黑体"/>
          <w:b/>
          <w:bCs/>
          <w:spacing w:val="23"/>
          <w:sz w:val="72"/>
          <w:szCs w:val="72"/>
          <w:lang w:val="en-US" w:eastAsia="zh-Hans"/>
        </w:rPr>
        <w:t>基因检测报告</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4384"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outlineLvl w:val="9"/>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rFonts w:ascii="宋体" w:hAnsi="宋体" w:eastAsia="宋体" w:cs="宋体"/>
          <w:sz w:val="21"/>
          <w:szCs w:val="22"/>
          <w:lang w:val="en-US" w:eastAsia="en-US" w:bidi="ar-SA"/>
        </w:rPr>
        <w:id w:val="147482458"/>
        <w15:color w:val="DBDBDB"/>
        <w:docPartObj>
          <w:docPartGallery w:val="Table of Contents"/>
          <w:docPartUnique/>
        </w:docPartObj>
      </w:sdtPr>
      <w:sdtEndPr>
        <w:rPr>
          <w:rFonts w:ascii="宋体" w:hAnsi="宋体" w:eastAsia="宋体" w:cs="宋体"/>
          <w:b/>
          <w:sz w:val="21"/>
          <w:szCs w:val="22"/>
          <w:lang w:val="en-US" w:eastAsia="en-US" w:bidi="ar-SA"/>
        </w:rPr>
      </w:sdtEndPr>
      <w:sdtContent>
        <w:p>
          <w:pPr>
            <w:spacing w:before="0" w:beforeLines="0" w:after="0" w:afterLines="0" w:line="240" w:lineRule="auto"/>
            <w:ind w:left="0" w:leftChars="0" w:right="0" w:rightChars="0" w:firstLine="0" w:firstLineChars="0"/>
            <w:jc w:val="center"/>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fldChar w:fldCharType="begin"/>
          </w:r>
          <w:r>
            <w:instrText xml:space="preserve">TOC \o "1-2" \h \u </w:instrText>
          </w:r>
          <w: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_Toc18886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_Toc18886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_Toc6816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_Toc6816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_Toc30751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_Toc30751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_Toc22125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_Toc22125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_Toc25174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检测结果及用药提示</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_Toc25174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_Toc26764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靶向药物</w:t>
          </w:r>
          <w:r>
            <w:rPr>
              <w:rFonts w:hint="eastAsia" w:ascii="宋体" w:hAnsi="宋体" w:eastAsia="宋体" w:cs="宋体"/>
              <w:color w:val="000000" w:themeColor="text1"/>
              <w:spacing w:val="23"/>
              <w:sz w:val="24"/>
              <w:szCs w:val="24"/>
              <w:lang w:val="en-US" w:eastAsia="zh-CN"/>
              <w14:textFill>
                <w14:solidFill>
                  <w14:schemeClr w14:val="tx1"/>
                </w14:solidFill>
              </w14:textFill>
            </w:rPr>
            <w:t>用药</w:t>
          </w:r>
          <w:r>
            <w:rPr>
              <w:rFonts w:hint="eastAsia" w:ascii="宋体" w:hAnsi="宋体" w:eastAsia="宋体" w:cs="宋体"/>
              <w:color w:val="000000" w:themeColor="text1"/>
              <w:spacing w:val="23"/>
              <w:sz w:val="24"/>
              <w:szCs w:val="24"/>
              <w14:textFill>
                <w14:solidFill>
                  <w14:schemeClr w14:val="tx1"/>
                </w14:solidFill>
              </w14:textFill>
            </w:rPr>
            <w:t>提示</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_Toc26764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5</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{%if 2531 not in diseaseIdList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_Toc15558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本癌种FDA/NMPA获批的其他可选靶向药物</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_Toc15558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8</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_Toc7543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_Toc7543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9</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15"/>
              <w:szCs w:val="15"/>
              <w:lang w:eastAsia="zh-CN"/>
            </w:rPr>
            <w:t>{%if BodyDrugDrugDetectionStr or unknownVarAnalysisStr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_Toc28029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变异位点结果解析</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_Toc28029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9</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_Toc12706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附录</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_Toc12706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13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_Toc13440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样本质控情况</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_Toc13440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13</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_Toc10945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常见靶向药物相关基因检测列表</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_Toc10945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14</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_Toc24544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参考文献</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_Toc24544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15</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bookmarkStart w:id="0" w:name="_Toc21009_WPSOffice_Level1"/>
      <w:bookmarkStart w:id="1" w:name="_Toc24397"/>
      <w:bookmarkStart w:id="2" w:name="_Toc21669"/>
      <w:bookmarkStart w:id="3" w:name="_Toc24178_WPSOffice_Level1"/>
      <w:bookmarkStart w:id="4" w:name="_Toc27500"/>
      <w:bookmarkStart w:id="5" w:name="_Toc32054"/>
      <w:bookmarkStart w:id="6" w:name="_Toc30143_WPSOffice_Level1"/>
      <w:bookmarkStart w:id="7" w:name="_Toc13806"/>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18886"/>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1739"/>
        <w:gridCol w:w="2123"/>
        <w:gridCol w:w="1240"/>
        <w:gridCol w:w="1027"/>
        <w:gridCol w:w="135"/>
        <w:gridCol w:w="1908"/>
        <w:gridCol w:w="2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3"/>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个人信息</w:t>
            </w:r>
          </w:p>
        </w:tc>
        <w:tc>
          <w:tcPr>
            <w:tcW w:w="5103" w:type="dxa"/>
            <w:gridSpan w:val="4"/>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疾病信息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spacing w:val="11"/>
                <w:kern w:val="2"/>
                <w:sz w:val="21"/>
                <w:szCs w:val="21"/>
                <w:highlight w:val="none"/>
                <w:lang w:val="en-US" w:eastAsia="zh-CN"/>
              </w:rPr>
              <w:t>患者 ID</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 endif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样本条码</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姓</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名</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client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病理诊断</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diseaseName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别</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sex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TNM 分期</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tnm_periodization</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龄</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age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家 族 史</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firsttreatment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基因检测史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secondtreatment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用 药 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thirdtreatment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样品类型</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样品采样</w:t>
            </w:r>
            <w:r>
              <w:rPr>
                <w:rFonts w:hint="eastAsia" w:ascii="宋体" w:hAnsi="宋体" w:eastAsia="宋体" w:cs="宋体"/>
                <w:spacing w:val="11"/>
                <w:kern w:val="2"/>
                <w:sz w:val="21"/>
                <w:szCs w:val="21"/>
                <w:lang w:val="en-US" w:eastAsia="zh-CN"/>
              </w:rPr>
              <w:t>日期</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样品接收</w:t>
            </w:r>
            <w:r>
              <w:rPr>
                <w:rFonts w:hint="eastAsia" w:ascii="宋体" w:hAnsi="宋体" w:eastAsia="宋体" w:cs="宋体"/>
                <w:spacing w:val="11"/>
                <w:kern w:val="2"/>
                <w:sz w:val="21"/>
                <w:szCs w:val="21"/>
                <w:lang w:val="en-US" w:eastAsia="zh-CN"/>
              </w:rPr>
              <w:t>日期</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送检</w:t>
            </w:r>
            <w:r>
              <w:rPr>
                <w:rFonts w:hint="eastAsia" w:ascii="宋体" w:hAnsi="宋体" w:eastAsia="宋体" w:cs="宋体"/>
                <w:spacing w:val="11"/>
                <w:kern w:val="2"/>
                <w:sz w:val="21"/>
                <w:szCs w:val="21"/>
                <w:lang w:val="en-US" w:eastAsia="zh-Hans"/>
              </w:rPr>
              <w:t>单位</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spacing w:val="11"/>
                <w:kern w:val="2"/>
                <w:sz w:val="21"/>
                <w:szCs w:val="21"/>
                <w:highlight w:val="none"/>
                <w:lang w:val="en-US" w:eastAsia="zh-CN"/>
              </w:rPr>
              <w:t>送检次数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specimentype }}</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spacing w:val="11"/>
                <w:kern w:val="2"/>
                <w:sz w:val="21"/>
                <w:szCs w:val="21"/>
                <w:lang w:val="en-US" w:eastAsia="zh-CN"/>
              </w:rPr>
            </w:pPr>
            <w:r>
              <w:rPr>
                <w:rFonts w:hint="eastAsia" w:ascii="宋体" w:hAnsi="宋体" w:eastAsia="宋体" w:cs="宋体"/>
                <w:bCs/>
                <w:color w:val="000000"/>
                <w:sz w:val="21"/>
                <w:szCs w:val="21"/>
                <w:lang w:eastAsia="zh-CN"/>
              </w:rPr>
              <w:t>{{ collectdate }}</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hospital }}</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bCs/>
                <w:color w:val="000000"/>
                <w:sz w:val="21"/>
                <w:szCs w:val="21"/>
                <w:lang w:eastAsia="zh-CN"/>
              </w:rPr>
              <w:t>{{ inspection_number</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bl>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19594"/>
      <w:bookmarkStart w:id="10" w:name="_Toc11465"/>
      <w:bookmarkStart w:id="11" w:name="_Toc7021_WPSOffice_Level1"/>
      <w:bookmarkStart w:id="12" w:name="_Toc17451"/>
      <w:bookmarkStart w:id="13" w:name="_Toc18062_WPSOffice_Level1"/>
      <w:bookmarkStart w:id="14" w:name="_Toc11015_WPSOffice_Level1"/>
      <w:bookmarkStart w:id="15" w:name="_Toc6816"/>
      <w:bookmarkStart w:id="16" w:name="_Toc10518"/>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spacing w:line="360" w:lineRule="auto"/>
        <w:ind w:firstLine="464" w:firstLineChars="200"/>
        <w:jc w:val="both"/>
        <w:rPr>
          <w:rFonts w:hint="eastAsia" w:ascii="宋体" w:hAnsi="宋体" w:eastAsia="宋体" w:cs="宋体"/>
          <w:bCs/>
          <w:spacing w:val="11"/>
          <w:sz w:val="21"/>
          <w:szCs w:val="21"/>
          <w:lang w:eastAsia="zh-CN"/>
        </w:rPr>
      </w:pPr>
      <w:r>
        <w:rPr>
          <w:rFonts w:hint="eastAsia" w:ascii="宋体" w:hAnsi="宋体" w:eastAsia="宋体" w:cs="宋体"/>
          <w:bCs/>
          <w:spacing w:val="11"/>
          <w:sz w:val="21"/>
          <w:szCs w:val="21"/>
          <w:lang w:eastAsia="zh-CN"/>
        </w:rPr>
        <w:t>本产品对与肿瘤密切相关的</w:t>
      </w:r>
      <w:r>
        <w:rPr>
          <w:rFonts w:hint="eastAsia" w:cs="宋体"/>
          <w:bCs/>
          <w:spacing w:val="11"/>
          <w:sz w:val="21"/>
          <w:szCs w:val="21"/>
          <w:lang w:val="en-US" w:eastAsia="zh-CN"/>
        </w:rPr>
        <w:t>76</w:t>
      </w:r>
      <w:r>
        <w:rPr>
          <w:rFonts w:hint="eastAsia" w:ascii="宋体" w:hAnsi="宋体" w:eastAsia="宋体" w:cs="宋体"/>
          <w:bCs/>
          <w:spacing w:val="11"/>
          <w:sz w:val="21"/>
          <w:szCs w:val="21"/>
          <w:lang w:eastAsia="zh-CN"/>
        </w:rPr>
        <w:t>个基因进行高通量</w:t>
      </w:r>
      <w:r>
        <w:rPr>
          <w:rFonts w:hint="eastAsia" w:ascii="宋体" w:hAnsi="宋体" w:eastAsia="宋体" w:cs="宋体"/>
          <w:bCs/>
          <w:spacing w:val="11"/>
          <w:sz w:val="21"/>
          <w:szCs w:val="21"/>
          <w:lang w:val="en-US" w:eastAsia="zh-CN"/>
        </w:rPr>
        <w:t>脱氧核糖核酸</w:t>
      </w:r>
      <w:r>
        <w:rPr>
          <w:rFonts w:hint="eastAsia" w:ascii="宋体" w:hAnsi="宋体" w:eastAsia="宋体" w:cs="宋体"/>
          <w:bCs/>
          <w:spacing w:val="11"/>
          <w:sz w:val="21"/>
          <w:szCs w:val="21"/>
          <w:lang w:eastAsia="zh-CN"/>
        </w:rPr>
        <w:t>测序。检测突变形式为点突变（SNV）、小片段插入缺失（INDEL）、拷贝数变异（CNV）以及融合（FUSION）。</w:t>
      </w:r>
    </w:p>
    <w:p>
      <w:pPr>
        <w:spacing w:line="360" w:lineRule="auto"/>
        <w:ind w:firstLine="464" w:firstLineChars="200"/>
        <w:jc w:val="both"/>
        <w:rPr>
          <w:rFonts w:hint="eastAsia" w:ascii="宋体" w:hAnsi="宋体" w:eastAsia="宋体" w:cs="宋体"/>
          <w:bCs/>
          <w:spacing w:val="11"/>
          <w:sz w:val="21"/>
          <w:szCs w:val="21"/>
          <w:lang w:eastAsia="zh-CN"/>
        </w:rPr>
      </w:pPr>
      <w:bookmarkStart w:id="18" w:name="_Toc534807930"/>
      <w:r>
        <w:rPr>
          <w:rFonts w:hint="eastAsia" w:ascii="宋体" w:hAnsi="宋体" w:eastAsia="宋体" w:cs="宋体"/>
          <w:bCs/>
          <w:spacing w:val="11"/>
          <w:sz w:val="21"/>
          <w:szCs w:val="21"/>
          <w:lang w:eastAsia="zh-CN"/>
        </w:rPr>
        <w:t>本报告分析基因变异与靶向药物的相关性，给出靶向药物（FDA/NMPA批准药物、临床试验药物等）的用药提示信息，从而为临床制定治疗方案提供参考信息。</w:t>
      </w: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30751"/>
      <w:r>
        <w:rPr>
          <w:rFonts w:ascii="Times New Roman" w:hAnsi="Times New Roman" w:eastAsia="宋体" w:cs="宋体"/>
          <w:b/>
          <w:bCs/>
          <w:spacing w:val="23"/>
          <w:sz w:val="24"/>
          <w:szCs w:val="24"/>
        </w:rPr>
        <w:t>检测</w:t>
      </w:r>
      <w:r>
        <w:rPr>
          <w:rFonts w:hint="eastAsia" w:ascii="Times New Roman" w:hAnsi="Times New Roman" w:eastAsia="宋体" w:cs="宋体"/>
          <w:b/>
          <w:bCs/>
          <w:spacing w:val="23"/>
          <w:sz w:val="24"/>
          <w:szCs w:val="24"/>
        </w:rPr>
        <w:t>基因列表</w:t>
      </w:r>
      <w:bookmarkEnd w:id="19"/>
    </w:p>
    <w:tbl>
      <w:tblPr>
        <w:tblStyle w:val="15"/>
        <w:tblpPr w:leftFromText="180" w:rightFromText="180" w:vertAnchor="text" w:horzAnchor="page" w:tblpXSpec="center" w:tblpY="8"/>
        <w:tblOverlap w:val="never"/>
        <w:tblW w:w="105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1"/>
        <w:gridCol w:w="1051"/>
        <w:gridCol w:w="1051"/>
        <w:gridCol w:w="1051"/>
        <w:gridCol w:w="1052"/>
        <w:gridCol w:w="1052"/>
        <w:gridCol w:w="1052"/>
        <w:gridCol w:w="1052"/>
        <w:gridCol w:w="1052"/>
        <w:gridCol w:w="1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6" w:type="dxa"/>
            <w:gridSpan w:val="10"/>
            <w:vAlign w:val="center"/>
          </w:tcPr>
          <w:p>
            <w:pPr>
              <w:widowControl/>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{%tr for Gene in </w:t>
            </w:r>
            <w:r>
              <w:rPr>
                <w:rFonts w:hint="eastAsia" w:ascii="宋体" w:hAnsi="宋体" w:eastAsia="宋体" w:cs="宋体"/>
                <w:sz w:val="18"/>
                <w:szCs w:val="18"/>
                <w:lang w:val="en-US" w:eastAsia="zh-CN"/>
              </w:rPr>
              <w:t>gene.genes</w:t>
            </w:r>
            <w:r>
              <w:rPr>
                <w:rFonts w:hint="eastAsia" w:ascii="宋体" w:hAnsi="宋体" w:eastAsia="宋体" w:cs="宋体"/>
                <w:sz w:val="18"/>
                <w:szCs w:val="18"/>
                <w:lang w:eastAsia="zh-CN"/>
              </w:rPr>
              <w:t xml:space="preserve"> | </w:t>
            </w:r>
            <w:r>
              <w:rPr>
                <w:rFonts w:hint="eastAsia" w:cs="宋体"/>
                <w:sz w:val="18"/>
                <w:szCs w:val="18"/>
                <w:lang w:eastAsia="zh-CN"/>
              </w:rPr>
              <w:t>red2(</w:t>
            </w:r>
            <w:r>
              <w:rPr>
                <w:rFonts w:hint="eastAsia" w:cs="宋体"/>
                <w:sz w:val="18"/>
                <w:szCs w:val="18"/>
                <w:lang w:val="en-US" w:eastAsia="zh-CN"/>
              </w:rPr>
              <w:t>10</w:t>
            </w:r>
            <w:r>
              <w:rPr>
                <w:rFonts w:hint="eastAsia" w:cs="宋体"/>
                <w:sz w:val="18"/>
                <w:szCs w:val="18"/>
                <w:lang w:eastAsia="zh-CN"/>
              </w:rPr>
              <w:t>,21,'宋体','宋体',False)</w:t>
            </w:r>
            <w:r>
              <w:rPr>
                <w:rFonts w:hint="eastAsia" w:ascii="宋体" w:hAnsi="宋体" w:eastAsia="宋体" w:cs="宋体"/>
                <w:sz w:val="18"/>
                <w:szCs w:val="18"/>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Gene[0]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Gene[1]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Gene[2]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Gene[3]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Gene[4]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Gene[5]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6</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val="en-US" w:eastAsia="zh-CN" w:bidi="ar-SA"/>
              </w:rPr>
            </w:pPr>
            <w:r>
              <w:rPr>
                <w:rFonts w:hint="eastAsia" w:ascii="宋体" w:hAnsi="宋体" w:eastAsia="宋体" w:cs="宋体"/>
                <w:i/>
                <w:sz w:val="21"/>
                <w:szCs w:val="21"/>
                <w:lang w:eastAsia="zh-CN"/>
              </w:rPr>
              <w:t>{{r Gene[</w:t>
            </w:r>
            <w:r>
              <w:rPr>
                <w:rFonts w:hint="eastAsia" w:cs="宋体"/>
                <w:i/>
                <w:sz w:val="21"/>
                <w:szCs w:val="21"/>
                <w:lang w:val="en-US" w:eastAsia="zh-CN"/>
              </w:rPr>
              <w:t>7</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8</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9</w:t>
            </w:r>
            <w:r>
              <w:rPr>
                <w:rFonts w:hint="eastAsia" w:ascii="宋体" w:hAnsi="宋体" w:eastAsia="宋体" w:cs="宋体"/>
                <w:i/>
                <w:sz w:val="21"/>
                <w:szCs w:val="21"/>
                <w:lang w:eastAsia="zh-CN"/>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6" w:type="dxa"/>
            <w:gridSpan w:val="10"/>
            <w:vAlign w:val="center"/>
          </w:tcPr>
          <w:p>
            <w:pPr>
              <w:spacing w:line="276"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{%tr endfor%}</w:t>
            </w:r>
          </w:p>
        </w:tc>
      </w:tr>
    </w:tbl>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0" w:name="_Toc6221_WPSOffice_Level1"/>
      <w:bookmarkStart w:id="21" w:name="_Toc3871"/>
      <w:bookmarkStart w:id="22" w:name="_Toc22125"/>
      <w:bookmarkStart w:id="23" w:name="_Toc1410"/>
      <w:bookmarkStart w:id="24" w:name="_Toc25920"/>
      <w:bookmarkStart w:id="25" w:name="_Toc4088"/>
      <w:bookmarkStart w:id="26" w:name="_Toc18058"/>
      <w:bookmarkStart w:id="27" w:name="_Toc23369_WPSOffice_Level1"/>
      <w:r>
        <w:rPr>
          <w:rFonts w:hint="eastAsia" w:ascii="Times New Roman" w:hAnsi="Times New Roman" w:eastAsia="宋体" w:cs="宋体"/>
          <w:b/>
          <w:bCs/>
          <w:spacing w:val="23"/>
          <w:sz w:val="24"/>
          <w:szCs w:val="24"/>
        </w:rPr>
        <w:t>检测结果小结</w:t>
      </w:r>
      <w:bookmarkEnd w:id="20"/>
      <w:bookmarkEnd w:id="21"/>
      <w:bookmarkEnd w:id="22"/>
      <w:bookmarkEnd w:id="23"/>
      <w:bookmarkEnd w:id="24"/>
      <w:bookmarkEnd w:id="25"/>
      <w:bookmarkEnd w:id="26"/>
      <w:bookmarkEnd w:id="27"/>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1204"/>
        <w:gridCol w:w="1132"/>
        <w:gridCol w:w="1136"/>
        <w:gridCol w:w="1200"/>
        <w:gridCol w:w="1044"/>
        <w:gridCol w:w="1375"/>
        <w:gridCol w:w="780"/>
        <w:gridCol w:w="79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变异类型</w:t>
            </w:r>
          </w:p>
        </w:tc>
        <w:tc>
          <w:tcPr>
            <w:tcW w:w="113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基因</w:t>
            </w:r>
          </w:p>
        </w:tc>
        <w:tc>
          <w:tcPr>
            <w:tcW w:w="11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突变类型</w:t>
            </w:r>
          </w:p>
        </w:tc>
        <w:tc>
          <w:tcPr>
            <w:tcW w:w="120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核苷酸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04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氨基酸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37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频率(%)/</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CN"/>
              </w:rPr>
            </w:pPr>
            <w:r>
              <w:rPr>
                <w:rFonts w:hint="eastAsia" w:cs="宋体"/>
                <w:b/>
                <w:bCs/>
                <w:color w:val="auto"/>
                <w:spacing w:val="11"/>
                <w:kern w:val="2"/>
                <w:sz w:val="21"/>
                <w:szCs w:val="21"/>
                <w:lang w:val="en-US" w:eastAsia="zh-CN"/>
              </w:rPr>
              <w:t>拷贝数</w:t>
            </w:r>
          </w:p>
        </w:tc>
        <w:tc>
          <w:tcPr>
            <w:tcW w:w="78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染色体</w:t>
            </w:r>
          </w:p>
        </w:tc>
        <w:tc>
          <w:tcPr>
            <w:tcW w:w="79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外显子</w:t>
            </w:r>
          </w:p>
        </w:tc>
        <w:tc>
          <w:tcPr>
            <w:tcW w:w="1539"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转录本号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sr.variation_type }}</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sr.gene }}</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sr.ExonicFunc_knownGene_Chinese }}</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sr.cHGVS }}</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sr.pHGVS }}</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sr.mutFreq }}</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sr.chr }}</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sr.Exon }}</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sr.Transcript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rPr>
            </w:pPr>
            <w:r>
              <w:rPr>
                <w:rFonts w:hint="eastAsia" w:ascii="宋体" w:hAnsi="宋体" w:eastAsia="宋体" w:cs="宋体"/>
                <w:sz w:val="21"/>
                <w:szCs w:val="21"/>
                <w:lang w:eastAsia="zh-CN"/>
              </w:rPr>
              <w:t>{%tr endif %}</w:t>
            </w:r>
          </w:p>
        </w:tc>
      </w:tr>
    </w:tbl>
    <w:p>
      <w:pPr>
        <w:numPr>
          <w:ilvl w:val="0"/>
          <w:numId w:val="0"/>
        </w:numPr>
        <w:rPr>
          <w:rFonts w:ascii="微软雅黑" w:hAnsi="微软雅黑" w:eastAsia="微软雅黑" w:cs="微软雅黑"/>
          <w:sz w:val="18"/>
          <w:szCs w:val="18"/>
          <w:lang w:eastAsia="zh-CN" w:bidi="ar"/>
        </w:rPr>
      </w:pPr>
    </w:p>
    <w:p>
      <w:pPr>
        <w:numPr>
          <w:ilvl w:val="0"/>
          <w:numId w:val="0"/>
        </w:numPr>
        <w:rPr>
          <w:rFonts w:ascii="微软雅黑" w:hAnsi="微软雅黑" w:eastAsia="微软雅黑" w:cs="微软雅黑"/>
          <w:spacing w:val="23"/>
          <w:sz w:val="18"/>
          <w:szCs w:val="18"/>
          <w:lang w:eastAsia="zh-CN" w:bidi="ar"/>
        </w:rPr>
      </w:pPr>
      <w:r>
        <w:rPr>
          <w:rFonts w:hint="eastAsia" w:cs="宋体"/>
          <w:b/>
          <w:bCs/>
          <w:spacing w:val="23"/>
          <w:kern w:val="2"/>
          <w:sz w:val="21"/>
          <w:szCs w:val="21"/>
          <w:lang w:val="en-US" w:eastAsia="zh-CN"/>
        </w:rPr>
        <w:t>1、</w:t>
      </w:r>
      <w:r>
        <w:rPr>
          <w:rFonts w:hint="eastAsia" w:ascii="宋体" w:hAnsi="宋体" w:eastAsia="宋体" w:cs="宋体"/>
          <w:b/>
          <w:bCs/>
          <w:spacing w:val="23"/>
          <w:kern w:val="2"/>
          <w:sz w:val="21"/>
          <w:szCs w:val="21"/>
          <w:lang w:val="en-US" w:eastAsia="zh-Hans"/>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4093"/>
        <w:gridCol w:w="2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4093"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211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4093"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2114"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2971"/>
        <w:gridCol w:w="3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2971"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3236"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丰度/拷贝数/融合reads数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2971"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3236"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{%endif%}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pacing w:val="6"/>
          <w:sz w:val="18"/>
          <w:szCs w:val="18"/>
          <w:highlight w:val="none"/>
          <w:lang w:eastAsia="zh-CN"/>
        </w:rPr>
      </w:pPr>
      <w:r>
        <w:rPr>
          <w:rFonts w:hint="eastAsia" w:ascii="宋体" w:hAnsi="宋体" w:eastAsia="宋体" w:cs="宋体"/>
          <w:b/>
          <w:bCs/>
          <w:spacing w:val="6"/>
          <w:sz w:val="18"/>
          <w:szCs w:val="18"/>
          <w:highlight w:val="none"/>
          <w:lang w:eastAsia="zh-CN"/>
        </w:rPr>
        <w:t>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2.</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变异详情，可查看基因变异检测结果及解析。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3.</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以上基因的检测范围涵盖但不限于上表中列出的变异类型。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pacing w:val="6"/>
          <w:sz w:val="18"/>
          <w:szCs w:val="18"/>
          <w:lang w:eastAsia="zh-CN" w:bidi="ar"/>
        </w:rPr>
      </w:pPr>
      <w:r>
        <w:rPr>
          <w:rFonts w:hint="eastAsia" w:cs="宋体"/>
          <w:spacing w:val="6"/>
          <w:sz w:val="18"/>
          <w:szCs w:val="18"/>
          <w:highlight w:val="none"/>
          <w:lang w:val="en-US" w:eastAsia="zh-CN"/>
        </w:rPr>
        <w:t xml:space="preserve">4. </w:t>
      </w:r>
      <w:r>
        <w:rPr>
          <w:rFonts w:hint="eastAsia" w:ascii="宋体" w:hAnsi="宋体" w:eastAsia="宋体" w:cs="宋体"/>
          <w:spacing w:val="6"/>
          <w:sz w:val="18"/>
          <w:szCs w:val="18"/>
          <w:highlight w:val="none"/>
          <w:lang w:eastAsia="zh-CN"/>
        </w:rPr>
        <w:t>"</w:t>
      </w:r>
      <w:r>
        <w:rPr>
          <w:rFonts w:hint="eastAsia" w:ascii="宋体" w:hAnsi="宋体" w:eastAsia="宋体" w:cs="宋体"/>
          <w:sz w:val="21"/>
          <w:szCs w:val="21"/>
          <w:lang w:val="en-US" w:eastAsia="zh-CN"/>
        </w:rPr>
        <w:t>/</w:t>
      </w:r>
      <w:bookmarkStart w:id="101" w:name="_GoBack"/>
      <w:bookmarkEnd w:id="101"/>
      <w:r>
        <w:rPr>
          <w:rFonts w:hint="eastAsia" w:ascii="宋体" w:hAnsi="宋体" w:eastAsia="宋体" w:cs="宋体"/>
          <w:spacing w:val="6"/>
          <w:sz w:val="18"/>
          <w:szCs w:val="18"/>
          <w:highlight w:val="none"/>
          <w:lang w:eastAsia="zh-CN"/>
        </w:rPr>
        <w:t>"表示本次检测未发现相关变异。</w:t>
      </w:r>
    </w:p>
    <w:p>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pPr>
        <w:rPr>
          <w:rFonts w:hint="eastAsia"/>
        </w:rPr>
      </w:pPr>
      <w:bookmarkStart w:id="28" w:name="_Toc19184"/>
      <w:bookmarkStart w:id="29" w:name="_Toc12381"/>
      <w:bookmarkStart w:id="30" w:name="_Toc2781"/>
      <w:bookmarkStart w:id="31" w:name="_Toc14062"/>
      <w:bookmarkStart w:id="32" w:name="_Toc19898_WPSOffice_Level1"/>
      <w:bookmarkStart w:id="33" w:name="_Toc22132"/>
      <w:bookmarkStart w:id="34" w:name="_Toc20136_WPSOffice_Level1"/>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35" w:name="_Toc25174"/>
      <w:r>
        <w:rPr>
          <w:rFonts w:hint="eastAsia" w:ascii="Times New Roman" w:hAnsi="Times New Roman" w:eastAsia="宋体" w:cs="宋体"/>
          <w:b/>
          <w:bCs/>
          <w:spacing w:val="23"/>
          <w:sz w:val="24"/>
          <w:szCs w:val="24"/>
        </w:rPr>
        <w:t>检测结果及用药提示</w:t>
      </w:r>
      <w:bookmarkEnd w:id="18"/>
      <w:bookmarkEnd w:id="28"/>
      <w:bookmarkEnd w:id="29"/>
      <w:bookmarkEnd w:id="30"/>
      <w:bookmarkEnd w:id="31"/>
      <w:bookmarkEnd w:id="32"/>
      <w:bookmarkEnd w:id="33"/>
      <w:bookmarkEnd w:id="34"/>
      <w:bookmarkEnd w:id="35"/>
    </w:p>
    <w:p>
      <w:pPr>
        <w:pStyle w:val="38"/>
        <w:numPr>
          <w:ilvl w:val="0"/>
          <w:numId w:val="8"/>
        </w:numPr>
        <w:bidi w:val="0"/>
        <w:spacing w:line="360" w:lineRule="auto"/>
        <w:ind w:left="425" w:leftChars="0" w:hanging="425" w:firstLineChars="0"/>
        <w:jc w:val="left"/>
        <w:rPr>
          <w:b/>
          <w:bCs/>
          <w:spacing w:val="23"/>
          <w:sz w:val="21"/>
          <w:szCs w:val="21"/>
        </w:rPr>
      </w:pPr>
      <w:bookmarkStart w:id="36" w:name="_Toc26764"/>
      <w:bookmarkStart w:id="37" w:name="_Toc14224"/>
      <w:bookmarkStart w:id="38" w:name="_Toc25727"/>
      <w:bookmarkStart w:id="39" w:name="_Toc5598"/>
      <w:bookmarkStart w:id="40" w:name="_Toc23903"/>
      <w:bookmarkStart w:id="41" w:name="_Toc4331_WPSOffice_Level1"/>
      <w:bookmarkStart w:id="42" w:name="_Toc23846_WPSOffice_Level1"/>
      <w:bookmarkStart w:id="43" w:name="_Toc28194"/>
      <w:bookmarkStart w:id="44" w:name="_Toc32443_WPSOffice_Level1"/>
      <w:bookmarkStart w:id="45" w:name="_Toc32661"/>
      <w:r>
        <w:rPr>
          <w:b/>
          <w:bCs/>
          <w:spacing w:val="23"/>
          <w:sz w:val="21"/>
          <w:szCs w:val="21"/>
        </w:rPr>
        <w:t>靶向药物</w:t>
      </w:r>
      <w:r>
        <w:rPr>
          <w:rFonts w:hint="eastAsia"/>
          <w:b/>
          <w:bCs/>
          <w:spacing w:val="23"/>
          <w:sz w:val="21"/>
          <w:szCs w:val="21"/>
          <w:lang w:val="en-US" w:eastAsia="zh-CN"/>
        </w:rPr>
        <w:t>用药</w:t>
      </w:r>
      <w:r>
        <w:rPr>
          <w:rFonts w:hint="eastAsia"/>
          <w:b/>
          <w:bCs/>
          <w:spacing w:val="23"/>
          <w:sz w:val="21"/>
          <w:szCs w:val="21"/>
        </w:rPr>
        <w:t>提示</w:t>
      </w:r>
      <w:bookmarkEnd w:id="36"/>
      <w:bookmarkEnd w:id="37"/>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本次样本共检出{{ summaryOfRresults.thisGeneticmarkerVwListSize }}个</w:t>
      </w:r>
      <w:r>
        <w:rPr>
          <w:rFonts w:hint="eastAsia" w:cs="宋体"/>
          <w:b w:val="0"/>
          <w:bCs/>
          <w:color w:val="000000" w:themeColor="text1"/>
          <w:spacing w:val="6"/>
          <w:sz w:val="21"/>
          <w:szCs w:val="21"/>
          <w:lang w:val="en-US" w:eastAsia="zh-CN"/>
          <w14:textFill>
            <w14:solidFill>
              <w14:schemeClr w14:val="tx1"/>
            </w14:solidFill>
          </w14:textFill>
        </w:rPr>
        <w:t>变异位点</w:t>
      </w:r>
      <w:r>
        <w:rPr>
          <w:rFonts w:hint="eastAsia" w:ascii="宋体" w:hAnsi="宋体" w:eastAsia="宋体" w:cs="宋体"/>
          <w:b w:val="0"/>
          <w:bCs/>
          <w:color w:val="000000" w:themeColor="text1"/>
          <w:spacing w:val="6"/>
          <w:sz w:val="21"/>
          <w:szCs w:val="21"/>
          <w:lang w:eastAsia="zh-CN"/>
          <w14:textFill>
            <w14:solidFill>
              <w14:schemeClr w14:val="tx1"/>
            </w14:solidFill>
          </w14:textFill>
        </w:rPr>
        <w:t>，其中{{summaryOfRresults.somaticDrugCount}}个与靶向药物相关</w:t>
      </w:r>
      <w:r>
        <w:rPr>
          <w:rFonts w:hint="eastAsia" w:cs="宋体"/>
          <w:b w:val="0"/>
          <w:bCs/>
          <w:color w:val="000000" w:themeColor="text1"/>
          <w:spacing w:val="6"/>
          <w:sz w:val="21"/>
          <w:szCs w:val="21"/>
          <w:lang w:eastAsia="zh-CN"/>
          <w14:textFill>
            <w14:solidFill>
              <w14:schemeClr w14:val="tx1"/>
            </w14:solidFill>
          </w14:textFill>
        </w:rPr>
        <w:t>。</w:t>
      </w:r>
      <w:r>
        <w:rPr>
          <w:rFonts w:hint="eastAsia" w:ascii="宋体" w:hAnsi="宋体" w:eastAsia="宋体" w:cs="宋体"/>
          <w:b w:val="0"/>
          <w:bCs/>
          <w:color w:val="000000" w:themeColor="text1"/>
          <w:spacing w:val="6"/>
          <w:sz w:val="21"/>
          <w:szCs w:val="21"/>
          <w:lang w:eastAsia="zh-CN"/>
          <w14:textFill>
            <w14:solidFill>
              <w14:schemeClr w14:val="tx1"/>
            </w14:solidFill>
          </w14:textFill>
        </w:rPr>
        <w:t>{%if BodyDrugDrugDetectionStr or unknownVarAnalysisStr %}具体信息详见“基因检测结果解析”。{%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7"/>
        <w:gridCol w:w="1836"/>
        <w:gridCol w:w="3553"/>
        <w:gridCol w:w="3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tblHeader/>
          <w:jc w:val="center"/>
        </w:trPr>
        <w:tc>
          <w:tcPr>
            <w:tcW w:w="1167"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变异分类</w:t>
            </w:r>
          </w:p>
        </w:tc>
        <w:tc>
          <w:tcPr>
            <w:tcW w:w="1836"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3553"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3649"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bodyAndComplexDrugTipLineStr or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0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bodyDrugTipLineStr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complexDrugTipLineStr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865"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tip.comutation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w:t>
            </w:r>
          </w:p>
        </w:tc>
        <w:tc>
          <w:tcPr>
            <w:tcW w:w="3553"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pacing w:val="0"/>
          <w:sz w:val="18"/>
          <w:szCs w:val="18"/>
          <w:lang w:eastAsia="zh-CN"/>
        </w:rPr>
      </w:pPr>
      <w:r>
        <w:rPr>
          <w:rFonts w:hint="eastAsia" w:ascii="宋体" w:hAnsi="宋体" w:eastAsia="宋体" w:cs="宋体"/>
          <w:b/>
          <w:spacing w:val="0"/>
          <w:sz w:val="18"/>
          <w:szCs w:val="18"/>
          <w:lang w:eastAsia="zh-CN"/>
        </w:rPr>
        <w:t>注：</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本报告所列举的药物或基因变异并未按照基因或者药物的重要性排序，具体决策需参照临床实际。</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“-”表示该位点无相应靶向药物提示。</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*标注的药物：NMPA批准的靶向药物。</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outlineLvl w:val="9"/>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分析注释时采用RefSeq转录本编号。</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变异丰度：在某位点产生突变的等位基因在该位点全部等位基因中所占比率。</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拷贝数：是指某⼀种基因或某⼀段特定的DNA序列在单倍体基因组中出现的数目。{% if readsFlag == True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reads数：RNA层面检测到的支持融合基因的片段数。{% endif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检测结果：“NM”为基因的转录本编号，“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多靶点循证检测结果中的符号意义：“+”表示“并且”，“/”表示“或者”，“!”表示“不满足”。{% endif %}</w:t>
      </w:r>
    </w:p>
    <w:tbl>
      <w:tblPr>
        <w:tblStyle w:val="15"/>
        <w:tblpPr w:leftFromText="181" w:rightFromText="181" w:vertAnchor="page" w:tblpXSpec="center" w:tblpY="1519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检验者：</w:t>
            </w:r>
            <w:r>
              <w:drawing>
                <wp:anchor distT="0" distB="0" distL="114935" distR="114935" simplePos="0" relativeHeight="251666432" behindDoc="0" locked="0" layoutInCell="1" allowOverlap="0">
                  <wp:simplePos x="0" y="0"/>
                  <wp:positionH relativeFrom="column">
                    <wp:posOffset>496570</wp:posOffset>
                  </wp:positionH>
                  <wp:positionV relativeFrom="page">
                    <wp:posOffset>-215900</wp:posOffset>
                  </wp:positionV>
                  <wp:extent cx="694055" cy="531495"/>
                  <wp:effectExtent l="0" t="0" r="698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94055" cy="531495"/>
                          </a:xfrm>
                          <a:prstGeom prst="rect">
                            <a:avLst/>
                          </a:prstGeom>
                          <a:noFill/>
                          <a:ln>
                            <a:noFill/>
                          </a:ln>
                        </pic:spPr>
                      </pic:pic>
                    </a:graphicData>
                  </a:graphic>
                </wp:anchor>
              </w:drawing>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7456" behindDoc="0" locked="0" layoutInCell="1" allowOverlap="1">
                  <wp:simplePos x="0" y="0"/>
                  <wp:positionH relativeFrom="column">
                    <wp:posOffset>532765</wp:posOffset>
                  </wp:positionH>
                  <wp:positionV relativeFrom="page">
                    <wp:posOffset>-161925</wp:posOffset>
                  </wp:positionV>
                  <wp:extent cx="933450" cy="432435"/>
                  <wp:effectExtent l="0" t="0" r="11430" b="952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r>
              <w:rPr>
                <w:sz w:val="22"/>
              </w:rPr>
              <w:drawing>
                <wp:anchor distT="0" distB="0" distL="114300" distR="114300" simplePos="0" relativeHeight="251668480" behindDoc="0" locked="0" layoutInCell="1" allowOverlap="1">
                  <wp:simplePos x="0" y="0"/>
                  <wp:positionH relativeFrom="column">
                    <wp:posOffset>507365</wp:posOffset>
                  </wp:positionH>
                  <wp:positionV relativeFrom="page">
                    <wp:posOffset>-494030</wp:posOffset>
                  </wp:positionV>
                  <wp:extent cx="1079500" cy="1079500"/>
                  <wp:effectExtent l="0" t="0" r="2540" b="2540"/>
                  <wp:wrapNone/>
                  <wp:docPr id="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6"/>
                          <pic:cNvPicPr>
                            <a:picLocks noChangeAspect="1"/>
                          </pic:cNvPicPr>
                        </pic:nvPicPr>
                        <pic:blipFill>
                          <a:blip r:embed="rId10"/>
                          <a:stretch>
                            <a:fillRect/>
                          </a:stretch>
                        </pic:blipFill>
                        <pic:spPr>
                          <a:xfrm>
                            <a:off x="0" y="0"/>
                            <a:ext cx="1079500" cy="107950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410210</wp:posOffset>
                  </wp:positionH>
                  <wp:positionV relativeFrom="page">
                    <wp:posOffset>-360045</wp:posOffset>
                  </wp:positionV>
                  <wp:extent cx="1202690" cy="678180"/>
                  <wp:effectExtent l="0" t="0" r="1270" b="7620"/>
                  <wp:wrapNone/>
                  <wp:docPr id="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
                          <pic:cNvPicPr>
                            <a:picLocks noChangeAspect="1"/>
                          </pic:cNvPicPr>
                        </pic:nvPicPr>
                        <pic:blipFill>
                          <a:blip r:embed="rId11"/>
                          <a:stretch>
                            <a:fillRect/>
                          </a:stretch>
                        </pic:blipFill>
                        <pic:spPr>
                          <a:xfrm>
                            <a:off x="0" y="0"/>
                            <a:ext cx="1202690" cy="678180"/>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widowControl/>
        <w:rPr>
          <w:rFonts w:ascii="Times New Roman" w:hAnsi="Times New Roman" w:eastAsia="微软雅黑" w:cs="Times New Roman"/>
          <w:b w:val="0"/>
          <w:bCs w:val="0"/>
          <w:color w:val="0070C0"/>
          <w:sz w:val="28"/>
          <w:szCs w:val="28"/>
          <w:lang w:eastAsia="zh-CN"/>
        </w:rPr>
      </w:pPr>
      <w:r>
        <w:rPr>
          <w:rFonts w:ascii="Times New Roman" w:hAnsi="Times New Roman" w:eastAsia="微软雅黑" w:cs="Times New Roman"/>
          <w:b w:val="0"/>
          <w:bCs w:val="0"/>
          <w:color w:val="0070C0"/>
          <w:sz w:val="28"/>
          <w:szCs w:val="28"/>
          <w:lang w:eastAsia="zh-CN"/>
        </w:rPr>
        <w:br w:type="page"/>
      </w:r>
    </w:p>
    <w:p>
      <w:pPr>
        <w:rPr>
          <w:rFonts w:hint="eastAsia" w:ascii="宋体" w:hAnsi="宋体" w:eastAsia="宋体" w:cs="宋体"/>
          <w:b w:val="0"/>
          <w:bCs w:val="0"/>
          <w:color w:val="000000" w:themeColor="text1"/>
          <w:sz w:val="24"/>
          <w:szCs w:val="24"/>
          <w:lang w:eastAsia="zh-CN"/>
          <w14:textFill>
            <w14:solidFill>
              <w14:schemeClr w14:val="tx1"/>
            </w14:solidFill>
          </w14:textFill>
        </w:rPr>
      </w:pPr>
      <w:bookmarkStart w:id="46" w:name="_Toc11398"/>
      <w:bookmarkStart w:id="47" w:name="_Toc18258"/>
      <w:bookmarkStart w:id="48" w:name="_Toc11562_WPSOffice_Level3"/>
      <w:r>
        <w:rPr>
          <w:rFonts w:hint="eastAsia" w:ascii="宋体" w:hAnsi="宋体" w:eastAsia="宋体" w:cs="宋体"/>
          <w:b w:val="0"/>
          <w:bCs w:val="0"/>
          <w:color w:val="000000" w:themeColor="text1"/>
          <w:sz w:val="24"/>
          <w:szCs w:val="24"/>
          <w:lang w:eastAsia="zh-CN"/>
          <w14:textFill>
            <w14:solidFill>
              <w14:schemeClr w14:val="tx1"/>
            </w14:solidFill>
          </w14:textFill>
        </w:rPr>
        <w:t xml:space="preserve">{%if </w:t>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2531 not in </w:t>
      </w:r>
      <w:r>
        <w:rPr>
          <w:rFonts w:hint="eastAsia" w:ascii="宋体" w:hAnsi="宋体" w:eastAsia="宋体" w:cs="宋体"/>
          <w:b w:val="0"/>
          <w:bCs w:val="0"/>
          <w:color w:val="000000" w:themeColor="text1"/>
          <w:sz w:val="24"/>
          <w:szCs w:val="24"/>
          <w:lang w:eastAsia="zh-CN"/>
          <w14:textFill>
            <w14:solidFill>
              <w14:schemeClr w14:val="tx1"/>
            </w14:solidFill>
          </w14:textFill>
        </w:rPr>
        <w:t>diseaseIdList %}</w:t>
      </w:r>
    </w:p>
    <w:p>
      <w:pPr>
        <w:pStyle w:val="38"/>
        <w:numPr>
          <w:ilvl w:val="0"/>
          <w:numId w:val="8"/>
        </w:numPr>
        <w:bidi w:val="0"/>
        <w:spacing w:line="360" w:lineRule="auto"/>
        <w:ind w:left="425" w:leftChars="0" w:hanging="425" w:firstLineChars="0"/>
        <w:jc w:val="left"/>
        <w:rPr>
          <w:rFonts w:hint="eastAsia" w:ascii="Times New Roman" w:hAnsi="Times New Roman" w:eastAsia="宋体" w:cs="宋体"/>
          <w:b/>
          <w:bCs/>
          <w:spacing w:val="23"/>
          <w:sz w:val="21"/>
          <w:szCs w:val="21"/>
          <w:lang w:val="en-US" w:eastAsia="zh-CN"/>
        </w:rPr>
      </w:pPr>
      <w:bookmarkStart w:id="49" w:name="_Toc16733"/>
      <w:bookmarkStart w:id="50" w:name="_Toc15558"/>
      <w:r>
        <w:rPr>
          <w:rFonts w:hint="eastAsia" w:ascii="Times New Roman" w:hAnsi="Times New Roman" w:eastAsia="宋体" w:cs="宋体"/>
          <w:b/>
          <w:bCs/>
          <w:spacing w:val="23"/>
          <w:sz w:val="21"/>
          <w:szCs w:val="21"/>
          <w:lang w:val="en-US" w:eastAsia="zh-CN"/>
        </w:rPr>
        <w:t>本</w:t>
      </w:r>
      <w:r>
        <w:rPr>
          <w:rFonts w:hint="eastAsia" w:ascii="宋体" w:hAnsi="宋体" w:eastAsia="宋体" w:cs="宋体"/>
          <w:b/>
          <w:bCs/>
          <w:spacing w:val="23"/>
          <w:sz w:val="21"/>
          <w:szCs w:val="21"/>
          <w:lang w:val="en-US" w:eastAsia="zh-CN"/>
        </w:rPr>
        <w:t>癌种FDA/NMPA获批的其他可</w:t>
      </w:r>
      <w:r>
        <w:rPr>
          <w:rFonts w:hint="eastAsia" w:ascii="Times New Roman" w:hAnsi="Times New Roman" w:eastAsia="宋体" w:cs="宋体"/>
          <w:b/>
          <w:bCs/>
          <w:spacing w:val="23"/>
          <w:sz w:val="21"/>
          <w:szCs w:val="21"/>
          <w:lang w:val="en-US" w:eastAsia="zh-CN"/>
        </w:rPr>
        <w:t>选靶向药物</w:t>
      </w:r>
      <w:bookmarkEnd w:id="46"/>
      <w:bookmarkEnd w:id="47"/>
      <w:bookmarkEnd w:id="49"/>
      <w:bookmarkEnd w:id="50"/>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1242"/>
        <w:gridCol w:w="1243"/>
        <w:gridCol w:w="628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癌种</w:t>
            </w:r>
          </w:p>
        </w:tc>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药物</w:t>
            </w:r>
          </w:p>
        </w:tc>
        <w:tc>
          <w:tcPr>
            <w:tcW w:w="6124"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获批适应症</w:t>
            </w:r>
          </w:p>
        </w:tc>
        <w:tc>
          <w:tcPr>
            <w:tcW w:w="1393"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add in approvedDrugData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add.disease }}</w:t>
            </w:r>
          </w:p>
        </w:tc>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add.drug }}</w:t>
            </w:r>
          </w:p>
        </w:tc>
        <w:tc>
          <w:tcPr>
            <w:tcW w:w="6124" w:type="dxa"/>
            <w:vAlign w:val="center"/>
          </w:tcPr>
          <w:p>
            <w:pPr>
              <w:keepNext w:val="0"/>
              <w:keepLines w:val="0"/>
              <w:pageBreakBefore w:val="0"/>
              <w:widowControl/>
              <w:kinsoku/>
              <w:wordWrap/>
              <w:overflowPunct/>
              <w:topLinePunct w:val="0"/>
              <w:autoSpaceDE/>
              <w:autoSpaceDN/>
              <w:bidi w:val="0"/>
              <w:adjustRightInd/>
              <w:snapToGrid w:val="0"/>
              <w:spacing w:before="0" w:beforeLines="30" w:after="0" w:afterLines="30"/>
              <w:jc w:val="left"/>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add.indication }}</w:t>
            </w:r>
          </w:p>
        </w:tc>
        <w:tc>
          <w:tcPr>
            <w:tcW w:w="1393"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add.institution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bl>
    <w:p>
      <w:pPr>
        <w:spacing w:before="29" w:line="240" w:lineRule="auto"/>
        <w:rPr>
          <w:rFonts w:hint="eastAsia" w:ascii="宋体" w:hAnsi="宋体" w:eastAsia="宋体" w:cs="宋体"/>
          <w:b/>
          <w:color w:val="auto"/>
          <w:spacing w:val="6"/>
          <w:sz w:val="21"/>
          <w:szCs w:val="21"/>
          <w:lang w:val="en-US" w:eastAsia="zh-CN"/>
        </w:rPr>
      </w:pPr>
      <w:r>
        <w:rPr>
          <w:rFonts w:hint="default" w:ascii="Times New Roman" w:hAnsi="Times New Roman" w:cs="Times New Roman"/>
          <w:sz w:val="24"/>
          <w:szCs w:val="24"/>
          <w:lang w:eastAsia="zh-CN"/>
        </w:rPr>
        <w:br w:type="page"/>
      </w:r>
      <w:r>
        <w:rPr>
          <w:rFonts w:hint="eastAsia" w:ascii="宋体" w:hAnsi="宋体" w:eastAsia="宋体" w:cs="宋体"/>
          <w:b w:val="0"/>
          <w:bCs w:val="0"/>
          <w:color w:val="000000" w:themeColor="text1"/>
          <w:sz w:val="24"/>
          <w:szCs w:val="24"/>
          <w:lang w:eastAsia="zh-CN"/>
          <w14:textFill>
            <w14:solidFill>
              <w14:schemeClr w14:val="tx1"/>
            </w14:solidFill>
          </w14:textFill>
        </w:rPr>
        <w:t>{% endif %}</w:t>
      </w:r>
    </w:p>
    <w:bookmarkEnd w:id="48"/>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51" w:name="_Toc7543"/>
      <w:r>
        <w:rPr>
          <w:rFonts w:hint="eastAsia" w:ascii="Times New Roman" w:hAnsi="Times New Roman" w:eastAsia="宋体" w:cs="宋体"/>
          <w:b/>
          <w:bCs/>
          <w:spacing w:val="23"/>
          <w:sz w:val="24"/>
          <w:szCs w:val="24"/>
        </w:rPr>
        <w:t>基因检测结果解析</w:t>
      </w:r>
      <w:bookmarkEnd w:id="38"/>
      <w:bookmarkEnd w:id="39"/>
      <w:bookmarkEnd w:id="40"/>
      <w:bookmarkEnd w:id="41"/>
      <w:bookmarkEnd w:id="42"/>
      <w:bookmarkEnd w:id="43"/>
      <w:bookmarkEnd w:id="44"/>
      <w:bookmarkEnd w:id="45"/>
      <w:bookmarkEnd w:id="51"/>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color w:val="auto"/>
          <w:spacing w:val="11"/>
          <w:sz w:val="21"/>
          <w:szCs w:val="21"/>
          <w:lang w:eastAsia="zh-CN"/>
        </w:rPr>
      </w:pPr>
      <w:bookmarkStart w:id="52" w:name="_Toc29383"/>
      <w:bookmarkStart w:id="53" w:name="_Toc32468"/>
      <w:bookmarkStart w:id="54" w:name="_Toc26395"/>
      <w:bookmarkStart w:id="55" w:name="_Toc6784"/>
      <w:r>
        <w:rPr>
          <w:rFonts w:hint="eastAsia" w:ascii="宋体" w:hAnsi="宋体" w:eastAsia="宋体" w:cs="宋体"/>
          <w:bCs/>
          <w:spacing w:val="6"/>
          <w:sz w:val="21"/>
          <w:szCs w:val="21"/>
          <w:lang w:eastAsia="zh-CN"/>
        </w:rPr>
        <w:t>{% if BodyDrugDrugDetectionStr == [] and unknownVarAnalysisStr == []%}未检出靶向用药相关的</w:t>
      </w:r>
      <w:r>
        <w:rPr>
          <w:rFonts w:hint="eastAsia" w:cs="宋体"/>
          <w:bCs/>
          <w:spacing w:val="6"/>
          <w:sz w:val="21"/>
          <w:szCs w:val="21"/>
          <w:lang w:val="en-US" w:eastAsia="zh-CN"/>
        </w:rPr>
        <w:t>变异位点</w:t>
      </w:r>
      <w:r>
        <w:rPr>
          <w:rFonts w:hint="eastAsia" w:ascii="宋体" w:hAnsi="宋体" w:eastAsia="宋体" w:cs="宋体"/>
          <w:bCs/>
          <w:spacing w:val="6"/>
          <w:sz w:val="21"/>
          <w:szCs w:val="21"/>
          <w:lang w:eastAsia="zh-CN"/>
        </w:rPr>
        <w:t>；未检出未知临床意义</w:t>
      </w:r>
      <w:r>
        <w:rPr>
          <w:rFonts w:hint="eastAsia" w:cs="宋体"/>
          <w:bCs/>
          <w:spacing w:val="6"/>
          <w:sz w:val="21"/>
          <w:szCs w:val="21"/>
          <w:lang w:val="en-US" w:eastAsia="zh-CN"/>
        </w:rPr>
        <w:t>变异位点</w:t>
      </w:r>
      <w:r>
        <w:rPr>
          <w:rFonts w:hint="eastAsia" w:ascii="宋体" w:hAnsi="宋体" w:eastAsia="宋体" w:cs="宋体"/>
          <w:bCs/>
          <w:spacing w:val="6"/>
          <w:sz w:val="21"/>
          <w:szCs w:val="21"/>
          <w:lang w:eastAsia="zh-CN"/>
        </w:rPr>
        <w:t>。{% endif %}</w:t>
      </w:r>
      <w:r>
        <w:rPr>
          <w:rFonts w:hint="eastAsia" w:ascii="宋体" w:hAnsi="宋体" w:eastAsia="宋体" w:cs="宋体"/>
          <w:b/>
          <w:bCs w:val="0"/>
          <w:spacing w:val="6"/>
          <w:sz w:val="21"/>
          <w:szCs w:val="21"/>
          <w:lang w:eastAsia="zh-CN"/>
        </w:rPr>
        <w:t>{%if BodyDrugDrugDetectionStr or unknownVarAnalysisStr %}</w:t>
      </w:r>
    </w:p>
    <w:p>
      <w:pPr>
        <w:pStyle w:val="38"/>
        <w:numPr>
          <w:ilvl w:val="0"/>
          <w:numId w:val="10"/>
        </w:numPr>
        <w:bidi w:val="0"/>
        <w:spacing w:line="360" w:lineRule="auto"/>
        <w:ind w:left="425" w:leftChars="0" w:hanging="425" w:firstLineChars="0"/>
        <w:jc w:val="left"/>
        <w:rPr>
          <w:b/>
          <w:bCs/>
          <w:spacing w:val="23"/>
          <w:sz w:val="21"/>
          <w:szCs w:val="21"/>
        </w:rPr>
      </w:pPr>
      <w:bookmarkStart w:id="56" w:name="_Toc28029"/>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变异</w:t>
      </w:r>
      <w:r>
        <w:rPr>
          <w:rFonts w:hint="eastAsia" w:cs="宋体"/>
          <w:b/>
          <w:bCs/>
          <w:color w:val="000000" w:themeColor="text1"/>
          <w:spacing w:val="23"/>
          <w:sz w:val="21"/>
          <w:szCs w:val="21"/>
          <w:lang w:val="en-US" w:eastAsia="zh-CN" w:bidi="ar-SA"/>
          <w14:textFill>
            <w14:solidFill>
              <w14:schemeClr w14:val="tx1"/>
            </w14:solidFill>
          </w14:textFill>
        </w:rPr>
        <w:t>位点</w:t>
      </w:r>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结果解析</w:t>
      </w:r>
      <w:bookmarkEnd w:id="56"/>
    </w:p>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outlineLvl w:val="9"/>
        <w:rPr>
          <w:b/>
          <w:bCs/>
          <w:spacing w:val="23"/>
          <w:sz w:val="10"/>
          <w:szCs w:val="10"/>
        </w:rPr>
      </w:pPr>
      <w:bookmarkStart w:id="57" w:name="_Toc18573"/>
      <w:bookmarkStart w:id="58" w:name="_Toc30182"/>
      <w:bookmarkStart w:id="59" w:name="_Toc8327"/>
      <w:bookmarkStart w:id="60" w:name="_Toc17311"/>
      <w:r>
        <w:rPr>
          <w:rFonts w:hint="eastAsia" w:ascii="宋体" w:hAnsi="宋体" w:eastAsia="宋体" w:cs="宋体"/>
          <w:b/>
          <w:bCs/>
          <w:sz w:val="10"/>
          <w:szCs w:val="10"/>
          <w:lang w:eastAsia="zh-CN"/>
        </w:rPr>
        <w:t>{% for tdd in BodyDrugNoComplexStr %}</w:t>
      </w:r>
      <w:bookmarkEnd w:id="57"/>
      <w:bookmarkEnd w:id="58"/>
      <w:bookmarkEnd w:id="59"/>
      <w:bookmarkEnd w:id="60"/>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bookmarkEnd w:id="52"/>
      <w:bookmarkEnd w:id="53"/>
      <w:bookmarkEnd w:id="54"/>
      <w:bookmarkEnd w:id="55"/>
    </w:tbl>
    <w:p>
      <w:pPr>
        <w:keepNext/>
        <w:spacing w:before="26"/>
        <w:rPr>
          <w:rFonts w:hint="eastAsia" w:ascii="宋体" w:hAnsi="宋体" w:eastAsia="宋体" w:cs="宋体"/>
          <w:b/>
          <w:color w:val="auto"/>
          <w:sz w:val="21"/>
          <w:szCs w:val="21"/>
          <w:lang w:eastAsia="zh-CN"/>
        </w:rPr>
      </w:pPr>
      <w:bookmarkStart w:id="61" w:name="_Toc16347"/>
      <w:bookmarkStart w:id="62" w:name="_Toc3782"/>
      <w:bookmarkStart w:id="63" w:name="_Toc21764_WPSOffice_Level2"/>
      <w:bookmarkStart w:id="64" w:name="_Toc6988"/>
      <w:bookmarkStart w:id="65" w:name="_Toc26649"/>
      <w:bookmarkStart w:id="66" w:name="_Toc15530"/>
      <w:bookmarkStart w:id="67" w:name="_Toc1707_WPSOffice_Level2"/>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0"/>
        <w:gridCol w:w="1505"/>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0"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0"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5"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widowControl/>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eastAsia="zh-CN"/>
        </w:rPr>
        <w:t>{% endif %}{% endfor %}{% for vus in unknownVarAnalysisStr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vus.gene}}</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8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突变形式</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vus.mutDesc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基因说明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vus.gene_description_chinese }}</w:t>
            </w:r>
          </w:p>
        </w:tc>
      </w:tr>
    </w:tbl>
    <w:p>
      <w:pPr>
        <w:rPr>
          <w:rFonts w:hint="eastAsia" w:ascii="宋体" w:hAnsi="宋体" w:eastAsia="宋体" w:cs="宋体"/>
          <w:b/>
          <w:color w:val="000000" w:themeColor="text1"/>
          <w:sz w:val="20"/>
          <w:szCs w:val="20"/>
          <w:lang w:eastAsia="zh-CN"/>
          <w14:textFill>
            <w14:solidFill>
              <w14:schemeClr w14:val="tx1"/>
            </w14:solidFill>
          </w14:textFill>
        </w:rPr>
      </w:pPr>
      <w:r>
        <w:rPr>
          <w:rFonts w:hint="eastAsia" w:ascii="宋体" w:hAnsi="宋体" w:eastAsia="宋体" w:cs="宋体"/>
          <w:b/>
          <w:color w:val="000000" w:themeColor="text1"/>
          <w:sz w:val="20"/>
          <w:szCs w:val="20"/>
          <w:lang w:eastAsia="zh-CN"/>
          <w14:textFill>
            <w14:solidFill>
              <w14:schemeClr w14:val="tx1"/>
            </w14:solidFill>
          </w14:textFill>
        </w:rPr>
        <w:t>{% endfor %}{% for tdd in ComplexDrugStr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tdd.comutation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1"/>
        <w:gridCol w:w="1504"/>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4"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4"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rFonts w:hint="eastAsia" w:ascii="宋体" w:hAnsi="宋体" w:eastAsia="宋体" w:cs="宋体"/>
          <w:sz w:val="20"/>
          <w:szCs w:val="18"/>
          <w:lang w:eastAsia="zh-CN"/>
        </w:rPr>
      </w:pPr>
      <w:r>
        <w:rPr>
          <w:rFonts w:hint="eastAsia" w:ascii="宋体" w:hAnsi="宋体" w:eastAsia="宋体" w:cs="宋体"/>
          <w:b/>
          <w:sz w:val="24"/>
          <w:szCs w:val="24"/>
          <w:lang w:eastAsia="zh-CN"/>
        </w:rPr>
        <w:t>{% endif %}{% endfor %}</w:t>
      </w:r>
      <w:r>
        <w:rPr>
          <w:rFonts w:hint="eastAsia" w:ascii="宋体" w:hAnsi="宋体" w:eastAsia="宋体" w:cs="宋体"/>
          <w:sz w:val="20"/>
          <w:szCs w:val="18"/>
          <w:lang w:eastAsia="zh-CN"/>
        </w:rPr>
        <w:br w:type="page"/>
      </w:r>
      <w:r>
        <w:rPr>
          <w:rFonts w:hint="eastAsia" w:ascii="宋体" w:hAnsi="宋体" w:eastAsia="宋体" w:cs="宋体"/>
          <w:b/>
          <w:sz w:val="24"/>
          <w:szCs w:val="24"/>
          <w:lang w:eastAsia="zh-CN"/>
        </w:rPr>
        <w:t>{% endif %}</w:t>
      </w:r>
    </w:p>
    <w:bookmarkEnd w:id="61"/>
    <w:bookmarkEnd w:id="62"/>
    <w:bookmarkEnd w:id="63"/>
    <w:bookmarkEnd w:id="64"/>
    <w:bookmarkEnd w:id="65"/>
    <w:bookmarkEnd w:id="66"/>
    <w:bookmarkEnd w:id="67"/>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68" w:name="_Toc16594"/>
      <w:bookmarkStart w:id="69" w:name="_Toc2409"/>
      <w:bookmarkStart w:id="70" w:name="_Toc1707_WPSOffice_Level1"/>
      <w:bookmarkStart w:id="71" w:name="_Toc12505"/>
      <w:bookmarkStart w:id="72" w:name="_Toc13196_WPSOffice_Level1"/>
      <w:bookmarkStart w:id="73" w:name="_Toc12706"/>
      <w:bookmarkStart w:id="74" w:name="_Toc27302"/>
      <w:bookmarkStart w:id="75" w:name="_Toc21764_WPSOffice_Level1"/>
      <w:bookmarkStart w:id="76" w:name="_Toc28240"/>
      <w:r>
        <w:rPr>
          <w:rFonts w:hint="eastAsia" w:ascii="Times New Roman" w:hAnsi="Times New Roman" w:eastAsia="宋体" w:cs="宋体"/>
          <w:b/>
          <w:bCs/>
          <w:spacing w:val="23"/>
          <w:sz w:val="24"/>
          <w:szCs w:val="24"/>
        </w:rPr>
        <w:t>附录</w:t>
      </w:r>
      <w:bookmarkEnd w:id="68"/>
      <w:bookmarkEnd w:id="69"/>
      <w:bookmarkEnd w:id="70"/>
      <w:bookmarkEnd w:id="71"/>
      <w:bookmarkEnd w:id="72"/>
      <w:bookmarkEnd w:id="73"/>
      <w:bookmarkEnd w:id="74"/>
      <w:bookmarkEnd w:id="75"/>
      <w:bookmarkEnd w:id="76"/>
    </w:p>
    <w:p>
      <w:pPr>
        <w:pStyle w:val="38"/>
        <w:numPr>
          <w:ilvl w:val="0"/>
          <w:numId w:val="11"/>
        </w:numPr>
        <w:bidi w:val="0"/>
        <w:spacing w:line="360" w:lineRule="auto"/>
        <w:ind w:left="425" w:leftChars="0" w:hanging="425" w:firstLineChars="0"/>
        <w:jc w:val="left"/>
        <w:rPr>
          <w:b/>
          <w:bCs/>
          <w:spacing w:val="23"/>
          <w:sz w:val="21"/>
          <w:szCs w:val="21"/>
        </w:rPr>
      </w:pPr>
      <w:bookmarkStart w:id="77" w:name="_Toc14255_WPSOffice_Level1"/>
      <w:bookmarkStart w:id="78" w:name="_Toc15840_WPSOffice_Level1"/>
      <w:bookmarkStart w:id="79" w:name="_Toc24085_WPSOffice_Level1"/>
      <w:bookmarkStart w:id="80" w:name="_Toc31490"/>
      <w:bookmarkStart w:id="81" w:name="_Toc27075"/>
      <w:bookmarkStart w:id="82" w:name="_Toc4168"/>
      <w:bookmarkStart w:id="83" w:name="_Toc13440"/>
      <w:r>
        <w:rPr>
          <w:rFonts w:hint="eastAsia"/>
          <w:b/>
          <w:bCs/>
          <w:spacing w:val="23"/>
          <w:sz w:val="21"/>
          <w:szCs w:val="21"/>
        </w:rPr>
        <w:t>样本质控情况</w:t>
      </w:r>
      <w:bookmarkEnd w:id="77"/>
      <w:bookmarkEnd w:id="78"/>
      <w:bookmarkEnd w:id="79"/>
      <w:bookmarkEnd w:id="80"/>
      <w:bookmarkEnd w:id="81"/>
      <w:bookmarkEnd w:id="82"/>
      <w:bookmarkEnd w:id="83"/>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64"/>
        <w:gridCol w:w="2826"/>
        <w:gridCol w:w="2474"/>
        <w:gridCol w:w="282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质控环节</w:t>
            </w:r>
          </w:p>
        </w:tc>
        <w:tc>
          <w:tcPr>
            <w:tcW w:w="2717"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质控参数</w:t>
            </w:r>
          </w:p>
        </w:tc>
        <w:tc>
          <w:tcPr>
            <w:tcW w:w="2378"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质控数值</w:t>
            </w:r>
          </w:p>
        </w:tc>
        <w:tc>
          <w:tcPr>
            <w:tcW w:w="2731" w:type="dxa"/>
            <w:gridSpan w:val="2"/>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病理评估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肿瘤细胞含量</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tumorcellcontent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核酸质量评估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DNA_total }}</w:t>
            </w:r>
          </w:p>
        </w:tc>
        <w:tc>
          <w:tcPr>
            <w:tcW w:w="2731" w:type="dxa"/>
            <w:gridSpan w:val="2"/>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≥100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≥20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DNA降解程度</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DNA_degradation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A/B/C级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预文库总量（ng）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outbound_quantity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测序质量评估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平均测序深度</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sequencing_depth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≥500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w:t>
            </w:r>
            <w:r>
              <w:rPr>
                <w:rFonts w:hint="eastAsia" w:ascii="宋体" w:hAnsi="宋体" w:eastAsia="宋体" w:cs="宋体"/>
                <w:color w:val="000000"/>
                <w:sz w:val="21"/>
                <w:szCs w:val="21"/>
                <w:lang w:eastAsia="zh-CN"/>
              </w:rPr>
              <w:t>15</w:t>
            </w:r>
            <w:r>
              <w:rPr>
                <w:rFonts w:hint="eastAsia" w:ascii="宋体" w:hAnsi="宋体" w:eastAsia="宋体" w:cs="宋体"/>
                <w:color w:val="000000"/>
                <w:sz w:val="21"/>
                <w:szCs w:val="21"/>
              </w:rPr>
              <w:t>00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覆盖均一性</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coverage_uniformity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基因组比对率</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genome_alignment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碱基质量Q30占比</w:t>
            </w:r>
          </w:p>
        </w:tc>
        <w:tc>
          <w:tcPr>
            <w:tcW w:w="2378" w:type="dxa"/>
            <w:shd w:val="clear" w:color="auto" w:fill="auto"/>
            <w:vAlign w:val="center"/>
          </w:tcPr>
          <w:p>
            <w:pPr>
              <w:autoSpaceDE w:val="0"/>
              <w:ind w:left="110" w:leftChars="50"/>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base_quality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67" w:hRule="atLeast"/>
          <w:jc w:val="center"/>
        </w:trPr>
        <w:tc>
          <w:tcPr>
            <w:tcW w:w="1984" w:type="dxa"/>
            <w:shd w:val="clear" w:color="auto" w:fill="F1F1F1"/>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总体质量评估</w:t>
            </w:r>
          </w:p>
        </w:tc>
        <w:tc>
          <w:tcPr>
            <w:tcW w:w="7807" w:type="dxa"/>
            <w:gridSpan w:val="3"/>
            <w:shd w:val="clear" w:color="auto" w:fill="F1F1F1"/>
            <w:vAlign w:val="center"/>
          </w:tcPr>
          <w:p>
            <w:pPr>
              <w:autoSpaceDE w:val="0"/>
              <w:ind w:left="110" w:leftChars="50"/>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Cs/>
          <w:sz w:val="18"/>
          <w:highlight w:val="none"/>
          <w:lang w:val="en-US" w:eastAsia="zh-CN"/>
        </w:rPr>
      </w:pPr>
      <w:r>
        <w:rPr>
          <w:rFonts w:hint="eastAsia" w:ascii="宋体" w:hAnsi="宋体" w:eastAsia="宋体" w:cs="宋体"/>
          <w:bCs/>
          <w:sz w:val="18"/>
          <w:highlight w:val="none"/>
          <w:lang w:val="en-US" w:eastAsia="zh-CN"/>
        </w:rPr>
        <w:t>注：</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肿瘤细胞含量：送检样本经HE染色评估的肿瘤细胞含量。如送检样本不满足病理评估所需条件，则不进行此项评估。血浆cfDNA样本不做此项评估。</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DNA总量：送检样本的DNA提取总量。</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DNA降解程度：cfDNA样本不适用于此项评估。</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A级：有主带，或降解均匀且降解区域主要集中在5000bp以上；</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B级：无主带，降解均匀且降解区域主要集中在1500-5000bp之间；</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C级：无主带，降解均匀且降解区域主要集中在500-1500bp之间；</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pacing w:val="3"/>
          <w:sz w:val="18"/>
          <w:szCs w:val="18"/>
          <w:lang w:eastAsia="zh-CN"/>
        </w:rPr>
        <w:t>D级</w:t>
      </w:r>
      <w:r>
        <w:rPr>
          <w:rFonts w:hint="eastAsia" w:ascii="宋体" w:hAnsi="宋体" w:eastAsia="宋体" w:cs="宋体"/>
          <w:bCs/>
          <w:sz w:val="18"/>
          <w:szCs w:val="18"/>
          <w:lang w:eastAsia="zh-CN"/>
        </w:rPr>
        <w:t>（</w:t>
      </w:r>
      <w:r>
        <w:rPr>
          <w:rFonts w:hint="eastAsia" w:ascii="宋体" w:hAnsi="宋体" w:eastAsia="宋体" w:cs="宋体"/>
          <w:bCs/>
          <w:spacing w:val="1"/>
          <w:sz w:val="18"/>
          <w:szCs w:val="18"/>
          <w:lang w:eastAsia="zh-CN"/>
        </w:rPr>
        <w:t>不合格</w:t>
      </w:r>
      <w:r>
        <w:rPr>
          <w:rFonts w:hint="eastAsia" w:ascii="宋体" w:hAnsi="宋体" w:eastAsia="宋体" w:cs="宋体"/>
          <w:bCs/>
          <w:spacing w:val="-90"/>
          <w:sz w:val="18"/>
          <w:szCs w:val="18"/>
          <w:lang w:eastAsia="zh-CN"/>
        </w:rPr>
        <w:t>）</w:t>
      </w:r>
      <w:r>
        <w:rPr>
          <w:rFonts w:hint="eastAsia" w:ascii="宋体" w:hAnsi="宋体" w:eastAsia="宋体" w:cs="宋体"/>
          <w:bCs/>
          <w:sz w:val="18"/>
          <w:szCs w:val="18"/>
          <w:lang w:eastAsia="zh-CN"/>
        </w:rPr>
        <w:t>）：无主带，降解均匀且降解区域主要集中在500-1500bp</w:t>
      </w:r>
      <w:r>
        <w:rPr>
          <w:rFonts w:hint="eastAsia" w:ascii="宋体" w:hAnsi="宋体" w:eastAsia="宋体" w:cs="宋体"/>
          <w:bCs/>
          <w:spacing w:val="-1"/>
          <w:sz w:val="18"/>
          <w:szCs w:val="18"/>
          <w:lang w:eastAsia="zh-CN"/>
        </w:rPr>
        <w:t>之间，但总量介于</w:t>
      </w:r>
      <w:r>
        <w:rPr>
          <w:rFonts w:hint="eastAsia" w:ascii="宋体" w:hAnsi="宋体" w:eastAsia="宋体" w:cs="宋体"/>
          <w:bCs/>
          <w:sz w:val="18"/>
          <w:szCs w:val="18"/>
          <w:lang w:eastAsia="zh-CN"/>
        </w:rPr>
        <w:t>100ng</w:t>
      </w:r>
      <w:r>
        <w:rPr>
          <w:rFonts w:hint="eastAsia" w:ascii="宋体" w:hAnsi="宋体" w:eastAsia="宋体" w:cs="宋体"/>
          <w:bCs/>
          <w:spacing w:val="-3"/>
          <w:sz w:val="18"/>
          <w:szCs w:val="18"/>
          <w:lang w:eastAsia="zh-CN"/>
        </w:rPr>
        <w:t>到</w:t>
      </w:r>
      <w:r>
        <w:rPr>
          <w:rFonts w:hint="eastAsia" w:ascii="宋体" w:hAnsi="宋体" w:eastAsia="宋体" w:cs="宋体"/>
          <w:bCs/>
          <w:sz w:val="18"/>
          <w:szCs w:val="18"/>
          <w:lang w:eastAsia="zh-CN"/>
        </w:rPr>
        <w:t>300ng之间；或降解区</w:t>
      </w:r>
      <w:r>
        <w:rPr>
          <w:rFonts w:hint="eastAsia" w:ascii="宋体" w:hAnsi="宋体" w:eastAsia="宋体" w:cs="宋体"/>
          <w:bCs/>
          <w:spacing w:val="-2"/>
          <w:sz w:val="18"/>
          <w:szCs w:val="18"/>
          <w:lang w:eastAsia="zh-CN"/>
        </w:rPr>
        <w:t>域弥散在</w:t>
      </w:r>
      <w:r>
        <w:rPr>
          <w:rFonts w:hint="eastAsia" w:ascii="宋体" w:hAnsi="宋体" w:eastAsia="宋体" w:cs="宋体"/>
          <w:bCs/>
          <w:sz w:val="18"/>
          <w:szCs w:val="18"/>
          <w:lang w:eastAsia="zh-CN"/>
        </w:rPr>
        <w:t>150-1000bp</w:t>
      </w:r>
      <w:r>
        <w:rPr>
          <w:rFonts w:hint="eastAsia" w:ascii="宋体" w:hAnsi="宋体" w:eastAsia="宋体" w:cs="宋体"/>
          <w:bCs/>
          <w:spacing w:val="-2"/>
          <w:sz w:val="18"/>
          <w:szCs w:val="18"/>
          <w:lang w:eastAsia="zh-CN"/>
        </w:rPr>
        <w:t>，或集中在</w:t>
      </w:r>
      <w:r>
        <w:rPr>
          <w:rFonts w:hint="eastAsia" w:ascii="宋体" w:hAnsi="宋体" w:eastAsia="宋体" w:cs="宋体"/>
          <w:bCs/>
          <w:sz w:val="18"/>
          <w:szCs w:val="18"/>
          <w:lang w:eastAsia="zh-CN"/>
        </w:rPr>
        <w:t>500bp以下。</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预文库总量：核酸片段经过接头连接和扩增纯化后中间产物的总量。</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平均测序深度：目标区域每个碱基被测到的平均次数。</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覆盖均一性：测序深度达到平均测序深度20%的碱基占比。</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基因组比对率：比对到参考基因组上的reads数目占比。</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碱基质量Q30占比：测序数据中碱基质量在Q30以上（即碱基识别错误率在千分之一以下）的占比。</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总体质量评估：根据 DNA 平均测序深度进行评估，分为“合格”、“警戒</w:t>
      </w:r>
      <w:r>
        <w:rPr>
          <w:rFonts w:hint="eastAsia" w:cs="宋体"/>
          <w:bCs/>
          <w:sz w:val="18"/>
          <w:szCs w:val="18"/>
          <w:lang w:eastAsia="zh-CN"/>
        </w:rPr>
        <w:t>”</w:t>
      </w:r>
      <w:r>
        <w:rPr>
          <w:rFonts w:hint="eastAsia" w:ascii="宋体" w:hAnsi="宋体" w:eastAsia="宋体" w:cs="宋体"/>
          <w:bCs/>
          <w:sz w:val="18"/>
          <w:szCs w:val="18"/>
          <w:lang w:eastAsia="zh-CN"/>
        </w:rPr>
        <w:t>、</w:t>
      </w:r>
      <w:r>
        <w:rPr>
          <w:rFonts w:hint="eastAsia" w:cs="宋体"/>
          <w:bCs/>
          <w:sz w:val="18"/>
          <w:szCs w:val="18"/>
          <w:lang w:eastAsia="zh-CN"/>
        </w:rPr>
        <w:t>“</w:t>
      </w:r>
      <w:r>
        <w:rPr>
          <w:rFonts w:hint="eastAsia" w:ascii="宋体" w:hAnsi="宋体" w:eastAsia="宋体" w:cs="宋体"/>
          <w:bCs/>
          <w:sz w:val="18"/>
          <w:szCs w:val="18"/>
          <w:lang w:eastAsia="zh-CN"/>
        </w:rPr>
        <w:t>不合格”三个等级。总体质量评估为“警戒</w:t>
      </w:r>
      <w:r>
        <w:rPr>
          <w:rFonts w:hint="eastAsia" w:cs="宋体"/>
          <w:bCs/>
          <w:sz w:val="18"/>
          <w:szCs w:val="18"/>
          <w:lang w:eastAsia="zh-CN"/>
        </w:rPr>
        <w:t>”</w:t>
      </w:r>
      <w:r>
        <w:rPr>
          <w:rFonts w:hint="eastAsia" w:ascii="宋体" w:hAnsi="宋体" w:eastAsia="宋体" w:cs="宋体"/>
          <w:bCs/>
          <w:sz w:val="18"/>
          <w:szCs w:val="18"/>
          <w:lang w:eastAsia="zh-CN"/>
        </w:rPr>
        <w:t>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pStyle w:val="38"/>
        <w:numPr>
          <w:ilvl w:val="0"/>
          <w:numId w:val="11"/>
        </w:numPr>
        <w:bidi w:val="0"/>
        <w:spacing w:line="360" w:lineRule="auto"/>
        <w:ind w:left="425" w:leftChars="0" w:hanging="425" w:firstLineChars="0"/>
        <w:jc w:val="left"/>
        <w:rPr>
          <w:b/>
          <w:bCs/>
          <w:spacing w:val="23"/>
          <w:sz w:val="21"/>
          <w:szCs w:val="21"/>
        </w:rPr>
      </w:pPr>
      <w:bookmarkStart w:id="84" w:name="_Toc11896_WPSOffice_Level1"/>
      <w:bookmarkStart w:id="85" w:name="_Toc11812"/>
      <w:bookmarkStart w:id="86" w:name="_Toc1779"/>
      <w:bookmarkStart w:id="87" w:name="_Toc10945"/>
      <w:bookmarkStart w:id="88" w:name="_Toc20303"/>
      <w:bookmarkStart w:id="89" w:name="_Toc11193_WPSOffice_Level1"/>
      <w:bookmarkStart w:id="90" w:name="_Toc28810_WPSOffice_Level1"/>
      <w:r>
        <w:rPr>
          <w:b/>
          <w:bCs/>
          <w:spacing w:val="23"/>
          <w:sz w:val="21"/>
          <w:szCs w:val="21"/>
        </w:rPr>
        <w:t>常见靶向药物相关基因检测列表</w:t>
      </w:r>
      <w:bookmarkEnd w:id="84"/>
      <w:bookmarkEnd w:id="85"/>
      <w:bookmarkEnd w:id="86"/>
      <w:bookmarkEnd w:id="87"/>
      <w:bookmarkEnd w:id="88"/>
    </w:p>
    <w:bookmarkEnd w:id="89"/>
    <w:bookmarkEnd w:id="90"/>
    <w:tbl>
      <w:tblPr>
        <w:tblStyle w:val="15"/>
        <w:tblpPr w:leftFromText="181" w:rightFromText="181" w:vertAnchor="text" w:horzAnchor="page"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867"/>
        <w:gridCol w:w="658"/>
        <w:gridCol w:w="8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867"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基因</w:t>
            </w:r>
          </w:p>
        </w:tc>
        <w:tc>
          <w:tcPr>
            <w:tcW w:w="658"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检测内容</w:t>
            </w:r>
          </w:p>
        </w:tc>
        <w:tc>
          <w:tcPr>
            <w:tcW w:w="8680"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靶向药物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tcBorders>
              <w:tl2br w:val="nil"/>
              <w:tr2bl w:val="nil"/>
            </w:tcBorders>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{%tr for</w:t>
            </w:r>
            <w:r>
              <w:rPr>
                <w:rFonts w:hint="eastAsia" w:ascii="宋体" w:hAnsi="宋体" w:eastAsia="宋体" w:cs="宋体"/>
                <w:sz w:val="21"/>
                <w:szCs w:val="21"/>
                <w:lang w:val="en-US" w:eastAsia="zh-CN"/>
              </w:rPr>
              <w:t xml:space="preserve"> ct</w:t>
            </w:r>
            <w:r>
              <w:rPr>
                <w:rFonts w:hint="eastAsia" w:ascii="宋体" w:hAnsi="宋体" w:eastAsia="宋体" w:cs="宋体"/>
                <w:sz w:val="21"/>
                <w:szCs w:val="21"/>
                <w:lang w:eastAsia="zh-CN"/>
              </w:rPr>
              <w:t xml:space="preserve"> in commonTargetedDrug</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7" w:type="dxa"/>
            <w:vAlign w:val="center"/>
          </w:tcPr>
          <w:p>
            <w:pPr>
              <w:spacing w:line="206" w:lineRule="exact"/>
              <w:ind w:leftChars="-4" w:hanging="11" w:hangingChars="5"/>
              <w:jc w:val="center"/>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 for b in ct.gene | nl() %}{%if loop.last%}{{ b }}{%else%}{{ b }}</w:t>
            </w:r>
          </w:p>
          <w:p>
            <w:pPr>
              <w:spacing w:line="206" w:lineRule="exact"/>
              <w:ind w:leftChars="-4" w:hanging="11" w:hangingChars="5"/>
              <w:jc w:val="center"/>
              <w:rPr>
                <w:rFonts w:hint="eastAsia" w:ascii="宋体" w:hAnsi="宋体" w:eastAsia="宋体" w:cs="宋体"/>
                <w:b/>
                <w:bCs/>
                <w:color w:val="416AAB"/>
                <w:sz w:val="21"/>
                <w:szCs w:val="21"/>
              </w:rPr>
            </w:pPr>
            <w:r>
              <w:rPr>
                <w:rFonts w:hint="eastAsia" w:ascii="宋体" w:hAnsi="宋体" w:eastAsia="宋体" w:cs="宋体"/>
                <w:b/>
                <w:bCs/>
                <w:color w:val="auto"/>
                <w:sz w:val="21"/>
                <w:szCs w:val="21"/>
                <w:lang w:val="en-US" w:eastAsia="zh-CN"/>
              </w:rPr>
              <w:t>{%endif%}{% endfor%}</w:t>
            </w:r>
          </w:p>
        </w:tc>
        <w:tc>
          <w:tcPr>
            <w:tcW w:w="658"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{%endif%}{% endfor%}</w:t>
            </w:r>
          </w:p>
        </w:tc>
        <w:tc>
          <w:tcPr>
            <w:tcW w:w="86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 for b in ct.targeted_drug | nl() %}{%if loop.last%}{%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endfor%}{%else%}{%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w:t>
            </w:r>
          </w:p>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spacing w:val="-1"/>
                <w:sz w:val="21"/>
                <w:szCs w:val="21"/>
              </w:rPr>
            </w:pPr>
            <w:r>
              <w:rPr>
                <w:rFonts w:hint="eastAsia" w:ascii="宋体" w:hAnsi="宋体" w:eastAsia="宋体" w:cs="宋体"/>
                <w:b w:val="0"/>
                <w:bCs w:val="0"/>
                <w:color w:val="auto"/>
                <w:sz w:val="21"/>
                <w:szCs w:val="21"/>
                <w:highlight w:val="none"/>
                <w:lang w:val="en-US" w:eastAsia="zh-CN"/>
              </w:rPr>
              <w:t>{%endif%}{% endfor%}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 xml:space="preserve">{%tr </w:t>
            </w:r>
            <w:r>
              <w:rPr>
                <w:rFonts w:hint="eastAsia" w:ascii="宋体" w:hAnsi="宋体" w:eastAsia="宋体" w:cs="宋体"/>
                <w:sz w:val="21"/>
                <w:szCs w:val="21"/>
                <w:lang w:val="en-US" w:eastAsia="zh-CN"/>
              </w:rPr>
              <w:t>end</w:t>
            </w:r>
            <w:r>
              <w:rPr>
                <w:rFonts w:hint="eastAsia" w:ascii="宋体" w:hAnsi="宋体" w:eastAsia="宋体" w:cs="宋体"/>
                <w:sz w:val="21"/>
                <w:szCs w:val="21"/>
                <w:lang w:eastAsia="zh-CN"/>
              </w:rPr>
              <w:t>for %}</w:t>
            </w:r>
          </w:p>
        </w:tc>
      </w:tr>
    </w:tbl>
    <w:p>
      <w:pPr>
        <w:rPr>
          <w:lang w:eastAsia="zh-CN"/>
        </w:rPr>
      </w:pPr>
    </w:p>
    <w:p>
      <w:pPr>
        <w:tabs>
          <w:tab w:val="left" w:pos="6770"/>
        </w:tabs>
        <w:spacing w:before="27"/>
        <w:rPr>
          <w:rFonts w:ascii="Times New Roman" w:hAnsi="Times New Roman" w:eastAsia="微软雅黑" w:cs="Times New Roman"/>
          <w:sz w:val="15"/>
          <w:lang w:eastAsia="zh-CN"/>
        </w:rPr>
      </w:pPr>
      <w:r>
        <w:rPr>
          <w:lang w:eastAsia="zh-CN"/>
        </w:rPr>
        <w:br w:type="page"/>
      </w:r>
      <w:bookmarkEnd w:id="17"/>
      <w:bookmarkStart w:id="91" w:name="_Toc17792_WPSOffice_Level2"/>
    </w:p>
    <w:p>
      <w:bookmarkStart w:id="92" w:name="_Toc4503"/>
      <w:bookmarkStart w:id="93" w:name="_Toc27809"/>
      <w:bookmarkStart w:id="94" w:name="_Toc11901"/>
      <w:bookmarkStart w:id="95" w:name="_Toc19584_WPSOffice_Level1"/>
      <w:bookmarkStart w:id="96" w:name="_Toc22623"/>
      <w:bookmarkStart w:id="97" w:name="_Toc14611_WPSOffice_Level1"/>
      <w:bookmarkStart w:id="98" w:name="_Toc22162_WPSOffice_Level1"/>
      <w:bookmarkStart w:id="99" w:name="_Toc13275"/>
    </w:p>
    <w:p>
      <w:pPr>
        <w:pStyle w:val="38"/>
        <w:numPr>
          <w:ilvl w:val="0"/>
          <w:numId w:val="11"/>
        </w:numPr>
        <w:bidi w:val="0"/>
        <w:spacing w:line="360" w:lineRule="auto"/>
        <w:ind w:left="425" w:leftChars="0" w:hanging="425" w:firstLineChars="0"/>
        <w:jc w:val="left"/>
        <w:rPr>
          <w:b/>
          <w:bCs/>
          <w:spacing w:val="23"/>
          <w:sz w:val="21"/>
          <w:szCs w:val="21"/>
        </w:rPr>
      </w:pPr>
      <w:bookmarkStart w:id="100" w:name="_Toc24544"/>
      <w:r>
        <w:rPr>
          <w:b/>
          <w:bCs/>
          <w:spacing w:val="23"/>
          <w:sz w:val="21"/>
          <w:szCs w:val="21"/>
        </w:rPr>
        <w:t>参考文献</w:t>
      </w:r>
      <w:bookmarkEnd w:id="92"/>
      <w:bookmarkEnd w:id="93"/>
      <w:bookmarkEnd w:id="94"/>
      <w:bookmarkEnd w:id="100"/>
    </w:p>
    <w:bookmarkEnd w:id="91"/>
    <w:bookmarkEnd w:id="95"/>
    <w:bookmarkEnd w:id="96"/>
    <w:bookmarkEnd w:id="97"/>
    <w:bookmarkEnd w:id="98"/>
    <w:bookmarkEnd w:id="99"/>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Shaw AT, Bauer TM, de Marinis F, et al. First-line lorlatinib or crizotinib in advanced ALK-positive lung cancer. N Engl J Med. 2020;383(21):2018-2029. [PMID: 33207094]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Kopetz S, Grothey A, Yaeger R, et al. Encorafenib, binimetinib, and cetuximab in BRAF V600E-mutated colorectal cancer. N Engl J Med. 2019;381(17):1632-1643. [PMID: 31566309]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Yang JCH, Camidge DR, Yang CT, et al. Safety, efficacy, and pharmacokinetics of almonertinib (HS-10296) in pretreated patients with EGFR-mutated advanced NSCLC: A multicenter, open-label, phase 1 trial. J Thorac Oncol. 2020;15(12):1907-1918. [PMID: 32916310]</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Yun J, Lee SH, Kim SY, et al. Antitumor Activity of Amivantamab (JNJ-61186372), an EGFR-MET Bispecific Antibody, in Diverse Models of EGFR Exon 20 Insertion-Driven NSCLC[J]. Cancer Discov. 2020, 10(8):1194-1209. [PMID: 32414908]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Abou-Alfa GK, Sahai V, Hollebecque A, et al. Pemigatinib for previously treated, locally advanced or metastatic cholangiocarcinoma: a multicentre, open-label, phase 2 study. Lancet Oncol. 2020;21(5):671-684. [PMID: 32203698]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Loriot Y, Necchi A, Park SH, et al. Erdafitinib in locally advanced or metastatic urothelial carcinoma. N Engl J Med. 2019;381(4):338-348. [PMID: 31340094]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Chung HC, et al. First-line pembrolizumab/placebo plus trastuzumab and chemotherapy in HER2-positive advanced gastric cancer: KEYNOTE-811. Future Oncol 2021 Feb;17(5):491-501. [PMID: 33167735]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Lee HW, Sa JK, Gualberto 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Hong DS, Fakih MG, Strickler JH, et al. KRAS G12C Inhibition with Sotorasib in Advanced Solid Tumors[J]. N Engl J Med. 2020, 24;383(13):1207-1217. [PMID: 32955176]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Wolf J, Seto T, Han JY, Reguart N, et al. Capmatinib in MET exon 14-mutated or MET-amplified non-small-cell lung cancer. N Engl J Med. 2020;383(10):944-957. [PMID: 32877583]</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Lu S et al., Phase II study of savolitinib in patients with pulmonary sarcomatoid carcinoma and other types of non-small cell lung cancer harboring MET exon 14 skipping mutations. J Clin Oncol. 2020;38(suppl 15): abstr 9519. </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Drilon A, Clark JW, Weiss J, Ou SI, et al. Antitumor activity of crizotinib in lung cancers harboring a MET exon 14 alteration. Nat Med. 2020;26(1):47-51. [PMID: 31932802]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Paik PK, Felip E, Veillon R, et al. Tepotinib in non-small-cell lung cancer with MET exon 14 skipping mutations. N Engl J Med. 2020;383(10):931-943. [PMID: 32469185]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Doebele RC, Drilon A, Paz-Ares L, et al. Entrectinib in patients with advanced or metastatic NTRK fusion-positive solid tumours: integrated analysis of three phase 1-2 trials. Lancet Oncol. 2020;21(2):271-282. [PMID: 31838007]</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Hong DS, DuBois SG, Kummar S, et al. Larotrectinib in patients with TRK fusion-positive solid tumours: a pooled analysis of three phase 1/2 clinical trials. Lancet Oncol. 2020;21(4):531-540. [PMID: 32105622]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Bradford D, Larkins E, Mushti SL, et al. FDA approval summary: Selpercatinib for the treatment of lung and thyroid cancers with RET gene mutations or fusions. Clin Cancer Res. 2021;27(8):2130-2135. [PMID: 33239432]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Zhao H, Yao W, Min X, et al. Apatinib Plus Gefitinib as First-Line Treatment in Advanced EGFR-Mutant NSCLC: The Phase III ACTIVE Study (CTONG1706). J Thorac Oncol. 2021;16(9):1533-1546. [PMID: 34033974]</w:t>
      </w:r>
    </w:p>
    <w:sectPr>
      <w:footerReference r:id="rId5" w:type="default"/>
      <w:pgSz w:w="11910" w:h="16840"/>
      <w:pgMar w:top="1417" w:right="805" w:bottom="680"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B5CE2176"/>
    <w:multiLevelType w:val="multilevel"/>
    <w:tmpl w:val="B5CE2176"/>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B83B4C26"/>
    <w:multiLevelType w:val="multilevel"/>
    <w:tmpl w:val="B83B4C26"/>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DAA0581D"/>
    <w:multiLevelType w:val="multilevel"/>
    <w:tmpl w:val="DAA0581D"/>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219D0AF6"/>
    <w:multiLevelType w:val="singleLevel"/>
    <w:tmpl w:val="219D0AF6"/>
    <w:lvl w:ilvl="0" w:tentative="0">
      <w:start w:val="1"/>
      <w:numFmt w:val="decimal"/>
      <w:suff w:val="space"/>
      <w:lvlText w:val="%1."/>
      <w:lvlJc w:val="left"/>
      <w:rPr>
        <w:rFonts w:hint="default"/>
        <w:sz w:val="18"/>
        <w:szCs w:val="18"/>
      </w:rPr>
    </w:lvl>
  </w:abstractNum>
  <w:abstractNum w:abstractNumId="6">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2EADBF60"/>
    <w:multiLevelType w:val="multilevel"/>
    <w:tmpl w:val="2EADBF60"/>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9"/>
  </w:num>
  <w:num w:numId="2">
    <w:abstractNumId w:val="12"/>
  </w:num>
  <w:num w:numId="3">
    <w:abstractNumId w:val="11"/>
  </w:num>
  <w:num w:numId="4">
    <w:abstractNumId w:val="6"/>
  </w:num>
  <w:num w:numId="5">
    <w:abstractNumId w:val="8"/>
  </w:num>
  <w:num w:numId="6">
    <w:abstractNumId w:val="0"/>
  </w:num>
  <w:num w:numId="7">
    <w:abstractNumId w:val="1"/>
  </w:num>
  <w:num w:numId="8">
    <w:abstractNumId w:val="7"/>
  </w:num>
  <w:num w:numId="9">
    <w:abstractNumId w:val="2"/>
  </w:num>
  <w:num w:numId="10">
    <w:abstractNumId w:val="4"/>
  </w:num>
  <w:num w:numId="11">
    <w:abstractNumId w:val="3"/>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230292"/>
    <w:rsid w:val="01392F4E"/>
    <w:rsid w:val="017A2B5E"/>
    <w:rsid w:val="018016F0"/>
    <w:rsid w:val="01A0337A"/>
    <w:rsid w:val="02337A11"/>
    <w:rsid w:val="027C0F8A"/>
    <w:rsid w:val="028358E7"/>
    <w:rsid w:val="029A67E2"/>
    <w:rsid w:val="02CA5230"/>
    <w:rsid w:val="02E91A90"/>
    <w:rsid w:val="0329174C"/>
    <w:rsid w:val="033463D6"/>
    <w:rsid w:val="038726D8"/>
    <w:rsid w:val="03D16C91"/>
    <w:rsid w:val="03E921F1"/>
    <w:rsid w:val="04455AD9"/>
    <w:rsid w:val="04791D69"/>
    <w:rsid w:val="04871837"/>
    <w:rsid w:val="04A167FA"/>
    <w:rsid w:val="04BD1641"/>
    <w:rsid w:val="04C17114"/>
    <w:rsid w:val="04CD44FD"/>
    <w:rsid w:val="04E70360"/>
    <w:rsid w:val="05815BFE"/>
    <w:rsid w:val="05887898"/>
    <w:rsid w:val="059E1945"/>
    <w:rsid w:val="05B13825"/>
    <w:rsid w:val="05F23D13"/>
    <w:rsid w:val="06A4457F"/>
    <w:rsid w:val="06A61E8D"/>
    <w:rsid w:val="06E36A2C"/>
    <w:rsid w:val="06EB7F4D"/>
    <w:rsid w:val="07250EAC"/>
    <w:rsid w:val="074043CC"/>
    <w:rsid w:val="07AB34E7"/>
    <w:rsid w:val="07D36A00"/>
    <w:rsid w:val="07DB59EB"/>
    <w:rsid w:val="083F50A2"/>
    <w:rsid w:val="08492620"/>
    <w:rsid w:val="088D7FF0"/>
    <w:rsid w:val="09212671"/>
    <w:rsid w:val="095F057B"/>
    <w:rsid w:val="09705B33"/>
    <w:rsid w:val="0A043ABA"/>
    <w:rsid w:val="0A337BEA"/>
    <w:rsid w:val="0A757891"/>
    <w:rsid w:val="0A8703FE"/>
    <w:rsid w:val="0ADA7F11"/>
    <w:rsid w:val="0ADD29EC"/>
    <w:rsid w:val="0AEC09F3"/>
    <w:rsid w:val="0B267486"/>
    <w:rsid w:val="0B5F0945"/>
    <w:rsid w:val="0B89157E"/>
    <w:rsid w:val="0BA82D72"/>
    <w:rsid w:val="0C1768CC"/>
    <w:rsid w:val="0C3A0C95"/>
    <w:rsid w:val="0C3E5385"/>
    <w:rsid w:val="0C96240B"/>
    <w:rsid w:val="0D055CE8"/>
    <w:rsid w:val="0D0E2E15"/>
    <w:rsid w:val="0D194A15"/>
    <w:rsid w:val="0D877621"/>
    <w:rsid w:val="0D9819F1"/>
    <w:rsid w:val="0DAD1717"/>
    <w:rsid w:val="0E11445D"/>
    <w:rsid w:val="0E542351"/>
    <w:rsid w:val="0E632099"/>
    <w:rsid w:val="0E644C2B"/>
    <w:rsid w:val="0E82580A"/>
    <w:rsid w:val="0EBF2A43"/>
    <w:rsid w:val="0EC91129"/>
    <w:rsid w:val="0ED843CC"/>
    <w:rsid w:val="0F2012A5"/>
    <w:rsid w:val="0FB9297A"/>
    <w:rsid w:val="0FBA737B"/>
    <w:rsid w:val="0FEF6595"/>
    <w:rsid w:val="0FFE1C1F"/>
    <w:rsid w:val="10A519AE"/>
    <w:rsid w:val="10D26947"/>
    <w:rsid w:val="11046F6E"/>
    <w:rsid w:val="11067689"/>
    <w:rsid w:val="110D3F98"/>
    <w:rsid w:val="118B49B4"/>
    <w:rsid w:val="11E5739A"/>
    <w:rsid w:val="12722FE7"/>
    <w:rsid w:val="12850E64"/>
    <w:rsid w:val="12963DA1"/>
    <w:rsid w:val="12F372F0"/>
    <w:rsid w:val="132612E4"/>
    <w:rsid w:val="13897526"/>
    <w:rsid w:val="13AB527B"/>
    <w:rsid w:val="147565B0"/>
    <w:rsid w:val="14872247"/>
    <w:rsid w:val="148972D9"/>
    <w:rsid w:val="149B7751"/>
    <w:rsid w:val="14AA5F0C"/>
    <w:rsid w:val="14C82A00"/>
    <w:rsid w:val="14E50274"/>
    <w:rsid w:val="15060550"/>
    <w:rsid w:val="150E31A1"/>
    <w:rsid w:val="15196B67"/>
    <w:rsid w:val="152B5F53"/>
    <w:rsid w:val="152E3223"/>
    <w:rsid w:val="153F7D0D"/>
    <w:rsid w:val="156E1C8F"/>
    <w:rsid w:val="15D73C77"/>
    <w:rsid w:val="16345977"/>
    <w:rsid w:val="165063E4"/>
    <w:rsid w:val="16A6744E"/>
    <w:rsid w:val="16BD5BE8"/>
    <w:rsid w:val="16E67B0D"/>
    <w:rsid w:val="16EF32B7"/>
    <w:rsid w:val="16F8465A"/>
    <w:rsid w:val="175C3095"/>
    <w:rsid w:val="179E5A16"/>
    <w:rsid w:val="17C57C22"/>
    <w:rsid w:val="17EF172D"/>
    <w:rsid w:val="18036692"/>
    <w:rsid w:val="18115FA7"/>
    <w:rsid w:val="184F5A03"/>
    <w:rsid w:val="188A3FE1"/>
    <w:rsid w:val="188B1EE6"/>
    <w:rsid w:val="188E10A8"/>
    <w:rsid w:val="18A5002C"/>
    <w:rsid w:val="19437087"/>
    <w:rsid w:val="1969147D"/>
    <w:rsid w:val="199369D8"/>
    <w:rsid w:val="1A5E6E15"/>
    <w:rsid w:val="1A9C4C96"/>
    <w:rsid w:val="1AF45ED7"/>
    <w:rsid w:val="1B10343F"/>
    <w:rsid w:val="1B28649B"/>
    <w:rsid w:val="1B3B4866"/>
    <w:rsid w:val="1B703C88"/>
    <w:rsid w:val="1BA36B7F"/>
    <w:rsid w:val="1BAD3E87"/>
    <w:rsid w:val="1C166655"/>
    <w:rsid w:val="1C7A05D0"/>
    <w:rsid w:val="1C98707F"/>
    <w:rsid w:val="1CCD19AC"/>
    <w:rsid w:val="1CD3634C"/>
    <w:rsid w:val="1CFB3D7D"/>
    <w:rsid w:val="1D0B7646"/>
    <w:rsid w:val="1D103BE7"/>
    <w:rsid w:val="1D306ECF"/>
    <w:rsid w:val="1DE8432D"/>
    <w:rsid w:val="1E1954BB"/>
    <w:rsid w:val="1E424F38"/>
    <w:rsid w:val="1E5B4AE9"/>
    <w:rsid w:val="1E5D40E4"/>
    <w:rsid w:val="1E741D17"/>
    <w:rsid w:val="1EAB0C6A"/>
    <w:rsid w:val="1EAF2912"/>
    <w:rsid w:val="1EE510E1"/>
    <w:rsid w:val="1EEB2832"/>
    <w:rsid w:val="1F2B7CAE"/>
    <w:rsid w:val="1F996A3F"/>
    <w:rsid w:val="1FB23A5A"/>
    <w:rsid w:val="1FC33C06"/>
    <w:rsid w:val="1FC77337"/>
    <w:rsid w:val="1FF95398"/>
    <w:rsid w:val="20205A20"/>
    <w:rsid w:val="202D7F0F"/>
    <w:rsid w:val="20313BAF"/>
    <w:rsid w:val="20855B55"/>
    <w:rsid w:val="209432E5"/>
    <w:rsid w:val="20943D07"/>
    <w:rsid w:val="20C205EB"/>
    <w:rsid w:val="20CA3A62"/>
    <w:rsid w:val="216F18A9"/>
    <w:rsid w:val="21790C04"/>
    <w:rsid w:val="218960DE"/>
    <w:rsid w:val="21D55A39"/>
    <w:rsid w:val="22180203"/>
    <w:rsid w:val="22322E8D"/>
    <w:rsid w:val="224C7FA0"/>
    <w:rsid w:val="226A689A"/>
    <w:rsid w:val="22B1632D"/>
    <w:rsid w:val="22B67E76"/>
    <w:rsid w:val="22D4409F"/>
    <w:rsid w:val="22FC1855"/>
    <w:rsid w:val="2322058C"/>
    <w:rsid w:val="232B252D"/>
    <w:rsid w:val="235C2C2A"/>
    <w:rsid w:val="23AE1934"/>
    <w:rsid w:val="23DC4798"/>
    <w:rsid w:val="23FF1819"/>
    <w:rsid w:val="240007AE"/>
    <w:rsid w:val="244D2216"/>
    <w:rsid w:val="24D278E4"/>
    <w:rsid w:val="250E3D96"/>
    <w:rsid w:val="25152B1F"/>
    <w:rsid w:val="253036C5"/>
    <w:rsid w:val="256C4478"/>
    <w:rsid w:val="25C7784B"/>
    <w:rsid w:val="26976104"/>
    <w:rsid w:val="27047A7D"/>
    <w:rsid w:val="271A3FF4"/>
    <w:rsid w:val="271C165B"/>
    <w:rsid w:val="2786240A"/>
    <w:rsid w:val="27870460"/>
    <w:rsid w:val="27984A7E"/>
    <w:rsid w:val="27EA6CAB"/>
    <w:rsid w:val="281020DB"/>
    <w:rsid w:val="28642123"/>
    <w:rsid w:val="28855B91"/>
    <w:rsid w:val="28B63ACE"/>
    <w:rsid w:val="28B640D1"/>
    <w:rsid w:val="28B74238"/>
    <w:rsid w:val="28B83CA7"/>
    <w:rsid w:val="28BA720D"/>
    <w:rsid w:val="28C86CFA"/>
    <w:rsid w:val="28CB616B"/>
    <w:rsid w:val="28E3589C"/>
    <w:rsid w:val="28E502F9"/>
    <w:rsid w:val="292D0C40"/>
    <w:rsid w:val="29345F99"/>
    <w:rsid w:val="29363F06"/>
    <w:rsid w:val="29555C64"/>
    <w:rsid w:val="296F5B95"/>
    <w:rsid w:val="29CB7AAA"/>
    <w:rsid w:val="29DE0525"/>
    <w:rsid w:val="29EF70C8"/>
    <w:rsid w:val="2A221D03"/>
    <w:rsid w:val="2A3716AB"/>
    <w:rsid w:val="2A51621C"/>
    <w:rsid w:val="2A7F29B1"/>
    <w:rsid w:val="2ADE2A02"/>
    <w:rsid w:val="2B1365FC"/>
    <w:rsid w:val="2B485DBB"/>
    <w:rsid w:val="2B692B05"/>
    <w:rsid w:val="2B8C0A94"/>
    <w:rsid w:val="2BDE1876"/>
    <w:rsid w:val="2C165FD1"/>
    <w:rsid w:val="2C427C83"/>
    <w:rsid w:val="2C576226"/>
    <w:rsid w:val="2D061413"/>
    <w:rsid w:val="2E0C0EE9"/>
    <w:rsid w:val="2E3D6CA4"/>
    <w:rsid w:val="2E7C3545"/>
    <w:rsid w:val="2E824F5C"/>
    <w:rsid w:val="2EB35A8A"/>
    <w:rsid w:val="2F28730D"/>
    <w:rsid w:val="2FB12A1A"/>
    <w:rsid w:val="30310CEB"/>
    <w:rsid w:val="304862D7"/>
    <w:rsid w:val="30AA0F06"/>
    <w:rsid w:val="30DA24F1"/>
    <w:rsid w:val="30E41C41"/>
    <w:rsid w:val="31033685"/>
    <w:rsid w:val="310959FE"/>
    <w:rsid w:val="3109732A"/>
    <w:rsid w:val="31421E08"/>
    <w:rsid w:val="31464ABB"/>
    <w:rsid w:val="315E5833"/>
    <w:rsid w:val="32080EDC"/>
    <w:rsid w:val="324E6866"/>
    <w:rsid w:val="32A31141"/>
    <w:rsid w:val="32AB7EAB"/>
    <w:rsid w:val="32B71D27"/>
    <w:rsid w:val="32DB7156"/>
    <w:rsid w:val="32DE07F1"/>
    <w:rsid w:val="32F01EBB"/>
    <w:rsid w:val="33323300"/>
    <w:rsid w:val="33725A73"/>
    <w:rsid w:val="338527AA"/>
    <w:rsid w:val="33AE0711"/>
    <w:rsid w:val="33CF05AE"/>
    <w:rsid w:val="346D24B1"/>
    <w:rsid w:val="34777EA9"/>
    <w:rsid w:val="348573AD"/>
    <w:rsid w:val="34EA0013"/>
    <w:rsid w:val="35055D74"/>
    <w:rsid w:val="354B10C4"/>
    <w:rsid w:val="357E5409"/>
    <w:rsid w:val="35945D5F"/>
    <w:rsid w:val="35B3556B"/>
    <w:rsid w:val="35F5325E"/>
    <w:rsid w:val="360630CA"/>
    <w:rsid w:val="360A76FC"/>
    <w:rsid w:val="36940077"/>
    <w:rsid w:val="36A71E61"/>
    <w:rsid w:val="36E25529"/>
    <w:rsid w:val="371E73E3"/>
    <w:rsid w:val="37731B0B"/>
    <w:rsid w:val="37E81DE8"/>
    <w:rsid w:val="3848012E"/>
    <w:rsid w:val="39334160"/>
    <w:rsid w:val="393D6B8F"/>
    <w:rsid w:val="39525C52"/>
    <w:rsid w:val="39974174"/>
    <w:rsid w:val="399A5E65"/>
    <w:rsid w:val="39A64D30"/>
    <w:rsid w:val="39B00D21"/>
    <w:rsid w:val="3A202424"/>
    <w:rsid w:val="3A49481A"/>
    <w:rsid w:val="3A4D09F5"/>
    <w:rsid w:val="3AF460F5"/>
    <w:rsid w:val="3B414471"/>
    <w:rsid w:val="3B6B584B"/>
    <w:rsid w:val="3B721C7C"/>
    <w:rsid w:val="3B99114B"/>
    <w:rsid w:val="3B9B0105"/>
    <w:rsid w:val="3BEA5380"/>
    <w:rsid w:val="3BF35040"/>
    <w:rsid w:val="3C3F24CA"/>
    <w:rsid w:val="3C5D7D9D"/>
    <w:rsid w:val="3CC95781"/>
    <w:rsid w:val="3D105F1B"/>
    <w:rsid w:val="3D1C54C3"/>
    <w:rsid w:val="3D621347"/>
    <w:rsid w:val="3D6C60E9"/>
    <w:rsid w:val="3D855C98"/>
    <w:rsid w:val="3DB27834"/>
    <w:rsid w:val="3E177369"/>
    <w:rsid w:val="3E5C4C18"/>
    <w:rsid w:val="3E686A9E"/>
    <w:rsid w:val="3E7D0E01"/>
    <w:rsid w:val="3EC949BD"/>
    <w:rsid w:val="3F051B05"/>
    <w:rsid w:val="3F1D1FAD"/>
    <w:rsid w:val="3F4343E8"/>
    <w:rsid w:val="3FC0487B"/>
    <w:rsid w:val="3FCB42E0"/>
    <w:rsid w:val="3FF2193A"/>
    <w:rsid w:val="405979F4"/>
    <w:rsid w:val="40890521"/>
    <w:rsid w:val="40895D14"/>
    <w:rsid w:val="40BA2B58"/>
    <w:rsid w:val="40CD5E20"/>
    <w:rsid w:val="41450D78"/>
    <w:rsid w:val="41B015F1"/>
    <w:rsid w:val="41C73588"/>
    <w:rsid w:val="41EC43CC"/>
    <w:rsid w:val="41FF695D"/>
    <w:rsid w:val="42AF2F7A"/>
    <w:rsid w:val="42D665BD"/>
    <w:rsid w:val="42F70CC1"/>
    <w:rsid w:val="435766B4"/>
    <w:rsid w:val="43821027"/>
    <w:rsid w:val="44024434"/>
    <w:rsid w:val="44C23006"/>
    <w:rsid w:val="44C6598F"/>
    <w:rsid w:val="452112A4"/>
    <w:rsid w:val="452C52BD"/>
    <w:rsid w:val="454A2BAB"/>
    <w:rsid w:val="45755361"/>
    <w:rsid w:val="459308E1"/>
    <w:rsid w:val="45A93012"/>
    <w:rsid w:val="45D4644E"/>
    <w:rsid w:val="46550A34"/>
    <w:rsid w:val="46A072C4"/>
    <w:rsid w:val="46B53706"/>
    <w:rsid w:val="46B72EB2"/>
    <w:rsid w:val="46E4791E"/>
    <w:rsid w:val="470B23FB"/>
    <w:rsid w:val="47A33F8A"/>
    <w:rsid w:val="4811052D"/>
    <w:rsid w:val="48552080"/>
    <w:rsid w:val="4883115E"/>
    <w:rsid w:val="488A5A4F"/>
    <w:rsid w:val="48C65C4C"/>
    <w:rsid w:val="48F33103"/>
    <w:rsid w:val="49114D9F"/>
    <w:rsid w:val="494C2DCB"/>
    <w:rsid w:val="494F5588"/>
    <w:rsid w:val="499E6F1D"/>
    <w:rsid w:val="49C56F37"/>
    <w:rsid w:val="4A1A1AFC"/>
    <w:rsid w:val="4A1C7F69"/>
    <w:rsid w:val="4A2048F5"/>
    <w:rsid w:val="4A4A7BE5"/>
    <w:rsid w:val="4A4C0DA7"/>
    <w:rsid w:val="4A4F7BFE"/>
    <w:rsid w:val="4A693618"/>
    <w:rsid w:val="4A7345CA"/>
    <w:rsid w:val="4A821FE5"/>
    <w:rsid w:val="4A83553B"/>
    <w:rsid w:val="4AA36DBB"/>
    <w:rsid w:val="4B315A79"/>
    <w:rsid w:val="4B4D7464"/>
    <w:rsid w:val="4B6232EC"/>
    <w:rsid w:val="4BC14EAA"/>
    <w:rsid w:val="4BE42260"/>
    <w:rsid w:val="4C050246"/>
    <w:rsid w:val="4C0B1AE7"/>
    <w:rsid w:val="4C0F23A4"/>
    <w:rsid w:val="4C120763"/>
    <w:rsid w:val="4C1677E9"/>
    <w:rsid w:val="4C6263AC"/>
    <w:rsid w:val="4D123B20"/>
    <w:rsid w:val="4D6A309D"/>
    <w:rsid w:val="4D9E31C3"/>
    <w:rsid w:val="4DB6655A"/>
    <w:rsid w:val="4DC108F4"/>
    <w:rsid w:val="4DC26600"/>
    <w:rsid w:val="4E010F87"/>
    <w:rsid w:val="4E0176F5"/>
    <w:rsid w:val="4E414BB2"/>
    <w:rsid w:val="4E8E63A1"/>
    <w:rsid w:val="4ED24E8A"/>
    <w:rsid w:val="4ED75229"/>
    <w:rsid w:val="4ED84F0E"/>
    <w:rsid w:val="4EED06FD"/>
    <w:rsid w:val="4F0A4F22"/>
    <w:rsid w:val="4F2C4F1E"/>
    <w:rsid w:val="4F5624CB"/>
    <w:rsid w:val="4F8A3F4D"/>
    <w:rsid w:val="4FB467F9"/>
    <w:rsid w:val="4FD02F65"/>
    <w:rsid w:val="4FF32B52"/>
    <w:rsid w:val="4FFD0EF1"/>
    <w:rsid w:val="502D4F37"/>
    <w:rsid w:val="50FC115E"/>
    <w:rsid w:val="510D07DF"/>
    <w:rsid w:val="511A2283"/>
    <w:rsid w:val="516F1C65"/>
    <w:rsid w:val="519B28E7"/>
    <w:rsid w:val="5216067E"/>
    <w:rsid w:val="524D5852"/>
    <w:rsid w:val="52594F0F"/>
    <w:rsid w:val="5282034B"/>
    <w:rsid w:val="52832C8D"/>
    <w:rsid w:val="528E13BC"/>
    <w:rsid w:val="52DB3A4A"/>
    <w:rsid w:val="52DC5D03"/>
    <w:rsid w:val="52E33BB3"/>
    <w:rsid w:val="52E57CC3"/>
    <w:rsid w:val="5312550A"/>
    <w:rsid w:val="53667193"/>
    <w:rsid w:val="53D1543B"/>
    <w:rsid w:val="53DE69BF"/>
    <w:rsid w:val="53F73F0F"/>
    <w:rsid w:val="54113F0F"/>
    <w:rsid w:val="541A0F48"/>
    <w:rsid w:val="541C0D17"/>
    <w:rsid w:val="541E45C6"/>
    <w:rsid w:val="542A6641"/>
    <w:rsid w:val="544B130D"/>
    <w:rsid w:val="54AB72C9"/>
    <w:rsid w:val="54C71FE7"/>
    <w:rsid w:val="54D44608"/>
    <w:rsid w:val="54D723E8"/>
    <w:rsid w:val="550721D5"/>
    <w:rsid w:val="556F2AE4"/>
    <w:rsid w:val="55A47060"/>
    <w:rsid w:val="55AC636A"/>
    <w:rsid w:val="55C15CC7"/>
    <w:rsid w:val="55F3376F"/>
    <w:rsid w:val="563648E8"/>
    <w:rsid w:val="56A650A5"/>
    <w:rsid w:val="56B967C0"/>
    <w:rsid w:val="56BE67A9"/>
    <w:rsid w:val="56EE7782"/>
    <w:rsid w:val="571C57F3"/>
    <w:rsid w:val="57345015"/>
    <w:rsid w:val="5757242F"/>
    <w:rsid w:val="576B0D91"/>
    <w:rsid w:val="57830686"/>
    <w:rsid w:val="57C96345"/>
    <w:rsid w:val="57CB6623"/>
    <w:rsid w:val="57D92384"/>
    <w:rsid w:val="57F17DFC"/>
    <w:rsid w:val="58020827"/>
    <w:rsid w:val="581808D2"/>
    <w:rsid w:val="585D27D8"/>
    <w:rsid w:val="58791C73"/>
    <w:rsid w:val="5889686F"/>
    <w:rsid w:val="58941028"/>
    <w:rsid w:val="58A44110"/>
    <w:rsid w:val="58A47FA0"/>
    <w:rsid w:val="58D21617"/>
    <w:rsid w:val="58DE21CC"/>
    <w:rsid w:val="58E6455C"/>
    <w:rsid w:val="591A1C25"/>
    <w:rsid w:val="5927169E"/>
    <w:rsid w:val="5A21029D"/>
    <w:rsid w:val="5A3C11E6"/>
    <w:rsid w:val="5A540A70"/>
    <w:rsid w:val="5AA63E98"/>
    <w:rsid w:val="5ACB50B1"/>
    <w:rsid w:val="5B19039D"/>
    <w:rsid w:val="5B2616E5"/>
    <w:rsid w:val="5B3A4C3E"/>
    <w:rsid w:val="5B884B96"/>
    <w:rsid w:val="5BA557F4"/>
    <w:rsid w:val="5C537F09"/>
    <w:rsid w:val="5C9A78E6"/>
    <w:rsid w:val="5CA06501"/>
    <w:rsid w:val="5CA71018"/>
    <w:rsid w:val="5D090FC9"/>
    <w:rsid w:val="5E112F6F"/>
    <w:rsid w:val="5E1455E7"/>
    <w:rsid w:val="5E4D291A"/>
    <w:rsid w:val="5E9E54E7"/>
    <w:rsid w:val="5F7128AF"/>
    <w:rsid w:val="5F814E7F"/>
    <w:rsid w:val="5FA2526B"/>
    <w:rsid w:val="5FAA3C47"/>
    <w:rsid w:val="5FB850F5"/>
    <w:rsid w:val="5FC12063"/>
    <w:rsid w:val="5FDC1404"/>
    <w:rsid w:val="5FF61953"/>
    <w:rsid w:val="600E54F4"/>
    <w:rsid w:val="606B09F8"/>
    <w:rsid w:val="607B75C7"/>
    <w:rsid w:val="60A827A3"/>
    <w:rsid w:val="60D51A59"/>
    <w:rsid w:val="60E82224"/>
    <w:rsid w:val="60F575C1"/>
    <w:rsid w:val="61147D5F"/>
    <w:rsid w:val="6141130F"/>
    <w:rsid w:val="61426DE4"/>
    <w:rsid w:val="61B17DFE"/>
    <w:rsid w:val="61C20E69"/>
    <w:rsid w:val="62070A08"/>
    <w:rsid w:val="62847EA7"/>
    <w:rsid w:val="62DB637F"/>
    <w:rsid w:val="62FA10BA"/>
    <w:rsid w:val="62FD5017"/>
    <w:rsid w:val="63296CF6"/>
    <w:rsid w:val="634624B2"/>
    <w:rsid w:val="634912ED"/>
    <w:rsid w:val="63532130"/>
    <w:rsid w:val="63B77886"/>
    <w:rsid w:val="63C57EA5"/>
    <w:rsid w:val="63D615FE"/>
    <w:rsid w:val="640B7333"/>
    <w:rsid w:val="64252105"/>
    <w:rsid w:val="64582635"/>
    <w:rsid w:val="6469117D"/>
    <w:rsid w:val="64871562"/>
    <w:rsid w:val="649B069F"/>
    <w:rsid w:val="64A22A14"/>
    <w:rsid w:val="64AA3487"/>
    <w:rsid w:val="64EA7FB1"/>
    <w:rsid w:val="64EC6C5A"/>
    <w:rsid w:val="653D7AF3"/>
    <w:rsid w:val="655E7666"/>
    <w:rsid w:val="6569254B"/>
    <w:rsid w:val="658D3BDA"/>
    <w:rsid w:val="65B119A5"/>
    <w:rsid w:val="65F916BF"/>
    <w:rsid w:val="6622535F"/>
    <w:rsid w:val="663A6D90"/>
    <w:rsid w:val="66565CBE"/>
    <w:rsid w:val="670E76D1"/>
    <w:rsid w:val="67326007"/>
    <w:rsid w:val="67513F85"/>
    <w:rsid w:val="67574E33"/>
    <w:rsid w:val="675C4146"/>
    <w:rsid w:val="67D77C44"/>
    <w:rsid w:val="684D1A1A"/>
    <w:rsid w:val="68645048"/>
    <w:rsid w:val="6884286B"/>
    <w:rsid w:val="690459DC"/>
    <w:rsid w:val="690B7AFD"/>
    <w:rsid w:val="69404AFD"/>
    <w:rsid w:val="694F2539"/>
    <w:rsid w:val="69543567"/>
    <w:rsid w:val="6A6D318E"/>
    <w:rsid w:val="6A90444F"/>
    <w:rsid w:val="6A930078"/>
    <w:rsid w:val="6AF86338"/>
    <w:rsid w:val="6AFC4C50"/>
    <w:rsid w:val="6AFF6DD9"/>
    <w:rsid w:val="6B2031BA"/>
    <w:rsid w:val="6B274553"/>
    <w:rsid w:val="6B456FE3"/>
    <w:rsid w:val="6B6721F6"/>
    <w:rsid w:val="6B713444"/>
    <w:rsid w:val="6B7A60D6"/>
    <w:rsid w:val="6B9F6D44"/>
    <w:rsid w:val="6BF26F47"/>
    <w:rsid w:val="6C1400EF"/>
    <w:rsid w:val="6C203A9A"/>
    <w:rsid w:val="6C385BB0"/>
    <w:rsid w:val="6C4A35E0"/>
    <w:rsid w:val="6C514A84"/>
    <w:rsid w:val="6CA6506C"/>
    <w:rsid w:val="6CB75CCD"/>
    <w:rsid w:val="6D2D26D4"/>
    <w:rsid w:val="6D425E8D"/>
    <w:rsid w:val="6D550E72"/>
    <w:rsid w:val="6D6F7597"/>
    <w:rsid w:val="6DA84871"/>
    <w:rsid w:val="6E411486"/>
    <w:rsid w:val="6E6602A3"/>
    <w:rsid w:val="6E9303C1"/>
    <w:rsid w:val="6EAE7221"/>
    <w:rsid w:val="6ECF03D4"/>
    <w:rsid w:val="6EEA4B30"/>
    <w:rsid w:val="6EEB1850"/>
    <w:rsid w:val="6F313CA3"/>
    <w:rsid w:val="6FBE7937"/>
    <w:rsid w:val="6FC02C16"/>
    <w:rsid w:val="6FF6475E"/>
    <w:rsid w:val="70093B7A"/>
    <w:rsid w:val="70184EA3"/>
    <w:rsid w:val="704C5807"/>
    <w:rsid w:val="70687850"/>
    <w:rsid w:val="707A1033"/>
    <w:rsid w:val="70CB53E1"/>
    <w:rsid w:val="70E45041"/>
    <w:rsid w:val="714E12CF"/>
    <w:rsid w:val="71561022"/>
    <w:rsid w:val="717604C9"/>
    <w:rsid w:val="71EC218B"/>
    <w:rsid w:val="7207078C"/>
    <w:rsid w:val="7209016D"/>
    <w:rsid w:val="722D38CE"/>
    <w:rsid w:val="72351C36"/>
    <w:rsid w:val="7259341C"/>
    <w:rsid w:val="728B00C1"/>
    <w:rsid w:val="734521A8"/>
    <w:rsid w:val="735C6FDE"/>
    <w:rsid w:val="73707E67"/>
    <w:rsid w:val="73776F50"/>
    <w:rsid w:val="73E922BE"/>
    <w:rsid w:val="741F0C23"/>
    <w:rsid w:val="743439CA"/>
    <w:rsid w:val="748F3308"/>
    <w:rsid w:val="74BC7F66"/>
    <w:rsid w:val="74DD127A"/>
    <w:rsid w:val="75260EE2"/>
    <w:rsid w:val="753D1C2F"/>
    <w:rsid w:val="75686B98"/>
    <w:rsid w:val="75874327"/>
    <w:rsid w:val="75A274B9"/>
    <w:rsid w:val="7677072C"/>
    <w:rsid w:val="768317F7"/>
    <w:rsid w:val="76A00464"/>
    <w:rsid w:val="76A021B3"/>
    <w:rsid w:val="76B664D7"/>
    <w:rsid w:val="76E33575"/>
    <w:rsid w:val="76EB2B73"/>
    <w:rsid w:val="770B0914"/>
    <w:rsid w:val="77430656"/>
    <w:rsid w:val="775D41D3"/>
    <w:rsid w:val="77A33591"/>
    <w:rsid w:val="77D16924"/>
    <w:rsid w:val="77D44DFB"/>
    <w:rsid w:val="77DA2952"/>
    <w:rsid w:val="7824651E"/>
    <w:rsid w:val="782C2784"/>
    <w:rsid w:val="78326601"/>
    <w:rsid w:val="78B9498D"/>
    <w:rsid w:val="797F7147"/>
    <w:rsid w:val="79BE2A91"/>
    <w:rsid w:val="79CE1B3B"/>
    <w:rsid w:val="79F9757E"/>
    <w:rsid w:val="7A0F0FE1"/>
    <w:rsid w:val="7A6634A8"/>
    <w:rsid w:val="7A697D45"/>
    <w:rsid w:val="7A992CC0"/>
    <w:rsid w:val="7AB031CF"/>
    <w:rsid w:val="7B3A50B0"/>
    <w:rsid w:val="7B8B2C1D"/>
    <w:rsid w:val="7BCA3B47"/>
    <w:rsid w:val="7BD020E4"/>
    <w:rsid w:val="7BDE06A1"/>
    <w:rsid w:val="7C01614C"/>
    <w:rsid w:val="7C1C2F85"/>
    <w:rsid w:val="7C967B10"/>
    <w:rsid w:val="7D0D160B"/>
    <w:rsid w:val="7D12020E"/>
    <w:rsid w:val="7D2F0819"/>
    <w:rsid w:val="7D2F33BE"/>
    <w:rsid w:val="7D3E459F"/>
    <w:rsid w:val="7D793C28"/>
    <w:rsid w:val="7D8C0F6F"/>
    <w:rsid w:val="7DA84503"/>
    <w:rsid w:val="7E0F3325"/>
    <w:rsid w:val="7E176499"/>
    <w:rsid w:val="7E517338"/>
    <w:rsid w:val="7E9771C1"/>
    <w:rsid w:val="7EB604BE"/>
    <w:rsid w:val="7EC33344"/>
    <w:rsid w:val="7F437511"/>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paragraph" w:customStyle="1" w:styleId="37">
    <w:name w:val="安为康一级标题"/>
    <w:basedOn w:val="1"/>
    <w:next w:val="1"/>
    <w:autoRedefine/>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autoRedefine/>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5503</Words>
  <Characters>18089</Characters>
  <Lines>395</Lines>
  <Paragraphs>111</Paragraphs>
  <TotalTime>0</TotalTime>
  <ScaleCrop>false</ScaleCrop>
  <LinksUpToDate>false</LinksUpToDate>
  <CharactersWithSpaces>20167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2024-06-14T03:58:20Z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0ADA123E8FBD4FB5BAD3A36DC0A6751C</vt:lpwstr>
  </property>
</Properties>
</file>