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EFC428">
      <w:pPr>
        <w:jc w:val="center"/>
        <w:rPr>
          <w:sz w:val="72"/>
          <w:szCs w:val="72"/>
          <w:lang w:eastAsia="zh-CN"/>
        </w:rPr>
      </w:pPr>
    </w:p>
    <w:p w14:paraId="1ED95BC8">
      <w:pPr>
        <w:jc w:val="center"/>
        <w:rPr>
          <w:sz w:val="72"/>
          <w:szCs w:val="72"/>
          <w:lang w:eastAsia="zh-CN"/>
        </w:rPr>
      </w:pPr>
    </w:p>
    <w:p w14:paraId="475D2106">
      <w:pPr>
        <w:jc w:val="center"/>
        <w:rPr>
          <w:sz w:val="72"/>
          <w:szCs w:val="72"/>
          <w:lang w:eastAsia="zh-CN"/>
        </w:rPr>
      </w:pPr>
    </w:p>
    <w:p w14:paraId="0A5C7D5E">
      <w:pPr>
        <w:jc w:val="center"/>
        <w:rPr>
          <w:sz w:val="72"/>
          <w:szCs w:val="72"/>
          <w:lang w:eastAsia="zh-CN"/>
        </w:rPr>
      </w:pPr>
    </w:p>
    <w:p w14:paraId="667E0A89">
      <w:pPr>
        <w:jc w:val="center"/>
        <w:rPr>
          <w:sz w:val="72"/>
          <w:szCs w:val="72"/>
          <w:lang w:eastAsia="zh-CN"/>
        </w:rPr>
      </w:pPr>
    </w:p>
    <w:p w14:paraId="23EA6729">
      <w:pPr>
        <w:jc w:val="center"/>
        <w:rPr>
          <w:rFonts w:hint="default" w:ascii="黑体" w:hAnsi="黑体" w:eastAsia="黑体" w:cs="黑体"/>
          <w:color w:val="548235" w:themeColor="accent6" w:themeShade="BF"/>
          <w:sz w:val="72"/>
          <w:szCs w:val="72"/>
          <w:highlight w:val="none"/>
          <w:lang w:val="en-US" w:eastAsia="zh-CN"/>
        </w:rPr>
      </w:pPr>
      <w:r>
        <w:rPr>
          <w:rFonts w:hint="eastAsia" w:ascii="黑体" w:hAnsi="黑体" w:eastAsia="黑体" w:cs="黑体"/>
          <w:color w:val="548235" w:themeColor="accent6" w:themeShade="BF"/>
          <w:sz w:val="72"/>
          <w:szCs w:val="72"/>
          <w:lang w:eastAsia="zh-CN"/>
        </w:rPr>
        <w:t>林奇综合征</w:t>
      </w:r>
      <w:r>
        <w:rPr>
          <w:rFonts w:hint="eastAsia" w:ascii="黑体" w:hAnsi="黑体" w:eastAsia="黑体" w:cs="黑体"/>
          <w:color w:val="548235" w:themeColor="accent6" w:themeShade="BF"/>
          <w:sz w:val="72"/>
          <w:szCs w:val="72"/>
          <w:lang w:val="en-US" w:eastAsia="zh-CN"/>
        </w:rPr>
        <w:t>7</w:t>
      </w:r>
      <w:r>
        <w:rPr>
          <w:rFonts w:hint="eastAsia" w:ascii="黑体" w:hAnsi="黑体" w:eastAsia="黑体" w:cs="黑体"/>
          <w:color w:val="548235" w:themeColor="accent6" w:themeShade="BF"/>
          <w:sz w:val="72"/>
          <w:szCs w:val="72"/>
          <w:lang w:eastAsia="zh-CN"/>
        </w:rPr>
        <w:t>基因检测</w:t>
      </w:r>
      <w:r>
        <w:rPr>
          <w:rFonts w:hint="eastAsia" w:ascii="黑体" w:hAnsi="黑体" w:eastAsia="黑体" w:cs="黑体"/>
          <w:color w:val="548235" w:themeColor="accent6" w:themeShade="BF"/>
          <w:sz w:val="72"/>
          <w:szCs w:val="72"/>
          <w:lang w:val="en-US" w:eastAsia="zh-CN"/>
        </w:rPr>
        <w:t>报告</w:t>
      </w: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687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F45CB3F">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E3CC2B2">
            <w:pPr>
              <w:pStyle w:val="6"/>
              <w:jc w:val="center"/>
              <w:rPr>
                <w:rFonts w:ascii="黑体"/>
                <w:sz w:val="48"/>
                <w:lang w:eastAsia="zh-CN"/>
              </w:rPr>
            </w:pPr>
            <w:r>
              <w:rPr>
                <w:rFonts w:hint="eastAsia" w:ascii="微软雅黑" w:eastAsia="微软雅黑"/>
                <w:sz w:val="30"/>
                <w:lang w:eastAsia="zh-CN"/>
              </w:rPr>
              <w:t>{{ client }}</w:t>
            </w:r>
          </w:p>
        </w:tc>
      </w:tr>
      <w:tr w14:paraId="2A10F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1F839E0">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3FD36B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772A2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472459A">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01AB56C">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4DBD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D8EBBA5">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789F075">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9A3F2C">
      <w:pPr>
        <w:rPr>
          <w:rFonts w:ascii="Times New Roman" w:hAnsi="Times New Roman" w:eastAsia="微软雅黑" w:cs="Times New Roman"/>
          <w:sz w:val="72"/>
          <w:szCs w:val="72"/>
          <w:lang w:eastAsia="zh-CN"/>
        </w:rPr>
      </w:pPr>
    </w:p>
    <w:p w14:paraId="425B7BE7">
      <w:pPr>
        <w:rPr>
          <w:rFonts w:ascii="Times New Roman" w:hAnsi="Times New Roman" w:eastAsia="微软雅黑" w:cs="Times New Roman"/>
          <w:sz w:val="20"/>
          <w:lang w:eastAsia="zh-CN"/>
        </w:rPr>
      </w:pPr>
    </w:p>
    <w:p w14:paraId="47E29B1D">
      <w:pPr>
        <w:rPr>
          <w:rFonts w:ascii="Times New Roman" w:hAnsi="Times New Roman" w:eastAsia="微软雅黑" w:cs="Times New Roman"/>
          <w:sz w:val="20"/>
          <w:lang w:eastAsia="zh-CN"/>
        </w:rPr>
        <w:sectPr>
          <w:pgSz w:w="11905" w:h="16838"/>
          <w:pgMar w:top="1037" w:right="1020" w:bottom="981" w:left="1020" w:header="850" w:footer="992" w:gutter="0"/>
          <w:pgNumType w:start="1"/>
          <w:cols w:space="0" w:num="1"/>
          <w:rtlGutter w:val="0"/>
          <w:docGrid w:linePitch="0" w:charSpace="0"/>
        </w:sectPr>
      </w:pPr>
    </w:p>
    <w:p w14:paraId="3FC5DF64">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313A992">
      <w:pPr>
        <w:rPr>
          <w:rFonts w:ascii="Times New Roman" w:hAnsi="Times New Roman" w:eastAsia="微软雅黑" w:cs="Times New Roman"/>
          <w:lang w:eastAsia="zh-CN"/>
        </w:rPr>
      </w:pPr>
    </w:p>
    <w:p w14:paraId="5EA024C8">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_Toc12428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_Toc12428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4F149B2">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_Toc9278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_Toc9278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4A0BAED">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_Toc18261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_Toc18261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013B4BB">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_Toc13049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_Toc13049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F63B4F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_Toc17155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_Toc17155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DC84A8D">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_Toc25843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_Toc25843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B2E2D7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_Toc26666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变异位点</w:t>
      </w:r>
      <w:r>
        <w:rPr>
          <w:rFonts w:hint="eastAsia" w:ascii="Times New Roman" w:hAnsi="Times New Roman" w:eastAsia="微软雅黑"/>
          <w:sz w:val="28"/>
          <w:lang w:eastAsia="zh-CN"/>
        </w:rPr>
        <w:t>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_Toc26666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{%if geneticCancerRiskInfo %}</w:t>
      </w:r>
    </w:p>
    <w:p w14:paraId="4E088DA3">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_Toc17890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_Toc17890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5</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9E492D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_Toc20303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变异位点</w:t>
      </w:r>
      <w:r>
        <w:rPr>
          <w:rFonts w:hint="eastAsia" w:ascii="Times New Roman" w:hAnsi="Times New Roman" w:eastAsia="微软雅黑"/>
          <w:sz w:val="28"/>
          <w:lang w:eastAsia="zh-CN"/>
        </w:rPr>
        <w:t>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_Toc20303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6D9B3387">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_Toc313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7</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57F4C27">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_Toc7959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_Toc7959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A8F5D9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_Toc4125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林奇综合征介绍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_Toc4125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E49A36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_Toc27866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林奇综合征的临床特征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_Toc27866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4A4BCD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_Toc22566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林奇综合征基因检测的意义</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_Toc22566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2B60D3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_Toc7917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林奇综合征突变携带者随访监控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_Toc7917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04B3E7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_Toc18694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_Toc18694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4C49AD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_Toc17954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_Toc17954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C204B63">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6FF87015">
      <w:pPr>
        <w:rPr>
          <w:rFonts w:ascii="Times New Roman" w:hAnsi="Times New Roman" w:eastAsia="微软雅黑" w:cs="Times New Roman"/>
          <w:lang w:eastAsia="zh-CN"/>
        </w:rPr>
        <w:sectPr>
          <w:headerReference r:id="rId3" w:type="default"/>
          <w:footerReference r:id="rId4" w:type="default"/>
          <w:pgSz w:w="11905" w:h="16838"/>
          <w:pgMar w:top="1037" w:right="1020" w:bottom="981" w:left="1020" w:header="850" w:footer="992" w:gutter="0"/>
          <w:pgNumType w:start="1"/>
          <w:cols w:space="0" w:num="1"/>
          <w:rtlGutter w:val="0"/>
          <w:docGrid w:linePitch="299" w:charSpace="0"/>
        </w:sectPr>
      </w:pPr>
    </w:p>
    <w:p w14:paraId="052D669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12428"/>
      <w:bookmarkStart w:id="1" w:name="_Toc21009_WPSOffice_Level1"/>
      <w:bookmarkStart w:id="2" w:name="_Toc21669"/>
      <w:bookmarkStart w:id="3" w:name="_Toc24178_WPSOffice_Level1"/>
      <w:bookmarkStart w:id="4" w:name="_Toc30143_WPSOffice_Level1"/>
      <w:bookmarkStart w:id="5" w:name="_Toc13806"/>
      <w:bookmarkStart w:id="6" w:name="_Toc7021_WPSOffice_Level1"/>
      <w:bookmarkStart w:id="7" w:name="_Toc11015_WPSOffice_Level1"/>
      <w:bookmarkStart w:id="8" w:name="_Toc18062_WPSOffice_Level1"/>
      <w:bookmarkStart w:id="9" w:name="_Toc1745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CFF504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4B10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56249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F9542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75265A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97512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AD71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3AA26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8E2770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7C56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1913BF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87FB8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43470D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6BF5F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916FCC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F9508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DE67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91EAC7">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913731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FAB9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AEA7924">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9278"/>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8261"/>
      <w:r>
        <w:rPr>
          <w:rFonts w:hint="eastAsia"/>
          <w:color w:val="62B541"/>
          <w:sz w:val="32"/>
          <w14:shadow w14:blurRad="50800" w14:dist="38100" w14:dir="10800000" w14:sx="100000" w14:sy="100000" w14:kx="0" w14:ky="0" w14:algn="r">
            <w14:srgbClr w14:val="62B541">
              <w14:alpha w14:val="60000"/>
            </w14:srgbClr>
          </w14:shadow>
        </w:rPr>
        <w:t>检测基因列表</w:t>
      </w:r>
      <w:bookmarkEnd w:id="12"/>
    </w:p>
    <w:tbl>
      <w:tblPr>
        <w:tblStyle w:val="15"/>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22883D26">
      <w:pPr>
        <w:numPr>
          <w:ilvl w:val="255"/>
          <w:numId w:val="0"/>
        </w:numPr>
        <w:jc w:val="both"/>
        <w:rPr>
          <w:rStyle w:val="21"/>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16576"/>
      <w:bookmarkStart w:id="14" w:name="_Toc149837253"/>
      <w:bookmarkStart w:id="15" w:name="_Toc13049"/>
      <w:bookmarkStart w:id="16" w:name="_Toc16518"/>
      <w:bookmarkStart w:id="17" w:name="_Toc18825"/>
      <w:bookmarkStart w:id="18" w:name="_Toc25920"/>
      <w:bookmarkStart w:id="19" w:name="_Toc23369_WPSOffice_Level1"/>
      <w:bookmarkStart w:id="20" w:name="_Toc18058"/>
      <w:bookmarkStart w:id="21" w:name="_Toc6221_WPSOffice_Level1"/>
      <w:bookmarkStart w:id="22" w:name="_Toc534807930"/>
      <w:r>
        <w:rPr>
          <w:rStyle w:val="2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r>
        <w:rPr>
          <w:rStyle w:val="2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4"/>
    </w:p>
    <w:bookmarkEnd w:id="15"/>
    <w:bookmarkEnd w:id="16"/>
    <w:bookmarkEnd w:id="17"/>
    <w:p w14:paraId="12436F1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3" w:name="_Toc27955"/>
      <w:bookmarkStart w:id="24" w:name="_Toc30244"/>
      <w:bookmarkStart w:id="25" w:name="_Toc149837254"/>
      <w:bookmarkStart w:id="26" w:name="_Toc17155"/>
      <w:r>
        <w:rPr>
          <w:rFonts w:hint="eastAsia"/>
          <w:color w:val="auto"/>
          <w:sz w:val="30"/>
          <w:lang w:eastAsia="zh-CN"/>
        </w:rPr>
        <w:t>检测结果小结</w:t>
      </w:r>
      <w:bookmarkEnd w:id="23"/>
      <w:bookmarkEnd w:id="24"/>
      <w:bookmarkEnd w:id="25"/>
      <w:bookmarkEnd w:id="26"/>
    </w:p>
    <w:bookmarkEnd w:id="18"/>
    <w:bookmarkEnd w:id="19"/>
    <w:bookmarkEnd w:id="20"/>
    <w:bookmarkEnd w:id="21"/>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645"/>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C41"/>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C41"/>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645" w:type="dxa"/>
            <w:tcBorders>
              <w:top w:val="nil"/>
              <w:left w:val="nil"/>
            </w:tcBorders>
            <w:shd w:val="clear" w:color="auto" w:fill="auto"/>
            <w:vAlign w:val="center"/>
          </w:tcPr>
          <w:p w14:paraId="1B24845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0F595F5">
            <w:pPr>
              <w:pStyle w:val="22"/>
              <w:keepNext w:val="0"/>
              <w:keepLines w:val="0"/>
              <w:pageBreakBefore w:val="0"/>
              <w:widowControl w:val="0"/>
              <w:kinsoku/>
              <w:wordWrap/>
              <w:overflowPunct/>
              <w:topLinePunct w:val="0"/>
              <w:autoSpaceDE/>
              <w:autoSpaceDN/>
              <w:bidi w:val="0"/>
              <w:adjustRightInd/>
              <w:snapToGrid/>
              <w:spacing w:line="240" w:lineRule="auto"/>
              <w:ind w:left="119" w:right="176"/>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645" w:type="dxa"/>
            <w:tcBorders>
              <w:left w:val="nil"/>
              <w:bottom w:val="single" w:color="A4A4A4" w:sz="4" w:space="0"/>
            </w:tcBorders>
            <w:shd w:val="clear" w:color="auto" w:fill="auto"/>
            <w:vAlign w:val="center"/>
          </w:tcPr>
          <w:p w14:paraId="4EE8DD3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2"/>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0"/>
    <w:bookmarkEnd w:id="22"/>
    <w:p w14:paraId="1A43113C">
      <w:pPr>
        <w:rPr>
          <w:rFonts w:ascii="Times New Roman" w:hAnsi="Times New Roman" w:eastAsia="微软雅黑" w:cs="黑体"/>
          <w:b/>
          <w:bCs/>
          <w:color w:val="00B050"/>
          <w:sz w:val="28"/>
          <w:szCs w:val="36"/>
          <w:lang w:eastAsia="zh-CN"/>
        </w:rPr>
      </w:pPr>
      <w:bookmarkStart w:id="27" w:name="_Toc7980"/>
      <w:bookmarkStart w:id="28" w:name="_Toc12727"/>
      <w:bookmarkStart w:id="29" w:name="_Toc13186"/>
      <w:bookmarkStart w:id="30" w:name="_Toc149837260"/>
      <w:r>
        <w:rPr>
          <w:rFonts w:ascii="Times New Roman" w:hAnsi="Times New Roman" w:eastAsia="微软雅黑" w:cs="黑体"/>
          <w:b/>
          <w:bCs/>
          <w:color w:val="00B050"/>
          <w:sz w:val="28"/>
          <w:szCs w:val="36"/>
          <w:lang w:eastAsia="zh-CN"/>
        </w:rPr>
        <w:br w:type="page"/>
      </w:r>
    </w:p>
    <w:p w14:paraId="78FA808A">
      <w:pPr>
        <w:pStyle w:val="2"/>
        <w:numPr>
          <w:ilvl w:val="0"/>
          <w:numId w:val="0"/>
        </w:numPr>
        <w:jc w:val="both"/>
        <w:rPr>
          <w:rStyle w:val="21"/>
          <w:b/>
          <w:bCs/>
          <w:color w:val="62B541"/>
          <w:sz w:val="32"/>
          <w:szCs w:val="40"/>
          <w14:shadow w14:blurRad="50800" w14:dist="38100" w14:dir="10800000" w14:sx="100000" w14:sy="100000" w14:kx="0" w14:ky="0" w14:algn="r">
            <w14:srgbClr w14:val="62B541">
              <w14:alpha w14:val="60000"/>
            </w14:srgbClr>
          </w14:shadow>
        </w:rPr>
      </w:pPr>
      <w:bookmarkStart w:id="31" w:name="_Toc25843"/>
      <w:r>
        <w:rPr>
          <w:rStyle w:val="21"/>
          <w:b/>
          <w:bCs/>
          <w:color w:val="62B541"/>
          <w:sz w:val="32"/>
          <w:szCs w:val="40"/>
          <w14:shadow w14:blurRad="50800" w14:dist="38100" w14:dir="10800000" w14:sx="100000" w14:sy="100000" w14:kx="0" w14:ky="0" w14:algn="r">
            <w14:srgbClr w14:val="62B541">
              <w14:alpha w14:val="60000"/>
            </w14:srgbClr>
          </w14:shadow>
        </w:rPr>
        <w:t>检测结果及用药提示</w:t>
      </w:r>
      <w:bookmarkEnd w:id="27"/>
      <w:bookmarkEnd w:id="31"/>
    </w:p>
    <w:p w14:paraId="1DC3DABE">
      <w:pPr>
        <w:pStyle w:val="3"/>
        <w:numPr>
          <w:ilvl w:val="255"/>
          <w:numId w:val="0"/>
        </w:numPr>
        <w:jc w:val="left"/>
        <w:rPr>
          <w:lang w:eastAsia="zh-CN"/>
        </w:rPr>
      </w:pPr>
      <w:bookmarkStart w:id="32" w:name="_Toc2788"/>
      <w:bookmarkStart w:id="33" w:name="_Toc26666"/>
      <w:r>
        <w:rPr>
          <w:rFonts w:hint="eastAsia"/>
          <w:color w:val="auto"/>
          <w:sz w:val="30"/>
          <w:lang w:val="en-US" w:eastAsia="zh-CN"/>
        </w:rPr>
        <w:t>变异位点</w:t>
      </w:r>
      <w:r>
        <w:rPr>
          <w:rFonts w:hint="eastAsia"/>
          <w:color w:val="auto"/>
          <w:sz w:val="30"/>
          <w:lang w:eastAsia="zh-CN"/>
        </w:rPr>
        <w:t>结果提示</w:t>
      </w:r>
      <w:bookmarkEnd w:id="32"/>
      <w:bookmarkEnd w:id="33"/>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51778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2D95AD2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47734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CB4DBE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42E862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B17B37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8597066">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类型</w:t>
            </w:r>
          </w:p>
        </w:tc>
        <w:tc>
          <w:tcPr>
            <w:tcW w:w="1140" w:type="dxa"/>
            <w:tcBorders>
              <w:top w:val="nil"/>
              <w:left w:val="single" w:color="FFFFFF" w:sz="18" w:space="0"/>
              <w:bottom w:val="nil"/>
              <w:right w:val="single" w:color="FFFFFF" w:sz="18" w:space="0"/>
            </w:tcBorders>
            <w:shd w:val="clear" w:color="auto" w:fill="62B541"/>
            <w:vAlign w:val="center"/>
          </w:tcPr>
          <w:p w14:paraId="1DA0E66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433B93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52A098A">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1B00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612BC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9064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E3D37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918D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C904CC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50CD5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B3788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F9181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63084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5BBFD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8E1AE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C4A8F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9FAA2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B0A4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DFE3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91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DA1B4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B4C5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C8225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A1F2D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2FFFD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0E4B4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B1018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D3B59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58679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749C7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E143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248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AD932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4"/>
        <w:gridCol w:w="2251"/>
        <w:gridCol w:w="2255"/>
      </w:tblGrid>
      <w:tr w14:paraId="1676DF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CB3A0A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00E489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5BF849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E01C21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4156B8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712A7F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89E01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D1EBC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1D8D4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557B2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30BB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365B3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4C4AB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EAE35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2F3B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816D1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8A27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FF44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F8E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DF93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8D19D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A14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023C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5F1B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B77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ACD1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59D2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4654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107F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33363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9896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CEFFA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CFF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AA5687">
      <w:pPr>
        <w:pStyle w:val="24"/>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D0E72B9">
      <w:pPr>
        <w:pStyle w:val="24"/>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79A060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8C5AD3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27F476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1162C6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A662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238C49D">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8"/>
    <w:bookmarkEnd w:id="29"/>
    <w:bookmarkEnd w:id="30"/>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1BF1BF4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4" w:name="_Toc18130"/>
      <w:bookmarkStart w:id="35" w:name="_Toc17890"/>
      <w:r>
        <w:rPr>
          <w:color w:val="62B541"/>
          <w:sz w:val="32"/>
          <w14:shadow w14:blurRad="50800" w14:dist="38100" w14:dir="10800000" w14:sx="100000" w14:sy="100000" w14:kx="0" w14:ky="0" w14:algn="r">
            <w14:srgbClr w14:val="62B541">
              <w14:alpha w14:val="60000"/>
            </w14:srgbClr>
          </w14:shadow>
        </w:rPr>
        <w:t>基因检测结果解析</w:t>
      </w:r>
      <w:bookmarkEnd w:id="34"/>
      <w:bookmarkEnd w:id="35"/>
    </w:p>
    <w:p w14:paraId="62625FB0">
      <w:pPr>
        <w:pStyle w:val="3"/>
        <w:numPr>
          <w:ilvl w:val="255"/>
          <w:numId w:val="0"/>
        </w:numPr>
        <w:jc w:val="left"/>
        <w:rPr>
          <w:rFonts w:hint="eastAsia"/>
          <w:color w:val="auto"/>
          <w:sz w:val="30"/>
          <w:lang w:eastAsia="zh-CN"/>
        </w:rPr>
      </w:pPr>
      <w:bookmarkStart w:id="36" w:name="_Toc20303"/>
      <w:bookmarkStart w:id="37" w:name="_Toc11958"/>
      <w:bookmarkStart w:id="38" w:name="_Toc149837265"/>
      <w:bookmarkStart w:id="39" w:name="_Toc5547"/>
      <w:r>
        <w:rPr>
          <w:rFonts w:hint="eastAsia"/>
          <w:color w:val="auto"/>
          <w:sz w:val="30"/>
          <w:lang w:val="en-US" w:eastAsia="zh-CN"/>
        </w:rPr>
        <w:t>变异位点</w:t>
      </w:r>
      <w:r>
        <w:rPr>
          <w:rFonts w:hint="eastAsia"/>
          <w:color w:val="auto"/>
          <w:sz w:val="30"/>
          <w:lang w:eastAsia="zh-CN"/>
        </w:rPr>
        <w:t>结果解析</w:t>
      </w:r>
      <w:bookmarkEnd w:id="36"/>
      <w:bookmarkEnd w:id="37"/>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8"/>
      <w:bookmarkEnd w:id="39"/>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6728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A5276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30D7A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6A9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9D27B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5FA55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E00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F9F33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351C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CD53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B4F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FF50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C028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D540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76FC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51F5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99F6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10FF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646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547C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421B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5F91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E40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204D5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8405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B0D7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D64F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F87AE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4644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0EBF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E41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B53F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4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A074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C79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040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80CF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CB6C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F4AA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9BAA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2350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AD8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%}受检者检出{{ tdd.gene }}{{tdd.Clinical_significance}}</w:t>
            </w:r>
            <w:bookmarkStart w:id="62" w:name="_GoBack"/>
            <w:bookmarkEnd w:id="62"/>
            <w:r>
              <w:rPr>
                <w:rFonts w:hint="eastAsia" w:ascii="Times New Roman" w:hAnsi="Times New Roman" w:eastAsia="微软雅黑" w:cs="Times New Roman"/>
                <w:sz w:val="18"/>
                <w:szCs w:val="18"/>
                <w:lang w:eastAsia="zh-CN"/>
              </w:rPr>
              <w:t>，可能使其患林奇综合征的风险增加，</w:t>
            </w:r>
            <w:r>
              <w:rPr>
                <w:rFonts w:hint="eastAsia" w:ascii="Times New Roman" w:hAnsi="Times New Roman" w:eastAsia="微软雅黑" w:cs="Times New Roman"/>
                <w:sz w:val="18"/>
                <w:szCs w:val="18"/>
                <w:lang w:val="en-US" w:eastAsia="zh-CN"/>
              </w:rPr>
              <w:t>同时患</w:t>
            </w:r>
            <w:r>
              <w:rPr>
                <w:rFonts w:hint="eastAsia" w:ascii="Times New Roman" w:hAnsi="Times New Roman" w:eastAsia="微软雅黑" w:cs="Times New Roman"/>
                <w:sz w:val="18"/>
                <w:szCs w:val="18"/>
                <w:lang w:eastAsia="zh-CN"/>
              </w:rPr>
              <w:t>结直肠癌、子宫内膜癌、胃癌、卵巢癌等多种癌症的风险高于一般人群，</w:t>
            </w:r>
            <w:r>
              <w:rPr>
                <w:rFonts w:hint="eastAsia" w:ascii="Times New Roman" w:hAnsi="Times New Roman" w:eastAsia="微软雅黑" w:cs="Times New Roman"/>
                <w:sz w:val="18"/>
                <w:szCs w:val="18"/>
                <w:lang w:val="en-US" w:eastAsia="zh-CN"/>
              </w:rPr>
              <w:t>建议其进行定期</w:t>
            </w:r>
            <w:r>
              <w:rPr>
                <w:rFonts w:hint="eastAsia" w:ascii="Times New Roman" w:hAnsi="Times New Roman" w:eastAsia="微软雅黑" w:cs="Times New Roman"/>
                <w:sz w:val="18"/>
                <w:szCs w:val="18"/>
                <w:lang w:eastAsia="zh-CN"/>
              </w:rPr>
              <w:t>癌症筛查，以便</w:t>
            </w:r>
            <w:r>
              <w:rPr>
                <w:rFonts w:hint="eastAsia" w:ascii="Times New Roman" w:hAnsi="Times New Roman" w:eastAsia="微软雅黑" w:cs="Times New Roman"/>
                <w:sz w:val="18"/>
                <w:szCs w:val="18"/>
                <w:lang w:val="en-US" w:eastAsia="zh-CN"/>
              </w:rPr>
              <w:t>早发现早治疗</w:t>
            </w:r>
            <w:r>
              <w:rPr>
                <w:rFonts w:hint="eastAsia" w:ascii="Times New Roman" w:hAnsi="Times New Roman" w:eastAsia="微软雅黑" w:cs="Times New Roman"/>
                <w:sz w:val="18"/>
                <w:szCs w:val="18"/>
                <w:lang w:eastAsia="zh-CN"/>
              </w:rPr>
              <w:t>。</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3804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9847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7170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B1ABC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53959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CF0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D608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AF8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5633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8D3B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47B0A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7CD2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EE69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B35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36575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7E58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8C34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CD99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27D0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50F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5813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AC625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794A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53A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C939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73FA2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CCE3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50D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88E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1DB1F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4C5AB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18F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8C458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F6C33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5701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1989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AA597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45F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71A0F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B1954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281B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8D773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7A8A7A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C1E01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509AB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1AFF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7EF1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7AF76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0" w:name="_Toc313"/>
      <w:r>
        <w:rPr>
          <w:color w:val="62B541"/>
          <w:sz w:val="32"/>
          <w14:shadow w14:blurRad="50800" w14:dist="38100" w14:dir="10800000" w14:sx="100000" w14:sy="100000" w14:kx="0" w14:ky="0" w14:algn="r">
            <w14:srgbClr w14:val="62B541">
              <w14:alpha w14:val="60000"/>
            </w14:srgbClr>
          </w14:shadow>
        </w:rPr>
        <w:t>附录</w:t>
      </w:r>
      <w:bookmarkEnd w:id="40"/>
    </w:p>
    <w:p w14:paraId="75931B91">
      <w:pPr>
        <w:pStyle w:val="3"/>
        <w:numPr>
          <w:ilvl w:val="255"/>
          <w:numId w:val="0"/>
        </w:numPr>
        <w:jc w:val="left"/>
        <w:rPr>
          <w:color w:val="auto"/>
          <w:sz w:val="30"/>
          <w:lang w:eastAsia="zh-CN"/>
        </w:rPr>
      </w:pPr>
      <w:bookmarkStart w:id="41" w:name="_Toc15840_WPSOffice_Level1"/>
      <w:bookmarkStart w:id="42" w:name="_Toc7959"/>
      <w:bookmarkStart w:id="43" w:name="_Toc14255_WPSOffice_Level1"/>
      <w:r>
        <w:rPr>
          <w:rFonts w:hint="eastAsia"/>
          <w:color w:val="auto"/>
          <w:sz w:val="30"/>
          <w:lang w:eastAsia="zh-CN"/>
        </w:rPr>
        <w:t>样本质控情况</w:t>
      </w:r>
      <w:bookmarkEnd w:id="41"/>
      <w:bookmarkEnd w:id="42"/>
      <w:bookmarkEnd w:id="43"/>
    </w:p>
    <w:p w14:paraId="07098A19">
      <w:pPr>
        <w:pStyle w:val="6"/>
        <w:rPr>
          <w:b/>
          <w:sz w:val="6"/>
        </w:rPr>
      </w:pPr>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66D3930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751426E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7DDEED9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4D88476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38D8997F">
      <w:pPr>
        <w:rPr>
          <w:rFonts w:ascii="Times New Roman" w:hAnsi="Times New Roman" w:eastAsia="微软雅黑" w:cs="Times New Roman"/>
          <w:b/>
          <w:sz w:val="18"/>
          <w:szCs w:val="18"/>
          <w:lang w:eastAsia="zh-CN"/>
        </w:rPr>
      </w:pPr>
    </w:p>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3"/>
        <w:numPr>
          <w:ilvl w:val="255"/>
          <w:numId w:val="0"/>
        </w:numPr>
        <w:jc w:val="left"/>
        <w:outlineLvl w:val="1"/>
        <w:rPr>
          <w:color w:val="auto"/>
          <w:sz w:val="30"/>
          <w:lang w:eastAsia="zh-CN"/>
        </w:rPr>
      </w:pPr>
      <w:bookmarkStart w:id="44" w:name="_Toc4125"/>
      <w:r>
        <w:rPr>
          <w:rFonts w:hint="eastAsia"/>
          <w:color w:val="auto"/>
          <w:sz w:val="30"/>
          <w:lang w:eastAsia="zh-CN"/>
        </w:rPr>
        <w:t>林奇综合征介绍</w:t>
      </w:r>
      <w:bookmarkEnd w:id="44"/>
    </w:p>
    <w:p w14:paraId="3D160A1E">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3"/>
        <w:numPr>
          <w:ilvl w:val="255"/>
          <w:numId w:val="0"/>
        </w:numPr>
        <w:jc w:val="left"/>
        <w:outlineLvl w:val="1"/>
        <w:rPr>
          <w:rFonts w:hint="eastAsia"/>
          <w:color w:val="auto"/>
          <w:sz w:val="30"/>
          <w:lang w:val="en-US" w:eastAsia="zh-CN"/>
        </w:rPr>
      </w:pPr>
      <w:bookmarkStart w:id="45" w:name="_Toc27866"/>
      <w:r>
        <w:rPr>
          <w:rFonts w:hint="eastAsia"/>
          <w:color w:val="auto"/>
          <w:sz w:val="30"/>
          <w:lang w:val="en-US" w:eastAsia="zh-CN"/>
        </w:rPr>
        <w:t>林奇综合征的临床特征</w:t>
      </w:r>
      <w:bookmarkEnd w:id="45"/>
    </w:p>
    <w:p w14:paraId="73AFEB75">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3"/>
        <w:numPr>
          <w:ilvl w:val="255"/>
          <w:numId w:val="0"/>
        </w:numPr>
        <w:jc w:val="left"/>
        <w:rPr>
          <w:rFonts w:hint="eastAsia"/>
          <w:color w:val="auto"/>
          <w:sz w:val="30"/>
          <w:lang w:val="en-US" w:eastAsia="zh-CN"/>
        </w:rPr>
      </w:pPr>
      <w:bookmarkStart w:id="46" w:name="_Toc28524"/>
      <w:bookmarkStart w:id="47" w:name="_Toc22566"/>
      <w:r>
        <w:rPr>
          <w:rFonts w:hint="eastAsia"/>
          <w:color w:val="auto"/>
          <w:sz w:val="30"/>
          <w:lang w:val="en-US" w:eastAsia="zh-CN"/>
        </w:rPr>
        <w:t>林奇综合征基因检测的意义</w:t>
      </w:r>
      <w:bookmarkEnd w:id="46"/>
      <w:bookmarkEnd w:id="47"/>
    </w:p>
    <w:p w14:paraId="045EF79B">
      <w:pPr>
        <w:pStyle w:val="13"/>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3"/>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 指导肿瘤预防，早干预、早预防、早治疗。</w:t>
      </w:r>
    </w:p>
    <w:p w14:paraId="55317EC6">
      <w:pPr>
        <w:pStyle w:val="3"/>
        <w:numPr>
          <w:ilvl w:val="255"/>
          <w:numId w:val="0"/>
        </w:numPr>
        <w:jc w:val="left"/>
        <w:outlineLvl w:val="1"/>
        <w:rPr>
          <w:rFonts w:hint="eastAsia"/>
          <w:color w:val="auto"/>
          <w:sz w:val="30"/>
          <w:lang w:val="en-US" w:eastAsia="zh-CN"/>
        </w:rPr>
      </w:pPr>
      <w:bookmarkStart w:id="48" w:name="_Toc7917"/>
      <w:bookmarkStart w:id="49" w:name="_Toc20170_WPSOffice_Level1"/>
      <w:bookmarkStart w:id="50" w:name="_Toc28454_WPSOffice_Level1"/>
      <w:bookmarkStart w:id="51" w:name="_Toc26985_WPSOffice_Level1"/>
      <w:r>
        <w:rPr>
          <w:rFonts w:hint="eastAsia"/>
          <w:color w:val="auto"/>
          <w:sz w:val="30"/>
          <w:lang w:val="en-US" w:eastAsia="zh-CN"/>
        </w:rPr>
        <w:t>林奇综合征突变携带者随访监控</w:t>
      </w:r>
      <w:bookmarkEnd w:id="48"/>
    </w:p>
    <w:tbl>
      <w:tblPr>
        <w:tblStyle w:val="15"/>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62BC41"/>
            <w:vAlign w:val="center"/>
          </w:tcPr>
          <w:p w14:paraId="49736662">
            <w:pPr>
              <w:pStyle w:val="22"/>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62BC41"/>
            <w:vAlign w:val="center"/>
          </w:tcPr>
          <w:p w14:paraId="30BCE78E">
            <w:pPr>
              <w:pStyle w:val="22"/>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62BC41"/>
            <w:vAlign w:val="center"/>
          </w:tcPr>
          <w:p w14:paraId="0FAF6452">
            <w:pPr>
              <w:pStyle w:val="22"/>
              <w:spacing w:before="10"/>
              <w:jc w:val="center"/>
            </w:pPr>
          </w:p>
        </w:tc>
        <w:tc>
          <w:tcPr>
            <w:tcW w:w="3772" w:type="dxa"/>
            <w:tcBorders>
              <w:top w:val="single" w:color="FFFFFF" w:sz="18" w:space="0"/>
              <w:left w:val="single" w:color="FFFFFF" w:sz="18" w:space="0"/>
              <w:bottom w:val="nil"/>
              <w:right w:val="single" w:color="FFFFFF" w:sz="18" w:space="0"/>
            </w:tcBorders>
            <w:shd w:val="clear" w:color="auto" w:fill="62BC41"/>
            <w:vAlign w:val="center"/>
          </w:tcPr>
          <w:p w14:paraId="707F6C0B">
            <w:pPr>
              <w:pStyle w:val="22"/>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62BC41"/>
            <w:vAlign w:val="center"/>
          </w:tcPr>
          <w:p w14:paraId="21D8637B">
            <w:pPr>
              <w:pStyle w:val="22"/>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注：遗传/家族性高危评估：结肠直肠、子宫内膜和胃癌NCCN指南2024年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3"/>
        <w:numPr>
          <w:ilvl w:val="255"/>
          <w:numId w:val="0"/>
        </w:numPr>
        <w:jc w:val="left"/>
        <w:rPr>
          <w:color w:val="auto"/>
          <w:sz w:val="30"/>
          <w:lang w:eastAsia="zh-CN"/>
        </w:rPr>
      </w:pPr>
      <w:bookmarkStart w:id="52" w:name="_Toc15114"/>
      <w:bookmarkStart w:id="53" w:name="_Toc3409"/>
      <w:bookmarkStart w:id="54" w:name="_Toc18694"/>
      <w:r>
        <w:rPr>
          <w:rFonts w:hint="eastAsia"/>
          <w:color w:val="auto"/>
          <w:sz w:val="30"/>
          <w:lang w:eastAsia="zh-CN"/>
        </w:rPr>
        <w:t>检测方法与局限性</w:t>
      </w:r>
      <w:bookmarkEnd w:id="52"/>
      <w:bookmarkEnd w:id="53"/>
      <w:bookmarkEnd w:id="54"/>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9"/>
    <w:bookmarkEnd w:id="50"/>
    <w:bookmarkEnd w:id="51"/>
    <w:p w14:paraId="0A82C650">
      <w:pPr>
        <w:tabs>
          <w:tab w:val="left" w:pos="6770"/>
        </w:tabs>
        <w:spacing w:before="27"/>
        <w:rPr>
          <w:rFonts w:ascii="Times New Roman" w:hAnsi="Times New Roman" w:eastAsia="微软雅黑" w:cs="Times New Roman"/>
          <w:sz w:val="15"/>
          <w:lang w:eastAsia="zh-CN"/>
        </w:rPr>
      </w:pPr>
      <w:bookmarkStart w:id="55" w:name="_Toc17792_WPSOffice_Level2"/>
    </w:p>
    <w:p w14:paraId="3A5E4EBE">
      <w:pPr>
        <w:pStyle w:val="3"/>
        <w:numPr>
          <w:ilvl w:val="255"/>
          <w:numId w:val="0"/>
        </w:numPr>
        <w:jc w:val="left"/>
        <w:rPr>
          <w:color w:val="auto"/>
          <w:sz w:val="30"/>
          <w:lang w:eastAsia="zh-CN"/>
        </w:rPr>
      </w:pPr>
      <w:bookmarkStart w:id="56" w:name="_Toc17954"/>
      <w:bookmarkStart w:id="57" w:name="_Toc14611_WPSOffice_Level1"/>
      <w:bookmarkStart w:id="58" w:name="_Toc22623"/>
      <w:bookmarkStart w:id="59" w:name="_Toc22162_WPSOffice_Level1"/>
      <w:bookmarkStart w:id="60" w:name="_Toc13275"/>
      <w:bookmarkStart w:id="61" w:name="_Toc19584_WPSOffice_Level1"/>
      <w:r>
        <w:rPr>
          <w:rFonts w:hint="eastAsia"/>
          <w:color w:val="auto"/>
          <w:sz w:val="30"/>
          <w:lang w:eastAsia="zh-CN"/>
        </w:rPr>
        <w:t>参考文献</w:t>
      </w:r>
      <w:bookmarkEnd w:id="56"/>
    </w:p>
    <w:bookmarkEnd w:id="55"/>
    <w:bookmarkEnd w:id="57"/>
    <w:bookmarkEnd w:id="58"/>
    <w:bookmarkEnd w:id="59"/>
    <w:bookmarkEnd w:id="60"/>
    <w:bookmarkEnd w:id="61"/>
    <w:p w14:paraId="50DD2928">
      <w:pPr>
        <w:pStyle w:val="34"/>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中国临床肿瘤学会(CSCO)结直肠癌诊疗指南2024</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遗传/家族性高危评估：结肠直肠、子宫内膜和胃癌NCCN指南2024年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3BD8B54B">
      <w:pPr>
        <w:widowControl/>
        <w:rPr>
          <w:rFonts w:ascii="Times New Roman" w:hAnsi="Times New Roman" w:eastAsia="等线"/>
          <w:lang w:eastAsia="zh-CN"/>
        </w:rPr>
      </w:pPr>
    </w:p>
    <w:sectPr>
      <w:headerReference r:id="rId5" w:type="default"/>
      <w:footerReference r:id="rId6" w:type="default"/>
      <w:pgSz w:w="11905" w:h="16838"/>
      <w:pgMar w:top="1037" w:right="1020" w:bottom="981" w:left="1020" w:header="850" w:footer="567" w:gutter="0"/>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spacing w:line="14" w:lineRule="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1846580</wp:posOffset>
              </wp:positionH>
              <wp:positionV relativeFrom="paragraph">
                <wp:posOffset>-195580</wp:posOffset>
              </wp:positionV>
              <wp:extent cx="2459990" cy="29273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292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5.4pt;margin-top:-15.4pt;height:23.05pt;width:193.7pt;mso-position-horizontal-relative:margin;z-index:251659264;mso-width-relative:page;mso-height-relative:page;" filled="f" stroked="f" coordsize="21600,21600" o:gfxdata="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55x/PZAAAACgEAAA8AAAAAAAAAAQAgAAAAIgAAAGRycy9kb3ducmV2&#10;LnhtbFBLAQIUABQAAAAIAIdO4kDJldILNAIAAFgEAAAOAAAAAAAAAAEAIAAAACgBAABkcnMvZTJv&#10;RG9jLnhtbFBLBQYAAAAABgAGAFkBAADOBQ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E2A38E"/>
    <w:multiLevelType w:val="singleLevel"/>
    <w:tmpl w:val="3FE2A38E"/>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6021A86"/>
    <w:rsid w:val="06255BC2"/>
    <w:rsid w:val="064C13A1"/>
    <w:rsid w:val="0651570E"/>
    <w:rsid w:val="06654211"/>
    <w:rsid w:val="06A15D59"/>
    <w:rsid w:val="06AB60C8"/>
    <w:rsid w:val="06D33A56"/>
    <w:rsid w:val="06E415DA"/>
    <w:rsid w:val="06F04A04"/>
    <w:rsid w:val="071874D5"/>
    <w:rsid w:val="074043CC"/>
    <w:rsid w:val="07427DF2"/>
    <w:rsid w:val="075B5D40"/>
    <w:rsid w:val="07752619"/>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75319B"/>
    <w:rsid w:val="0FAF15A6"/>
    <w:rsid w:val="0FB9297A"/>
    <w:rsid w:val="0FC24482"/>
    <w:rsid w:val="10284659"/>
    <w:rsid w:val="103962DB"/>
    <w:rsid w:val="106317C1"/>
    <w:rsid w:val="108205D9"/>
    <w:rsid w:val="10963380"/>
    <w:rsid w:val="10A41757"/>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794757"/>
    <w:rsid w:val="16816E45"/>
    <w:rsid w:val="1699418F"/>
    <w:rsid w:val="16ED6288"/>
    <w:rsid w:val="172E623A"/>
    <w:rsid w:val="17526BA2"/>
    <w:rsid w:val="175B5702"/>
    <w:rsid w:val="175F3CCB"/>
    <w:rsid w:val="17996410"/>
    <w:rsid w:val="179E7583"/>
    <w:rsid w:val="17E476A7"/>
    <w:rsid w:val="17EE10AA"/>
    <w:rsid w:val="17EF172D"/>
    <w:rsid w:val="17F84EE5"/>
    <w:rsid w:val="18626802"/>
    <w:rsid w:val="18AE38E1"/>
    <w:rsid w:val="195E683B"/>
    <w:rsid w:val="197607B7"/>
    <w:rsid w:val="199343F1"/>
    <w:rsid w:val="19C92FD9"/>
    <w:rsid w:val="1A2A3350"/>
    <w:rsid w:val="1A9609E5"/>
    <w:rsid w:val="1ACF425B"/>
    <w:rsid w:val="1B142FDB"/>
    <w:rsid w:val="1B28649B"/>
    <w:rsid w:val="1B5279AF"/>
    <w:rsid w:val="1B8C2514"/>
    <w:rsid w:val="1BA36B7F"/>
    <w:rsid w:val="1BA92C4B"/>
    <w:rsid w:val="1BAE7B90"/>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AB0C6A"/>
    <w:rsid w:val="1EEB2832"/>
    <w:rsid w:val="1F106FB8"/>
    <w:rsid w:val="1F340F2B"/>
    <w:rsid w:val="1F724732"/>
    <w:rsid w:val="1FA1E409"/>
    <w:rsid w:val="1FB77434"/>
    <w:rsid w:val="1FB805A3"/>
    <w:rsid w:val="1FB88312"/>
    <w:rsid w:val="1FC648C0"/>
    <w:rsid w:val="1FCA404E"/>
    <w:rsid w:val="1FD122E1"/>
    <w:rsid w:val="20205A20"/>
    <w:rsid w:val="20365FD6"/>
    <w:rsid w:val="20427645"/>
    <w:rsid w:val="20515ADA"/>
    <w:rsid w:val="20855B55"/>
    <w:rsid w:val="209432E5"/>
    <w:rsid w:val="20B15466"/>
    <w:rsid w:val="20BE3A38"/>
    <w:rsid w:val="20D44015"/>
    <w:rsid w:val="20E26FBF"/>
    <w:rsid w:val="21026DD4"/>
    <w:rsid w:val="21204ED4"/>
    <w:rsid w:val="21537630"/>
    <w:rsid w:val="21661111"/>
    <w:rsid w:val="216F18A9"/>
    <w:rsid w:val="217575A6"/>
    <w:rsid w:val="217750CC"/>
    <w:rsid w:val="21911535"/>
    <w:rsid w:val="21932DBE"/>
    <w:rsid w:val="21B52099"/>
    <w:rsid w:val="21B82C79"/>
    <w:rsid w:val="21D97B35"/>
    <w:rsid w:val="22180203"/>
    <w:rsid w:val="22431452"/>
    <w:rsid w:val="22511DC1"/>
    <w:rsid w:val="22602004"/>
    <w:rsid w:val="22683086"/>
    <w:rsid w:val="22C64300"/>
    <w:rsid w:val="22D327D6"/>
    <w:rsid w:val="22E177D9"/>
    <w:rsid w:val="231352C9"/>
    <w:rsid w:val="234C4337"/>
    <w:rsid w:val="235C2C2A"/>
    <w:rsid w:val="2369138D"/>
    <w:rsid w:val="23906919"/>
    <w:rsid w:val="23D32D6A"/>
    <w:rsid w:val="23DC4798"/>
    <w:rsid w:val="23E92592"/>
    <w:rsid w:val="2469451B"/>
    <w:rsid w:val="248A7AD8"/>
    <w:rsid w:val="24B139C0"/>
    <w:rsid w:val="24E011DB"/>
    <w:rsid w:val="24E474BE"/>
    <w:rsid w:val="25102171"/>
    <w:rsid w:val="253C24B6"/>
    <w:rsid w:val="254D6CAD"/>
    <w:rsid w:val="2590282B"/>
    <w:rsid w:val="25A71CF8"/>
    <w:rsid w:val="25CB1E8B"/>
    <w:rsid w:val="25D90293"/>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5074561"/>
    <w:rsid w:val="356B689E"/>
    <w:rsid w:val="357E5409"/>
    <w:rsid w:val="35A16764"/>
    <w:rsid w:val="35A61FCC"/>
    <w:rsid w:val="35B069A7"/>
    <w:rsid w:val="35B3556B"/>
    <w:rsid w:val="35D2691D"/>
    <w:rsid w:val="35D76D27"/>
    <w:rsid w:val="35F5325E"/>
    <w:rsid w:val="360F7B72"/>
    <w:rsid w:val="362639F9"/>
    <w:rsid w:val="365E6403"/>
    <w:rsid w:val="368A6637"/>
    <w:rsid w:val="3691049E"/>
    <w:rsid w:val="37022D48"/>
    <w:rsid w:val="371E73E3"/>
    <w:rsid w:val="372617A7"/>
    <w:rsid w:val="377A45B9"/>
    <w:rsid w:val="3784633D"/>
    <w:rsid w:val="37960E5A"/>
    <w:rsid w:val="379E49F1"/>
    <w:rsid w:val="37DC3A83"/>
    <w:rsid w:val="37E65643"/>
    <w:rsid w:val="37E81DE8"/>
    <w:rsid w:val="3848012E"/>
    <w:rsid w:val="38D81226"/>
    <w:rsid w:val="390037A2"/>
    <w:rsid w:val="3907358F"/>
    <w:rsid w:val="39155B04"/>
    <w:rsid w:val="39162FC5"/>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1425B"/>
    <w:rsid w:val="3E235B37"/>
    <w:rsid w:val="3E3C4E6B"/>
    <w:rsid w:val="3EC949BD"/>
    <w:rsid w:val="3ECD34FD"/>
    <w:rsid w:val="3ED01E68"/>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747266"/>
    <w:rsid w:val="437C436D"/>
    <w:rsid w:val="43B85367"/>
    <w:rsid w:val="43BF7015"/>
    <w:rsid w:val="43CC66BA"/>
    <w:rsid w:val="43E41877"/>
    <w:rsid w:val="44076328"/>
    <w:rsid w:val="440D4251"/>
    <w:rsid w:val="442F6EED"/>
    <w:rsid w:val="443D4776"/>
    <w:rsid w:val="445B0426"/>
    <w:rsid w:val="445F7972"/>
    <w:rsid w:val="446753DB"/>
    <w:rsid w:val="446C43E1"/>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3061FC"/>
    <w:rsid w:val="485633DE"/>
    <w:rsid w:val="488A14B4"/>
    <w:rsid w:val="48F34C61"/>
    <w:rsid w:val="493D00FA"/>
    <w:rsid w:val="493F3E72"/>
    <w:rsid w:val="49463453"/>
    <w:rsid w:val="497D5365"/>
    <w:rsid w:val="49947117"/>
    <w:rsid w:val="49CA5E32"/>
    <w:rsid w:val="49D72799"/>
    <w:rsid w:val="4A0E469F"/>
    <w:rsid w:val="4A186239"/>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86F9D"/>
    <w:rsid w:val="4F2D56F6"/>
    <w:rsid w:val="4F481077"/>
    <w:rsid w:val="4F67014C"/>
    <w:rsid w:val="4F6C1739"/>
    <w:rsid w:val="4F7F5AFE"/>
    <w:rsid w:val="4F9E636D"/>
    <w:rsid w:val="4FDF7E6D"/>
    <w:rsid w:val="4FEB3BDD"/>
    <w:rsid w:val="501E0C85"/>
    <w:rsid w:val="50265D8C"/>
    <w:rsid w:val="50304850"/>
    <w:rsid w:val="50526B81"/>
    <w:rsid w:val="505F35FC"/>
    <w:rsid w:val="50770396"/>
    <w:rsid w:val="5083522D"/>
    <w:rsid w:val="50B312C8"/>
    <w:rsid w:val="50BE7D72"/>
    <w:rsid w:val="50C8299F"/>
    <w:rsid w:val="51160562"/>
    <w:rsid w:val="51234079"/>
    <w:rsid w:val="512C5624"/>
    <w:rsid w:val="51421398"/>
    <w:rsid w:val="51540CBD"/>
    <w:rsid w:val="515A56CD"/>
    <w:rsid w:val="51B542DA"/>
    <w:rsid w:val="51F064FE"/>
    <w:rsid w:val="5201085F"/>
    <w:rsid w:val="52524C16"/>
    <w:rsid w:val="5253098E"/>
    <w:rsid w:val="52743551"/>
    <w:rsid w:val="52F12681"/>
    <w:rsid w:val="5312550A"/>
    <w:rsid w:val="535803B1"/>
    <w:rsid w:val="536A1345"/>
    <w:rsid w:val="53B51901"/>
    <w:rsid w:val="53CB48F3"/>
    <w:rsid w:val="53DE69BF"/>
    <w:rsid w:val="54604DB9"/>
    <w:rsid w:val="54685A72"/>
    <w:rsid w:val="547B7136"/>
    <w:rsid w:val="548D0188"/>
    <w:rsid w:val="54C811C0"/>
    <w:rsid w:val="54C8231F"/>
    <w:rsid w:val="54D723E8"/>
    <w:rsid w:val="54DC7EF0"/>
    <w:rsid w:val="54DE4E87"/>
    <w:rsid w:val="54DF6509"/>
    <w:rsid w:val="550A0483"/>
    <w:rsid w:val="55314FB7"/>
    <w:rsid w:val="55C15CC7"/>
    <w:rsid w:val="55CC2F32"/>
    <w:rsid w:val="55CD0C29"/>
    <w:rsid w:val="561C74AA"/>
    <w:rsid w:val="562D03CE"/>
    <w:rsid w:val="56717539"/>
    <w:rsid w:val="56847368"/>
    <w:rsid w:val="56B70AC3"/>
    <w:rsid w:val="56BE67A9"/>
    <w:rsid w:val="56D06A51"/>
    <w:rsid w:val="56DA342C"/>
    <w:rsid w:val="56F0272C"/>
    <w:rsid w:val="56FA587C"/>
    <w:rsid w:val="570E1F40"/>
    <w:rsid w:val="5717303C"/>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DC49A3"/>
    <w:rsid w:val="59EB0FCE"/>
    <w:rsid w:val="59FEB281"/>
    <w:rsid w:val="5A1804F3"/>
    <w:rsid w:val="5A9D6C4B"/>
    <w:rsid w:val="5AB23437"/>
    <w:rsid w:val="5AD17CED"/>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F61953"/>
    <w:rsid w:val="5FF70B5A"/>
    <w:rsid w:val="5FFF5211"/>
    <w:rsid w:val="600339F4"/>
    <w:rsid w:val="600426B2"/>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D512D"/>
    <w:rsid w:val="678F3DBF"/>
    <w:rsid w:val="679C2069"/>
    <w:rsid w:val="67AE2497"/>
    <w:rsid w:val="67D77C44"/>
    <w:rsid w:val="67E40A7E"/>
    <w:rsid w:val="67FF7197"/>
    <w:rsid w:val="68182006"/>
    <w:rsid w:val="681C1A01"/>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71D05"/>
    <w:rsid w:val="6B016D82"/>
    <w:rsid w:val="6B2031BA"/>
    <w:rsid w:val="6B2A62D8"/>
    <w:rsid w:val="6B6721F6"/>
    <w:rsid w:val="6BBB1626"/>
    <w:rsid w:val="6C055638"/>
    <w:rsid w:val="6C0B233D"/>
    <w:rsid w:val="6C385BB0"/>
    <w:rsid w:val="6C81768C"/>
    <w:rsid w:val="6CA1253B"/>
    <w:rsid w:val="6CA1407A"/>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0F24D12"/>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584A76"/>
    <w:rsid w:val="73694B88"/>
    <w:rsid w:val="73707E67"/>
    <w:rsid w:val="73843C24"/>
    <w:rsid w:val="73A95296"/>
    <w:rsid w:val="73C60B68"/>
    <w:rsid w:val="741F0C23"/>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8326601"/>
    <w:rsid w:val="788D7EA7"/>
    <w:rsid w:val="789D27E0"/>
    <w:rsid w:val="78A637EA"/>
    <w:rsid w:val="78BD0E17"/>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142DB9"/>
    <w:rsid w:val="7C6425BC"/>
    <w:rsid w:val="7C6E4BB7"/>
    <w:rsid w:val="7CAE7586"/>
    <w:rsid w:val="7CB023B6"/>
    <w:rsid w:val="7CEF619C"/>
    <w:rsid w:val="7CFC454E"/>
    <w:rsid w:val="7D036989"/>
    <w:rsid w:val="7D612DC0"/>
    <w:rsid w:val="7D6A6A08"/>
    <w:rsid w:val="7D793C28"/>
    <w:rsid w:val="7D9A4F38"/>
    <w:rsid w:val="7DBFFD09"/>
    <w:rsid w:val="7DCD55E1"/>
    <w:rsid w:val="7DD722F0"/>
    <w:rsid w:val="7DD81BC4"/>
    <w:rsid w:val="7DDE62F4"/>
    <w:rsid w:val="7DEA9021"/>
    <w:rsid w:val="7E1A21DD"/>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3"/>
    <w:autoRedefine/>
    <w:qFormat/>
    <w:uiPriority w:val="0"/>
  </w:style>
  <w:style w:type="paragraph" w:styleId="6">
    <w:name w:val="Body Text"/>
    <w:basedOn w:val="1"/>
    <w:link w:val="37"/>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9"/>
    <w:autoRedefine/>
    <w:qFormat/>
    <w:uiPriority w:val="0"/>
    <w:rPr>
      <w:sz w:val="18"/>
      <w:szCs w:val="18"/>
    </w:rPr>
  </w:style>
  <w:style w:type="paragraph" w:styleId="9">
    <w:name w:val="footer"/>
    <w:basedOn w:val="1"/>
    <w:link w:val="36"/>
    <w:autoRedefine/>
    <w:unhideWhenUsed/>
    <w:qFormat/>
    <w:uiPriority w:val="99"/>
    <w:pPr>
      <w:tabs>
        <w:tab w:val="center" w:pos="4153"/>
        <w:tab w:val="right" w:pos="8306"/>
      </w:tabs>
      <w:snapToGrid w:val="0"/>
    </w:pPr>
    <w:rPr>
      <w:sz w:val="18"/>
      <w:szCs w:val="18"/>
    </w:rPr>
  </w:style>
  <w:style w:type="paragraph" w:styleId="10">
    <w:name w:val="header"/>
    <w:basedOn w:val="1"/>
    <w:link w:val="35"/>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40"/>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2">
    <w:name w:val="Table Paragraph"/>
    <w:basedOn w:val="1"/>
    <w:autoRedefine/>
    <w:qFormat/>
    <w:uiPriority w:val="0"/>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character" w:customStyle="1" w:styleId="33">
    <w:name w:val="批注文字 字符"/>
    <w:basedOn w:val="17"/>
    <w:link w:val="5"/>
    <w:autoRedefine/>
    <w:qFormat/>
    <w:uiPriority w:val="0"/>
    <w:rPr>
      <w:rFonts w:ascii="宋体" w:hAnsi="宋体" w:cs="宋体"/>
      <w:sz w:val="22"/>
      <w:szCs w:val="22"/>
      <w:lang w:eastAsia="en-US"/>
    </w:rPr>
  </w:style>
  <w:style w:type="paragraph" w:customStyle="1" w:styleId="34">
    <w:name w:val="列表段落1"/>
    <w:basedOn w:val="1"/>
    <w:autoRedefine/>
    <w:qFormat/>
    <w:uiPriority w:val="0"/>
    <w:pPr>
      <w:ind w:firstLine="420" w:firstLineChars="200"/>
    </w:pPr>
    <w:rPr>
      <w:rFonts w:ascii="Calibri" w:hAnsi="Calibri" w:cs="Times New Roman"/>
    </w:rPr>
  </w:style>
  <w:style w:type="character" w:customStyle="1" w:styleId="35">
    <w:name w:val="页眉 字符"/>
    <w:basedOn w:val="17"/>
    <w:link w:val="10"/>
    <w:autoRedefine/>
    <w:qFormat/>
    <w:uiPriority w:val="99"/>
    <w:rPr>
      <w:rFonts w:ascii="宋体" w:hAnsi="宋体" w:cs="宋体"/>
      <w:sz w:val="18"/>
      <w:szCs w:val="22"/>
      <w:lang w:eastAsia="en-US"/>
    </w:rPr>
  </w:style>
  <w:style w:type="character" w:customStyle="1" w:styleId="36">
    <w:name w:val="页脚 字符"/>
    <w:basedOn w:val="17"/>
    <w:link w:val="9"/>
    <w:autoRedefine/>
    <w:qFormat/>
    <w:uiPriority w:val="99"/>
    <w:rPr>
      <w:rFonts w:ascii="宋体" w:hAnsi="宋体" w:cs="宋体"/>
      <w:sz w:val="18"/>
      <w:szCs w:val="18"/>
      <w:lang w:eastAsia="en-US"/>
    </w:rPr>
  </w:style>
  <w:style w:type="character" w:customStyle="1" w:styleId="37">
    <w:name w:val="正文文本 字符"/>
    <w:basedOn w:val="17"/>
    <w:link w:val="6"/>
    <w:autoRedefine/>
    <w:qFormat/>
    <w:uiPriority w:val="1"/>
    <w:rPr>
      <w:rFonts w:ascii="宋体" w:hAnsi="宋体" w:cs="宋体"/>
      <w:sz w:val="18"/>
      <w:szCs w:val="18"/>
      <w:lang w:eastAsia="en-US"/>
    </w:rPr>
  </w:style>
  <w:style w:type="paragraph" w:customStyle="1" w:styleId="38">
    <w:name w:val="修订1"/>
    <w:autoRedefine/>
    <w:hidden/>
    <w:semiHidden/>
    <w:qFormat/>
    <w:uiPriority w:val="99"/>
    <w:rPr>
      <w:rFonts w:ascii="宋体" w:hAnsi="宋体" w:eastAsia="宋体" w:cs="宋体"/>
      <w:sz w:val="22"/>
      <w:szCs w:val="22"/>
      <w:lang w:val="en-US" w:eastAsia="en-US" w:bidi="ar-SA"/>
    </w:rPr>
  </w:style>
  <w:style w:type="character" w:customStyle="1" w:styleId="39">
    <w:name w:val="批注框文本 字符"/>
    <w:basedOn w:val="17"/>
    <w:link w:val="8"/>
    <w:autoRedefine/>
    <w:qFormat/>
    <w:uiPriority w:val="0"/>
    <w:rPr>
      <w:rFonts w:ascii="宋体" w:hAnsi="宋体" w:cs="宋体"/>
      <w:sz w:val="18"/>
      <w:szCs w:val="18"/>
      <w:lang w:eastAsia="en-US"/>
    </w:rPr>
  </w:style>
  <w:style w:type="character" w:customStyle="1" w:styleId="40">
    <w:name w:val="批注主题 字符"/>
    <w:basedOn w:val="33"/>
    <w:link w:val="14"/>
    <w:autoRedefine/>
    <w:qFormat/>
    <w:uiPriority w:val="0"/>
    <w:rPr>
      <w:rFonts w:ascii="宋体" w:hAnsi="宋体" w:cs="宋体"/>
      <w:b/>
      <w:bCs/>
      <w:sz w:val="22"/>
      <w:szCs w:val="22"/>
      <w:lang w:eastAsia="en-US"/>
    </w:rPr>
  </w:style>
  <w:style w:type="paragraph" w:customStyle="1" w:styleId="41">
    <w:name w:val="列表段落2"/>
    <w:basedOn w:val="1"/>
    <w:autoRedefine/>
    <w:qFormat/>
    <w:uiPriority w:val="0"/>
    <w:pPr>
      <w:ind w:firstLine="420" w:firstLineChars="200"/>
    </w:pPr>
    <w:rPr>
      <w:rFonts w:ascii="Calibri" w:hAnsi="Calibri" w:cs="Times New Roma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3823</Words>
  <Characters>7709</Characters>
  <Lines>199</Lines>
  <Paragraphs>56</Paragraphs>
  <TotalTime>0</TotalTime>
  <ScaleCrop>false</ScaleCrop>
  <LinksUpToDate>false</LinksUpToDate>
  <CharactersWithSpaces>8238</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2020-07-01T16:38:00Z</dcterms:created>
  <dc:creator>86131</dc:creator>
  <cp:lastModifiedBy>yolo</cp:lastModifiedBy>
  <dcterms:modified xsi:type="dcterms:W3CDTF">2024-10-30T08:54:00Z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ies>
</file>