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实体瘤</w:t>
      </w:r>
      <w:r>
        <w:rPr>
          <w:rFonts w:hint="eastAsia" w:ascii="黑体" w:hAnsi="黑体" w:eastAsia="黑体" w:cs="黑体"/>
          <w:b/>
          <w:bCs/>
          <w:spacing w:val="23"/>
          <w:sz w:val="72"/>
          <w:szCs w:val="72"/>
          <w:lang w:val="en-US" w:eastAsia="zh-CN"/>
        </w:rPr>
        <w:t>1238</w:t>
      </w:r>
      <w:r>
        <w:rPr>
          <w:rFonts w:hint="eastAsia" w:ascii="黑体" w:hAnsi="黑体" w:eastAsia="黑体" w:cs="黑体"/>
          <w:b/>
          <w:bCs/>
          <w:spacing w:val="23"/>
          <w:sz w:val="72"/>
          <w:szCs w:val="72"/>
          <w:lang w:val="en-US" w:eastAsia="zh-Hans"/>
        </w:rPr>
        <w:t>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outlineLvl w:val="9"/>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ascii="Times New Roman" w:hAnsi="Times New Roman" w:eastAsia="微软雅黑" w:cs="Times New Roman"/>
              <w:spacing w:val="23"/>
              <w:sz w:val="24"/>
              <w:szCs w:val="24"/>
            </w:rPr>
            <w:fldChar w:fldCharType="begin"/>
          </w:r>
          <w:r>
            <w:rPr>
              <w:rFonts w:ascii="Times New Roman" w:hAnsi="Times New Roman" w:eastAsia="微软雅黑" w:cs="Times New Roman"/>
              <w:spacing w:val="23"/>
              <w:sz w:val="24"/>
              <w:szCs w:val="24"/>
            </w:rPr>
            <w:instrText xml:space="preserve">TOC \o "1-2" \h \u </w:instrText>
          </w:r>
          <w:r>
            <w:rPr>
              <w:rFonts w:ascii="Times New Roman" w:hAnsi="Times New Roman" w:eastAsia="微软雅黑" w:cs="Times New Roman"/>
              <w:spacing w:val="23"/>
              <w:sz w:val="24"/>
              <w:szCs w:val="24"/>
            </w:rP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_Toc12171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_Toc12171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_Toc1255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_Toc1255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_Toc1276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_Toc1276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_Toc12655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_Toc12655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_Toc24172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_Toc24172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t>{% if endometrialCarcinoma == True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_Toc22307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子宫内膜癌TCGA分子分型检测结果</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_Toc22307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_Toc27109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体细胞变异分级提示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_Toc27109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6</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_Toc1824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胚系变异结果提示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_Toc1824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_Toc17511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_Toc17511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_Toc18945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免疫药物用药提示</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_Toc18945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12</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_Toc14536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_Toc14536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19</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_Toc25187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体细胞变异结果解析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_Toc25187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19</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%}{%if geneticCancerRiskInfo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_Toc30097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胚系变异结果解析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_Toc30097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23</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_Toc3160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免疫检测结果解析</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_Toc3160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25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lang w:eastAsia="zh-CN"/>
            </w:rPr>
          </w:pP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HYPERLINK \l _Toc12954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附录</w:t>
          </w:r>
          <w:r>
            <w:rPr>
              <w:rFonts w:hint="eastAsia" w:ascii="宋体" w:hAnsi="宋体" w:eastAsia="宋体" w:cs="宋体"/>
              <w:b/>
              <w:bCs/>
              <w:color w:val="005FBF"/>
              <w:spacing w:val="23"/>
              <w:sz w:val="28"/>
              <w:szCs w:val="28"/>
              <w:lang w:eastAsia="zh-CN"/>
            </w:rPr>
            <w:tab/>
          </w:r>
          <w:r>
            <w:rPr>
              <w:rFonts w:hint="eastAsia" w:ascii="宋体" w:hAnsi="宋体" w:eastAsia="宋体" w:cs="宋体"/>
              <w:b/>
              <w:bCs/>
              <w:color w:val="005FBF"/>
              <w:spacing w:val="23"/>
              <w:sz w:val="28"/>
              <w:szCs w:val="28"/>
              <w:lang w:eastAsia="zh-CN"/>
            </w:rPr>
            <w:fldChar w:fldCharType="begin"/>
          </w:r>
          <w:r>
            <w:rPr>
              <w:rFonts w:hint="eastAsia" w:ascii="宋体" w:hAnsi="宋体" w:eastAsia="宋体" w:cs="宋体"/>
              <w:b/>
              <w:bCs/>
              <w:color w:val="005FBF"/>
              <w:spacing w:val="23"/>
              <w:sz w:val="28"/>
              <w:szCs w:val="28"/>
              <w:lang w:eastAsia="zh-CN"/>
            </w:rPr>
            <w:instrText xml:space="preserve"> PAGEREF _Toc12954 \h </w:instrText>
          </w:r>
          <w:r>
            <w:rPr>
              <w:rFonts w:hint="eastAsia" w:ascii="宋体" w:hAnsi="宋体" w:eastAsia="宋体" w:cs="宋体"/>
              <w:b/>
              <w:bCs/>
              <w:color w:val="005FBF"/>
              <w:spacing w:val="23"/>
              <w:sz w:val="28"/>
              <w:szCs w:val="28"/>
              <w:lang w:eastAsia="zh-CN"/>
            </w:rPr>
            <w:fldChar w:fldCharType="separate"/>
          </w:r>
          <w:r>
            <w:rPr>
              <w:rFonts w:hint="eastAsia" w:ascii="宋体" w:hAnsi="宋体" w:eastAsia="宋体" w:cs="宋体"/>
              <w:b/>
              <w:bCs/>
              <w:color w:val="005FBF"/>
              <w:spacing w:val="23"/>
              <w:sz w:val="28"/>
              <w:szCs w:val="28"/>
              <w:lang w:eastAsia="zh-CN"/>
            </w:rPr>
            <w:t>31</w:t>
          </w:r>
          <w:r>
            <w:rPr>
              <w:rFonts w:hint="eastAsia" w:ascii="宋体" w:hAnsi="宋体" w:eastAsia="宋体" w:cs="宋体"/>
              <w:b/>
              <w:bCs/>
              <w:color w:val="005FBF"/>
              <w:spacing w:val="23"/>
              <w:sz w:val="28"/>
              <w:szCs w:val="28"/>
              <w:lang w:eastAsia="zh-CN"/>
            </w:rPr>
            <w:fldChar w:fldCharType="end"/>
          </w:r>
          <w:r>
            <w:rPr>
              <w:rFonts w:hint="eastAsia" w:ascii="宋体" w:hAnsi="宋体" w:eastAsia="宋体" w:cs="宋体"/>
              <w:b/>
              <w:bCs/>
              <w:color w:val="005FBF"/>
              <w:spacing w:val="23"/>
              <w:sz w:val="28"/>
              <w:szCs w:val="28"/>
              <w:lang w:eastAsia="zh-CN"/>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_Toc30012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样本质控情况</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_Toc30012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31</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if endometrialCarcinoma == True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_Toc17656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子宫内膜癌分子分型与预后的相关性</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_Toc17656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32</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_Toc17928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_Toc17928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34</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lang w:eastAsia="zh-CN"/>
              <w14:textFill>
                <w14:solidFill>
                  <w14:schemeClr w14:val="tx1"/>
                </w14:solidFill>
              </w14:textFill>
            </w:rPr>
          </w:pP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HYPERLINK \l _Toc3198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参考文献</w:t>
          </w:r>
          <w:r>
            <w:rPr>
              <w:rFonts w:hint="eastAsia" w:ascii="宋体" w:hAnsi="宋体" w:eastAsia="宋体" w:cs="宋体"/>
              <w:color w:val="000000" w:themeColor="text1"/>
              <w:spacing w:val="23"/>
              <w:sz w:val="24"/>
              <w:szCs w:val="24"/>
              <w:lang w:eastAsia="zh-CN"/>
              <w14:textFill>
                <w14:solidFill>
                  <w14:schemeClr w14:val="tx1"/>
                </w14:solidFill>
              </w14:textFill>
            </w:rPr>
            <w:tab/>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begin"/>
          </w:r>
          <w:r>
            <w:rPr>
              <w:rFonts w:hint="eastAsia" w:ascii="宋体" w:hAnsi="宋体" w:eastAsia="宋体" w:cs="宋体"/>
              <w:color w:val="000000" w:themeColor="text1"/>
              <w:spacing w:val="23"/>
              <w:sz w:val="24"/>
              <w:szCs w:val="24"/>
              <w:lang w:eastAsia="zh-CN"/>
              <w14:textFill>
                <w14:solidFill>
                  <w14:schemeClr w14:val="tx1"/>
                </w14:solidFill>
              </w14:textFill>
            </w:rPr>
            <w:instrText xml:space="preserve"> PAGEREF _Toc3198 \h </w:instrTex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separate"/>
          </w:r>
          <w:r>
            <w:rPr>
              <w:rFonts w:hint="eastAsia" w:ascii="宋体" w:hAnsi="宋体" w:eastAsia="宋体" w:cs="宋体"/>
              <w:color w:val="000000" w:themeColor="text1"/>
              <w:spacing w:val="23"/>
              <w:sz w:val="24"/>
              <w:szCs w:val="24"/>
              <w:lang w:eastAsia="zh-CN"/>
              <w14:textFill>
                <w14:solidFill>
                  <w14:schemeClr w14:val="tx1"/>
                </w14:solidFill>
              </w14:textFill>
            </w:rPr>
            <w:t>35</w:t>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fldChar w:fldCharType="end"/>
          </w:r>
        </w:p>
        <w:p>
          <w:pPr>
            <w:spacing w:line="360" w:lineRule="auto"/>
            <w:jc w:val="center"/>
            <w:rPr>
              <w:rFonts w:ascii="Times New Roman" w:hAnsi="Times New Roman" w:eastAsia="微软雅黑" w:cs="Times New Roman"/>
              <w:sz w:val="24"/>
              <w:szCs w:val="24"/>
              <w:lang w:eastAsia="zh-CN"/>
            </w:rPr>
          </w:pPr>
          <w:r>
            <w:rPr>
              <w:rFonts w:ascii="Times New Roman" w:hAnsi="Times New Roman" w:eastAsia="微软雅黑" w:cs="Times New Roman"/>
              <w:spacing w:val="23"/>
              <w:szCs w:val="24"/>
              <w:lang w:eastAsia="zh-CN"/>
            </w:rP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21669"/>
      <w:bookmarkStart w:id="1" w:name="_Toc13806"/>
      <w:bookmarkStart w:id="2" w:name="_Toc24178_WPSOffice_Level1"/>
      <w:bookmarkStart w:id="3" w:name="_Toc21009_WPSOffice_Level1"/>
      <w:bookmarkStart w:id="4" w:name="_Toc24397"/>
      <w:bookmarkStart w:id="5" w:name="_Toc30143_WPSOffice_Level1"/>
      <w:bookmarkStart w:id="6" w:name="_Toc32054"/>
      <w:bookmarkStart w:id="7" w:name="_Toc27500"/>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12171"/>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1015_WPSOffice_Level1"/>
      <w:bookmarkStart w:id="10" w:name="_Toc18062_WPSOffice_Level1"/>
      <w:bookmarkStart w:id="11" w:name="_Toc17451"/>
      <w:bookmarkStart w:id="12" w:name="_Toc7021_WPSOffice_Level1"/>
      <w:bookmarkStart w:id="13" w:name="_Toc19594"/>
      <w:bookmarkStart w:id="14" w:name="_Toc10518"/>
      <w:bookmarkStart w:id="15" w:name="_Toc1255"/>
      <w:bookmarkStart w:id="16" w:name="_Toc11465"/>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1238</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本报告分析基因变异与{% if endometrialCarcinoma == True %}子宫内膜癌TCGA分子分型、{% endif %}靶向药物、免疫药物和遗传风险的相关性，给出靶向药物（FDA/NMPA批准药物、临床试验药物等）的用药提示信息，从而为临床制定治疗方案提供参考信息。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highlight w:val="none"/>
        </w:rPr>
      </w:pPr>
      <w:bookmarkStart w:id="19" w:name="_Toc1276"/>
      <w:r>
        <w:rPr>
          <w:rFonts w:ascii="Times New Roman" w:hAnsi="Times New Roman" w:eastAsia="宋体" w:cs="宋体"/>
          <w:b/>
          <w:bCs/>
          <w:spacing w:val="23"/>
          <w:sz w:val="24"/>
          <w:szCs w:val="24"/>
          <w:highlight w:val="none"/>
        </w:rPr>
        <w:t>检测</w:t>
      </w:r>
      <w:r>
        <w:rPr>
          <w:rFonts w:hint="eastAsia" w:ascii="Times New Roman" w:hAnsi="Times New Roman" w:eastAsia="宋体" w:cs="宋体"/>
          <w:b/>
          <w:bCs/>
          <w:spacing w:val="23"/>
          <w:sz w:val="24"/>
          <w:szCs w:val="24"/>
          <w:highlight w:val="none"/>
        </w:rPr>
        <w:t>基因列表</w:t>
      </w:r>
      <w:bookmarkEnd w:id="19"/>
    </w:p>
    <w:tbl>
      <w:tblPr>
        <w:tblStyle w:val="15"/>
        <w:tblpPr w:leftFromText="180" w:rightFromText="180" w:vertAnchor="text" w:horzAnchor="page" w:tblpXSpec="center" w:tblpY="8"/>
        <w:tblOverlap w:val="never"/>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1051"/>
        <w:gridCol w:w="1051"/>
        <w:gridCol w:w="1051"/>
        <w:gridCol w:w="1052"/>
        <w:gridCol w:w="1052"/>
        <w:gridCol w:w="1052"/>
        <w:gridCol w:w="1052"/>
        <w:gridCol w:w="1052"/>
        <w:gridCol w:w="1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widowControl/>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for Gene in </w:t>
            </w:r>
            <w:r>
              <w:rPr>
                <w:rFonts w:hint="eastAsia" w:ascii="宋体" w:hAnsi="宋体" w:eastAsia="宋体" w:cs="宋体"/>
                <w:sz w:val="18"/>
                <w:szCs w:val="18"/>
                <w:lang w:val="en-US" w:eastAsia="zh-CN"/>
              </w:rPr>
              <w:t>gene.genes</w:t>
            </w:r>
            <w:r>
              <w:rPr>
                <w:rFonts w:hint="eastAsia" w:ascii="宋体" w:hAnsi="宋体" w:eastAsia="宋体" w:cs="宋体"/>
                <w:sz w:val="18"/>
                <w:szCs w:val="18"/>
                <w:lang w:eastAsia="zh-CN"/>
              </w:rPr>
              <w:t xml:space="preserve"> | </w:t>
            </w:r>
            <w:r>
              <w:rPr>
                <w:rFonts w:hint="eastAsia" w:cs="宋体"/>
                <w:sz w:val="18"/>
                <w:szCs w:val="18"/>
                <w:lang w:eastAsia="zh-CN"/>
              </w:rPr>
              <w:t>red2(</w:t>
            </w:r>
            <w:r>
              <w:rPr>
                <w:rFonts w:hint="eastAsia" w:cs="宋体"/>
                <w:sz w:val="18"/>
                <w:szCs w:val="18"/>
                <w:lang w:val="en-US" w:eastAsia="zh-CN"/>
              </w:rPr>
              <w:t>10</w:t>
            </w:r>
            <w:r>
              <w:rPr>
                <w:rFonts w:hint="eastAsia" w:cs="宋体"/>
                <w:sz w:val="18"/>
                <w:szCs w:val="18"/>
                <w:lang w:eastAsia="zh-CN"/>
              </w:rPr>
              <w:t>,21,'宋体','宋体',False)</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Gene[0]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Gene[1]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Gene[2] }}</w:t>
            </w:r>
          </w:p>
        </w:tc>
        <w:tc>
          <w:tcPr>
            <w:tcW w:w="1051"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Gene[3]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Gene[4]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Gene[5]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6</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val="en-US" w:eastAsia="zh-CN" w:bidi="ar-SA"/>
              </w:rPr>
            </w:pPr>
            <w:r>
              <w:rPr>
                <w:rFonts w:hint="eastAsia" w:ascii="宋体" w:hAnsi="宋体" w:eastAsia="宋体" w:cs="宋体"/>
                <w:i/>
                <w:sz w:val="21"/>
                <w:szCs w:val="21"/>
                <w:lang w:eastAsia="zh-CN"/>
              </w:rPr>
              <w:t>{{r Gene[</w:t>
            </w:r>
            <w:r>
              <w:rPr>
                <w:rFonts w:hint="eastAsia" w:cs="宋体"/>
                <w:i/>
                <w:sz w:val="21"/>
                <w:szCs w:val="21"/>
                <w:lang w:val="en-US" w:eastAsia="zh-CN"/>
              </w:rPr>
              <w:t>7</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8</w:t>
            </w:r>
            <w:r>
              <w:rPr>
                <w:rFonts w:hint="eastAsia" w:ascii="宋体" w:hAnsi="宋体" w:eastAsia="宋体" w:cs="宋体"/>
                <w:i/>
                <w:sz w:val="21"/>
                <w:szCs w:val="21"/>
                <w:lang w:eastAsia="zh-CN"/>
              </w:rPr>
              <w:t>] }}</w:t>
            </w:r>
          </w:p>
        </w:tc>
        <w:tc>
          <w:tcPr>
            <w:tcW w:w="1052" w:type="dxa"/>
            <w:vAlign w:val="center"/>
          </w:tcPr>
          <w:p>
            <w:pPr>
              <w:widowControl/>
              <w:jc w:val="center"/>
              <w:rPr>
                <w:rFonts w:hint="eastAsia" w:ascii="宋体" w:hAnsi="宋体" w:eastAsia="宋体" w:cs="宋体"/>
                <w:i/>
                <w:sz w:val="21"/>
                <w:szCs w:val="21"/>
                <w:lang w:eastAsia="zh-CN"/>
              </w:rPr>
            </w:pPr>
            <w:r>
              <w:rPr>
                <w:rFonts w:hint="eastAsia" w:ascii="宋体" w:hAnsi="宋体" w:eastAsia="宋体" w:cs="宋体"/>
                <w:i/>
                <w:sz w:val="21"/>
                <w:szCs w:val="21"/>
                <w:lang w:eastAsia="zh-CN"/>
              </w:rPr>
              <w:t>{{r Gene[</w:t>
            </w:r>
            <w:r>
              <w:rPr>
                <w:rFonts w:hint="eastAsia" w:cs="宋体"/>
                <w:i/>
                <w:sz w:val="21"/>
                <w:szCs w:val="21"/>
                <w:lang w:val="en-US" w:eastAsia="zh-CN"/>
              </w:rPr>
              <w:t>9</w:t>
            </w:r>
            <w:r>
              <w:rPr>
                <w:rFonts w:hint="eastAsia" w:ascii="宋体" w:hAnsi="宋体" w:eastAsia="宋体" w:cs="宋体"/>
                <w:i/>
                <w:sz w:val="21"/>
                <w:szCs w:val="21"/>
                <w:lang w:eastAsia="zh-CN"/>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0516" w:type="dxa"/>
            <w:gridSpan w:val="10"/>
            <w:vAlign w:val="center"/>
          </w:tcPr>
          <w:p>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{%tr endfor%}</w:t>
            </w: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4088"/>
      <w:bookmarkStart w:id="21" w:name="_Toc18058"/>
      <w:bookmarkStart w:id="22" w:name="_Toc3871"/>
      <w:bookmarkStart w:id="23" w:name="_Toc25920"/>
      <w:bookmarkStart w:id="24" w:name="_Toc1410"/>
      <w:bookmarkStart w:id="25" w:name="_Toc12655"/>
      <w:bookmarkStart w:id="26" w:name="_Toc23369_WPSOffice_Level1"/>
      <w:bookmarkStart w:id="27" w:name="_Toc6221_WPSOffice_Level1"/>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60"/>
        <w:gridCol w:w="1092"/>
        <w:gridCol w:w="1267"/>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6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9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267"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ascii="宋体" w:hAnsi="宋体" w:eastAsia="宋体" w:cs="宋体"/>
                <w:b/>
                <w:bCs/>
                <w:i w:val="0"/>
                <w:iCs w:val="0"/>
                <w:color w:val="auto"/>
                <w:kern w:val="0"/>
                <w:sz w:val="21"/>
                <w:szCs w:val="21"/>
                <w:u w:val="none"/>
                <w:lang w:val="en-US" w:eastAsia="zh-CN" w:bidi="ar"/>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6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9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26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6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9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6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pacing w:val="23"/>
          <w:sz w:val="18"/>
          <w:szCs w:val="18"/>
          <w:lang w:eastAsia="zh-CN" w:bidi="ar"/>
        </w:rPr>
      </w:pPr>
      <w:r>
        <w:rPr>
          <w:rFonts w:hint="eastAsia" w:cs="宋体"/>
          <w:b/>
          <w:bCs/>
          <w:spacing w:val="23"/>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971"/>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971"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236"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971"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236"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bookmarkStart w:id="126" w:name="_GoBack"/>
      <w:bookmarkEnd w:id="126"/>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14062"/>
      <w:bookmarkStart w:id="29" w:name="_Toc2781"/>
      <w:bookmarkStart w:id="30" w:name="_Toc19898_WPSOffice_Level1"/>
      <w:bookmarkStart w:id="31" w:name="_Toc20136_WPSOffice_Level1"/>
      <w:bookmarkStart w:id="32" w:name="_Toc22132"/>
      <w:bookmarkStart w:id="33" w:name="_Toc19184"/>
      <w:bookmarkStart w:id="34" w:name="_Toc12381"/>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24172"/>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rPr>
          <w:rFonts w:hint="eastAsia" w:ascii="宋体" w:hAnsi="宋体" w:eastAsia="宋体" w:cs="宋体"/>
          <w:sz w:val="24"/>
          <w:szCs w:val="24"/>
          <w:lang w:eastAsia="zh-CN"/>
        </w:rPr>
      </w:pPr>
      <w:bookmarkStart w:id="36" w:name="_Toc21615"/>
      <w:bookmarkStart w:id="37" w:name="_Toc5090"/>
      <w:r>
        <w:rPr>
          <w:rFonts w:hint="eastAsia" w:ascii="宋体" w:hAnsi="宋体" w:eastAsia="宋体" w:cs="宋体"/>
          <w:sz w:val="24"/>
          <w:szCs w:val="24"/>
          <w:lang w:eastAsia="zh-CN"/>
        </w:rPr>
        <w:t>{% if endometrialCarcinoma == True %}</w:t>
      </w:r>
    </w:p>
    <w:p>
      <w:pPr>
        <w:pStyle w:val="38"/>
        <w:numPr>
          <w:ilvl w:val="0"/>
          <w:numId w:val="8"/>
        </w:numPr>
        <w:bidi w:val="0"/>
        <w:spacing w:line="360" w:lineRule="auto"/>
        <w:ind w:left="425" w:leftChars="0" w:hanging="425" w:firstLineChars="0"/>
        <w:jc w:val="left"/>
        <w:rPr>
          <w:rFonts w:hint="eastAsia"/>
          <w:b/>
          <w:bCs/>
          <w:spacing w:val="23"/>
          <w:sz w:val="21"/>
          <w:szCs w:val="21"/>
        </w:rPr>
      </w:pPr>
      <w:bookmarkStart w:id="38" w:name="_Toc22307"/>
      <w:r>
        <w:rPr>
          <w:rFonts w:hint="eastAsia"/>
          <w:b/>
          <w:bCs/>
          <w:spacing w:val="23"/>
          <w:sz w:val="21"/>
          <w:szCs w:val="21"/>
          <w:lang w:eastAsia="zh-CN"/>
        </w:rPr>
        <w:t>子</w:t>
      </w:r>
      <w:r>
        <w:rPr>
          <w:rFonts w:hint="eastAsia" w:ascii="宋体" w:hAnsi="宋体" w:eastAsia="宋体" w:cs="宋体"/>
          <w:b/>
          <w:bCs/>
          <w:spacing w:val="23"/>
          <w:sz w:val="21"/>
          <w:szCs w:val="21"/>
          <w:lang w:eastAsia="zh-CN"/>
        </w:rPr>
        <w:t>宫内膜癌TCGA分子分型</w:t>
      </w:r>
      <w:r>
        <w:rPr>
          <w:rFonts w:hint="eastAsia"/>
          <w:b/>
          <w:bCs/>
          <w:spacing w:val="23"/>
          <w:sz w:val="21"/>
          <w:szCs w:val="21"/>
          <w:lang w:eastAsia="zh-CN"/>
        </w:rPr>
        <w:t>检测结果</w:t>
      </w:r>
      <w:bookmarkEnd w:id="36"/>
      <w:bookmarkEnd w:id="37"/>
      <w:bookmarkEnd w:id="3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8"/>
        <w:gridCol w:w="5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8"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5535" w:type="dxa"/>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328"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TCGA分子分型</w:t>
            </w:r>
          </w:p>
        </w:tc>
        <w:tc>
          <w:tcPr>
            <w:tcW w:w="5535" w:type="dxa"/>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lang w:eastAsia="zh-CN"/>
              </w:rPr>
              <w:t>{{ summaryOfRresults.tcga }}</w:t>
            </w:r>
          </w:p>
        </w:tc>
      </w:tr>
    </w:tbl>
    <w:p>
      <w:pPr>
        <w:spacing w:before="47"/>
        <w:rPr>
          <w:rFonts w:hint="eastAsia" w:ascii="宋体" w:hAnsi="宋体" w:eastAsia="宋体" w:cs="宋体"/>
          <w:sz w:val="18"/>
          <w:szCs w:val="18"/>
          <w:highlight w:val="yellow"/>
          <w:lang w:eastAsia="zh-CN"/>
        </w:rPr>
      </w:pPr>
      <w:r>
        <w:rPr>
          <w:rFonts w:hint="eastAsia" w:ascii="宋体" w:hAnsi="宋体" w:eastAsia="宋体" w:cs="宋体"/>
          <w:b/>
          <w:bCs/>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2013年，癌症基因组图谱（The Cancer Geenome Atlas，TCGA）多组学研究全面揭示了子宫内膜癌的分子遗传图谱，提出新的分子分型策略，依据多组学特征和预后的关联性分为4个亚型：POLE突变型、微卫星不稳定型（MSI-H）、高拷贝型（CN-H）和低拷贝型（CN-L），用于子宫内膜癌患者预后和复发风险评估。当前，该分子分型策略已被纳入NCCN、ESGO等多个指南中，分型规则如下：</w:t>
      </w:r>
    </w:p>
    <w:p>
      <w:pPr>
        <w:widowControl/>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pPr>
        <w:widowControl/>
        <w:rPr>
          <w:rFonts w:hint="eastAsia" w:ascii="宋体" w:hAnsi="宋体" w:eastAsia="宋体" w:cs="宋体"/>
          <w:lang w:eastAsia="zh-CN"/>
        </w:rPr>
      </w:pPr>
    </w:p>
    <w:p>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图：子宫内膜癌分子分型规则（参考自</w:t>
      </w:r>
      <w:r>
        <w:rPr>
          <w:rFonts w:hint="eastAsia" w:ascii="宋体" w:hAnsi="宋体" w:eastAsia="宋体" w:cs="宋体"/>
          <w:color w:val="000000"/>
          <w:sz w:val="20"/>
          <w:szCs w:val="20"/>
          <w:lang w:eastAsia="zh-CN" w:bidi="ar"/>
        </w:rPr>
        <w:t>NCCN《子宫肿瘤临床实践指南》Version2.2022</w:t>
      </w:r>
      <w:r>
        <w:rPr>
          <w:rFonts w:hint="eastAsia" w:ascii="宋体" w:hAnsi="宋体" w:eastAsia="宋体" w:cs="宋体"/>
          <w:sz w:val="20"/>
          <w:szCs w:val="20"/>
          <w:lang w:eastAsia="zh-CN"/>
        </w:rPr>
        <w:t>）</w:t>
      </w:r>
    </w:p>
    <w:p>
      <w:pPr>
        <w:rPr>
          <w:rFonts w:hint="eastAsia" w:ascii="宋体" w:hAnsi="宋体" w:eastAsia="宋体" w:cs="宋体"/>
          <w:sz w:val="18"/>
          <w:lang w:eastAsia="zh-CN"/>
        </w:rPr>
      </w:pP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根据TCGA分子分型可以对患者的预后进行预测，其中POLE突变型患者预后最好，微卫星不稳定型和低拷贝数型患者预后中等，高拷贝数型患者预后最差。</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目前针对TCGA分子分型指导子宫内膜癌辅助治疗的临床应用尚缺乏前瞻性研究结果，但欧洲妇科肿瘤学会（ESGO）、欧洲放射治疗和肿瘤学会（ESTRO）、欧洲病理学家协会（ESP）联合制定的《ESGO/ESTRO/ESP指南：子宫内膜癌患者的管理（2020版）》，推荐将分子分型结果与临床、病理特征进行整合，对患者的复发风险进行分层，用于指导辅助治疗。该风险分层和辅助治疗建议进一步被中国抗癌协会妇科肿瘤专业委员会制定的《子宫内膜癌诊断与治疗指南（2021版）》所引用和推荐。复发风险分层和辅助治疗建议见附录[子宫内膜癌分子分型与预后的相关性]，具体治疗策略还需结合临床及病理特征综合判断，请遵医嘱。</w:t>
      </w:r>
    </w:p>
    <w:p>
      <w:pPr>
        <w:rPr>
          <w:rFonts w:hint="eastAsia" w:ascii="宋体" w:hAnsi="宋体" w:eastAsia="宋体" w:cs="宋体"/>
          <w:b/>
          <w:bCs/>
          <w:spacing w:val="23"/>
          <w:sz w:val="21"/>
          <w:szCs w:val="21"/>
          <w:lang w:eastAsia="zh-CN"/>
        </w:rPr>
      </w:pPr>
      <w:r>
        <w:rPr>
          <w:rFonts w:hint="eastAsia" w:ascii="宋体" w:hAnsi="宋体" w:eastAsia="宋体" w:cs="宋体"/>
          <w:b/>
          <w:bCs/>
          <w:spacing w:val="23"/>
          <w:sz w:val="21"/>
          <w:szCs w:val="21"/>
          <w:lang w:eastAsia="zh-CN"/>
        </w:rPr>
        <w:br w:type="page"/>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 endif %}</w:t>
      </w:r>
    </w:p>
    <w:p>
      <w:pPr>
        <w:pStyle w:val="38"/>
        <w:numPr>
          <w:ilvl w:val="0"/>
          <w:numId w:val="8"/>
        </w:numPr>
        <w:bidi w:val="0"/>
        <w:spacing w:line="360" w:lineRule="auto"/>
        <w:ind w:left="425" w:leftChars="0" w:hanging="425" w:firstLineChars="0"/>
        <w:jc w:val="left"/>
        <w:rPr>
          <w:b/>
          <w:bCs/>
          <w:spacing w:val="23"/>
          <w:sz w:val="21"/>
          <w:szCs w:val="21"/>
        </w:rPr>
      </w:pPr>
      <w:bookmarkStart w:id="39" w:name="_Toc27109"/>
      <w:r>
        <w:rPr>
          <w:rFonts w:hint="eastAsia"/>
          <w:b/>
          <w:bCs/>
          <w:spacing w:val="23"/>
          <w:sz w:val="21"/>
          <w:szCs w:val="21"/>
        </w:rPr>
        <w:t>体细胞变异分级提示</w:t>
      </w:r>
      <w:bookmarkEnd w:id="39"/>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eastAsia="zh-CN"/>
        </w:rPr>
      </w:pPr>
      <w:bookmarkStart w:id="40" w:name="_Toc1824"/>
      <w:r>
        <w:rPr>
          <w:rFonts w:hint="eastAsia" w:ascii="Times New Roman" w:hAnsi="Times New Roman" w:eastAsia="宋体" w:cs="宋体"/>
          <w:b/>
          <w:bCs/>
          <w:spacing w:val="23"/>
          <w:sz w:val="21"/>
          <w:szCs w:val="21"/>
          <w:lang w:eastAsia="zh-CN"/>
        </w:rPr>
        <w:t>胚系变异结果提示</w:t>
      </w:r>
      <w:bookmarkEnd w:id="40"/>
    </w:p>
    <w:p>
      <w:pPr>
        <w:pStyle w:val="38"/>
        <w:numPr>
          <w:ilvl w:val="1"/>
          <w:numId w:val="8"/>
        </w:numPr>
        <w:bidi w:val="0"/>
        <w:spacing w:line="360" w:lineRule="auto"/>
        <w:ind w:left="567" w:leftChars="0" w:hanging="567" w:firstLineChars="0"/>
        <w:jc w:val="left"/>
        <w:outlineLvl w:val="9"/>
        <w:rPr>
          <w:rFonts w:hint="eastAsia" w:ascii="宋体" w:hAnsi="宋体" w:eastAsia="宋体" w:cs="宋体"/>
          <w:b/>
          <w:color w:val="auto"/>
          <w:spacing w:val="23"/>
          <w:sz w:val="21"/>
          <w:szCs w:val="21"/>
          <w:lang w:val="en-US" w:eastAsia="zh-CN"/>
        </w:rPr>
      </w:pPr>
      <w:bookmarkStart w:id="41" w:name="_Toc2655"/>
      <w:bookmarkStart w:id="42" w:name="_Toc11562_WPSOffice_Level3"/>
      <w:r>
        <w:rPr>
          <w:rFonts w:hint="eastAsia" w:ascii="宋体" w:hAnsi="宋体" w:eastAsia="宋体" w:cs="宋体"/>
          <w:b/>
          <w:color w:val="auto"/>
          <w:spacing w:val="23"/>
          <w:sz w:val="21"/>
          <w:szCs w:val="21"/>
          <w:lang w:val="en-US" w:eastAsia="zh-CN"/>
        </w:rPr>
        <w:t>肿瘤遗传风险检测</w:t>
      </w:r>
      <w:bookmarkEnd w:id="41"/>
    </w:p>
    <w:p>
      <w:pPr>
        <w:keepNext w:val="0"/>
        <w:keepLines w:val="0"/>
        <w:pageBreakBefore w:val="0"/>
        <w:widowControl w:val="0"/>
        <w:kinsoku/>
        <w:wordWrap/>
        <w:overflowPunct/>
        <w:topLinePunct w:val="0"/>
        <w:autoSpaceDE/>
        <w:autoSpaceDN/>
        <w:bidi w:val="0"/>
        <w:adjustRightInd/>
        <w:snapToGrid/>
        <w:spacing w:line="360" w:lineRule="auto"/>
        <w:ind w:right="215"/>
        <w:jc w:val="both"/>
        <w:textAlignment w:val="auto"/>
        <w:rPr>
          <w:rFonts w:hint="eastAsia" w:ascii="宋体" w:hAnsi="宋体" w:eastAsia="宋体" w:cs="宋体"/>
          <w:b w:val="0"/>
          <w:bCs/>
          <w:color w:val="000000" w:themeColor="text1"/>
          <w:spacing w:val="6"/>
          <w:sz w:val="21"/>
          <w:szCs w:val="21"/>
          <w:lang w:val="en-US"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如果您有家族遗传史，可联系我们做进一步的检测。{%if geneticCancerRiskInfo %}具体信息见“基因检测结果解析”。{%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01"/>
        <w:gridCol w:w="855"/>
        <w:gridCol w:w="855"/>
        <w:gridCol w:w="1188"/>
        <w:gridCol w:w="1095"/>
        <w:gridCol w:w="1182"/>
        <w:gridCol w:w="1182"/>
        <w:gridCol w:w="964"/>
        <w:gridCol w:w="1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center"/>
        </w:trPr>
        <w:tc>
          <w:tcPr>
            <w:tcW w:w="125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lang w:eastAsia="zh-CN"/>
              </w:rPr>
              <w:t>突变</w:t>
            </w:r>
            <w:r>
              <w:rPr>
                <w:rFonts w:hint="eastAsia" w:ascii="宋体" w:hAnsi="宋体" w:eastAsia="宋体" w:cs="宋体"/>
                <w:b/>
                <w:bCs/>
                <w:color w:val="auto"/>
                <w:sz w:val="21"/>
                <w:szCs w:val="21"/>
              </w:rPr>
              <w:t>基因</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染色体</w:t>
            </w:r>
          </w:p>
        </w:tc>
        <w:tc>
          <w:tcPr>
            <w:tcW w:w="825"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区域</w:t>
            </w:r>
          </w:p>
        </w:tc>
        <w:tc>
          <w:tcPr>
            <w:tcW w:w="114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核苷酸</w:t>
            </w:r>
          </w:p>
        </w:tc>
        <w:tc>
          <w:tcPr>
            <w:tcW w:w="1056"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氨基酸</w:t>
            </w:r>
          </w:p>
        </w:tc>
        <w:tc>
          <w:tcPr>
            <w:tcW w:w="1140" w:type="dxa"/>
            <w:shd w:val="clear" w:color="auto" w:fill="9DC3E6"/>
            <w:vAlign w:val="center"/>
          </w:tcPr>
          <w:p>
            <w:pPr>
              <w:pStyle w:val="20"/>
              <w:jc w:val="center"/>
              <w:rPr>
                <w:rFonts w:hint="eastAsia" w:ascii="宋体" w:hAnsi="宋体" w:eastAsia="宋体" w:cs="宋体"/>
                <w:b/>
                <w:bCs/>
                <w:color w:val="auto"/>
                <w:spacing w:val="-1"/>
                <w:sz w:val="21"/>
                <w:szCs w:val="21"/>
              </w:rPr>
            </w:pPr>
            <w:r>
              <w:rPr>
                <w:rFonts w:hint="eastAsia" w:ascii="宋体" w:hAnsi="宋体" w:eastAsia="宋体" w:cs="宋体"/>
                <w:b/>
                <w:bCs/>
                <w:color w:val="auto"/>
                <w:sz w:val="21"/>
                <w:szCs w:val="21"/>
              </w:rPr>
              <w:t>突变类型</w:t>
            </w:r>
          </w:p>
        </w:tc>
        <w:tc>
          <w:tcPr>
            <w:tcW w:w="114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pacing w:val="-1"/>
                <w:sz w:val="21"/>
                <w:szCs w:val="21"/>
              </w:rPr>
              <w:t>杂合/纯合</w:t>
            </w:r>
          </w:p>
        </w:tc>
        <w:tc>
          <w:tcPr>
            <w:tcW w:w="930" w:type="dxa"/>
            <w:shd w:val="clear" w:color="auto" w:fill="9DC3E6"/>
            <w:vAlign w:val="center"/>
          </w:tcPr>
          <w:p>
            <w:pPr>
              <w:pStyle w:val="2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千人频率</w:t>
            </w:r>
          </w:p>
        </w:tc>
        <w:tc>
          <w:tcPr>
            <w:tcW w:w="1527" w:type="dxa"/>
            <w:shd w:val="clear" w:color="auto" w:fill="9DC3E6"/>
            <w:vAlign w:val="center"/>
          </w:tcPr>
          <w:p>
            <w:pPr>
              <w:pStyle w:val="20"/>
              <w:spacing w:before="24" w:beforeLines="10"/>
              <w:jc w:val="center"/>
              <w:rPr>
                <w:rFonts w:hint="eastAsia" w:ascii="宋体" w:hAnsi="宋体" w:eastAsia="宋体" w:cs="宋体"/>
                <w:color w:val="auto"/>
                <w:sz w:val="21"/>
                <w:szCs w:val="21"/>
              </w:rPr>
            </w:pPr>
            <w:r>
              <w:rPr>
                <w:rFonts w:hint="eastAsia" w:ascii="宋体" w:hAnsi="宋体" w:eastAsia="宋体" w:cs="宋体"/>
                <w:b/>
                <w:bCs/>
                <w:color w:val="auto"/>
                <w:sz w:val="21"/>
                <w:szCs w:val="21"/>
              </w:rPr>
              <w:t>临床意义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crCheckLineStrYF1280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cr in crCheckLineStrYF1280 %}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255" w:type="dxa"/>
            <w:shd w:val="clear" w:color="auto" w:fill="auto"/>
            <w:vAlign w:val="center"/>
          </w:tcPr>
          <w:p>
            <w:pPr>
              <w:spacing w:before="20"/>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 cr.Gene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cr.Chr }}</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 }}</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cr.cHGVS }}</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cr.pHGVS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cr.ExonicFunc }}</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cr.Zygosity }}</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cr.c1000g2015aug_all }}</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cr.Clinical_significance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825"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056"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14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930"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c>
          <w:tcPr>
            <w:tcW w:w="1527" w:type="dxa"/>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spacing w:before="29" w:line="240" w:lineRule="auto"/>
        <w:rPr>
          <w:rFonts w:hint="eastAsia" w:ascii="宋体" w:hAnsi="宋体" w:eastAsia="宋体" w:cs="宋体"/>
          <w:b/>
          <w:color w:val="auto"/>
          <w:spacing w:val="6"/>
          <w:sz w:val="21"/>
          <w:szCs w:val="21"/>
          <w:lang w:val="en-US" w:eastAsia="zh-CN"/>
        </w:rPr>
      </w:pPr>
    </w:p>
    <w:p>
      <w:pPr>
        <w:pStyle w:val="38"/>
        <w:numPr>
          <w:ilvl w:val="1"/>
          <w:numId w:val="8"/>
        </w:numPr>
        <w:bidi w:val="0"/>
        <w:spacing w:line="360" w:lineRule="auto"/>
        <w:ind w:left="567" w:leftChars="0" w:hanging="567" w:firstLineChars="0"/>
        <w:jc w:val="left"/>
        <w:outlineLvl w:val="9"/>
        <w:rPr>
          <w:rFonts w:hint="eastAsia" w:ascii="宋体" w:hAnsi="宋体" w:eastAsia="宋体" w:cs="宋体"/>
          <w:b/>
          <w:color w:val="auto"/>
          <w:spacing w:val="23"/>
          <w:sz w:val="21"/>
          <w:szCs w:val="21"/>
          <w:lang w:val="en-US" w:eastAsia="zh-CN"/>
        </w:rPr>
      </w:pPr>
      <w:bookmarkStart w:id="43" w:name="_Toc7554"/>
      <w:r>
        <w:rPr>
          <w:rFonts w:hint="eastAsia" w:ascii="宋体" w:hAnsi="宋体" w:eastAsia="宋体" w:cs="宋体"/>
          <w:b/>
          <w:color w:val="auto"/>
          <w:spacing w:val="23"/>
          <w:sz w:val="21"/>
          <w:szCs w:val="21"/>
          <w:lang w:val="en-US" w:eastAsia="zh-CN"/>
        </w:rPr>
        <w:t>胚系变异用药提示</w:t>
      </w:r>
      <w:bookmarkEnd w:id="43"/>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91"/>
        <w:gridCol w:w="4330"/>
        <w:gridCol w:w="4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691"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4330"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4184"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宋体" w:hAnsi="宋体" w:eastAsia="宋体" w:cs="宋体"/>
                <w:sz w:val="21"/>
                <w:szCs w:val="21"/>
                <w:lang w:eastAsia="zh-CN"/>
              </w:rPr>
              <w:t>{%tr if embryonalDrugTipLineStr !=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embryonalDrugTipLineStr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691"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4330"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c>
          <w:tcPr>
            <w:tcW w:w="4184"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262" w:leftChars="0" w:right="131" w:rightChars="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本次检测未发现靶药相关致病性及可能致病性胚系突变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3"/>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lang w:eastAsia="zh-CN"/>
        </w:rPr>
        <w:t>注：</w:t>
      </w:r>
    </w:p>
    <w:p>
      <w:pPr>
        <w:pStyle w:val="22"/>
        <w:numPr>
          <w:ilvl w:val="0"/>
          <w:numId w:val="11"/>
        </w:numPr>
        <w:spacing w:before="47" w:line="360" w:lineRule="auto"/>
        <w:outlineLvl w:val="9"/>
        <w:rPr>
          <w:rFonts w:hint="eastAsia" w:ascii="宋体" w:hAnsi="宋体" w:eastAsia="宋体" w:cs="宋体"/>
          <w:sz w:val="18"/>
          <w:szCs w:val="18"/>
          <w:lang w:eastAsia="zh-CN"/>
        </w:rPr>
      </w:pPr>
      <w:r>
        <w:rPr>
          <w:rFonts w:hint="eastAsia" w:ascii="宋体" w:hAnsi="宋体" w:eastAsia="宋体" w:cs="宋体"/>
          <w:sz w:val="18"/>
          <w:szCs w:val="18"/>
          <w:lang w:eastAsia="zh-CN"/>
        </w:rPr>
        <w:t>本报告只给出千人频率均在2%以下的胚系非同义突变。</w:t>
      </w:r>
    </w:p>
    <w:p>
      <w:pPr>
        <w:pStyle w:val="22"/>
        <w:numPr>
          <w:ilvl w:val="0"/>
          <w:numId w:val="11"/>
        </w:numPr>
        <w:spacing w:before="47"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根据美国医学遗传医师学会（ACMG）指导意见，个体携带的变异，分为5个大类：</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致病性变异：有大量证据表明这种变异是高风险的致病性变异。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可能致病性变异：有一些证据表明这种变异是高风险的致病性变异。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val="zh-CN" w:eastAsia="zh-CN"/>
        </w:rPr>
        <w:t>不确定性变异：没有足够的证据，将变异分类到其他四类中。</w:t>
      </w:r>
    </w:p>
    <w:p>
      <w:pPr>
        <w:numPr>
          <w:ilvl w:val="0"/>
          <w:numId w:val="12"/>
        </w:numPr>
        <w:spacing w:line="360" w:lineRule="auto"/>
        <w:ind w:left="420" w:leftChars="0" w:firstLine="20" w:firstLineChars="0"/>
        <w:rPr>
          <w:rFonts w:hint="eastAsia" w:ascii="宋体" w:hAnsi="宋体" w:eastAsia="宋体" w:cs="宋体"/>
          <w:sz w:val="18"/>
          <w:szCs w:val="18"/>
          <w:lang w:val="zh-CN" w:eastAsia="zh-CN"/>
        </w:rPr>
      </w:pPr>
      <w:r>
        <w:rPr>
          <w:rFonts w:hint="eastAsia" w:ascii="宋体" w:hAnsi="宋体" w:eastAsia="宋体" w:cs="宋体"/>
          <w:sz w:val="18"/>
          <w:szCs w:val="18"/>
          <w:lang w:eastAsia="zh-CN"/>
        </w:rPr>
        <w:t>可能良性</w:t>
      </w:r>
      <w:r>
        <w:rPr>
          <w:rFonts w:hint="eastAsia" w:ascii="宋体" w:hAnsi="宋体" w:eastAsia="宋体" w:cs="宋体"/>
          <w:sz w:val="18"/>
          <w:szCs w:val="18"/>
          <w:lang w:val="zh-CN" w:eastAsia="zh-CN"/>
        </w:rPr>
        <w:t>变异：有一些证据表明这种变异不是高风险的致病变异。</w:t>
      </w:r>
    </w:p>
    <w:p>
      <w:pPr>
        <w:numPr>
          <w:ilvl w:val="0"/>
          <w:numId w:val="12"/>
        </w:numPr>
        <w:spacing w:line="360" w:lineRule="auto"/>
        <w:ind w:left="420" w:leftChars="0" w:firstLine="20" w:firstLineChars="0"/>
        <w:rPr>
          <w:rFonts w:hint="eastAsia" w:ascii="宋体" w:hAnsi="宋体" w:eastAsia="宋体" w:cs="宋体"/>
          <w:sz w:val="18"/>
          <w:szCs w:val="18"/>
          <w:lang w:eastAsia="zh-CN"/>
        </w:rPr>
      </w:pPr>
      <w:r>
        <w:rPr>
          <w:rFonts w:hint="eastAsia" w:ascii="宋体" w:hAnsi="宋体" w:eastAsia="宋体" w:cs="宋体"/>
          <w:sz w:val="18"/>
          <w:szCs w:val="18"/>
          <w:lang w:eastAsia="zh-CN"/>
        </w:rPr>
        <w:t>良性</w:t>
      </w:r>
      <w:r>
        <w:rPr>
          <w:rFonts w:hint="eastAsia" w:ascii="宋体" w:hAnsi="宋体" w:eastAsia="宋体" w:cs="宋体"/>
          <w:sz w:val="18"/>
          <w:szCs w:val="18"/>
          <w:lang w:val="zh-CN" w:eastAsia="zh-CN"/>
        </w:rPr>
        <w:t>变异：有大量证据表明这种变异不是高风险的致病变异。</w:t>
      </w:r>
    </w:p>
    <w:p>
      <w:pPr>
        <w:pStyle w:val="22"/>
        <w:numPr>
          <w:ilvl w:val="0"/>
          <w:numId w:val="11"/>
        </w:numPr>
        <w:spacing w:before="47" w:line="36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基因变异临床意义等级来源于ACMG指南及Clinvar等公共数据库，随着相关指南、数据库不断完善以及临床数据的更新，变异分级可能发生变化。</w:t>
      </w:r>
    </w:p>
    <w:p>
      <w:pPr>
        <w:pStyle w:val="22"/>
        <w:numPr>
          <w:ilvl w:val="0"/>
          <w:numId w:val="11"/>
        </w:numPr>
        <w:spacing w:before="47" w:line="360" w:lineRule="auto"/>
        <w:outlineLvl w:val="9"/>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良性变异和可能良性变异不在报告中展示。</w:t>
      </w:r>
    </w:p>
    <w:p>
      <w:pPr>
        <w:rPr>
          <w:rFonts w:hint="eastAsia" w:ascii="宋体" w:hAnsi="宋体" w:eastAsia="宋体" w:cs="宋体"/>
          <w:b/>
          <w:color w:val="auto"/>
          <w:spacing w:val="6"/>
          <w:sz w:val="21"/>
          <w:szCs w:val="21"/>
          <w:lang w:val="en-US" w:eastAsia="zh-CN"/>
        </w:rPr>
      </w:pPr>
      <w:r>
        <w:rPr>
          <w:rFonts w:hint="eastAsia" w:ascii="宋体" w:hAnsi="宋体" w:eastAsia="宋体" w:cs="宋体"/>
          <w:b/>
          <w:color w:val="auto"/>
          <w:spacing w:val="6"/>
          <w:sz w:val="21"/>
          <w:szCs w:val="21"/>
          <w:lang w:val="en-US" w:eastAsia="zh-CN"/>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44" w:name="_Toc11398"/>
      <w:bookmarkStart w:id="45" w:name="_Toc18258"/>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val="en-US" w:eastAsia="zh-CN"/>
        </w:rPr>
      </w:pPr>
      <w:bookmarkStart w:id="46" w:name="_Toc17511"/>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44"/>
      <w:bookmarkEnd w:id="45"/>
      <w:bookmarkEnd w:id="46"/>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eastAsia="zh-CN"/>
        </w:rPr>
      </w:pPr>
      <w:bookmarkStart w:id="47" w:name="_Toc18945"/>
      <w:r>
        <w:rPr>
          <w:rFonts w:hint="eastAsia" w:ascii="Times New Roman" w:hAnsi="Times New Roman" w:eastAsia="宋体" w:cs="宋体"/>
          <w:b/>
          <w:bCs/>
          <w:spacing w:val="23"/>
          <w:sz w:val="21"/>
          <w:szCs w:val="21"/>
          <w:lang w:val="en-US" w:eastAsia="zh-CN"/>
        </w:rPr>
        <w:t>免疫药物用药提示</w:t>
      </w:r>
      <w:bookmarkEnd w:id="47"/>
    </w:p>
    <w:tbl>
      <w:tblPr>
        <w:tblStyle w:val="14"/>
        <w:tblW w:w="1020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2501"/>
        <w:gridCol w:w="2693"/>
        <w:gridCol w:w="3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974" w:type="dxa"/>
            <w:gridSpan w:val="2"/>
            <w:shd w:val="clear" w:color="auto" w:fill="9DC3E6"/>
            <w:vAlign w:val="center"/>
          </w:tcPr>
          <w:p>
            <w:pPr>
              <w:widowControl/>
              <w:snapToGrid w:val="0"/>
              <w:jc w:val="center"/>
              <w:textAlignment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检出指标/基因</w:t>
            </w:r>
          </w:p>
        </w:tc>
        <w:tc>
          <w:tcPr>
            <w:tcW w:w="2693"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40"/>
                <w:rFonts w:hint="eastAsia" w:ascii="宋体" w:hAnsi="宋体" w:eastAsia="宋体" w:cs="宋体"/>
                <w:b/>
                <w:bCs/>
                <w:color w:val="auto"/>
                <w:lang w:eastAsia="zh-CN" w:bidi="ar"/>
              </w:rPr>
              <w:t>检测结果</w:t>
            </w:r>
          </w:p>
        </w:tc>
        <w:tc>
          <w:tcPr>
            <w:tcW w:w="3538" w:type="dxa"/>
            <w:shd w:val="clear" w:color="auto" w:fill="9DC3E6"/>
            <w:vAlign w:val="center"/>
          </w:tcPr>
          <w:p>
            <w:pPr>
              <w:widowControl/>
              <w:snapToGrid w:val="0"/>
              <w:jc w:val="center"/>
              <w:textAlignment w:val="center"/>
              <w:rPr>
                <w:rFonts w:hint="eastAsia" w:ascii="宋体" w:hAnsi="宋体" w:eastAsia="宋体" w:cs="宋体"/>
                <w:b/>
                <w:bCs/>
                <w:color w:val="auto"/>
                <w:sz w:val="21"/>
                <w:szCs w:val="21"/>
              </w:rPr>
            </w:pPr>
            <w:r>
              <w:rPr>
                <w:rStyle w:val="40"/>
                <w:rFonts w:hint="eastAsia" w:ascii="宋体" w:hAnsi="宋体" w:eastAsia="宋体" w:cs="宋体"/>
                <w:b/>
                <w:bCs/>
                <w:color w:val="auto"/>
                <w:lang w:eastAsia="zh-CN" w:bidi="ar"/>
              </w:rPr>
              <w:t>检测意义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74" w:type="dxa"/>
            <w:gridSpan w:val="2"/>
            <w:shd w:val="clear" w:color="auto" w:fill="auto"/>
            <w:vAlign w:val="center"/>
          </w:tcPr>
          <w:p>
            <w:pPr>
              <w:widowControl/>
              <w:snapToGrid w:val="0"/>
              <w:jc w:val="center"/>
              <w:textAlignment w:val="center"/>
              <w:rPr>
                <w:rFonts w:hint="eastAsia" w:ascii="宋体" w:hAnsi="宋体" w:eastAsia="宋体" w:cs="宋体"/>
                <w:b/>
                <w:bCs/>
                <w:color w:val="000000"/>
                <w:sz w:val="21"/>
                <w:szCs w:val="21"/>
                <w:lang w:eastAsia="zh-CN"/>
              </w:rPr>
            </w:pPr>
            <w:r>
              <w:rPr>
                <w:rStyle w:val="41"/>
                <w:rFonts w:hint="eastAsia" w:ascii="宋体" w:hAnsi="宋体" w:eastAsia="宋体" w:cs="宋体"/>
                <w:lang w:eastAsia="zh-CN" w:bidi="ar"/>
              </w:rPr>
              <w:t>肿瘤突变负荷（TMB）</w:t>
            </w:r>
          </w:p>
        </w:tc>
        <w:tc>
          <w:tcPr>
            <w:tcW w:w="2693" w:type="dxa"/>
            <w:shd w:val="clear" w:color="auto" w:fill="auto"/>
            <w:vAlign w:val="center"/>
          </w:tcPr>
          <w:p>
            <w:pPr>
              <w:widowControl/>
              <w:snapToGrid w:val="0"/>
              <w:jc w:val="center"/>
              <w:textAlignment w:val="center"/>
              <w:rPr>
                <w:rStyle w:val="42"/>
                <w:rFonts w:hint="eastAsia" w:ascii="宋体" w:hAnsi="宋体" w:eastAsia="宋体" w:cs="宋体"/>
                <w:lang w:eastAsia="zh-CN" w:bidi="ar"/>
              </w:rPr>
            </w:pPr>
            <w:r>
              <w:rPr>
                <w:rFonts w:hint="eastAsia" w:ascii="宋体" w:hAnsi="宋体" w:eastAsia="宋体" w:cs="宋体"/>
                <w:sz w:val="21"/>
                <w:szCs w:val="21"/>
                <w:lang w:eastAsia="zh-CN"/>
              </w:rPr>
              <w:t>{% if summaryOfRresults.tmb_status == ‘TMB-H’ %}肿瘤突变负荷高{% else %}肿瘤突变负荷低{% endif %}</w:t>
            </w:r>
          </w:p>
          <w:p>
            <w:pPr>
              <w:widowControl/>
              <w:snapToGrid w:val="0"/>
              <w:jc w:val="center"/>
              <w:textAlignment w:val="center"/>
              <w:rPr>
                <w:rStyle w:val="42"/>
                <w:rFonts w:hint="eastAsia" w:ascii="宋体" w:hAnsi="宋体" w:eastAsia="宋体" w:cs="宋体"/>
                <w:lang w:eastAsia="zh-CN" w:bidi="ar"/>
              </w:rPr>
            </w:pPr>
            <w:r>
              <w:rPr>
                <w:rFonts w:hint="eastAsia" w:ascii="宋体" w:hAnsi="宋体" w:eastAsia="宋体" w:cs="宋体"/>
                <w:sz w:val="21"/>
                <w:szCs w:val="21"/>
                <w:lang w:eastAsia="zh-CN"/>
              </w:rPr>
              <w:t>（{{ summaryOfRresults.tmb_status}}）</w:t>
            </w:r>
            <w:r>
              <w:rPr>
                <w:rStyle w:val="42"/>
                <w:rFonts w:hint="eastAsia" w:ascii="宋体" w:hAnsi="宋体" w:eastAsia="宋体" w:cs="宋体"/>
                <w:lang w:eastAsia="zh-CN" w:bidi="ar"/>
              </w:rPr>
              <w:t>，</w:t>
            </w:r>
            <w:r>
              <w:rPr>
                <w:rFonts w:hint="eastAsia" w:ascii="宋体" w:hAnsi="宋体" w:eastAsia="宋体" w:cs="宋体"/>
                <w:sz w:val="21"/>
                <w:szCs w:val="21"/>
                <w:lang w:eastAsia="zh-CN"/>
              </w:rPr>
              <w:t>{{ summaryOfRresults.tmb }}Muts/Mb</w:t>
            </w:r>
          </w:p>
        </w:tc>
        <w:tc>
          <w:tcPr>
            <w:tcW w:w="3538" w:type="dxa"/>
            <w:shd w:val="clear" w:color="auto" w:fill="auto"/>
            <w:vAlign w:val="center"/>
          </w:tcPr>
          <w:p>
            <w:pPr>
              <w:keepNext w:val="0"/>
              <w:keepLines w:val="0"/>
              <w:pageBreakBefore w:val="0"/>
              <w:widowControl/>
              <w:kinsoku/>
              <w:wordWrap/>
              <w:overflowPunct/>
              <w:topLinePunct w:val="0"/>
              <w:autoSpaceDE/>
              <w:autoSpaceDN/>
              <w:bidi w:val="0"/>
              <w:adjustRightInd/>
              <w:snapToGrid w:val="0"/>
              <w:spacing w:before="0" w:beforeLines="30" w:line="288" w:lineRule="auto"/>
              <w:jc w:val="both"/>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if summaryOfRresults.tmb_status == ‘TMB-H’ %}肿瘤</w:t>
            </w:r>
            <w:r>
              <w:rPr>
                <w:rStyle w:val="42"/>
                <w:rFonts w:hint="eastAsia" w:ascii="宋体" w:hAnsi="宋体" w:eastAsia="宋体" w:cs="宋体"/>
                <w:lang w:eastAsia="zh-CN" w:bidi="ar"/>
              </w:rPr>
              <w:t>突变负荷高（TMB-H）的患者接受免疫检查点抑制剂药物治疗的获益率较高。</w:t>
            </w:r>
            <w:r>
              <w:rPr>
                <w:rFonts w:hint="eastAsia" w:ascii="宋体" w:hAnsi="宋体" w:eastAsia="宋体" w:cs="宋体"/>
                <w:sz w:val="21"/>
                <w:szCs w:val="21"/>
                <w:lang w:eastAsia="zh-CN"/>
              </w:rPr>
              <w:t>{% else %}肿瘤</w:t>
            </w:r>
            <w:r>
              <w:rPr>
                <w:rStyle w:val="42"/>
                <w:rFonts w:hint="eastAsia" w:ascii="宋体" w:hAnsi="宋体" w:eastAsia="宋体" w:cs="宋体"/>
                <w:lang w:eastAsia="zh-CN" w:bidi="ar"/>
              </w:rPr>
              <w:t>突变负荷低（TMB-L）的患者接受免疫检查点抑制剂药物治疗的获益率较低。</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74" w:type="dxa"/>
            <w:gridSpan w:val="2"/>
            <w:shd w:val="clear" w:color="auto" w:fill="auto"/>
            <w:vAlign w:val="center"/>
          </w:tcPr>
          <w:p>
            <w:pPr>
              <w:widowControl/>
              <w:snapToGrid w:val="0"/>
              <w:jc w:val="center"/>
              <w:textAlignment w:val="center"/>
              <w:rPr>
                <w:rFonts w:hint="eastAsia" w:ascii="宋体" w:hAnsi="宋体" w:eastAsia="宋体" w:cs="宋体"/>
                <w:b/>
                <w:bCs/>
                <w:color w:val="000000"/>
                <w:sz w:val="21"/>
                <w:szCs w:val="21"/>
                <w:lang w:eastAsia="zh-CN"/>
              </w:rPr>
            </w:pPr>
            <w:r>
              <w:rPr>
                <w:rStyle w:val="43"/>
                <w:rFonts w:hint="eastAsia" w:ascii="宋体" w:hAnsi="宋体" w:eastAsia="宋体" w:cs="宋体"/>
                <w:lang w:eastAsia="zh-CN" w:bidi="ar"/>
              </w:rPr>
              <w:t>微卫星不稳定（</w:t>
            </w:r>
            <w:r>
              <w:rPr>
                <w:rStyle w:val="41"/>
                <w:rFonts w:hint="eastAsia" w:ascii="宋体" w:hAnsi="宋体" w:eastAsia="宋体" w:cs="宋体"/>
                <w:lang w:eastAsia="zh-CN" w:bidi="ar"/>
              </w:rPr>
              <w:t>MSI</w:t>
            </w:r>
            <w:r>
              <w:rPr>
                <w:rStyle w:val="43"/>
                <w:rFonts w:hint="eastAsia" w:ascii="宋体" w:hAnsi="宋体" w:eastAsia="宋体" w:cs="宋体"/>
                <w:lang w:eastAsia="zh-CN" w:bidi="ar"/>
              </w:rPr>
              <w:t>）</w:t>
            </w:r>
          </w:p>
        </w:tc>
        <w:tc>
          <w:tcPr>
            <w:tcW w:w="2693" w:type="dxa"/>
            <w:shd w:val="clear" w:color="auto" w:fill="auto"/>
            <w:vAlign w:val="center"/>
          </w:tcPr>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summaryOfRresults.msi_status_state }}</w:t>
            </w:r>
          </w:p>
        </w:tc>
        <w:tc>
          <w:tcPr>
            <w:tcW w:w="3538" w:type="dxa"/>
            <w:shd w:val="clear" w:color="auto" w:fill="auto"/>
            <w:vAlign w:val="center"/>
          </w:tcPr>
          <w:p>
            <w:pPr>
              <w:keepNext w:val="0"/>
              <w:keepLines w:val="0"/>
              <w:pageBreakBefore w:val="0"/>
              <w:widowControl/>
              <w:kinsoku/>
              <w:wordWrap/>
              <w:overflowPunct/>
              <w:topLinePunct w:val="0"/>
              <w:autoSpaceDE/>
              <w:autoSpaceDN/>
              <w:bidi w:val="0"/>
              <w:adjustRightInd/>
              <w:snapToGrid w:val="0"/>
              <w:spacing w:before="0" w:beforeLines="30" w:line="288" w:lineRule="auto"/>
              <w:jc w:val="both"/>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 if summaryOfRresults.msi_status == ‘MSI-H’ %}</w:t>
            </w:r>
            <w:r>
              <w:rPr>
                <w:rStyle w:val="42"/>
                <w:rFonts w:hint="eastAsia" w:ascii="宋体" w:hAnsi="宋体" w:eastAsia="宋体" w:cs="宋体"/>
                <w:lang w:eastAsia="zh-CN" w:bidi="ar"/>
              </w:rPr>
              <w:t>微卫星不稳定型（</w:t>
            </w:r>
            <w:r>
              <w:rPr>
                <w:rStyle w:val="44"/>
                <w:rFonts w:hint="eastAsia" w:ascii="宋体" w:hAnsi="宋体" w:eastAsia="宋体" w:cs="宋体"/>
                <w:lang w:eastAsia="zh-CN" w:bidi="ar"/>
              </w:rPr>
              <w:t>MSI-H</w:t>
            </w:r>
            <w:r>
              <w:rPr>
                <w:rStyle w:val="42"/>
                <w:rFonts w:hint="eastAsia" w:ascii="宋体" w:hAnsi="宋体" w:eastAsia="宋体" w:cs="宋体"/>
                <w:lang w:eastAsia="zh-CN" w:bidi="ar"/>
              </w:rPr>
              <w:t>）患者免疫治疗预后较好，接受免疫检查点抑制剂药物治疗的获益率较高。</w:t>
            </w:r>
            <w:r>
              <w:rPr>
                <w:rFonts w:hint="eastAsia" w:ascii="宋体" w:hAnsi="宋体" w:eastAsia="宋体" w:cs="宋体"/>
                <w:sz w:val="21"/>
                <w:szCs w:val="21"/>
                <w:lang w:eastAsia="zh-CN"/>
              </w:rPr>
              <w:t>{% else %}</w:t>
            </w:r>
            <w:r>
              <w:rPr>
                <w:rFonts w:hint="eastAsia" w:ascii="宋体" w:hAnsi="宋体" w:eastAsia="宋体" w:cs="宋体"/>
                <w:color w:val="000000"/>
                <w:sz w:val="21"/>
                <w:szCs w:val="21"/>
                <w:lang w:eastAsia="zh-CN" w:bidi="ar"/>
              </w:rPr>
              <w:t>微卫星稳定型（MSS）患者接受免疫检查点抑制剂药物治疗的获益率较低。</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restart"/>
            <w:shd w:val="clear" w:color="auto" w:fill="auto"/>
            <w:vAlign w:val="center"/>
          </w:tcPr>
          <w:p>
            <w:pPr>
              <w:widowControl/>
              <w:snapToGrid w:val="0"/>
              <w:jc w:val="center"/>
              <w:textAlignment w:val="center"/>
              <w:rPr>
                <w:rStyle w:val="43"/>
                <w:rFonts w:hint="eastAsia" w:ascii="宋体" w:hAnsi="宋体" w:eastAsia="宋体" w:cs="宋体"/>
                <w:lang w:eastAsia="zh-CN" w:bidi="ar"/>
              </w:rPr>
            </w:pPr>
            <w:r>
              <w:rPr>
                <w:rStyle w:val="43"/>
                <w:rFonts w:hint="eastAsia" w:ascii="宋体" w:hAnsi="宋体" w:eastAsia="宋体" w:cs="宋体"/>
                <w:lang w:eastAsia="zh-CN" w:bidi="ar"/>
              </w:rPr>
              <w:t>错配修复（</w:t>
            </w:r>
            <w:r>
              <w:rPr>
                <w:rStyle w:val="41"/>
                <w:rFonts w:hint="eastAsia" w:ascii="宋体" w:hAnsi="宋体" w:eastAsia="宋体" w:cs="宋体"/>
                <w:lang w:eastAsia="zh-CN" w:bidi="ar"/>
              </w:rPr>
              <w:t>MMR</w:t>
            </w:r>
            <w:r>
              <w:rPr>
                <w:rStyle w:val="43"/>
                <w:rFonts w:hint="eastAsia" w:ascii="宋体" w:hAnsi="宋体" w:eastAsia="宋体" w:cs="宋体"/>
                <w:lang w:eastAsia="zh-CN" w:bidi="ar"/>
              </w:rPr>
              <w:t>）</w:t>
            </w:r>
          </w:p>
          <w:p>
            <w:pPr>
              <w:widowControl/>
              <w:snapToGrid w:val="0"/>
              <w:jc w:val="center"/>
              <w:textAlignment w:val="center"/>
              <w:rPr>
                <w:rFonts w:hint="eastAsia" w:ascii="宋体" w:hAnsi="宋体" w:eastAsia="宋体" w:cs="宋体"/>
                <w:b/>
                <w:bCs/>
                <w:color w:val="000000"/>
                <w:sz w:val="21"/>
                <w:szCs w:val="21"/>
                <w:lang w:eastAsia="zh-CN"/>
              </w:rPr>
            </w:pPr>
            <w:r>
              <w:rPr>
                <w:rStyle w:val="43"/>
                <w:rFonts w:hint="eastAsia" w:ascii="宋体" w:hAnsi="宋体" w:eastAsia="宋体" w:cs="宋体"/>
                <w:lang w:eastAsia="zh-CN" w:bidi="ar"/>
              </w:rPr>
              <w:t>基因</w:t>
            </w: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4"/>
                <w:rFonts w:hint="eastAsia" w:ascii="宋体" w:hAnsi="宋体" w:eastAsia="宋体" w:cs="宋体"/>
                <w:lang w:eastAsia="zh-CN" w:bidi="ar"/>
              </w:rPr>
              <w:t>MLH1失活突变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dmmr.dmmrMLH1 %}{%if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dmmr.detectionSignificance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4"/>
                <w:rFonts w:hint="eastAsia" w:ascii="宋体" w:hAnsi="宋体" w:eastAsia="宋体" w:cs="宋体"/>
                <w:lang w:eastAsia="zh-CN" w:bidi="ar"/>
              </w:rPr>
              <w:t>MSH2失活突变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w:t>
            </w:r>
            <w:r>
              <w:rPr>
                <w:rStyle w:val="44"/>
                <w:rFonts w:hint="eastAsia" w:ascii="宋体" w:hAnsi="宋体" w:eastAsia="宋体" w:cs="宋体"/>
                <w:color w:val="auto"/>
                <w:lang w:eastAsia="zh-CN" w:bidi="ar"/>
              </w:rPr>
              <w:t>SH</w:t>
            </w:r>
            <w:r>
              <w:rPr>
                <w:rFonts w:hint="eastAsia" w:ascii="宋体" w:hAnsi="宋体" w:eastAsia="宋体" w:cs="宋体"/>
                <w:sz w:val="21"/>
                <w:szCs w:val="21"/>
                <w:lang w:eastAsia="zh-CN"/>
              </w:rPr>
              <w:t>2 %}{%if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4"/>
                <w:rFonts w:hint="eastAsia" w:ascii="宋体" w:hAnsi="宋体" w:eastAsia="宋体" w:cs="宋体"/>
                <w:lang w:eastAsia="zh-CN" w:bidi="ar"/>
              </w:rPr>
              <w:t>MSH6失活突变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dmmr.dmmrM</w:t>
            </w:r>
            <w:r>
              <w:rPr>
                <w:rStyle w:val="44"/>
                <w:rFonts w:hint="eastAsia" w:ascii="宋体" w:hAnsi="宋体" w:eastAsia="宋体" w:cs="宋体"/>
                <w:color w:val="auto"/>
                <w:lang w:eastAsia="zh-CN" w:bidi="ar"/>
              </w:rPr>
              <w:t>SH6</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b/>
                <w:bCs/>
                <w:color w:val="000000"/>
                <w:sz w:val="21"/>
                <w:szCs w:val="21"/>
              </w:rPr>
            </w:pPr>
          </w:p>
        </w:tc>
        <w:tc>
          <w:tcPr>
            <w:tcW w:w="2501" w:type="dxa"/>
            <w:shd w:val="clear" w:color="auto" w:fill="auto"/>
            <w:vAlign w:val="center"/>
          </w:tcPr>
          <w:p>
            <w:pPr>
              <w:widowControl/>
              <w:snapToGrid w:val="0"/>
              <w:textAlignment w:val="center"/>
              <w:rPr>
                <w:rFonts w:hint="eastAsia" w:ascii="宋体" w:hAnsi="宋体" w:eastAsia="宋体" w:cs="宋体"/>
                <w:color w:val="000000"/>
                <w:sz w:val="21"/>
                <w:szCs w:val="21"/>
              </w:rPr>
            </w:pPr>
            <w:r>
              <w:rPr>
                <w:rStyle w:val="44"/>
                <w:rFonts w:hint="eastAsia" w:ascii="宋体" w:hAnsi="宋体" w:eastAsia="宋体" w:cs="宋体"/>
                <w:lang w:eastAsia="zh-CN" w:bidi="ar"/>
              </w:rPr>
              <w:t>PMS2失活突变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dmmr.dmmr</w:t>
            </w:r>
            <w:r>
              <w:rPr>
                <w:rStyle w:val="44"/>
                <w:rFonts w:hint="eastAsia" w:ascii="宋体" w:hAnsi="宋体" w:eastAsia="宋体" w:cs="宋体"/>
                <w:color w:val="auto"/>
                <w:lang w:eastAsia="zh-CN" w:bidi="ar"/>
              </w:rPr>
              <w:t>PMS2</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jc w:val="both"/>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restart"/>
            <w:shd w:val="clear" w:color="auto" w:fill="auto"/>
            <w:vAlign w:val="center"/>
          </w:tcPr>
          <w:p>
            <w:pPr>
              <w:widowControl/>
              <w:snapToGrid w:val="0"/>
              <w:jc w:val="center"/>
              <w:textAlignment w:val="center"/>
              <w:rPr>
                <w:rFonts w:hint="eastAsia" w:ascii="宋体" w:hAnsi="宋体" w:eastAsia="宋体" w:cs="宋体"/>
                <w:b/>
                <w:bCs/>
                <w:sz w:val="21"/>
                <w:szCs w:val="21"/>
                <w:lang w:eastAsia="zh-CN" w:bidi="ar"/>
              </w:rPr>
            </w:pPr>
            <w:r>
              <w:rPr>
                <w:rFonts w:hint="eastAsia" w:ascii="宋体" w:hAnsi="宋体" w:eastAsia="宋体" w:cs="宋体"/>
                <w:b/>
                <w:bCs/>
                <w:sz w:val="21"/>
                <w:szCs w:val="21"/>
                <w:lang w:eastAsia="zh-CN"/>
              </w:rPr>
              <w:t>免疫正相关基因</w:t>
            </w:r>
          </w:p>
        </w:tc>
        <w:tc>
          <w:tcPr>
            <w:tcW w:w="8732" w:type="dxa"/>
            <w:gridSpan w:val="3"/>
            <w:shd w:val="clear" w:color="auto" w:fill="auto"/>
            <w:noWrap/>
            <w:vAlign w:val="center"/>
          </w:tcPr>
          <w:p>
            <w:pPr>
              <w:snapToGrid w:val="0"/>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DNA损伤修复（DDR）通路基因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widowControl/>
              <w:snapToGrid w:val="0"/>
              <w:jc w:val="center"/>
              <w:textAlignment w:val="center"/>
              <w:rPr>
                <w:rFonts w:hint="eastAsia" w:ascii="宋体" w:hAnsi="宋体" w:eastAsia="宋体" w:cs="宋体"/>
                <w:color w:val="000000"/>
                <w:sz w:val="21"/>
                <w:szCs w:val="21"/>
                <w:lang w:eastAsia="zh-CN"/>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ATM突变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ATM</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positiveDDR.detectionSignificance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ATR突变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ATR</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BAP1突变</w:t>
            </w:r>
          </w:p>
        </w:tc>
        <w:tc>
          <w:tcPr>
            <w:tcW w:w="2693" w:type="dxa"/>
            <w:shd w:val="clear" w:color="auto" w:fill="auto"/>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BAP1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BLM突变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BLM</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BRCA1突变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BRCA1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BRCA2突变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BRCA2</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BRIP1突变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BRIP1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CHEK1突变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CHEK1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CHEK2突变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CHEK2</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ERCC2突变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ERCC2</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ERCC3突变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ERCC3</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ERCC4突变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ERCC4</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ERCC5突变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ERCC5</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FANCA突变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FANCA</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FANCC突变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FANCC</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MRE11突变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MRE11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NBN突变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NBN</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shd w:val="clear" w:color="auto" w:fill="FFFF00"/>
                <w:lang w:eastAsia="zh-CN"/>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RAD50突变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RAD50</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shd w:val="clear" w:color="auto" w:fill="FFFF00"/>
                <w:lang w:eastAsia="zh-CN"/>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RAD51突变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RAD51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RAD51B突变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RAD51B</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RAD51D突变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 xml:space="preserve">RAD51D </w:t>
            </w:r>
            <w:r>
              <w:rPr>
                <w:rFonts w:hint="eastAsia" w:ascii="宋体" w:hAnsi="宋体" w:eastAsia="宋体" w:cs="宋体"/>
                <w:sz w:val="21"/>
                <w:szCs w:val="21"/>
                <w:lang w:eastAsia="zh-CN"/>
              </w:rPr>
              <w:t>%}{%if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vAlign w:val="center"/>
          </w:tcPr>
          <w:p>
            <w:pPr>
              <w:snapToGrid w:val="0"/>
              <w:jc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Style w:val="44"/>
                <w:rFonts w:hint="eastAsia" w:ascii="宋体" w:hAnsi="宋体" w:eastAsia="宋体" w:cs="宋体"/>
                <w:lang w:eastAsia="zh-CN" w:bidi="ar"/>
              </w:rPr>
            </w:pPr>
            <w:r>
              <w:rPr>
                <w:rStyle w:val="44"/>
                <w:rFonts w:hint="eastAsia" w:ascii="宋体" w:hAnsi="宋体" w:eastAsia="宋体" w:cs="宋体"/>
                <w:lang w:eastAsia="zh-CN" w:bidi="ar"/>
              </w:rPr>
              <w:t>RAD54L突变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positiveDDR.positiveDDR</w:t>
            </w:r>
            <w:r>
              <w:rPr>
                <w:rStyle w:val="44"/>
                <w:rFonts w:hint="eastAsia" w:ascii="宋体" w:hAnsi="宋体" w:eastAsia="宋体" w:cs="宋体"/>
                <w:color w:val="000000" w:themeColor="text1"/>
                <w:lang w:eastAsia="zh-CN" w:bidi="ar"/>
                <w14:textFill>
                  <w14:solidFill>
                    <w14:schemeClr w14:val="tx1"/>
                  </w14:solidFill>
                </w14:textFill>
              </w:rPr>
              <w:t>RAD54L</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highlight w:val="yellow"/>
                <w:lang w:eastAsia="zh-CN" w:bidi="ar"/>
              </w:rPr>
            </w:pPr>
          </w:p>
        </w:tc>
        <w:tc>
          <w:tcPr>
            <w:tcW w:w="8732" w:type="dxa"/>
            <w:gridSpan w:val="3"/>
            <w:shd w:val="clear" w:color="auto" w:fill="auto"/>
            <w:noWrap/>
            <w:vAlign w:val="center"/>
          </w:tcPr>
          <w:p>
            <w:pPr>
              <w:snapToGrid w:val="0"/>
              <w:rPr>
                <w:rFonts w:hint="eastAsia" w:ascii="宋体" w:hAnsi="宋体" w:eastAsia="宋体" w:cs="宋体"/>
                <w:sz w:val="21"/>
                <w:szCs w:val="21"/>
                <w:lang w:eastAsia="zh-CN"/>
              </w:rPr>
            </w:pPr>
            <w:r>
              <w:rPr>
                <w:rFonts w:hint="eastAsia" w:ascii="宋体" w:hAnsi="宋体" w:eastAsia="宋体" w:cs="宋体"/>
                <w:sz w:val="21"/>
                <w:szCs w:val="21"/>
                <w:lang w:eastAsia="zh-CN"/>
              </w:rPr>
              <w:t>其他基因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highlight w:val="yellow"/>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CD274(PDL1)扩增</w:t>
            </w:r>
          </w:p>
        </w:tc>
        <w:tc>
          <w:tcPr>
            <w:tcW w:w="2693" w:type="dxa"/>
            <w:shd w:val="clear" w:color="auto" w:fill="auto"/>
            <w:noWrap/>
            <w:vAlign w:val="center"/>
          </w:tcPr>
          <w:p>
            <w:pPr>
              <w:widowControl/>
              <w:snapToGrid w:val="0"/>
              <w:jc w:val="center"/>
              <w:textAlignment w:val="center"/>
              <w:rPr>
                <w:rFonts w:hint="eastAsia" w:ascii="宋体" w:hAnsi="宋体" w:eastAsia="宋体" w:cs="宋体"/>
                <w:color w:val="000000"/>
                <w:sz w:val="21"/>
                <w:szCs w:val="21"/>
                <w:lang w:eastAsia="zh-CN" w:bidi="ar"/>
              </w:rPr>
            </w:pPr>
            <w:r>
              <w:rPr>
                <w:rFonts w:hint="eastAsia" w:ascii="宋体" w:hAnsi="宋体" w:eastAsia="宋体" w:cs="宋体"/>
                <w:sz w:val="21"/>
                <w:szCs w:val="21"/>
                <w:lang w:eastAsia="zh-CN"/>
              </w:rPr>
              <w:t>{{ positiveOther.positiveOther</w:t>
            </w:r>
            <w:r>
              <w:rPr>
                <w:rFonts w:hint="eastAsia" w:ascii="宋体" w:hAnsi="宋体" w:eastAsia="宋体" w:cs="宋体"/>
                <w:sz w:val="21"/>
                <w:szCs w:val="21"/>
                <w:lang w:eastAsia="zh-CN" w:bidi="ar"/>
              </w:rPr>
              <w:t>CD274</w:t>
            </w:r>
            <w:r>
              <w:rPr>
                <w:rFonts w:hint="eastAsia" w:ascii="宋体" w:hAnsi="宋体" w:eastAsia="宋体" w:cs="宋体"/>
                <w:sz w:val="21"/>
                <w:szCs w:val="21"/>
                <w:lang w:eastAsia="zh-CN"/>
              </w:rPr>
              <w:t xml:space="preserve"> }}</w:t>
            </w:r>
          </w:p>
        </w:tc>
        <w:tc>
          <w:tcPr>
            <w:tcW w:w="3538" w:type="dxa"/>
            <w:vMerge w:val="restart"/>
            <w:shd w:val="clear" w:color="auto" w:fill="auto"/>
            <w:noWrap/>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positiveOther.detectionSignificance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KRAS突变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positiveOther.positiveOther</w:t>
            </w:r>
            <w:r>
              <w:rPr>
                <w:rFonts w:hint="eastAsia" w:ascii="宋体" w:hAnsi="宋体" w:eastAsia="宋体" w:cs="宋体"/>
                <w:sz w:val="21"/>
                <w:szCs w:val="21"/>
                <w:lang w:eastAsia="zh-CN" w:bidi="ar"/>
              </w:rPr>
              <w:t>KRAS</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bidi="ar"/>
              </w:rPr>
              <w:t>PBRM1突变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positiveOther.positiveOther</w:t>
            </w:r>
            <w:r>
              <w:rPr>
                <w:rFonts w:hint="eastAsia" w:ascii="宋体" w:hAnsi="宋体" w:eastAsia="宋体" w:cs="宋体"/>
                <w:sz w:val="21"/>
                <w:szCs w:val="21"/>
                <w:lang w:eastAsia="zh-CN" w:bidi="ar"/>
              </w:rPr>
              <w:t>PBRM1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highlight w:val="yellow"/>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bidi="ar"/>
              </w:rPr>
              <w:t>PDCD1LG2(PDL2)扩增</w:t>
            </w:r>
          </w:p>
        </w:tc>
        <w:tc>
          <w:tcPr>
            <w:tcW w:w="2693" w:type="dxa"/>
            <w:shd w:val="clear" w:color="auto" w:fill="auto"/>
            <w:noWrap/>
            <w:vAlign w:val="center"/>
          </w:tcPr>
          <w:p>
            <w:pPr>
              <w:widowControl/>
              <w:snapToGrid w:val="0"/>
              <w:jc w:val="center"/>
              <w:textAlignment w:val="center"/>
              <w:rPr>
                <w:rFonts w:hint="eastAsia" w:ascii="宋体" w:hAnsi="宋体" w:eastAsia="宋体" w:cs="宋体"/>
                <w:color w:val="000000"/>
                <w:sz w:val="21"/>
                <w:szCs w:val="21"/>
                <w:lang w:eastAsia="zh-CN" w:bidi="ar"/>
              </w:rPr>
            </w:pPr>
            <w:r>
              <w:rPr>
                <w:rFonts w:hint="eastAsia" w:ascii="宋体" w:hAnsi="宋体" w:eastAsia="宋体" w:cs="宋体"/>
                <w:sz w:val="21"/>
                <w:szCs w:val="21"/>
                <w:lang w:eastAsia="zh-CN"/>
              </w:rPr>
              <w:t>{{ positiveOther.positiveOther</w:t>
            </w:r>
            <w:r>
              <w:rPr>
                <w:rFonts w:hint="eastAsia" w:ascii="宋体" w:hAnsi="宋体" w:eastAsia="宋体" w:cs="宋体"/>
                <w:sz w:val="21"/>
                <w:szCs w:val="21"/>
                <w:lang w:eastAsia="zh-CN" w:bidi="ar"/>
              </w:rPr>
              <w:t>PDCD1LG2</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bidi="ar"/>
              </w:rPr>
              <w:t>POLD1突变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positiveOther.positiveOther</w:t>
            </w:r>
            <w:r>
              <w:rPr>
                <w:rFonts w:hint="eastAsia" w:ascii="宋体" w:hAnsi="宋体" w:eastAsia="宋体" w:cs="宋体"/>
                <w:sz w:val="21"/>
                <w:szCs w:val="21"/>
                <w:lang w:eastAsia="zh-CN" w:bidi="ar"/>
              </w:rPr>
              <w:t>POLD1</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bidi="ar"/>
              </w:rPr>
              <w:t>POLE突变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positiveOther.positiveOther</w:t>
            </w:r>
            <w:r>
              <w:rPr>
                <w:rFonts w:hint="eastAsia" w:ascii="宋体" w:hAnsi="宋体" w:eastAsia="宋体" w:cs="宋体"/>
                <w:sz w:val="21"/>
                <w:szCs w:val="21"/>
                <w:lang w:eastAsia="zh-CN" w:bidi="ar"/>
              </w:rPr>
              <w:t>POLE</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lang w:eastAsia="zh-CN" w:bidi="ar"/>
              </w:rPr>
              <w:t>TP53突变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positiveOther.positiveOther</w:t>
            </w:r>
            <w:r>
              <w:rPr>
                <w:rFonts w:hint="eastAsia" w:ascii="宋体" w:hAnsi="宋体" w:eastAsia="宋体" w:cs="宋体"/>
                <w:sz w:val="21"/>
                <w:szCs w:val="21"/>
                <w:lang w:eastAsia="zh-CN" w:bidi="ar"/>
              </w:rPr>
              <w:t>TP53</w:t>
            </w:r>
            <w:r>
              <w:rPr>
                <w:rFonts w:hint="eastAsia" w:ascii="宋体" w:hAnsi="宋体" w:eastAsia="宋体" w:cs="宋体"/>
                <w:sz w:val="21"/>
                <w:szCs w:val="21"/>
                <w:lang w:eastAsia="zh-CN"/>
              </w:rPr>
              <w:t xml:space="preserve"> %}{%if loop.last%}{{ i }}{%else%}{{ i }}</w:t>
            </w:r>
          </w:p>
          <w:p>
            <w:pPr>
              <w:widowControl/>
              <w:snapToGrid w:val="0"/>
              <w:jc w:val="center"/>
              <w:textAlignment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restart"/>
            <w:shd w:val="clear" w:color="auto" w:fill="auto"/>
            <w:noWrap/>
            <w:vAlign w:val="center"/>
          </w:tcPr>
          <w:p>
            <w:pPr>
              <w:widowControl/>
              <w:snapToGrid w:val="0"/>
              <w:jc w:val="center"/>
              <w:textAlignment w:val="center"/>
              <w:rPr>
                <w:rFonts w:hint="eastAsia" w:ascii="宋体" w:hAnsi="宋体" w:eastAsia="宋体" w:cs="宋体"/>
                <w:b/>
                <w:bCs/>
                <w:sz w:val="21"/>
                <w:szCs w:val="21"/>
                <w:lang w:eastAsia="zh-CN" w:bidi="ar"/>
              </w:rPr>
            </w:pPr>
            <w:r>
              <w:rPr>
                <w:rFonts w:hint="eastAsia" w:ascii="宋体" w:hAnsi="宋体" w:eastAsia="宋体" w:cs="宋体"/>
                <w:b/>
                <w:bCs/>
                <w:sz w:val="21"/>
                <w:szCs w:val="21"/>
                <w:lang w:eastAsia="zh-CN"/>
              </w:rPr>
              <w:t>免疫负相关基因</w:t>
            </w: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ALK融合</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ALK</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lang w:eastAsia="zh-CN"/>
              </w:rPr>
            </w:pPr>
            <w:r>
              <w:rPr>
                <w:rFonts w:hint="eastAsia" w:ascii="宋体" w:hAnsi="宋体" w:eastAsia="宋体" w:cs="宋体"/>
                <w:sz w:val="21"/>
                <w:szCs w:val="21"/>
                <w:lang w:eastAsia="zh-CN"/>
              </w:rPr>
              <w:t>{%endif%}{% endfor %}</w:t>
            </w:r>
          </w:p>
        </w:tc>
        <w:tc>
          <w:tcPr>
            <w:tcW w:w="3538" w:type="dxa"/>
            <w:vMerge w:val="restart"/>
            <w:shd w:val="clear" w:color="auto" w:fill="auto"/>
            <w:noWrap/>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negative.detectionSignificance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B2M突变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B2M</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CTNNB1突变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CTNNB1</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EGFR突变(EX19del/L858R)</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EGFR</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JAK1突变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JAK1</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JAK2突变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JAK2</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KEAP1突变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KEAP1</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PTEN突变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PTEN</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lang w:eastAsia="zh-CN" w:bidi="ar"/>
              </w:rPr>
              <w:t>STK11突变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negative.negative</w:t>
            </w:r>
            <w:r>
              <w:rPr>
                <w:rFonts w:hint="eastAsia" w:ascii="宋体" w:hAnsi="宋体" w:eastAsia="宋体" w:cs="宋体"/>
                <w:sz w:val="21"/>
                <w:szCs w:val="21"/>
                <w:lang w:eastAsia="zh-CN" w:bidi="ar"/>
              </w:rPr>
              <w:t>STK11</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restart"/>
            <w:shd w:val="clear" w:color="auto" w:fill="auto"/>
            <w:noWrap/>
            <w:vAlign w:val="center"/>
          </w:tcPr>
          <w:p>
            <w:pPr>
              <w:widowControl/>
              <w:snapToGrid w:val="0"/>
              <w:jc w:val="center"/>
              <w:textAlignment w:val="center"/>
              <w:rPr>
                <w:rFonts w:hint="eastAsia" w:ascii="宋体" w:hAnsi="宋体" w:eastAsia="宋体" w:cs="宋体"/>
                <w:b/>
                <w:bCs/>
                <w:sz w:val="21"/>
                <w:szCs w:val="21"/>
                <w:lang w:eastAsia="zh-CN" w:bidi="ar"/>
              </w:rPr>
            </w:pPr>
            <w:r>
              <w:rPr>
                <w:rFonts w:hint="eastAsia" w:ascii="宋体" w:hAnsi="宋体" w:eastAsia="宋体" w:cs="宋体"/>
                <w:b/>
                <w:bCs/>
                <w:sz w:val="21"/>
                <w:szCs w:val="21"/>
                <w:lang w:eastAsia="zh-CN" w:bidi="ar"/>
              </w:rPr>
              <w:t>免疫超进展相关基因(HPD)</w:t>
            </w: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CCND1扩增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CCND1</w:t>
            </w:r>
            <w:r>
              <w:rPr>
                <w:rFonts w:hint="eastAsia" w:ascii="宋体" w:hAnsi="宋体" w:eastAsia="宋体" w:cs="宋体"/>
                <w:sz w:val="21"/>
                <w:szCs w:val="21"/>
                <w:lang w:eastAsia="zh-CN"/>
              </w:rPr>
              <w:t xml:space="preserve"> }}</w:t>
            </w:r>
          </w:p>
        </w:tc>
        <w:tc>
          <w:tcPr>
            <w:tcW w:w="3538" w:type="dxa"/>
            <w:vMerge w:val="restart"/>
            <w:shd w:val="clear" w:color="auto" w:fill="auto"/>
            <w:noWrap/>
            <w:vAlign w:val="center"/>
          </w:tcPr>
          <w:p>
            <w:pPr>
              <w:keepNext w:val="0"/>
              <w:keepLines w:val="0"/>
              <w:pageBreakBefore w:val="0"/>
              <w:widowControl w:val="0"/>
              <w:kinsoku/>
              <w:wordWrap/>
              <w:overflowPunct/>
              <w:topLinePunct w:val="0"/>
              <w:autoSpaceDE/>
              <w:autoSpaceDN/>
              <w:bidi w:val="0"/>
              <w:adjustRightInd/>
              <w:snapToGrid w:val="0"/>
              <w:spacing w:before="0" w:beforeLines="30" w:line="288" w:lineRule="auto"/>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hpd.detectionSignificance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FGF3扩增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FGF3</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FGF4扩增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FGF4</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FGF19扩增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FGF19</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DNMT3A突变</w:t>
            </w:r>
          </w:p>
        </w:tc>
        <w:tc>
          <w:tcPr>
            <w:tcW w:w="2693" w:type="dxa"/>
            <w:shd w:val="clear" w:color="auto" w:fill="auto"/>
            <w:noWrap/>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{%for i in hpd.hpd</w:t>
            </w:r>
            <w:r>
              <w:rPr>
                <w:rFonts w:hint="eastAsia" w:ascii="宋体" w:hAnsi="宋体" w:eastAsia="宋体" w:cs="宋体"/>
                <w:sz w:val="21"/>
                <w:szCs w:val="21"/>
                <w:lang w:eastAsia="zh-CN" w:bidi="ar"/>
              </w:rPr>
              <w:t>DNMT3A</w:t>
            </w:r>
            <w:r>
              <w:rPr>
                <w:rFonts w:hint="eastAsia" w:ascii="宋体" w:hAnsi="宋体" w:eastAsia="宋体" w:cs="宋体"/>
                <w:sz w:val="21"/>
                <w:szCs w:val="21"/>
                <w:lang w:eastAsia="zh-CN"/>
              </w:rPr>
              <w:t xml:space="preserve"> %}{%if loop.last%}{{ i }}{%else%}{{ i }}</w:t>
            </w:r>
          </w:p>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{%endif%}{% endfor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lang w:eastAsia="zh-CN" w:bidi="ar"/>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bidi="ar"/>
              </w:rPr>
            </w:pPr>
            <w:r>
              <w:rPr>
                <w:rFonts w:hint="eastAsia" w:ascii="宋体" w:hAnsi="宋体" w:eastAsia="宋体" w:cs="宋体"/>
                <w:color w:val="000000"/>
                <w:sz w:val="21"/>
                <w:szCs w:val="21"/>
              </w:rPr>
              <w:t>EGFR</w:t>
            </w:r>
            <w:r>
              <w:rPr>
                <w:rFonts w:hint="eastAsia" w:ascii="宋体" w:hAnsi="宋体" w:eastAsia="宋体" w:cs="宋体"/>
                <w:color w:val="000000"/>
                <w:sz w:val="21"/>
                <w:szCs w:val="21"/>
                <w:lang w:eastAsia="zh-CN"/>
              </w:rPr>
              <w:t>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rPr>
              <w:t>EGFR</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lang w:eastAsia="zh-CN"/>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MDM2扩增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MDM2</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473" w:type="dxa"/>
            <w:vMerge w:val="continue"/>
            <w:shd w:val="clear" w:color="auto" w:fill="auto"/>
            <w:noWrap/>
            <w:vAlign w:val="center"/>
          </w:tcPr>
          <w:p>
            <w:pPr>
              <w:widowControl/>
              <w:snapToGrid w:val="0"/>
              <w:jc w:val="center"/>
              <w:textAlignment w:val="center"/>
              <w:rPr>
                <w:rFonts w:hint="eastAsia" w:ascii="宋体" w:hAnsi="宋体" w:eastAsia="宋体" w:cs="宋体"/>
                <w:color w:val="000000"/>
                <w:sz w:val="21"/>
                <w:szCs w:val="21"/>
              </w:rPr>
            </w:pPr>
          </w:p>
        </w:tc>
        <w:tc>
          <w:tcPr>
            <w:tcW w:w="2501" w:type="dxa"/>
            <w:shd w:val="clear" w:color="auto" w:fill="auto"/>
            <w:noWrap/>
            <w:vAlign w:val="center"/>
          </w:tcPr>
          <w:p>
            <w:pPr>
              <w:widowControl/>
              <w:snapToGrid w:val="0"/>
              <w:textAlignment w:val="center"/>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bidi="ar"/>
              </w:rPr>
              <w:t>MDM4扩增</w:t>
            </w:r>
          </w:p>
        </w:tc>
        <w:tc>
          <w:tcPr>
            <w:tcW w:w="2693" w:type="dxa"/>
            <w:shd w:val="clear" w:color="auto" w:fill="auto"/>
            <w:noWrap/>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sz w:val="21"/>
                <w:szCs w:val="21"/>
                <w:lang w:eastAsia="zh-CN"/>
              </w:rPr>
              <w:t>{{ hpd.hpd</w:t>
            </w:r>
            <w:r>
              <w:rPr>
                <w:rFonts w:hint="eastAsia" w:ascii="宋体" w:hAnsi="宋体" w:eastAsia="宋体" w:cs="宋体"/>
                <w:sz w:val="21"/>
                <w:szCs w:val="21"/>
                <w:lang w:eastAsia="zh-CN" w:bidi="ar"/>
              </w:rPr>
              <w:t>MDM4</w:t>
            </w:r>
            <w:r>
              <w:rPr>
                <w:rFonts w:hint="eastAsia" w:ascii="宋体" w:hAnsi="宋体" w:eastAsia="宋体" w:cs="宋体"/>
                <w:sz w:val="21"/>
                <w:szCs w:val="21"/>
                <w:lang w:eastAsia="zh-CN"/>
              </w:rPr>
              <w:t xml:space="preserve"> }}</w:t>
            </w:r>
          </w:p>
        </w:tc>
        <w:tc>
          <w:tcPr>
            <w:tcW w:w="3538" w:type="dxa"/>
            <w:vMerge w:val="continue"/>
            <w:shd w:val="clear" w:color="auto" w:fill="auto"/>
            <w:noWrap/>
            <w:vAlign w:val="center"/>
          </w:tcPr>
          <w:p>
            <w:pPr>
              <w:snapToGrid w:val="0"/>
              <w:rPr>
                <w:rFonts w:hint="eastAsia" w:ascii="宋体" w:hAnsi="宋体" w:eastAsia="宋体" w:cs="宋体"/>
                <w:color w:val="000000"/>
                <w:sz w:val="21"/>
                <w:szCs w:val="21"/>
              </w:rPr>
            </w:pP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注：</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免疫药物疗效相关基因突变检测及免疫药物用药提示：通过高通量测序法检测与免疫药物疗效相关的基因突变，评估免疫检查点抑制剂获益情况。</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超进展基因：与免疫治疗超进展相关的基因。患者免疫治疗后，肿瘤非但没有缩小，反而加速生长，引起疾病恶化，这种疾病进展模式被称为超进展（HyperprogressionDisease，HPD）。</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指标详细解析说明见免疫检查点抑制剂治疗相关指标检测结果解析。</w:t>
      </w:r>
    </w:p>
    <w:p>
      <w:pPr>
        <w:keepNext w:val="0"/>
        <w:keepLines w:val="0"/>
        <w:pageBreakBefore w:val="0"/>
        <w:numPr>
          <w:ilvl w:val="0"/>
          <w:numId w:val="13"/>
        </w:numPr>
        <w:kinsoku/>
        <w:wordWrap/>
        <w:overflowPunct/>
        <w:topLinePunct w:val="0"/>
        <w:bidi w:val="0"/>
        <w:snapToGrid/>
        <w:spacing w:line="360" w:lineRule="auto"/>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“-”表示本次检测未发现相关变异。</w:t>
      </w:r>
    </w:p>
    <w:bookmarkEnd w:id="42"/>
    <w:tbl>
      <w:tblPr>
        <w:tblStyle w:val="15"/>
        <w:tblpPr w:leftFromText="181" w:rightFromText="181" w:vertAnchor="page" w:tblpXSpec="center" w:tblpY="1519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bookmarkStart w:id="48" w:name="_Toc32661"/>
            <w:bookmarkStart w:id="49" w:name="_Toc25727"/>
            <w:bookmarkStart w:id="50" w:name="_Toc4331_WPSOffice_Level1"/>
            <w:bookmarkStart w:id="51" w:name="_Toc5598"/>
            <w:bookmarkStart w:id="52" w:name="_Toc32443_WPSOffice_Level1"/>
            <w:bookmarkStart w:id="53" w:name="_Toc28194"/>
            <w:bookmarkStart w:id="54" w:name="_Toc23903"/>
            <w:bookmarkStart w:id="55" w:name="_Toc23846_WPSOffice_Level1"/>
            <w:r>
              <w:rPr>
                <w:rFonts w:hint="eastAsia" w:ascii="宋体" w:hAnsi="宋体" w:eastAsia="宋体" w:cs="宋体"/>
                <w:b w:val="0"/>
                <w:bCs w:val="0"/>
                <w:spacing w:val="6"/>
                <w:sz w:val="21"/>
                <w:szCs w:val="21"/>
              </w:rPr>
              <w:t>检验者：</w:t>
            </w:r>
            <w:r>
              <w:drawing>
                <wp:anchor distT="0" distB="0" distL="114935" distR="114935" simplePos="0" relativeHeight="251667456" behindDoc="0" locked="0" layoutInCell="1" allowOverlap="0">
                  <wp:simplePos x="0" y="0"/>
                  <wp:positionH relativeFrom="column">
                    <wp:posOffset>496570</wp:posOffset>
                  </wp:positionH>
                  <wp:positionV relativeFrom="page">
                    <wp:posOffset>-215900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8480" behindDoc="0" locked="0" layoutInCell="1" allowOverlap="1">
                  <wp:simplePos x="0" y="0"/>
                  <wp:positionH relativeFrom="column">
                    <wp:posOffset>532765</wp:posOffset>
                  </wp:positionH>
                  <wp:positionV relativeFrom="page">
                    <wp:posOffset>-161925</wp:posOffset>
                  </wp:positionV>
                  <wp:extent cx="933450" cy="432435"/>
                  <wp:effectExtent l="0" t="0" r="1143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drawing>
                <wp:anchor distT="0" distB="0" distL="114300" distR="114300" simplePos="0" relativeHeight="251665408" behindDoc="0" locked="0" layoutInCell="1" allowOverlap="1">
                  <wp:simplePos x="0" y="0"/>
                  <wp:positionH relativeFrom="column">
                    <wp:posOffset>410210</wp:posOffset>
                  </wp:positionH>
                  <wp:positionV relativeFrom="page">
                    <wp:posOffset>-360045</wp:posOffset>
                  </wp:positionV>
                  <wp:extent cx="1202690" cy="678180"/>
                  <wp:effectExtent l="0" t="0" r="1270" b="7620"/>
                  <wp:wrapNone/>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rPr>
          <w:rFonts w:hint="eastAsia"/>
        </w:rPr>
      </w:pPr>
      <w:r>
        <w:rPr>
          <w:sz w:val="22"/>
        </w:rPr>
        <w:drawing>
          <wp:anchor distT="0" distB="0" distL="114300" distR="114300" simplePos="0" relativeHeight="251666432" behindDoc="0" locked="0" layoutInCell="1" allowOverlap="1">
            <wp:simplePos x="0" y="0"/>
            <wp:positionH relativeFrom="column">
              <wp:posOffset>5033010</wp:posOffset>
            </wp:positionH>
            <wp:positionV relativeFrom="page">
              <wp:posOffset>9154795</wp:posOffset>
            </wp:positionV>
            <wp:extent cx="1079500" cy="1079500"/>
            <wp:effectExtent l="0" t="0" r="2540" b="2540"/>
            <wp:wrapNone/>
            <wp:docPr id="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6"/>
                    <pic:cNvPicPr>
                      <a:picLocks noChangeAspect="1"/>
                    </pic:cNvPicPr>
                  </pic:nvPicPr>
                  <pic:blipFill>
                    <a:blip r:embed="rId12"/>
                    <a:stretch>
                      <a:fillRect/>
                    </a:stretch>
                  </pic:blipFill>
                  <pic:spPr>
                    <a:xfrm>
                      <a:off x="0" y="0"/>
                      <a:ext cx="1079500" cy="1079500"/>
                    </a:xfrm>
                    <a:prstGeom prst="rect">
                      <a:avLst/>
                    </a:prstGeom>
                    <a:noFill/>
                    <a:ln>
                      <a:noFill/>
                    </a:ln>
                  </pic:spPr>
                </pic:pic>
              </a:graphicData>
            </a:graphic>
          </wp:anchor>
        </w:drawing>
      </w:r>
      <w:r>
        <w:rPr>
          <w:rFonts w:hint="eastAsia"/>
        </w:rPr>
        <w:br w:type="page"/>
      </w:r>
    </w:p>
    <w:p>
      <w:pPr>
        <w:rPr>
          <w:rFonts w:hint="eastAsia" w:ascii="宋体" w:hAnsi="宋体" w:eastAsia="宋体" w:cs="宋体"/>
          <w:b/>
          <w:color w:val="00B050"/>
          <w:sz w:val="24"/>
          <w:szCs w:val="24"/>
          <w:lang w:val="en-US" w:eastAsia="zh-CN"/>
        </w:rPr>
      </w:pPr>
      <w:r>
        <w:rPr>
          <w:rFonts w:hint="eastAsia" w:ascii="宋体" w:hAnsi="宋体" w:eastAsia="宋体" w:cs="宋体"/>
          <w:bCs/>
          <w:sz w:val="24"/>
          <w:szCs w:val="24"/>
          <w:lang w:eastAsia="zh-CN"/>
        </w:rPr>
        <w:t>{% f</w:t>
      </w:r>
      <w:r>
        <w:rPr>
          <w:rFonts w:hint="eastAsia" w:ascii="宋体" w:hAnsi="宋体" w:eastAsia="宋体" w:cs="宋体"/>
          <w:bCs/>
          <w:sz w:val="24"/>
          <w:szCs w:val="24"/>
          <w:lang w:val="en-US" w:eastAsia="zh-CN"/>
        </w:rPr>
        <w:t xml:space="preserve">or </w:t>
      </w:r>
      <w:r>
        <w:rPr>
          <w:rFonts w:hint="eastAsia" w:ascii="宋体" w:hAnsi="宋体" w:eastAsia="宋体" w:cs="宋体"/>
          <w:bCs/>
          <w:sz w:val="24"/>
          <w:szCs w:val="24"/>
          <w:lang w:eastAsia="zh-CN"/>
        </w:rPr>
        <w:t>i</w:t>
      </w:r>
      <w:r>
        <w:rPr>
          <w:rFonts w:hint="eastAsia" w:ascii="宋体" w:hAnsi="宋体" w:eastAsia="宋体" w:cs="宋体"/>
          <w:bCs/>
          <w:sz w:val="24"/>
          <w:szCs w:val="24"/>
          <w:lang w:val="en-US" w:eastAsia="zh-CN"/>
        </w:rPr>
        <w:t>a</w:t>
      </w:r>
      <w:r>
        <w:rPr>
          <w:rFonts w:hint="eastAsia" w:ascii="宋体" w:hAnsi="宋体" w:eastAsia="宋体" w:cs="宋体"/>
          <w:bCs/>
          <w:sz w:val="24"/>
          <w:szCs w:val="24"/>
          <w:lang w:eastAsia="zh-CN"/>
        </w:rPr>
        <w:t xml:space="preserve"> </w:t>
      </w:r>
      <w:r>
        <w:rPr>
          <w:rFonts w:hint="eastAsia" w:ascii="宋体" w:hAnsi="宋体" w:eastAsia="宋体" w:cs="宋体"/>
          <w:bCs/>
          <w:sz w:val="24"/>
          <w:szCs w:val="24"/>
          <w:lang w:val="en-US" w:eastAsia="zh-CN"/>
        </w:rPr>
        <w:t>in</w:t>
      </w:r>
      <w:r>
        <w:rPr>
          <w:rFonts w:hint="eastAsia" w:ascii="宋体" w:hAnsi="宋体" w:eastAsia="宋体" w:cs="宋体"/>
          <w:bCs/>
          <w:sz w:val="24"/>
          <w:szCs w:val="24"/>
          <w:lang w:eastAsia="zh-CN"/>
        </w:rPr>
        <w:t xml:space="preserve"> immuneAll</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lang w:eastAsia="zh-CN"/>
        </w:rPr>
        <w:t>%}</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591"/>
        <w:gridCol w:w="3447"/>
        <w:gridCol w:w="3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347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for immune in i</w:t>
            </w:r>
            <w:r>
              <w:rPr>
                <w:rFonts w:hint="eastAsia" w:ascii="宋体" w:hAnsi="宋体" w:eastAsia="宋体" w:cs="宋体"/>
                <w:color w:val="auto"/>
                <w:sz w:val="18"/>
                <w:szCs w:val="18"/>
                <w:lang w:val="en-US" w:eastAsia="zh-CN"/>
              </w:rPr>
              <w:t>a.</w:t>
            </w:r>
            <w:r>
              <w:rPr>
                <w:rFonts w:hint="eastAsia" w:ascii="宋体" w:hAnsi="宋体" w:eastAsia="宋体" w:cs="宋体"/>
                <w:color w:val="auto"/>
                <w:sz w:val="18"/>
                <w:szCs w:val="18"/>
                <w:lang w:eastAsia="zh-CN"/>
              </w:rPr>
              <w:t>immune</w:t>
            </w:r>
            <w:r>
              <w:rPr>
                <w:rFonts w:hint="eastAsia" w:ascii="宋体" w:hAnsi="宋体" w:eastAsia="宋体" w:cs="宋体"/>
                <w:color w:val="auto"/>
                <w:sz w:val="18"/>
                <w:szCs w:val="18"/>
                <w:lang w:val="en-US" w:eastAsia="zh-CN"/>
              </w:rPr>
              <w:t>List</w:t>
            </w:r>
            <w:r>
              <w:rPr>
                <w:rFonts w:hint="eastAsia" w:ascii="宋体" w:hAnsi="宋体" w:eastAsia="宋体" w:cs="宋体"/>
                <w:color w:val="auto"/>
                <w:sz w:val="18"/>
                <w:szCs w:val="18"/>
                <w:lang w:eastAsia="zh-CN"/>
              </w:rPr>
              <w:t xml:space="preserve"> %}</w:t>
            </w:r>
          </w:p>
        </w:tc>
        <w:tc>
          <w:tcPr>
            <w:tcW w:w="3332"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b/>
                <w:color w:val="auto"/>
                <w:lang w:val="en-US" w:eastAsia="zh-CN"/>
              </w:rPr>
              <w:t>{% hm %}</w:t>
            </w:r>
            <w:r>
              <w:rPr>
                <w:rFonts w:hint="eastAsia" w:ascii="宋体" w:hAnsi="宋体" w:eastAsia="宋体" w:cs="宋体"/>
                <w:b/>
                <w:color w:val="auto"/>
                <w:lang w:eastAsia="zh-CN"/>
              </w:rPr>
              <w:t>目前各癌种已批准的免疫治疗药物</w:t>
            </w:r>
          </w:p>
        </w:tc>
        <w:tc>
          <w:tcPr>
            <w:tcW w:w="3061" w:type="dxa"/>
            <w:tcBorders>
              <w:tl2br w:val="nil"/>
              <w:tr2bl w:val="nil"/>
            </w:tcBorders>
            <w:shd w:val="clear" w:color="auto" w:fill="9DC3E6"/>
            <w:vAlign w:val="center"/>
          </w:tcPr>
          <w:p>
            <w:pPr>
              <w:spacing w:line="240" w:lineRule="exact"/>
              <w:ind w:left="9" w:leftChars="0"/>
              <w:jc w:val="center"/>
              <w:rPr>
                <w:rFonts w:hint="eastAsia" w:ascii="宋体" w:hAnsi="宋体" w:eastAsia="宋体" w:cs="宋体"/>
                <w:b/>
                <w:color w:val="auto"/>
                <w:lang w:eastAsia="zh-CN"/>
              </w:rPr>
            </w:pPr>
            <w:r>
              <w:rPr>
                <w:rFonts w:hint="eastAsia" w:ascii="宋体" w:hAnsi="宋体" w:eastAsia="宋体" w:cs="宋体"/>
                <w:color w:val="auto"/>
                <w:sz w:val="18"/>
                <w:szCs w:val="18"/>
                <w:lang w:eastAsia="zh-CN"/>
              </w:rPr>
              <w:t>{%t</w:t>
            </w:r>
            <w:r>
              <w:rPr>
                <w:rFonts w:hint="eastAsia" w:ascii="宋体" w:hAnsi="宋体" w:eastAsia="宋体" w:cs="宋体"/>
                <w:color w:val="auto"/>
                <w:sz w:val="18"/>
                <w:szCs w:val="18"/>
                <w:lang w:val="en-US" w:eastAsia="zh-CN"/>
              </w:rPr>
              <w:t>c</w:t>
            </w:r>
            <w:r>
              <w:rPr>
                <w:rFonts w:hint="eastAsia" w:ascii="宋体" w:hAnsi="宋体" w:eastAsia="宋体" w:cs="宋体"/>
                <w:color w:val="auto"/>
                <w:sz w:val="18"/>
                <w:szCs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for </w:t>
            </w:r>
            <w:r>
              <w:rPr>
                <w:rFonts w:hint="eastAsia" w:ascii="宋体" w:hAnsi="宋体" w:eastAsia="宋体" w:cs="宋体"/>
                <w:sz w:val="18"/>
                <w:szCs w:val="18"/>
                <w:lang w:val="en-US" w:eastAsia="zh-CN"/>
              </w:rPr>
              <w:t>key</w:t>
            </w:r>
            <w:r>
              <w:rPr>
                <w:rFonts w:hint="eastAsia" w:ascii="宋体" w:hAnsi="宋体" w:eastAsia="宋体" w:cs="宋体"/>
                <w:sz w:val="18"/>
                <w:szCs w:val="18"/>
                <w:lang w:eastAsia="zh-CN"/>
              </w:rPr>
              <w:t xml:space="preserve"> in </w:t>
            </w:r>
            <w:r>
              <w:rPr>
                <w:rFonts w:hint="eastAsia" w:ascii="宋体" w:hAnsi="宋体" w:eastAsia="宋体" w:cs="宋体"/>
                <w:sz w:val="18"/>
                <w:szCs w:val="18"/>
                <w:lang w:val="en-US" w:eastAsia="zh-CN"/>
              </w:rPr>
              <w:t>ia.</w:t>
            </w:r>
            <w:r>
              <w:rPr>
                <w:rFonts w:hint="eastAsia" w:ascii="宋体" w:hAnsi="宋体" w:eastAsia="宋体" w:cs="宋体"/>
                <w:sz w:val="18"/>
                <w:szCs w:val="18"/>
                <w:lang w:eastAsia="zh-CN"/>
              </w:rPr>
              <w:t>immuneTableKey</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21"/>
                <w:szCs w:val="21"/>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if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desc1</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desc2</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desc3</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or key</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desc4</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for immune in i</w:t>
            </w:r>
            <w:r>
              <w:rPr>
                <w:rFonts w:hint="eastAsia" w:ascii="宋体" w:hAnsi="宋体" w:eastAsia="宋体" w:cs="宋体"/>
                <w:b/>
                <w:color w:val="auto"/>
                <w:sz w:val="18"/>
                <w:lang w:val="en-US" w:eastAsia="zh-CN"/>
              </w:rPr>
              <w:t>a.</w:t>
            </w:r>
            <w:r>
              <w:rPr>
                <w:rFonts w:hint="eastAsia" w:ascii="宋体" w:hAnsi="宋体" w:eastAsia="宋体" w:cs="宋体"/>
                <w:b/>
                <w:color w:val="auto"/>
                <w:sz w:val="18"/>
                <w:lang w:eastAsia="zh-CN"/>
              </w:rPr>
              <w:t>immune</w:t>
            </w:r>
            <w:r>
              <w:rPr>
                <w:rFonts w:hint="eastAsia" w:ascii="宋体" w:hAnsi="宋体" w:eastAsia="宋体" w:cs="宋体"/>
                <w:b/>
                <w:color w:val="auto"/>
                <w:sz w:val="18"/>
                <w:lang w:val="en-US" w:eastAsia="zh-CN"/>
              </w:rPr>
              <w:t>List</w:t>
            </w:r>
            <w:r>
              <w:rPr>
                <w:rFonts w:hint="eastAsia" w:ascii="宋体" w:hAnsi="宋体" w:eastAsia="宋体" w:cs="宋体"/>
                <w:b/>
                <w:color w:val="auto"/>
                <w:sz w:val="18"/>
                <w:lang w:eastAsia="zh-CN"/>
              </w:rPr>
              <w:t xml:space="preserve"> %}</w:t>
            </w:r>
          </w:p>
        </w:tc>
        <w:tc>
          <w:tcPr>
            <w:tcW w:w="3332"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 xml:space="preserve">{% for </w:t>
            </w:r>
            <w:r>
              <w:rPr>
                <w:rFonts w:hint="eastAsia" w:ascii="宋体" w:hAnsi="宋体" w:eastAsia="宋体" w:cs="宋体"/>
                <w:b/>
                <w:color w:val="auto"/>
                <w:sz w:val="18"/>
                <w:lang w:val="en-US" w:eastAsia="zh-CN"/>
              </w:rPr>
              <w:t>i</w:t>
            </w:r>
            <w:r>
              <w:rPr>
                <w:rFonts w:hint="eastAsia" w:ascii="宋体" w:hAnsi="宋体" w:eastAsia="宋体" w:cs="宋体"/>
                <w:b/>
                <w:color w:val="auto"/>
                <w:sz w:val="18"/>
                <w:lang w:eastAsia="zh-CN"/>
              </w:rPr>
              <w:t xml:space="preserve"> in immune</w:t>
            </w:r>
            <w:r>
              <w:rPr>
                <w:rFonts w:hint="eastAsia" w:ascii="宋体" w:hAnsi="宋体" w:eastAsia="宋体" w:cs="宋体"/>
                <w:b/>
                <w:color w:val="auto"/>
                <w:sz w:val="18"/>
                <w:lang w:val="en-US" w:eastAsia="zh-CN"/>
              </w:rPr>
              <w:t>[key]</w:t>
            </w:r>
            <w:r>
              <w:rPr>
                <w:rFonts w:hint="eastAsia" w:ascii="宋体" w:hAnsi="宋体" w:eastAsia="宋体" w:cs="宋体"/>
                <w:b/>
                <w:color w:val="auto"/>
                <w:sz w:val="18"/>
                <w:lang w:eastAsia="zh-CN"/>
              </w:rPr>
              <w:t xml:space="preserve"> | </w:t>
            </w:r>
            <w:r>
              <w:rPr>
                <w:rFonts w:hint="eastAsia" w:ascii="宋体" w:hAnsi="宋体" w:eastAsia="宋体" w:cs="宋体"/>
                <w:b/>
                <w:color w:val="auto"/>
                <w:sz w:val="18"/>
                <w:lang w:val="en-US" w:eastAsia="zh-CN"/>
              </w:rPr>
              <w:t>nl</w:t>
            </w:r>
            <w:r>
              <w:rPr>
                <w:rFonts w:hint="eastAsia" w:ascii="宋体" w:hAnsi="宋体" w:eastAsia="宋体" w:cs="宋体"/>
                <w:b/>
                <w:color w:val="auto"/>
                <w:sz w:val="18"/>
                <w:lang w:eastAsia="zh-CN"/>
              </w:rPr>
              <w:t xml:space="preserve">() %}{%if loop.last%}{{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 xml:space="preserve">}}{%else%}{{ </w:t>
            </w:r>
            <w:r>
              <w:rPr>
                <w:rFonts w:hint="eastAsia" w:ascii="宋体" w:hAnsi="宋体" w:eastAsia="宋体" w:cs="宋体"/>
                <w:b/>
                <w:color w:val="auto"/>
                <w:sz w:val="18"/>
                <w:lang w:val="en-US" w:eastAsia="zh-CN"/>
              </w:rPr>
              <w:t xml:space="preserve">i </w:t>
            </w:r>
            <w:r>
              <w:rPr>
                <w:rFonts w:hint="eastAsia" w:ascii="宋体" w:hAnsi="宋体" w:eastAsia="宋体" w:cs="宋体"/>
                <w:b/>
                <w:color w:val="auto"/>
                <w:sz w:val="18"/>
                <w:lang w:eastAsia="zh-CN"/>
              </w:rPr>
              <w:t>}}</w:t>
            </w:r>
          </w:p>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{%endif%}{% endfor%}</w:t>
            </w:r>
          </w:p>
        </w:tc>
        <w:tc>
          <w:tcPr>
            <w:tcW w:w="3061" w:type="dxa"/>
            <w:tcBorders>
              <w:tl2br w:val="nil"/>
              <w:tr2bl w:val="nil"/>
            </w:tcBorders>
            <w:shd w:val="clear" w:color="auto" w:fill="9DC3E6"/>
            <w:vAlign w:val="center"/>
          </w:tcPr>
          <w:p>
            <w:pPr>
              <w:spacing w:line="240" w:lineRule="exact"/>
              <w:ind w:left="8"/>
              <w:jc w:val="center"/>
              <w:rPr>
                <w:rFonts w:hint="eastAsia" w:ascii="宋体" w:hAnsi="宋体" w:eastAsia="宋体" w:cs="宋体"/>
                <w:b/>
                <w:color w:val="auto"/>
                <w:sz w:val="18"/>
                <w:lang w:eastAsia="zh-CN"/>
              </w:rPr>
            </w:pPr>
            <w:r>
              <w:rPr>
                <w:rFonts w:hint="eastAsia" w:ascii="宋体" w:hAnsi="宋体" w:eastAsia="宋体" w:cs="宋体"/>
                <w:b/>
                <w:color w:val="auto"/>
                <w:sz w:val="18"/>
                <w:lang w:eastAsia="zh-CN"/>
              </w:rPr>
              <w:t>{%t</w:t>
            </w:r>
            <w:r>
              <w:rPr>
                <w:rFonts w:hint="eastAsia" w:ascii="宋体" w:hAnsi="宋体" w:eastAsia="宋体" w:cs="宋体"/>
                <w:b/>
                <w:color w:val="auto"/>
                <w:sz w:val="18"/>
                <w:lang w:val="en-US" w:eastAsia="zh-CN"/>
              </w:rPr>
              <w:t>c</w:t>
            </w:r>
            <w:r>
              <w:rPr>
                <w:rFonts w:hint="eastAsia" w:ascii="宋体" w:hAnsi="宋体" w:eastAsia="宋体" w:cs="宋体"/>
                <w:b/>
                <w:color w:val="auto"/>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for imm</w:t>
            </w:r>
            <w:r>
              <w:rPr>
                <w:rFonts w:hint="eastAsia" w:ascii="宋体" w:hAnsi="宋体" w:eastAsia="宋体" w:cs="宋体"/>
                <w:sz w:val="18"/>
                <w:szCs w:val="18"/>
                <w:lang w:eastAsia="zh-CN"/>
              </w:rPr>
              <w:t>une in i</w:t>
            </w:r>
            <w:r>
              <w:rPr>
                <w:rFonts w:hint="eastAsia" w:ascii="宋体" w:hAnsi="宋体" w:eastAsia="宋体" w:cs="宋体"/>
                <w:sz w:val="18"/>
                <w:szCs w:val="18"/>
                <w:lang w:val="en-US" w:eastAsia="zh-CN"/>
              </w:rPr>
              <w:t>a.</w:t>
            </w:r>
            <w:r>
              <w:rPr>
                <w:rFonts w:hint="eastAsia" w:ascii="宋体" w:hAnsi="宋体" w:eastAsia="宋体" w:cs="宋体"/>
                <w:sz w:val="18"/>
                <w:szCs w:val="18"/>
                <w:lang w:eastAsia="zh-CN"/>
              </w:rPr>
              <w:t>immune</w:t>
            </w:r>
            <w:r>
              <w:rPr>
                <w:rFonts w:hint="eastAsia" w:ascii="宋体" w:hAnsi="宋体" w:eastAsia="宋体" w:cs="宋体"/>
                <w:sz w:val="18"/>
                <w:szCs w:val="18"/>
                <w:lang w:val="en-US" w:eastAsia="zh-CN"/>
              </w:rPr>
              <w:t>List</w:t>
            </w:r>
            <w:r>
              <w:rPr>
                <w:rFonts w:hint="eastAsia" w:ascii="宋体" w:hAnsi="宋体" w:eastAsia="宋体" w:cs="宋体"/>
                <w:sz w:val="18"/>
                <w:szCs w:val="18"/>
                <w:lang w:eastAsia="zh-CN"/>
              </w:rPr>
              <w:t xml:space="preserve"> </w:t>
            </w:r>
            <w:r>
              <w:rPr>
                <w:rFonts w:hint="eastAsia" w:ascii="宋体" w:hAnsi="宋体" w:eastAsia="宋体" w:cs="宋体"/>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 xml:space="preserve">{% for </w:t>
            </w:r>
            <w:r>
              <w:rPr>
                <w:rFonts w:hint="eastAsia" w:ascii="宋体" w:hAnsi="宋体" w:eastAsia="宋体" w:cs="宋体"/>
                <w:sz w:val="18"/>
                <w:lang w:val="en-US" w:eastAsia="zh-CN"/>
              </w:rPr>
              <w:t>i</w:t>
            </w:r>
            <w:r>
              <w:rPr>
                <w:rFonts w:hint="eastAsia" w:ascii="宋体" w:hAnsi="宋体" w:eastAsia="宋体" w:cs="宋体"/>
                <w:sz w:val="18"/>
                <w:lang w:eastAsia="zh-CN"/>
              </w:rPr>
              <w:t xml:space="preserve"> in immune</w:t>
            </w:r>
            <w:r>
              <w:rPr>
                <w:rFonts w:hint="eastAsia" w:ascii="宋体" w:hAnsi="宋体" w:eastAsia="宋体" w:cs="宋体"/>
                <w:sz w:val="18"/>
                <w:lang w:val="en-US" w:eastAsia="zh-CN"/>
              </w:rPr>
              <w:t>[key]</w:t>
            </w:r>
            <w:r>
              <w:rPr>
                <w:rFonts w:hint="eastAsia" w:ascii="宋体" w:hAnsi="宋体" w:eastAsia="宋体" w:cs="宋体"/>
                <w:sz w:val="18"/>
                <w:lang w:eastAsia="zh-CN"/>
              </w:rPr>
              <w:t xml:space="preserve"> | </w:t>
            </w:r>
            <w:r>
              <w:rPr>
                <w:rFonts w:hint="eastAsia" w:ascii="宋体" w:hAnsi="宋体" w:eastAsia="宋体" w:cs="宋体"/>
                <w:sz w:val="18"/>
                <w:lang w:val="en-US" w:eastAsia="zh-CN"/>
              </w:rPr>
              <w:t>nl</w:t>
            </w:r>
            <w:r>
              <w:rPr>
                <w:rFonts w:hint="eastAsia" w:ascii="宋体" w:hAnsi="宋体" w:eastAsia="宋体" w:cs="宋体"/>
                <w:sz w:val="18"/>
                <w:lang w:eastAsia="zh-CN"/>
              </w:rPr>
              <w:t xml:space="preserve">() %}{%if loop.last%}{{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 xml:space="preserve">}}{%else%}{{ </w:t>
            </w:r>
            <w:r>
              <w:rPr>
                <w:rFonts w:hint="eastAsia" w:ascii="宋体" w:hAnsi="宋体" w:eastAsia="宋体" w:cs="宋体"/>
                <w:sz w:val="18"/>
                <w:lang w:val="en-US" w:eastAsia="zh-CN"/>
              </w:rPr>
              <w:t xml:space="preserve">i </w:t>
            </w:r>
            <w:r>
              <w:rPr>
                <w:rFonts w:hint="eastAsia" w:ascii="宋体" w:hAnsi="宋体" w:eastAsia="宋体" w:cs="宋体"/>
                <w:sz w:val="18"/>
                <w:lang w:eastAsia="zh-CN"/>
              </w:rPr>
              <w:t>}}</w:t>
            </w:r>
          </w:p>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宋体" w:hAnsi="宋体" w:eastAsia="宋体" w:cs="宋体"/>
                <w:sz w:val="18"/>
                <w:lang w:eastAsia="zh-CN"/>
              </w:rPr>
            </w:pPr>
            <w:r>
              <w:rPr>
                <w:rFonts w:hint="eastAsia" w:ascii="宋体" w:hAnsi="宋体" w:eastAsia="宋体" w:cs="宋体"/>
                <w:sz w:val="18"/>
                <w:lang w:eastAsia="zh-CN"/>
              </w:rPr>
              <w:t>{%t</w:t>
            </w:r>
            <w:r>
              <w:rPr>
                <w:rFonts w:hint="eastAsia" w:ascii="宋体" w:hAnsi="宋体" w:eastAsia="宋体" w:cs="宋体"/>
                <w:sz w:val="18"/>
                <w:lang w:val="en-US" w:eastAsia="zh-CN"/>
              </w:rPr>
              <w:t>c</w:t>
            </w:r>
            <w:r>
              <w:rPr>
                <w:rFonts w:hint="eastAsia" w:ascii="宋体" w:hAnsi="宋体" w:eastAsia="宋体" w:cs="宋体"/>
                <w:sz w:val="18"/>
                <w:lang w:eastAsia="zh-CN"/>
              </w:rPr>
              <w:t xml:space="preserve">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w:t>
            </w:r>
            <w:r>
              <w:rPr>
                <w:rFonts w:hint="eastAsia" w:ascii="宋体" w:hAnsi="宋体" w:eastAsia="宋体" w:cs="宋体"/>
                <w:sz w:val="18"/>
                <w:szCs w:val="18"/>
                <w:lang w:val="en-US" w:eastAsia="zh-CN"/>
              </w:rPr>
              <w:t>if</w:t>
            </w:r>
            <w:r>
              <w:rPr>
                <w:rFonts w:hint="eastAsia" w:ascii="宋体" w:hAnsi="宋体" w:eastAsia="宋体" w:cs="宋体"/>
                <w:sz w:val="18"/>
                <w:szCs w:val="18"/>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lang w:eastAsia="zh-CN"/>
        </w:rPr>
        <w:t>注：表中已获批药物包括单药获批药物和联药获批药物。信息来源：FDA/NMPA官网、药企官网发布信息。</w:t>
      </w:r>
    </w:p>
    <w:p>
      <w:r>
        <w:br w:type="page"/>
      </w:r>
      <w:r>
        <w:rPr>
          <w:rFonts w:hint="eastAsia" w:ascii="宋体" w:hAnsi="宋体" w:eastAsia="宋体" w:cs="宋体"/>
          <w:sz w:val="24"/>
          <w:szCs w:val="24"/>
          <w:lang w:eastAsia="zh-CN"/>
        </w:rPr>
        <w:t>{% end</w:t>
      </w:r>
      <w:r>
        <w:rPr>
          <w:rFonts w:hint="eastAsia" w:ascii="宋体" w:hAnsi="宋体" w:eastAsia="宋体" w:cs="宋体"/>
          <w:sz w:val="24"/>
          <w:szCs w:val="24"/>
          <w:lang w:val="en-US" w:eastAsia="zh-CN"/>
        </w:rPr>
        <w:t>for</w:t>
      </w:r>
      <w:r>
        <w:rPr>
          <w:rFonts w:hint="eastAsia" w:ascii="宋体" w:hAnsi="宋体" w:eastAsia="宋体" w:cs="宋体"/>
          <w:sz w:val="24"/>
          <w:szCs w:val="24"/>
          <w:lang w:eastAsia="zh-CN"/>
        </w:rPr>
        <w:t xml:space="preserve"> %}</w:t>
      </w: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6" w:name="_Toc14536"/>
      <w:r>
        <w:rPr>
          <w:rFonts w:hint="eastAsia" w:ascii="Times New Roman" w:hAnsi="Times New Roman" w:eastAsia="宋体" w:cs="宋体"/>
          <w:b/>
          <w:bCs/>
          <w:spacing w:val="23"/>
          <w:sz w:val="24"/>
          <w:szCs w:val="24"/>
        </w:rPr>
        <w:t>基因检测结果解析</w:t>
      </w:r>
      <w:bookmarkEnd w:id="48"/>
      <w:bookmarkEnd w:id="49"/>
      <w:bookmarkEnd w:id="50"/>
      <w:bookmarkEnd w:id="51"/>
      <w:bookmarkEnd w:id="52"/>
      <w:bookmarkEnd w:id="53"/>
      <w:bookmarkEnd w:id="54"/>
      <w:bookmarkEnd w:id="55"/>
      <w:bookmarkEnd w:id="56"/>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7" w:name="_Toc26395"/>
      <w:bookmarkStart w:id="58" w:name="_Toc6784"/>
      <w:bookmarkStart w:id="59" w:name="_Toc32468"/>
      <w:bookmarkStart w:id="60" w:name="_Toc29383"/>
      <w:r>
        <w:rPr>
          <w:rFonts w:hint="eastAsia" w:ascii="宋体" w:hAnsi="宋体" w:eastAsia="宋体" w:cs="宋体"/>
          <w:bCs/>
          <w:spacing w:val="6"/>
          <w:sz w:val="21"/>
          <w:szCs w:val="21"/>
          <w:lang w:eastAsia="zh-CN"/>
        </w:rPr>
        <w:t xml:space="preserve">{% if </w:t>
      </w:r>
      <w:r>
        <w:rPr>
          <w:rFonts w:hint="eastAsia" w:cs="宋体"/>
          <w:bCs/>
          <w:spacing w:val="6"/>
          <w:sz w:val="21"/>
          <w:szCs w:val="21"/>
          <w:lang w:val="en-US" w:eastAsia="zh-CN"/>
        </w:rPr>
        <w:t>not (</w:t>
      </w:r>
      <w:r>
        <w:rPr>
          <w:rFonts w:hint="eastAsia" w:ascii="宋体" w:hAnsi="宋体" w:eastAsia="宋体" w:cs="宋体"/>
          <w:bCs/>
          <w:spacing w:val="6"/>
          <w:sz w:val="21"/>
          <w:szCs w:val="21"/>
          <w:lang w:eastAsia="zh-CN"/>
        </w:rPr>
        <w:t xml:space="preserve">BodyDrugDrugDetectionStr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unknownVarAnalysisStr </w:t>
      </w:r>
      <w:r>
        <w:rPr>
          <w:rFonts w:hint="eastAsia" w:cs="宋体"/>
          <w:bCs/>
          <w:spacing w:val="6"/>
          <w:sz w:val="21"/>
          <w:szCs w:val="21"/>
          <w:lang w:val="en-US" w:eastAsia="zh-CN"/>
        </w:rPr>
        <w:t>or</w:t>
      </w:r>
      <w:r>
        <w:rPr>
          <w:rFonts w:hint="eastAsia" w:ascii="宋体" w:hAnsi="宋体" w:eastAsia="宋体" w:cs="宋体"/>
          <w:bCs/>
          <w:spacing w:val="6"/>
          <w:sz w:val="21"/>
          <w:szCs w:val="21"/>
          <w:lang w:eastAsia="zh-CN"/>
        </w:rPr>
        <w:t xml:space="preserve"> geneticCancerRiskInfo</w:t>
      </w:r>
      <w:r>
        <w:rPr>
          <w:rFonts w:hint="eastAsia" w:cs="宋体"/>
          <w:bCs/>
          <w:spacing w:val="6"/>
          <w:sz w:val="21"/>
          <w:szCs w:val="21"/>
          <w:lang w:val="en-US" w:eastAsia="zh-CN"/>
        </w:rPr>
        <w:t>)</w:t>
      </w:r>
      <w:r>
        <w:rPr>
          <w:rFonts w:hint="eastAsia" w:ascii="宋体" w:hAnsi="宋体" w:eastAsia="宋体" w:cs="宋体"/>
          <w:bCs/>
          <w:spacing w:val="6"/>
          <w:sz w:val="21"/>
          <w:szCs w:val="21"/>
          <w:lang w:eastAsia="zh-CN"/>
        </w:rPr>
        <w:t xml:space="preserve"> %}未检出靶向用药相关的体细胞基因突变；未检出未知临床意义体细胞基因突变；未检出致病或可能致病性胚系突变。{%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14"/>
        </w:numPr>
        <w:bidi w:val="0"/>
        <w:spacing w:line="360" w:lineRule="auto"/>
        <w:ind w:left="425" w:leftChars="0" w:hanging="425" w:firstLineChars="0"/>
        <w:jc w:val="left"/>
        <w:rPr>
          <w:b/>
          <w:bCs/>
          <w:spacing w:val="23"/>
          <w:sz w:val="21"/>
          <w:szCs w:val="21"/>
        </w:rPr>
      </w:pPr>
      <w:bookmarkStart w:id="61" w:name="_Toc25187"/>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体细胞变异结果解析</w:t>
      </w:r>
      <w:bookmarkEnd w:id="61"/>
    </w:p>
    <w:p>
      <w:pPr>
        <w:pStyle w:val="38"/>
        <w:numPr>
          <w:ilvl w:val="0"/>
          <w:numId w:val="0"/>
        </w:numPr>
        <w:bidi w:val="0"/>
        <w:spacing w:line="360" w:lineRule="auto"/>
        <w:ind w:leftChars="0"/>
        <w:jc w:val="left"/>
        <w:outlineLvl w:val="9"/>
        <w:rPr>
          <w:b/>
          <w:bCs/>
          <w:spacing w:val="23"/>
          <w:sz w:val="10"/>
          <w:szCs w:val="10"/>
        </w:rPr>
      </w:pPr>
      <w:bookmarkStart w:id="62" w:name="_Toc26034"/>
      <w:r>
        <w:rPr>
          <w:rFonts w:hint="eastAsia" w:ascii="宋体" w:hAnsi="宋体" w:eastAsia="宋体" w:cs="宋体"/>
          <w:b/>
          <w:bCs/>
          <w:sz w:val="10"/>
          <w:szCs w:val="10"/>
          <w:lang w:eastAsia="zh-CN"/>
        </w:rPr>
        <w:t>{% for tdd in BodyDrugNoComplexStr %}</w:t>
      </w:r>
      <w:bookmarkEnd w:id="62"/>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%}{%if geneticCancerRiskInfo %}</w:t>
      </w:r>
    </w:p>
    <w:p>
      <w:pPr>
        <w:pStyle w:val="38"/>
        <w:numPr>
          <w:ilvl w:val="0"/>
          <w:numId w:val="14"/>
        </w:numPr>
        <w:bidi w:val="0"/>
        <w:spacing w:line="360" w:lineRule="auto"/>
        <w:ind w:left="425" w:leftChars="0" w:hanging="425" w:firstLineChars="0"/>
        <w:jc w:val="left"/>
        <w:rPr>
          <w:rFonts w:hint="eastAsia" w:ascii="宋体" w:hAnsi="宋体" w:eastAsia="宋体" w:cs="宋体"/>
          <w:b/>
          <w:sz w:val="24"/>
          <w:szCs w:val="24"/>
          <w:lang w:eastAsia="zh-CN"/>
        </w:rPr>
      </w:pPr>
      <w:bookmarkStart w:id="63" w:name="_Toc32364"/>
      <w:bookmarkStart w:id="64" w:name="_Toc4772"/>
      <w:bookmarkStart w:id="65" w:name="_Toc30097"/>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胚系变异结果解析</w:t>
      </w:r>
      <w:bookmarkEnd w:id="63"/>
      <w:bookmarkEnd w:id="64"/>
      <w:r>
        <w:rPr>
          <w:rFonts w:hint="eastAsia" w:ascii="宋体" w:hAnsi="宋体" w:eastAsia="宋体" w:cs="宋体"/>
          <w:b/>
          <w:sz w:val="24"/>
          <w:szCs w:val="24"/>
          <w:lang w:eastAsia="zh-CN"/>
        </w:rPr>
        <w:t>{% for tdd in geneticCancerRiskInfo %}</w:t>
      </w:r>
      <w:bookmarkEnd w:id="65"/>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'变异解析:'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6"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798"/>
        <w:gridCol w:w="1517"/>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79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17"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79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17"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color w:val="000000" w:themeColor="text1"/>
          <w:sz w:val="16"/>
          <w14:textFill>
            <w14:solidFill>
              <w14:schemeClr w14:val="tx1"/>
            </w14:solidFill>
          </w14:textFill>
        </w:rPr>
      </w:pPr>
      <w:r>
        <w:rPr>
          <w:rFonts w:hint="eastAsia" w:ascii="宋体" w:hAnsi="宋体" w:eastAsia="宋体" w:cs="宋体"/>
          <w:b/>
          <w:color w:val="auto"/>
          <w:sz w:val="24"/>
          <w:szCs w:val="24"/>
          <w:lang w:eastAsia="zh-CN"/>
        </w:rPr>
        <w:t>{% endif %}{% endfor %}</w:t>
      </w:r>
      <w:r>
        <w:rPr>
          <w:rFonts w:ascii="Times New Roman" w:hAnsi="Times New Roman" w:eastAsia="微软雅黑" w:cs="Times New Roman"/>
          <w:color w:val="000000" w:themeColor="text1"/>
          <w:sz w:val="20"/>
          <w:szCs w:val="18"/>
          <w:lang w:eastAsia="zh-CN"/>
          <w14:textFill>
            <w14:solidFill>
              <w14:schemeClr w14:val="tx1"/>
            </w14:solidFill>
          </w14:textFill>
        </w:rPr>
        <w:br w:type="page"/>
      </w:r>
      <w:bookmarkEnd w:id="57"/>
      <w:bookmarkEnd w:id="58"/>
      <w:bookmarkEnd w:id="59"/>
      <w:bookmarkEnd w:id="60"/>
      <w:bookmarkStart w:id="66" w:name="_Toc1707_WPSOffice_Level2"/>
      <w:bookmarkStart w:id="67" w:name="_Toc6988"/>
      <w:bookmarkStart w:id="68" w:name="_Toc3782"/>
      <w:bookmarkStart w:id="69" w:name="_Toc26649"/>
      <w:bookmarkStart w:id="70" w:name="_Toc15530"/>
      <w:bookmarkStart w:id="71" w:name="_Toc21764_WPSOffice_Level2"/>
      <w:bookmarkStart w:id="72" w:name="_Toc16347"/>
      <w:r>
        <w:rPr>
          <w:rFonts w:hint="eastAsia"/>
          <w:color w:val="000000" w:themeColor="text1"/>
          <w:sz w:val="16"/>
          <w14:textFill>
            <w14:solidFill>
              <w14:schemeClr w14:val="tx1"/>
            </w14:solidFill>
          </w14:textFill>
        </w:rPr>
        <w:t>{% endif %}</w:t>
      </w:r>
    </w:p>
    <w:p>
      <w:pPr>
        <w:pStyle w:val="38"/>
        <w:numPr>
          <w:ilvl w:val="0"/>
          <w:numId w:val="14"/>
        </w:numPr>
        <w:bidi w:val="0"/>
        <w:spacing w:line="360" w:lineRule="auto"/>
        <w:ind w:left="425" w:leftChars="0" w:hanging="425" w:firstLineChars="0"/>
        <w:jc w:val="left"/>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pPr>
      <w:bookmarkStart w:id="73" w:name="_Toc26543"/>
      <w:bookmarkStart w:id="74" w:name="_Toc3160"/>
      <w:bookmarkStart w:id="75" w:name="_Toc11458"/>
      <w:bookmarkStart w:id="76" w:name="_Toc12834"/>
      <w:bookmarkStart w:id="77" w:name="_Toc10987"/>
      <w:bookmarkStart w:id="78" w:name="_Toc9301"/>
      <w:bookmarkStart w:id="79" w:name="_Toc2749"/>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免疫检测结果解析</w:t>
      </w:r>
      <w:bookmarkEnd w:id="73"/>
      <w:bookmarkEnd w:id="74"/>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sz w:val="21"/>
          <w:szCs w:val="21"/>
          <w:lang w:eastAsia="zh-CN"/>
        </w:rPr>
      </w:pPr>
      <w:bookmarkStart w:id="80" w:name="_Toc9058"/>
      <w:r>
        <w:rPr>
          <w:rFonts w:hint="eastAsia" w:ascii="宋体" w:hAnsi="宋体" w:eastAsia="宋体" w:cs="宋体"/>
          <w:b/>
          <w:spacing w:val="6"/>
          <w:sz w:val="21"/>
          <w:szCs w:val="21"/>
          <w:lang w:eastAsia="zh-CN"/>
        </w:rPr>
        <w:t>肿瘤突变负荷（TMB）检测结果解析</w:t>
      </w:r>
      <w:bookmarkEnd w:id="80"/>
    </w:p>
    <w:tbl>
      <w:tblPr>
        <w:tblStyle w:val="14"/>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334"/>
        <w:gridCol w:w="487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4695"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肿瘤突变负荷（Tumor mutation burden，TMB）</w:t>
            </w:r>
          </w:p>
        </w:tc>
        <w:tc>
          <w:tcPr>
            <w:tcW w:w="4695"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summaryOfRresults.tmb_status == ‘TMB-H’ %}肿瘤突变负荷高{% else %}肿瘤突变负荷低{%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single" w:color="auto" w:sz="4" w:space="0"/>
              <w:bottom w:val="nil"/>
              <w:right w:val="nil"/>
            </w:tcBorders>
            <w:shd w:val="clear" w:color="auto" w:fill="auto"/>
          </w:tcPr>
          <w:p>
            <w:pPr>
              <w:rPr>
                <w:rFonts w:hint="eastAsia" w:ascii="宋体" w:hAnsi="宋体" w:eastAsia="宋体" w:cs="宋体"/>
                <w:sz w:val="21"/>
                <w:szCs w:val="21"/>
                <w:lang w:eastAsia="zh-CN"/>
              </w:rPr>
            </w:pPr>
            <w:r>
              <w:rPr>
                <w:rFonts w:hint="eastAsia" w:ascii="宋体" w:hAnsi="宋体" w:eastAsia="宋体" w:cs="宋体"/>
                <w:b/>
                <w:sz w:val="21"/>
                <w:szCs w:val="21"/>
                <w:lang w:eastAsia="zh-CN"/>
              </w:rPr>
              <w:t>{{ summaryOfRresults.tmb_PIC | ci(216.7,171.7) }}</w:t>
            </w:r>
          </w:p>
        </w:tc>
        <w:tc>
          <w:tcPr>
            <w:tcW w:w="4695" w:type="dxa"/>
            <w:tcBorders>
              <w:top w:val="single" w:color="auto" w:sz="4" w:space="0"/>
              <w:left w:val="nil"/>
              <w:bottom w:val="nil"/>
            </w:tcBorders>
            <w:shd w:val="clear" w:color="auto" w:fill="auto"/>
          </w:tcPr>
          <w:p>
            <w:pPr>
              <w:spacing w:line="276" w:lineRule="auto"/>
              <w:jc w:val="both"/>
              <w:rPr>
                <w:rFonts w:hint="eastAsia" w:ascii="宋体" w:hAnsi="宋体" w:eastAsia="宋体" w:cs="宋体"/>
                <w:sz w:val="11"/>
                <w:szCs w:val="16"/>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eastAsia" w:ascii="宋体" w:hAnsi="宋体" w:eastAsia="宋体" w:cs="宋体"/>
                <w:sz w:val="18"/>
                <w:shd w:val="clear" w:color="auto" w:fill="FFFFFF"/>
                <w:lang w:eastAsia="zh-CN"/>
              </w:rPr>
            </w:pPr>
            <w:r>
              <w:rPr>
                <w:rFonts w:hint="eastAsia" w:ascii="宋体" w:hAnsi="宋体" w:eastAsia="宋体" w:cs="宋体"/>
                <w:sz w:val="18"/>
                <w:shd w:val="clear" w:color="auto" w:fill="FFFFFF"/>
                <w:lang w:eastAsia="zh-CN"/>
              </w:rPr>
              <w:t>图1.TMB在本类癌种人群中的频率分布图</w:t>
            </w:r>
          </w:p>
          <w:p>
            <w:pPr>
              <w:keepNext w:val="0"/>
              <w:keepLines w:val="0"/>
              <w:pageBreakBefore w:val="0"/>
              <w:widowControl w:val="0"/>
              <w:kinsoku/>
              <w:wordWrap/>
              <w:overflowPunct/>
              <w:topLinePunct w:val="0"/>
              <w:autoSpaceDE/>
              <w:autoSpaceDN/>
              <w:bidi w:val="0"/>
              <w:adjustRightInd/>
              <w:snapToGrid/>
              <w:spacing w:line="312" w:lineRule="auto"/>
              <w:ind w:firstLine="360" w:firstLineChars="200"/>
              <w:jc w:val="both"/>
              <w:textAlignment w:val="auto"/>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eastAsia" w:ascii="宋体" w:hAnsi="宋体" w:eastAsia="宋体" w:cs="宋体"/>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pPr>
              <w:keepNext w:val="0"/>
              <w:keepLines w:val="0"/>
              <w:pageBreakBefore w:val="0"/>
              <w:widowControl w:val="0"/>
              <w:kinsoku/>
              <w:wordWrap/>
              <w:overflowPunct/>
              <w:topLinePunct w:val="0"/>
              <w:autoSpaceDN/>
              <w:bidi w:val="0"/>
              <w:adjustRightInd/>
              <w:snapToGrid/>
              <w:spacing w:line="312" w:lineRule="auto"/>
              <w:jc w:val="both"/>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pPr>
              <w:keepNext w:val="0"/>
              <w:keepLines w:val="0"/>
              <w:pageBreakBefore w:val="0"/>
              <w:widowControl w:val="0"/>
              <w:kinsoku/>
              <w:wordWrap/>
              <w:overflowPunct/>
              <w:topLinePunct w:val="0"/>
              <w:autoSpaceDN/>
              <w:bidi w:val="0"/>
              <w:adjustRightInd/>
              <w:snapToGrid/>
              <w:spacing w:line="312" w:lineRule="auto"/>
              <w:ind w:firstLine="360" w:firstLineChars="200"/>
              <w:jc w:val="both"/>
              <w:textAlignment w:val="auto"/>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keepNext w:val="0"/>
              <w:keepLines w:val="0"/>
              <w:pageBreakBefore w:val="0"/>
              <w:widowControl w:val="0"/>
              <w:kinsoku/>
              <w:wordWrap/>
              <w:overflowPunct/>
              <w:topLinePunct w:val="0"/>
              <w:autoSpaceDN/>
              <w:bidi w:val="0"/>
              <w:adjustRightInd/>
              <w:snapToGrid/>
              <w:spacing w:line="312" w:lineRule="auto"/>
              <w:jc w:val="both"/>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312" w:lineRule="auto"/>
              <w:ind w:firstLine="360" w:firstLineChars="200"/>
              <w:jc w:val="both"/>
              <w:textAlignment w:val="auto"/>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312" w:lineRule="auto"/>
              <w:ind w:firstLine="360" w:firstLineChars="200"/>
              <w:jc w:val="both"/>
              <w:textAlignment w:val="auto"/>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312" w:lineRule="auto"/>
              <w:ind w:firstLine="360" w:firstLineChars="200"/>
              <w:jc w:val="both"/>
              <w:textAlignment w:val="auto"/>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{%endif%}{% endfor%}{% endif %}</w:t>
            </w:r>
          </w:p>
          <w:p>
            <w:pPr>
              <w:keepNext w:val="0"/>
              <w:keepLines w:val="0"/>
              <w:pageBreakBefore w:val="0"/>
              <w:widowControl w:val="0"/>
              <w:kinsoku/>
              <w:wordWrap/>
              <w:overflowPunct/>
              <w:topLinePunct w:val="0"/>
              <w:autoSpaceDN/>
              <w:bidi w:val="0"/>
              <w:adjustRightInd/>
              <w:snapToGrid/>
              <w:spacing w:line="312"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注：</w:t>
            </w:r>
          </w:p>
          <w:p>
            <w:pPr>
              <w:keepNext w:val="0"/>
              <w:keepLines w:val="0"/>
              <w:pageBreakBefore w:val="0"/>
              <w:widowControl w:val="0"/>
              <w:numPr>
                <w:ilvl w:val="0"/>
                <w:numId w:val="15"/>
              </w:numPr>
              <w:kinsoku/>
              <w:wordWrap/>
              <w:overflowPunct/>
              <w:topLinePunct w:val="0"/>
              <w:autoSpaceDN/>
              <w:bidi w:val="0"/>
              <w:adjustRightInd/>
              <w:snapToGrid/>
              <w:spacing w:line="312" w:lineRule="auto"/>
              <w:textAlignment w:val="auto"/>
              <w:rPr>
                <w:rFonts w:hint="eastAsia" w:ascii="宋体" w:hAnsi="宋体" w:eastAsia="宋体" w:cs="宋体"/>
                <w:sz w:val="18"/>
                <w:shd w:val="clear" w:color="auto" w:fill="FFFFFF"/>
                <w:lang w:eastAsia="zh-CN"/>
              </w:rPr>
            </w:pPr>
            <w:r>
              <w:rPr>
                <w:rFonts w:hint="eastAsia" w:ascii="宋体" w:hAnsi="宋体" w:eastAsia="宋体" w:cs="宋体"/>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keepNext w:val="0"/>
              <w:keepLines w:val="0"/>
              <w:pageBreakBefore w:val="0"/>
              <w:widowControl w:val="0"/>
              <w:numPr>
                <w:ilvl w:val="0"/>
                <w:numId w:val="15"/>
              </w:numPr>
              <w:kinsoku/>
              <w:wordWrap/>
              <w:overflowPunct/>
              <w:topLinePunct w:val="0"/>
              <w:autoSpaceDN/>
              <w:bidi w:val="0"/>
              <w:adjustRightInd/>
              <w:snapToGrid/>
              <w:spacing w:line="312" w:lineRule="auto"/>
              <w:textAlignment w:val="auto"/>
              <w:rPr>
                <w:rFonts w:hint="eastAsia" w:ascii="宋体" w:hAnsi="宋体" w:eastAsia="宋体" w:cs="宋体"/>
                <w:sz w:val="18"/>
                <w:shd w:val="clear" w:color="auto" w:fill="FFFFFF"/>
                <w:lang w:eastAsia="zh-CN"/>
              </w:rPr>
            </w:pPr>
            <w:r>
              <w:rPr>
                <w:rFonts w:hint="eastAsia" w:ascii="宋体" w:hAnsi="宋体" w:eastAsia="宋体" w:cs="宋体"/>
                <w:bCs/>
                <w:sz w:val="18"/>
                <w:szCs w:val="18"/>
                <w:shd w:val="clear" w:color="auto" w:fill="FFFFFF"/>
                <w:lang w:eastAsia="zh-CN"/>
              </w:rPr>
              <w:t>本检测仅限于基因水平的突变检测，未进行PD-L1表达量检测。</w:t>
            </w:r>
          </w:p>
          <w:p>
            <w:pPr>
              <w:keepNext w:val="0"/>
              <w:keepLines w:val="0"/>
              <w:pageBreakBefore w:val="0"/>
              <w:widowControl w:val="0"/>
              <w:numPr>
                <w:ilvl w:val="0"/>
                <w:numId w:val="15"/>
              </w:numPr>
              <w:kinsoku/>
              <w:wordWrap/>
              <w:overflowPunct/>
              <w:topLinePunct w:val="0"/>
              <w:autoSpaceDN/>
              <w:bidi w:val="0"/>
              <w:adjustRightInd/>
              <w:snapToGrid/>
              <w:spacing w:line="312" w:lineRule="auto"/>
              <w:textAlignment w:val="auto"/>
              <w:rPr>
                <w:rFonts w:hint="eastAsia" w:ascii="宋体" w:hAnsi="宋体" w:eastAsia="宋体" w:cs="宋体"/>
                <w:sz w:val="18"/>
                <w:shd w:val="clear" w:color="auto" w:fill="FFFFFF"/>
                <w:lang w:eastAsia="zh-CN"/>
              </w:rPr>
            </w:pPr>
            <w:r>
              <w:rPr>
                <w:rFonts w:hint="eastAsia" w:ascii="宋体" w:hAnsi="宋体" w:eastAsia="宋体" w:cs="宋体"/>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eastAsia" w:ascii="宋体" w:hAnsi="宋体" w:eastAsia="宋体" w:cs="宋体"/>
                <w:b/>
                <w:bCs/>
                <w:color w:val="0070C0"/>
                <w:sz w:val="28"/>
                <w:szCs w:val="28"/>
                <w:lang w:eastAsia="zh-CN"/>
              </w:rPr>
              <w:br w:type="page"/>
            </w:r>
          </w:p>
        </w:tc>
      </w:tr>
    </w:tbl>
    <w:p>
      <w:pPr>
        <w:spacing w:before="29" w:line="360" w:lineRule="auto"/>
        <w:rPr>
          <w:rFonts w:hint="eastAsia" w:ascii="宋体" w:hAnsi="宋体" w:eastAsia="宋体" w:cs="宋体"/>
          <w:b/>
          <w:color w:val="00B050"/>
          <w:sz w:val="24"/>
          <w:szCs w:val="24"/>
        </w:rPr>
      </w:pPr>
      <w:r>
        <w:rPr>
          <w:rFonts w:hint="eastAsia" w:ascii="宋体" w:hAnsi="宋体" w:eastAsia="宋体" w:cs="宋体"/>
          <w:b/>
          <w:color w:val="00B050"/>
          <w:sz w:val="24"/>
          <w:szCs w:val="24"/>
          <w:lang w:eastAsia="zh-CN" w:bidi="ar"/>
        </w:rPr>
        <w:br w:type="page"/>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color w:val="auto"/>
          <w:sz w:val="21"/>
          <w:szCs w:val="21"/>
          <w:lang w:eastAsia="zh-CN"/>
        </w:rPr>
      </w:pPr>
      <w:bookmarkStart w:id="81" w:name="_Toc11540"/>
      <w:r>
        <w:rPr>
          <w:rFonts w:hint="eastAsia" w:ascii="宋体" w:hAnsi="宋体" w:eastAsia="宋体" w:cs="宋体"/>
          <w:b/>
          <w:color w:val="auto"/>
          <w:spacing w:val="6"/>
          <w:sz w:val="21"/>
          <w:szCs w:val="21"/>
          <w:lang w:eastAsia="zh-CN" w:bidi="ar"/>
        </w:rPr>
        <w:t>微卫星不稳定（MSI）检测结果解析</w:t>
      </w:r>
      <w:bookmarkEnd w:id="81"/>
    </w:p>
    <w:tbl>
      <w:tblPr>
        <w:tblStyle w:val="14"/>
        <w:tblW w:w="10205"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750"/>
        <w:gridCol w:w="44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检测项目</w:t>
            </w:r>
          </w:p>
        </w:tc>
        <w:tc>
          <w:tcPr>
            <w:tcW w:w="4294"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b/>
                <w:bCs/>
                <w:sz w:val="21"/>
                <w:szCs w:val="21"/>
                <w:lang w:eastAsia="zh-CN"/>
              </w:rPr>
              <w:t>微卫星不稳定（microsatellite instability，MSI）</w:t>
            </w:r>
          </w:p>
        </w:tc>
        <w:tc>
          <w:tcPr>
            <w:tcW w:w="4294"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summaryOfRresults.</w:t>
            </w:r>
            <w:r>
              <w:rPr>
                <w:rFonts w:hint="eastAsia" w:ascii="宋体" w:hAnsi="宋体" w:eastAsia="宋体" w:cs="宋体"/>
                <w:sz w:val="21"/>
                <w:lang w:eastAsia="zh-CN"/>
              </w:rPr>
              <w:t>msi_status_state</w:t>
            </w:r>
            <w:r>
              <w:rPr>
                <w:rFonts w:hint="eastAsia" w:ascii="宋体" w:hAnsi="宋体" w:eastAsia="宋体" w:cs="宋体"/>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4294"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z w:val="18"/>
                <w:shd w:val="clear" w:color="auto" w:fill="FFFFFF"/>
                <w:lang w:eastAsia="zh-CN"/>
              </w:rPr>
            </w:pPr>
            <w:r>
              <w:rPr>
                <w:rFonts w:hint="eastAsia" w:ascii="宋体" w:hAnsi="宋体" w:eastAsia="宋体" w:cs="宋体"/>
                <w:spacing w:val="6"/>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keepNext w:val="0"/>
              <w:keepLines w:val="0"/>
              <w:pageBreakBefore w:val="0"/>
              <w:widowControl w:val="0"/>
              <w:numPr>
                <w:ilvl w:val="0"/>
                <w:numId w:val="16"/>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7"/>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血液MSI值预测免疫检查点抑制剂治疗疗效处于临床研究阶段，证据尚不充分，报告仅供临床参考。</w:t>
            </w:r>
          </w:p>
        </w:tc>
      </w:tr>
    </w:tbl>
    <w:p>
      <w:pPr>
        <w:spacing w:before="26" w:after="120" w:afterLines="50"/>
        <w:rPr>
          <w:rFonts w:hint="eastAsia" w:ascii="宋体" w:hAnsi="宋体" w:eastAsia="宋体" w:cs="宋体"/>
          <w:b/>
          <w:sz w:val="21"/>
          <w:szCs w:val="21"/>
          <w:lang w:eastAsia="zh-CN"/>
        </w:rPr>
      </w:pPr>
      <w:r>
        <w:rPr>
          <w:rFonts w:hint="eastAsia" w:ascii="宋体" w:hAnsi="宋体" w:eastAsia="宋体" w:cs="宋体"/>
          <w:b/>
          <w:color w:val="auto"/>
          <w:sz w:val="24"/>
          <w:szCs w:val="24"/>
          <w:lang w:eastAsia="zh-CN" w:bidi="ar"/>
        </w:rPr>
        <w:br w:type="page"/>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spacing w:val="6"/>
          <w:sz w:val="21"/>
          <w:szCs w:val="21"/>
          <w:lang w:eastAsia="zh-CN"/>
        </w:rPr>
      </w:pPr>
      <w:bookmarkStart w:id="82" w:name="_Toc2049"/>
      <w:r>
        <w:rPr>
          <w:rFonts w:hint="eastAsia" w:ascii="宋体" w:hAnsi="宋体" w:eastAsia="宋体" w:cs="宋体"/>
          <w:b/>
          <w:spacing w:val="6"/>
          <w:sz w:val="21"/>
          <w:szCs w:val="21"/>
          <w:lang w:eastAsia="zh-CN"/>
        </w:rPr>
        <w:t>错配修复（MMR）相关基因检测结果</w:t>
      </w:r>
      <w:bookmarkEnd w:id="82"/>
    </w:p>
    <w:tbl>
      <w:tblPr>
        <w:tblStyle w:val="14"/>
        <w:tblW w:w="1020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24"/>
        <w:gridCol w:w="3234"/>
        <w:gridCol w:w="1918"/>
        <w:gridCol w:w="272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基因名称</w:t>
            </w:r>
          </w:p>
        </w:tc>
        <w:tc>
          <w:tcPr>
            <w:tcW w:w="3117"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检测结果</w:t>
            </w:r>
          </w:p>
        </w:tc>
        <w:tc>
          <w:tcPr>
            <w:tcW w:w="1849"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变异丰度</w:t>
            </w:r>
          </w:p>
        </w:tc>
        <w:tc>
          <w:tcPr>
            <w:tcW w:w="2631" w:type="dxa"/>
            <w:tcBorders>
              <w:top w:val="single" w:color="auto" w:sz="4" w:space="0"/>
              <w:left w:val="single" w:color="auto" w:sz="4" w:space="0"/>
              <w:bottom w:val="single" w:color="auto" w:sz="4" w:space="0"/>
              <w:right w:val="single" w:color="auto" w:sz="4" w:space="0"/>
            </w:tcBorders>
            <w:shd w:val="clear" w:color="auto" w:fill="9DC3E6"/>
            <w:vAlign w:val="center"/>
          </w:tcPr>
          <w:p>
            <w:pPr>
              <w:spacing w:before="13" w:line="252" w:lineRule="auto"/>
              <w:ind w:right="174"/>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b/>
                <w:bCs/>
              </w:rPr>
            </w:pPr>
            <w:r>
              <w:rPr>
                <w:rFonts w:hint="eastAsia" w:ascii="宋体" w:hAnsi="宋体" w:eastAsia="宋体" w:cs="宋体"/>
                <w:b/>
                <w:bCs/>
                <w:sz w:val="21"/>
                <w:szCs w:val="21"/>
                <w:lang w:eastAsia="zh-CN"/>
              </w:rPr>
              <w:t>{{ dmmr.gene }}</w:t>
            </w:r>
          </w:p>
        </w:tc>
        <w:tc>
          <w:tcPr>
            <w:tcW w:w="3117"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lang w:eastAsia="zh-CN"/>
              </w:rPr>
            </w:pPr>
            <w:r>
              <w:rPr>
                <w:rFonts w:hint="eastAsia" w:ascii="宋体" w:hAnsi="宋体" w:eastAsia="宋体" w:cs="宋体"/>
                <w:sz w:val="21"/>
                <w:szCs w:val="21"/>
                <w:lang w:eastAsia="zh-CN"/>
              </w:rPr>
              <w:t>{{ dmmr.ori_variant}}</w:t>
            </w:r>
          </w:p>
        </w:tc>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 dmmr.mutFreq}}</w:t>
            </w:r>
          </w:p>
        </w:tc>
        <w:tc>
          <w:tcPr>
            <w:tcW w:w="2631" w:type="dxa"/>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single" w:color="auto" w:sz="4" w:space="0"/>
              <w:left w:val="single" w:color="auto" w:sz="4" w:space="0"/>
              <w:bottom w:val="single" w:color="auto" w:sz="4" w:space="0"/>
              <w:right w:val="single" w:color="auto" w:sz="4" w:space="0"/>
            </w:tcBorders>
            <w:shd w:val="clear" w:color="auto" w:fill="auto"/>
            <w:vAlign w:val="center"/>
          </w:tcPr>
          <w:p>
            <w:pPr>
              <w:spacing w:before="13" w:line="252" w:lineRule="auto"/>
              <w:ind w:right="174"/>
              <w:jc w:val="center"/>
              <w:rPr>
                <w:rFonts w:hint="eastAsia" w:ascii="宋体" w:hAnsi="宋体" w:eastAsia="宋体" w:cs="宋体"/>
                <w:highlight w:val="yellow"/>
                <w:lang w:eastAsia="zh-CN"/>
              </w:rPr>
            </w:pPr>
            <w:r>
              <w:rPr>
                <w:rFonts w:hint="eastAsia" w:ascii="宋体" w:hAnsi="宋体" w:eastAsia="宋体" w:cs="宋体"/>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3117"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1849"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c>
          <w:tcPr>
            <w:tcW w:w="2631" w:type="dxa"/>
            <w:tcBorders>
              <w:top w:val="single" w:color="auto" w:sz="4" w:space="0"/>
              <w:left w:val="nil"/>
              <w:bottom w:val="nil"/>
              <w:right w:val="nil"/>
            </w:tcBorders>
            <w:shd w:val="clear" w:color="auto" w:fill="auto"/>
            <w:vAlign w:val="center"/>
          </w:tcPr>
          <w:p>
            <w:pPr>
              <w:spacing w:before="13" w:line="252" w:lineRule="auto"/>
              <w:ind w:right="174"/>
              <w:jc w:val="center"/>
              <w:rPr>
                <w:rFonts w:hint="eastAsia" w:ascii="宋体" w:hAnsi="宋体" w:eastAsia="宋体" w:cs="宋体"/>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lang w:eastAsia="zh-CN"/>
              </w:rPr>
            </w:pPr>
            <w:r>
              <w:rPr>
                <w:rFonts w:hint="eastAsia" w:ascii="宋体" w:hAnsi="宋体" w:eastAsia="宋体" w:cs="宋体"/>
                <w:b/>
                <w:spacing w:val="6"/>
                <w:sz w:val="18"/>
                <w:shd w:val="clear" w:color="auto" w:fill="FFFFFF"/>
                <w:lang w:eastAsia="zh-CN"/>
              </w:rPr>
              <w:t>临床意义：</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r>
              <w:rPr>
                <w:rFonts w:hint="eastAsia" w:ascii="宋体" w:hAnsi="宋体" w:eastAsia="宋体" w:cs="宋体"/>
                <w:spacing w:val="6"/>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keepNext w:val="0"/>
              <w:keepLines w:val="0"/>
              <w:pageBreakBefore w:val="0"/>
              <w:widowControl w:val="0"/>
              <w:kinsoku/>
              <w:wordWrap/>
              <w:overflowPunct/>
              <w:topLinePunct w:val="0"/>
              <w:autoSpaceDE/>
              <w:autoSpaceDN/>
              <w:bidi w:val="0"/>
              <w:adjustRightInd/>
              <w:snapToGrid/>
              <w:spacing w:line="312" w:lineRule="auto"/>
              <w:ind w:firstLine="384" w:firstLineChars="200"/>
              <w:textAlignment w:val="auto"/>
              <w:rPr>
                <w:rFonts w:hint="eastAsia" w:ascii="宋体" w:hAnsi="宋体" w:eastAsia="宋体" w:cs="宋体"/>
                <w:spacing w:val="6"/>
                <w:sz w:val="18"/>
                <w:shd w:val="clear" w:color="auto" w:fill="FFFFFF"/>
                <w:lang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b/>
                <w:spacing w:val="6"/>
                <w:sz w:val="18"/>
                <w:shd w:val="clear" w:color="auto" w:fill="FFFFFF"/>
              </w:rPr>
            </w:pPr>
            <w:r>
              <w:rPr>
                <w:rFonts w:hint="eastAsia" w:ascii="宋体" w:hAnsi="宋体" w:eastAsia="宋体" w:cs="宋体"/>
                <w:b/>
                <w:spacing w:val="6"/>
                <w:sz w:val="18"/>
                <w:shd w:val="clear" w:color="auto" w:fill="FFFFFF"/>
              </w:rPr>
              <w:t>注：</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错配修复（MMR）基因突变会导致错配修复缺陷（dMMR）；如果没有发生基因突变，则为正常（pMMR）。</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本次检测仅限于基因水平突变检测，未进行IHC表达检测，仅供参考。</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textAlignment w:val="auto"/>
              <w:rPr>
                <w:rFonts w:hint="eastAsia" w:ascii="宋体" w:hAnsi="宋体" w:eastAsia="宋体" w:cs="宋体"/>
                <w:spacing w:val="6"/>
                <w:sz w:val="18"/>
                <w:szCs w:val="18"/>
                <w:shd w:val="clear" w:color="auto" w:fill="FFFFFF"/>
                <w:lang w:eastAsia="zh-CN"/>
              </w:rPr>
            </w:pPr>
            <w:r>
              <w:rPr>
                <w:rFonts w:hint="eastAsia" w:ascii="宋体" w:hAnsi="宋体" w:eastAsia="宋体" w:cs="宋体"/>
                <w:spacing w:val="6"/>
                <w:sz w:val="18"/>
                <w:szCs w:val="18"/>
                <w:shd w:val="clear" w:color="auto" w:fill="FFFFFF"/>
                <w:lang w:eastAsia="zh-CN"/>
              </w:rPr>
              <w:t>MMR基因检测体系/胚系突变。</w:t>
            </w:r>
          </w:p>
          <w:p>
            <w:pPr>
              <w:keepNext w:val="0"/>
              <w:keepLines w:val="0"/>
              <w:pageBreakBefore w:val="0"/>
              <w:widowControl w:val="0"/>
              <w:numPr>
                <w:ilvl w:val="0"/>
                <w:numId w:val="18"/>
              </w:numPr>
              <w:kinsoku/>
              <w:wordWrap/>
              <w:overflowPunct/>
              <w:topLinePunct w:val="0"/>
              <w:autoSpaceDE/>
              <w:autoSpaceDN/>
              <w:bidi w:val="0"/>
              <w:adjustRightInd/>
              <w:snapToGrid/>
              <w:spacing w:line="312" w:lineRule="auto"/>
              <w:textAlignment w:val="auto"/>
              <w:rPr>
                <w:rFonts w:hint="eastAsia" w:ascii="宋体" w:hAnsi="宋体" w:eastAsia="宋体" w:cs="宋体"/>
                <w:sz w:val="21"/>
                <w:szCs w:val="21"/>
                <w:lang w:eastAsia="zh-CN"/>
              </w:rPr>
            </w:pPr>
            <w:r>
              <w:rPr>
                <w:rFonts w:hint="eastAsia" w:ascii="宋体" w:hAnsi="宋体" w:eastAsia="宋体" w:cs="宋体"/>
                <w:spacing w:val="6"/>
                <w:sz w:val="18"/>
                <w:szCs w:val="18"/>
                <w:shd w:val="clear" w:color="auto" w:fill="FFFFFF"/>
                <w:lang w:eastAsia="zh-CN"/>
              </w:rPr>
              <w:t>“-”表示本次检测未发现相关变异。</w:t>
            </w:r>
          </w:p>
        </w:tc>
      </w:tr>
    </w:tbl>
    <w:p>
      <w:pPr>
        <w:rPr>
          <w:rFonts w:hint="eastAsia" w:ascii="宋体" w:hAnsi="宋体" w:eastAsia="宋体" w:cs="宋体"/>
          <w:b/>
          <w:spacing w:val="6"/>
          <w:sz w:val="21"/>
          <w:szCs w:val="21"/>
          <w:lang w:eastAsia="zh-CN"/>
        </w:rPr>
      </w:pPr>
      <w:r>
        <w:rPr>
          <w:rFonts w:hint="eastAsia" w:ascii="宋体" w:hAnsi="宋体" w:eastAsia="宋体" w:cs="宋体"/>
          <w:b/>
          <w:spacing w:val="6"/>
          <w:sz w:val="21"/>
          <w:szCs w:val="21"/>
          <w:lang w:eastAsia="zh-CN"/>
        </w:rPr>
        <w:br w:type="page"/>
      </w:r>
    </w:p>
    <w:p>
      <w:pPr>
        <w:rPr>
          <w:rFonts w:hint="eastAsia" w:ascii="宋体" w:hAnsi="宋体" w:eastAsia="宋体" w:cs="宋体"/>
          <w:b/>
          <w:spacing w:val="6"/>
          <w:sz w:val="21"/>
          <w:szCs w:val="21"/>
          <w:lang w:eastAsia="zh-CN"/>
        </w:rPr>
      </w:pPr>
      <w:r>
        <w:rPr>
          <w:rFonts w:hint="eastAsia" w:ascii="宋体" w:hAnsi="宋体" w:eastAsia="宋体" w:cs="宋体"/>
          <w:b/>
          <w:sz w:val="24"/>
          <w:szCs w:val="24"/>
          <w:lang w:eastAsia="zh-CN"/>
        </w:rPr>
        <w:t>{%if summaryOfRresults.positiveImmnueNum != 0%}{%if positiveImmnue!= [] %}</w:t>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sz w:val="21"/>
          <w:szCs w:val="21"/>
          <w:lang w:eastAsia="zh-CN"/>
        </w:rPr>
      </w:pPr>
      <w:bookmarkStart w:id="83" w:name="_Toc8667"/>
      <w:r>
        <w:rPr>
          <w:rFonts w:hint="eastAsia" w:ascii="宋体" w:hAnsi="宋体" w:eastAsia="宋体" w:cs="宋体"/>
          <w:b/>
          <w:spacing w:val="6"/>
          <w:sz w:val="21"/>
          <w:szCs w:val="21"/>
          <w:lang w:eastAsia="zh-CN"/>
        </w:rPr>
        <w:t>免疫正相关基因检测结果解析{% for tdd in positiveImmnue %}{% if tdd.varDesc !=”/” %}</w:t>
      </w:r>
      <w:bookmarkEnd w:id="83"/>
    </w:p>
    <w:p>
      <w:pPr>
        <w:keepNext/>
        <w:spacing w:before="240" w:beforeLines="100" w:line="360" w:lineRule="auto"/>
        <w:rPr>
          <w:rFonts w:hint="eastAsia" w:ascii="宋体" w:hAnsi="宋体" w:eastAsia="宋体" w:cs="宋体"/>
          <w:b/>
          <w:i/>
          <w:iCs/>
          <w:sz w:val="24"/>
          <w:szCs w:val="24"/>
          <w:u w:val="single"/>
          <w:lang w:eastAsia="zh-CN"/>
        </w:rPr>
      </w:pPr>
      <w:r>
        <w:rPr>
          <w:rFonts w:hint="eastAsia" w:ascii="宋体" w:hAnsi="宋体" w:eastAsia="宋体" w:cs="宋体"/>
          <w:b/>
          <w:i/>
          <w:iCs/>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tdd.mutFreqType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循证医学证据</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b/>
                <w:bCs/>
                <w:sz w:val="21"/>
                <w:szCs w:val="21"/>
                <w:lang w:eastAsia="zh-CN"/>
              </w:rPr>
              <w:t>免疫正相关说明:</w:t>
            </w:r>
            <w:r>
              <w:rPr>
                <w:rFonts w:hint="eastAsia" w:ascii="宋体" w:hAnsi="宋体" w:eastAsia="宋体" w:cs="宋体"/>
                <w:bCs/>
                <w:sz w:val="21"/>
                <w:szCs w:val="21"/>
                <w:lang w:eastAsia="zh-CN"/>
              </w:rPr>
              <w:t>{{ tdd.varDesc }}</w:t>
            </w:r>
          </w:p>
        </w:tc>
      </w:tr>
    </w:tbl>
    <w:p>
      <w:pP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sz w:val="24"/>
          <w:szCs w:val="24"/>
          <w:lang w:eastAsia="zh-CN"/>
        </w:rPr>
        <w:t>{% endif %}{% endfor %}{% endif %}</w:t>
      </w:r>
      <w:r>
        <w:rPr>
          <w:rFonts w:hint="eastAsia" w:ascii="宋体" w:hAnsi="宋体" w:eastAsia="宋体" w:cs="宋体"/>
          <w:b/>
          <w:sz w:val="24"/>
          <w:szCs w:val="24"/>
          <w:lang w:eastAsia="zh-CN" w:bidi="ar"/>
        </w:rPr>
        <w:br w:type="page"/>
      </w:r>
      <w:r>
        <w:rPr>
          <w:rFonts w:hint="eastAsia" w:ascii="宋体" w:hAnsi="宋体" w:eastAsia="宋体" w:cs="宋体"/>
          <w:b/>
          <w:color w:val="000000" w:themeColor="text1"/>
          <w:sz w:val="21"/>
          <w:szCs w:val="21"/>
          <w:lang w:eastAsia="zh-CN"/>
          <w14:textFill>
            <w14:solidFill>
              <w14:schemeClr w14:val="tx1"/>
            </w14:solidFill>
          </w14:textFill>
        </w:rPr>
        <w:t>{% endif %}{%if summaryOfRresults.negativeImmnueNum != 0%}{%if negativeImmnue!= [] %}</w:t>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color w:val="000000" w:themeColor="text1"/>
          <w:sz w:val="21"/>
          <w:szCs w:val="21"/>
          <w:lang w:eastAsia="zh-CN"/>
          <w14:textFill>
            <w14:solidFill>
              <w14:schemeClr w14:val="tx1"/>
            </w14:solidFill>
          </w14:textFill>
        </w:rPr>
      </w:pPr>
      <w:bookmarkStart w:id="84" w:name="_Toc23643"/>
      <w:r>
        <w:rPr>
          <w:rFonts w:hint="eastAsia" w:ascii="宋体" w:hAnsi="宋体" w:eastAsia="宋体" w:cs="宋体"/>
          <w:b/>
          <w:color w:val="000000" w:themeColor="text1"/>
          <w:spacing w:val="6"/>
          <w:sz w:val="21"/>
          <w:szCs w:val="21"/>
          <w:lang w:eastAsia="zh-CN"/>
          <w14:textFill>
            <w14:solidFill>
              <w14:schemeClr w14:val="tx1"/>
            </w14:solidFill>
          </w14:textFill>
        </w:rPr>
        <w:t>免疫负相关基因检测结果解析</w:t>
      </w:r>
      <w:r>
        <w:rPr>
          <w:rFonts w:hint="eastAsia" w:ascii="宋体" w:hAnsi="宋体" w:eastAsia="宋体" w:cs="宋体"/>
          <w:b/>
          <w:color w:val="000000" w:themeColor="text1"/>
          <w:sz w:val="21"/>
          <w:szCs w:val="21"/>
          <w:lang w:eastAsia="zh-CN"/>
          <w14:textFill>
            <w14:solidFill>
              <w14:schemeClr w14:val="tx1"/>
            </w14:solidFill>
          </w14:textFill>
        </w:rPr>
        <w:t>{% for tdd in negativeImmnue%}{% if tdd.varDesc !=”/” %}</w:t>
      </w:r>
      <w:bookmarkEnd w:id="84"/>
    </w:p>
    <w:p>
      <w:pPr>
        <w:keepNext/>
        <w:spacing w:before="240" w:beforeLines="100" w:line="360" w:lineRule="auto"/>
        <w:rPr>
          <w:rFonts w:hint="eastAsia" w:ascii="宋体" w:hAnsi="宋体" w:eastAsia="宋体" w:cs="宋体"/>
          <w:b/>
          <w:i/>
          <w:iCs/>
          <w:color w:val="000000" w:themeColor="text1"/>
          <w:sz w:val="24"/>
          <w:szCs w:val="24"/>
          <w:u w:val="single"/>
          <w:lang w:eastAsia="zh-CN"/>
          <w14:textFill>
            <w14:solidFill>
              <w14:schemeClr w14:val="tx1"/>
            </w14:solidFill>
          </w14:textFill>
        </w:rPr>
      </w:pPr>
      <w:r>
        <w:rPr>
          <w:rFonts w:hint="eastAsia" w:ascii="宋体" w:hAnsi="宋体" w:eastAsia="宋体" w:cs="宋体"/>
          <w:b/>
          <w:i/>
          <w:iCs/>
          <w:color w:val="000000" w:themeColor="text1"/>
          <w:sz w:val="24"/>
          <w:szCs w:val="24"/>
          <w:u w:val="single"/>
          <w:lang w:eastAsia="zh-CN"/>
          <w14:textFill>
            <w14:solidFill>
              <w14:schemeClr w14:val="tx1"/>
            </w14:solidFill>
          </w14:textFill>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tdd.mutFreqType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循证医学证据</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b/>
                <w:bCs/>
                <w:sz w:val="21"/>
                <w:szCs w:val="21"/>
                <w:lang w:eastAsia="zh-CN"/>
              </w:rPr>
              <w:t>免疫负相关说明:</w:t>
            </w:r>
            <w:r>
              <w:rPr>
                <w:rFonts w:hint="eastAsia" w:ascii="宋体" w:hAnsi="宋体" w:eastAsia="宋体" w:cs="宋体"/>
                <w:bCs/>
                <w:sz w:val="21"/>
                <w:szCs w:val="21"/>
                <w:lang w:eastAsia="zh-CN"/>
              </w:rPr>
              <w:t>{{ tdd.varDesc }}</w:t>
            </w:r>
          </w:p>
        </w:tc>
      </w:tr>
    </w:tbl>
    <w:p>
      <w:pPr>
        <w:pStyle w:val="25"/>
        <w:rPr>
          <w:rFonts w:hint="eastAsia" w:ascii="宋体" w:hAnsi="宋体" w:eastAsia="宋体" w:cs="宋体"/>
          <w:color w:val="auto"/>
          <w:sz w:val="16"/>
          <w:lang w:eastAsia="zh-CN"/>
        </w:rPr>
      </w:pPr>
      <w:r>
        <w:rPr>
          <w:rFonts w:hint="eastAsia" w:ascii="宋体" w:hAnsi="宋体" w:eastAsia="宋体" w:cs="宋体"/>
          <w:b/>
          <w:color w:val="000000" w:themeColor="text1"/>
          <w:sz w:val="24"/>
          <w:szCs w:val="24"/>
          <w:lang w:eastAsia="zh-CN"/>
          <w14:textFill>
            <w14:solidFill>
              <w14:schemeClr w14:val="tx1"/>
            </w14:solidFill>
          </w14:textFill>
        </w:rPr>
        <w:t>{% endif %}{% endfor %}{% endif %}</w:t>
      </w:r>
      <w:r>
        <w:rPr>
          <w:rFonts w:hint="eastAsia" w:ascii="宋体" w:hAnsi="宋体" w:eastAsia="宋体" w:cs="宋体"/>
        </w:rPr>
        <w:br w:type="page"/>
      </w:r>
      <w:r>
        <w:rPr>
          <w:rFonts w:hint="eastAsia" w:ascii="宋体" w:hAnsi="宋体" w:eastAsia="宋体" w:cs="宋体"/>
          <w:color w:val="auto"/>
          <w:sz w:val="16"/>
          <w:lang w:eastAsia="zh-CN"/>
        </w:rPr>
        <w:t>{% endif %}</w:t>
      </w:r>
      <w:bookmarkEnd w:id="75"/>
      <w:bookmarkEnd w:id="76"/>
      <w:bookmarkEnd w:id="77"/>
      <w:bookmarkEnd w:id="78"/>
      <w:bookmarkEnd w:id="79"/>
      <w:r>
        <w:rPr>
          <w:rFonts w:hint="eastAsia" w:ascii="宋体" w:hAnsi="宋体" w:eastAsia="宋体" w:cs="宋体"/>
          <w:color w:val="auto"/>
          <w:sz w:val="16"/>
          <w:lang w:eastAsia="zh-CN"/>
        </w:rPr>
        <w:t>{%if summaryOfRresults.hpdImmnueNum != 0%}{%if hpdImmnue!= [] %}</w:t>
      </w:r>
    </w:p>
    <w:p>
      <w:pPr>
        <w:pStyle w:val="38"/>
        <w:numPr>
          <w:ilvl w:val="1"/>
          <w:numId w:val="14"/>
        </w:numPr>
        <w:bidi w:val="0"/>
        <w:spacing w:line="360" w:lineRule="auto"/>
        <w:ind w:left="567" w:leftChars="0" w:hanging="567" w:firstLineChars="0"/>
        <w:jc w:val="left"/>
        <w:outlineLvl w:val="9"/>
        <w:rPr>
          <w:rFonts w:hint="eastAsia" w:ascii="宋体" w:hAnsi="宋体" w:eastAsia="宋体" w:cs="宋体"/>
          <w:b/>
          <w:color w:val="000000" w:themeColor="text1"/>
          <w:spacing w:val="6"/>
          <w:sz w:val="21"/>
          <w:szCs w:val="21"/>
          <w:lang w:eastAsia="zh-CN"/>
          <w14:textFill>
            <w14:solidFill>
              <w14:schemeClr w14:val="tx1"/>
            </w14:solidFill>
          </w14:textFill>
        </w:rPr>
      </w:pPr>
      <w:bookmarkStart w:id="85" w:name="_Toc15588"/>
      <w:r>
        <w:rPr>
          <w:rFonts w:hint="eastAsia" w:ascii="宋体" w:hAnsi="宋体" w:eastAsia="宋体" w:cs="宋体"/>
          <w:b/>
          <w:color w:val="000000" w:themeColor="text1"/>
          <w:spacing w:val="6"/>
          <w:sz w:val="21"/>
          <w:szCs w:val="21"/>
          <w:lang w:eastAsia="zh-CN"/>
          <w14:textFill>
            <w14:solidFill>
              <w14:schemeClr w14:val="tx1"/>
            </w14:solidFill>
          </w14:textFill>
        </w:rPr>
        <w:t>免疫超进展相关基因检测结果解析{% for tdd in hpdImmnue%}{% if tdd.varDesc !=”/” %}</w:t>
      </w:r>
      <w:bookmarkEnd w:id="85"/>
    </w:p>
    <w:p>
      <w:pPr>
        <w:keepNext/>
        <w:spacing w:before="240" w:beforeLines="100" w:line="360" w:lineRule="auto"/>
        <w:rPr>
          <w:rFonts w:hint="eastAsia" w:ascii="宋体" w:hAnsi="宋体" w:eastAsia="宋体" w:cs="宋体"/>
          <w:b/>
          <w:i/>
          <w:iCs/>
          <w:color w:val="000000" w:themeColor="text1"/>
          <w:sz w:val="24"/>
          <w:szCs w:val="24"/>
          <w:u w:val="single"/>
          <w:lang w:eastAsia="zh-CN"/>
          <w14:textFill>
            <w14:solidFill>
              <w14:schemeClr w14:val="tx1"/>
            </w14:solidFill>
          </w14:textFill>
        </w:rPr>
      </w:pPr>
      <w:r>
        <w:rPr>
          <w:rFonts w:hint="eastAsia" w:ascii="宋体" w:hAnsi="宋体" w:eastAsia="宋体" w:cs="宋体"/>
          <w:b/>
          <w:i/>
          <w:iCs/>
          <w:color w:val="000000" w:themeColor="text1"/>
          <w:sz w:val="24"/>
          <w:szCs w:val="24"/>
          <w:u w:val="single"/>
          <w:lang w:eastAsia="zh-CN"/>
          <w14:textFill>
            <w14:solidFill>
              <w14:schemeClr w14:val="tx1"/>
            </w14:solidFill>
          </w14:textFill>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val="en-US"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3"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循证医学证据</w:t>
            </w:r>
          </w:p>
        </w:tc>
        <w:tc>
          <w:tcPr>
            <w:tcW w:w="8247" w:type="dxa"/>
            <w:vAlign w:val="center"/>
          </w:tcPr>
          <w:p>
            <w:pPr>
              <w:keepNext/>
              <w:spacing w:before="26"/>
              <w:rPr>
                <w:rFonts w:hint="eastAsia" w:ascii="宋体" w:hAnsi="宋体" w:eastAsia="宋体" w:cs="宋体"/>
                <w:sz w:val="21"/>
                <w:szCs w:val="21"/>
                <w:lang w:eastAsia="zh-CN"/>
              </w:rPr>
            </w:pPr>
            <w:r>
              <w:rPr>
                <w:rFonts w:hint="eastAsia" w:ascii="宋体" w:hAnsi="宋体" w:eastAsia="宋体" w:cs="宋体"/>
                <w:b/>
                <w:bCs/>
                <w:sz w:val="21"/>
                <w:szCs w:val="21"/>
                <w:lang w:eastAsia="zh-CN"/>
              </w:rPr>
              <w:t>免疫超进展相关说明:</w:t>
            </w:r>
            <w:r>
              <w:rPr>
                <w:rFonts w:hint="eastAsia" w:ascii="宋体" w:hAnsi="宋体" w:eastAsia="宋体" w:cs="宋体"/>
                <w:bCs/>
                <w:sz w:val="21"/>
                <w:szCs w:val="21"/>
                <w:lang w:eastAsia="zh-CN"/>
              </w:rPr>
              <w:t>{{ tdd.varDesc }}</w:t>
            </w:r>
          </w:p>
        </w:tc>
      </w:tr>
    </w:tbl>
    <w:p>
      <w:pPr>
        <w:numPr>
          <w:ilvl w:val="0"/>
          <w:numId w:val="0"/>
        </w:numPr>
        <w:spacing w:before="29" w:line="240" w:lineRule="auto"/>
        <w:ind w:leftChars="0"/>
        <w:rPr>
          <w:rFonts w:hint="eastAsia" w:ascii="宋体" w:hAnsi="宋体" w:eastAsia="宋体" w:cs="宋体"/>
          <w:b/>
          <w:color w:val="000000" w:themeColor="text1"/>
          <w:spacing w:val="6"/>
          <w:sz w:val="21"/>
          <w:szCs w:val="21"/>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w:t>
      </w:r>
    </w:p>
    <w:bookmarkEnd w:id="66"/>
    <w:bookmarkEnd w:id="67"/>
    <w:bookmarkEnd w:id="68"/>
    <w:bookmarkEnd w:id="69"/>
    <w:bookmarkEnd w:id="70"/>
    <w:bookmarkEnd w:id="71"/>
    <w:bookmarkEnd w:id="72"/>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86" w:name="_Toc21764_WPSOffice_Level1"/>
      <w:bookmarkStart w:id="87" w:name="_Toc16594"/>
      <w:bookmarkStart w:id="88" w:name="_Toc27302"/>
      <w:bookmarkStart w:id="89" w:name="_Toc28240"/>
      <w:bookmarkStart w:id="90" w:name="_Toc12954"/>
      <w:bookmarkStart w:id="91" w:name="_Toc13196_WPSOffice_Level1"/>
      <w:bookmarkStart w:id="92" w:name="_Toc2409"/>
      <w:bookmarkStart w:id="93" w:name="_Toc1707_WPSOffice_Level1"/>
      <w:bookmarkStart w:id="94" w:name="_Toc12505"/>
      <w:r>
        <w:rPr>
          <w:rFonts w:hint="eastAsia" w:ascii="Times New Roman" w:hAnsi="Times New Roman" w:eastAsia="宋体" w:cs="宋体"/>
          <w:b/>
          <w:bCs/>
          <w:spacing w:val="23"/>
          <w:sz w:val="24"/>
          <w:szCs w:val="24"/>
        </w:rPr>
        <w:t>附录</w:t>
      </w:r>
      <w:bookmarkEnd w:id="86"/>
      <w:bookmarkEnd w:id="87"/>
      <w:bookmarkEnd w:id="88"/>
      <w:bookmarkEnd w:id="89"/>
      <w:bookmarkEnd w:id="90"/>
      <w:bookmarkEnd w:id="91"/>
      <w:bookmarkEnd w:id="92"/>
      <w:bookmarkEnd w:id="93"/>
      <w:bookmarkEnd w:id="94"/>
    </w:p>
    <w:p>
      <w:pPr>
        <w:pStyle w:val="38"/>
        <w:numPr>
          <w:ilvl w:val="0"/>
          <w:numId w:val="19"/>
        </w:numPr>
        <w:bidi w:val="0"/>
        <w:spacing w:line="360" w:lineRule="auto"/>
        <w:ind w:left="425" w:leftChars="0" w:hanging="425" w:firstLineChars="0"/>
        <w:jc w:val="left"/>
        <w:rPr>
          <w:b/>
          <w:bCs/>
          <w:spacing w:val="23"/>
          <w:sz w:val="21"/>
          <w:szCs w:val="21"/>
        </w:rPr>
      </w:pPr>
      <w:bookmarkStart w:id="95" w:name="_Toc24085_WPSOffice_Level1"/>
      <w:bookmarkStart w:id="96" w:name="_Toc15840_WPSOffice_Level1"/>
      <w:bookmarkStart w:id="97" w:name="_Toc4168"/>
      <w:bookmarkStart w:id="98" w:name="_Toc27075"/>
      <w:bookmarkStart w:id="99" w:name="_Toc14255_WPSOffice_Level1"/>
      <w:bookmarkStart w:id="100" w:name="_Toc31490"/>
      <w:bookmarkStart w:id="101" w:name="_Toc30012"/>
      <w:r>
        <w:rPr>
          <w:rFonts w:hint="eastAsia"/>
          <w:b/>
          <w:bCs/>
          <w:spacing w:val="23"/>
          <w:sz w:val="21"/>
          <w:szCs w:val="21"/>
        </w:rPr>
        <w:t>样本质控情况</w:t>
      </w:r>
      <w:bookmarkEnd w:id="95"/>
      <w:bookmarkEnd w:id="96"/>
      <w:bookmarkEnd w:id="97"/>
      <w:bookmarkEnd w:id="98"/>
      <w:bookmarkEnd w:id="99"/>
      <w:bookmarkEnd w:id="100"/>
      <w:bookmarkEnd w:id="101"/>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20"/>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20"/>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20"/>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hint="eastAsia" w:ascii="宋体" w:hAnsi="宋体" w:eastAsia="宋体" w:cs="宋体"/>
          <w:sz w:val="21"/>
          <w:lang w:eastAsia="zh-CN"/>
        </w:rPr>
      </w:pPr>
      <w:r>
        <w:rPr>
          <w:rFonts w:hint="eastAsia" w:ascii="宋体" w:hAnsi="宋体" w:eastAsia="宋体" w:cs="宋体"/>
          <w:sz w:val="21"/>
          <w:lang w:eastAsia="zh-CN"/>
        </w:rPr>
        <w:t>{% if endometrialCarcinoma == True %}</w:t>
      </w:r>
    </w:p>
    <w:p>
      <w:pPr>
        <w:pStyle w:val="38"/>
        <w:numPr>
          <w:ilvl w:val="0"/>
          <w:numId w:val="19"/>
        </w:numPr>
        <w:bidi w:val="0"/>
        <w:spacing w:line="360" w:lineRule="auto"/>
        <w:ind w:left="425" w:leftChars="0" w:hanging="425" w:firstLineChars="0"/>
        <w:jc w:val="left"/>
        <w:rPr>
          <w:b/>
          <w:bCs/>
          <w:spacing w:val="23"/>
          <w:sz w:val="21"/>
          <w:szCs w:val="21"/>
        </w:rPr>
      </w:pPr>
      <w:bookmarkStart w:id="102" w:name="_Toc17216"/>
      <w:bookmarkStart w:id="103" w:name="_Toc106294408"/>
      <w:bookmarkStart w:id="104" w:name="_Toc11446"/>
      <w:bookmarkStart w:id="105" w:name="_Toc27025"/>
      <w:bookmarkStart w:id="106" w:name="_Toc17656"/>
      <w:bookmarkStart w:id="107" w:name="_Toc3454"/>
      <w:bookmarkStart w:id="108" w:name="_Toc4751"/>
      <w:bookmarkStart w:id="109" w:name="_Toc1779"/>
      <w:bookmarkStart w:id="110" w:name="_Toc11812"/>
      <w:bookmarkStart w:id="111" w:name="_Toc20303"/>
      <w:bookmarkStart w:id="112" w:name="_Toc11896_WPSOffice_Level1"/>
      <w:bookmarkStart w:id="113" w:name="_Toc28810_WPSOffice_Level1"/>
      <w:bookmarkStart w:id="114" w:name="_Toc11193_WPSOffice_Level1"/>
      <w:r>
        <w:rPr>
          <w:rFonts w:hint="eastAsia"/>
          <w:b/>
          <w:bCs/>
          <w:spacing w:val="23"/>
          <w:sz w:val="21"/>
          <w:szCs w:val="21"/>
        </w:rPr>
        <w:t>子宫内膜癌分子分型与预后的相关性</w:t>
      </w:r>
      <w:bookmarkEnd w:id="102"/>
      <w:bookmarkEnd w:id="103"/>
      <w:bookmarkEnd w:id="104"/>
      <w:bookmarkEnd w:id="105"/>
      <w:bookmarkEnd w:id="106"/>
      <w:bookmarkEnd w:id="107"/>
      <w:bookmarkEnd w:id="108"/>
    </w:p>
    <w:p>
      <w:pPr>
        <w:keepNext w:val="0"/>
        <w:keepLines w:val="0"/>
        <w:pageBreakBefore w:val="0"/>
        <w:widowControl w:val="0"/>
        <w:kinsoku/>
        <w:wordWrap/>
        <w:overflowPunct/>
        <w:topLinePunct w:val="0"/>
        <w:autoSpaceDE/>
        <w:autoSpaceDN/>
        <w:bidi w:val="0"/>
        <w:adjustRightInd/>
        <w:snapToGrid/>
        <w:spacing w:after="120" w:afterLines="50" w:line="312" w:lineRule="auto"/>
        <w:jc w:val="both"/>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关于子宫内膜癌预后危险因素定义和分组以及对应的术后辅助治疗建议的具体描述见表1，不同分子分型命名对照见表2。</w:t>
      </w:r>
    </w:p>
    <w:p>
      <w:pPr>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表1. 预后危险因素定义和分组及术后辅助治疗方案</w:t>
      </w:r>
    </w:p>
    <w:tbl>
      <w:tblPr>
        <w:tblStyle w:val="15"/>
        <w:tblW w:w="1020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
        <w:gridCol w:w="2532"/>
        <w:gridCol w:w="3408"/>
        <w:gridCol w:w="33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7"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危险分期</w:t>
            </w:r>
          </w:p>
        </w:tc>
        <w:tc>
          <w:tcPr>
            <w:tcW w:w="2532"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分子分型未知</w:t>
            </w:r>
          </w:p>
        </w:tc>
        <w:tc>
          <w:tcPr>
            <w:tcW w:w="3408"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分子分型已知</w:t>
            </w:r>
            <w:r>
              <w:rPr>
                <w:rFonts w:hint="eastAsia" w:ascii="宋体" w:hAnsi="宋体" w:eastAsia="宋体" w:cs="宋体"/>
                <w:b/>
                <w:bCs/>
                <w:color w:val="auto"/>
                <w:sz w:val="21"/>
                <w:szCs w:val="21"/>
                <w:vertAlign w:val="superscript"/>
                <w:lang w:eastAsia="zh-CN"/>
              </w:rPr>
              <w:t>△</w:t>
            </w:r>
          </w:p>
        </w:tc>
        <w:tc>
          <w:tcPr>
            <w:tcW w:w="3398"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低危</w:t>
            </w:r>
          </w:p>
        </w:tc>
        <w:tc>
          <w:tcPr>
            <w:tcW w:w="2532"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w:t>
            </w:r>
          </w:p>
        </w:tc>
        <w:tc>
          <w:tcPr>
            <w:tcW w:w="340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Ⅰ~Ⅱ期，</w:t>
            </w:r>
            <w:r>
              <w:rPr>
                <w:rFonts w:hint="eastAsia" w:ascii="宋体" w:hAnsi="宋体" w:eastAsia="宋体" w:cs="宋体"/>
                <w:b/>
                <w:bCs/>
                <w:i/>
                <w:iCs/>
                <w:spacing w:val="6"/>
                <w:sz w:val="18"/>
                <w:szCs w:val="18"/>
                <w:lang w:eastAsia="zh-CN"/>
              </w:rPr>
              <w:t>POLE</w:t>
            </w:r>
            <w:r>
              <w:rPr>
                <w:rFonts w:hint="eastAsia" w:ascii="宋体" w:hAnsi="宋体" w:eastAsia="宋体" w:cs="宋体"/>
                <w:b/>
                <w:bCs/>
                <w:spacing w:val="6"/>
                <w:sz w:val="18"/>
                <w:szCs w:val="18"/>
                <w:lang w:eastAsia="zh-CN"/>
              </w:rPr>
              <w:t xml:space="preserve"> mut</w:t>
            </w:r>
            <w:r>
              <w:rPr>
                <w:rFonts w:hint="eastAsia" w:ascii="宋体" w:hAnsi="宋体" w:eastAsia="宋体" w:cs="宋体"/>
                <w:spacing w:val="6"/>
                <w:sz w:val="18"/>
                <w:szCs w:val="18"/>
                <w:lang w:eastAsia="zh-CN"/>
              </w:rPr>
              <w:t>内膜样癌，无残留病灶</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+LVSI无或局灶</w:t>
            </w:r>
          </w:p>
        </w:tc>
        <w:tc>
          <w:tcPr>
            <w:tcW w:w="339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中危</w:t>
            </w:r>
          </w:p>
        </w:tc>
        <w:tc>
          <w:tcPr>
            <w:tcW w:w="2532"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ⅠA期非内膜样癌（浆液性癌、透明细胞癌、未分化癌、癌肉瘤、混合细胞癌）不伴肌层浸润</w:t>
            </w:r>
          </w:p>
        </w:tc>
        <w:tc>
          <w:tcPr>
            <w:tcW w:w="340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内膜样癌+低级别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+LVSI无或局灶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ⅠA期，</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和（或）非内膜样癌（浆液性癌、透明细胞癌、未分化癌、癌肉瘤、混合细胞癌）不伴肌层浸润</w:t>
            </w:r>
          </w:p>
        </w:tc>
        <w:tc>
          <w:tcPr>
            <w:tcW w:w="339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近距离腔内放疗可以减少中危子宫内膜癌患者的复发风险，对中危患者也可不进行辅助治疗，尤其是60岁以下的患者。已知分子分型后，</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高-中危</w:t>
            </w:r>
          </w:p>
        </w:tc>
        <w:tc>
          <w:tcPr>
            <w:tcW w:w="2532"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Ⅰ期内膜样癌+弥漫LVSI，无论级别与浸润深度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，无论LVSI状态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Ⅱ期</w:t>
            </w:r>
          </w:p>
        </w:tc>
        <w:tc>
          <w:tcPr>
            <w:tcW w:w="340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 xml:space="preserve">内膜样癌+弥漫LVSI，无论级别或浸润深度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ⅠB期，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内膜样癌高级别</w:t>
            </w:r>
            <w:r>
              <w:rPr>
                <w:rFonts w:hint="eastAsia" w:ascii="宋体" w:hAnsi="宋体" w:eastAsia="宋体" w:cs="宋体"/>
                <w:spacing w:val="6"/>
                <w:sz w:val="18"/>
                <w:szCs w:val="18"/>
                <w:vertAlign w:val="superscript"/>
                <w:lang w:eastAsia="zh-CN"/>
              </w:rPr>
              <w:t>*</w:t>
            </w:r>
            <w:r>
              <w:rPr>
                <w:rFonts w:hint="eastAsia" w:ascii="宋体" w:hAnsi="宋体" w:eastAsia="宋体" w:cs="宋体"/>
                <w:spacing w:val="6"/>
                <w:sz w:val="18"/>
                <w:szCs w:val="18"/>
                <w:lang w:eastAsia="zh-CN"/>
              </w:rPr>
              <w:t xml:space="preserve"> ，无论LVSI状态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Ⅱ期，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内膜样癌</w:t>
            </w:r>
          </w:p>
        </w:tc>
        <w:tc>
          <w:tcPr>
            <w:tcW w:w="339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淋巴结分期为pN</w:t>
            </w:r>
            <w:r>
              <w:rPr>
                <w:rFonts w:hint="eastAsia" w:ascii="宋体" w:hAnsi="宋体" w:eastAsia="宋体" w:cs="宋体"/>
                <w:spacing w:val="6"/>
                <w:sz w:val="18"/>
                <w:szCs w:val="18"/>
                <w:vertAlign w:val="subscript"/>
                <w:lang w:eastAsia="zh-CN"/>
              </w:rPr>
              <w:t>0</w:t>
            </w:r>
            <w:r>
              <w:rPr>
                <w:rFonts w:hint="eastAsia" w:ascii="宋体" w:hAnsi="宋体" w:eastAsia="宋体" w:cs="宋体"/>
                <w:spacing w:val="6"/>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未进行淋巴结分期手术（cN</w:t>
            </w:r>
            <w:r>
              <w:rPr>
                <w:rFonts w:hint="eastAsia" w:ascii="宋体" w:hAnsi="宋体" w:eastAsia="宋体" w:cs="宋体"/>
                <w:spacing w:val="6"/>
                <w:sz w:val="18"/>
                <w:szCs w:val="18"/>
                <w:vertAlign w:val="subscript"/>
                <w:lang w:eastAsia="zh-CN"/>
              </w:rPr>
              <w:t>0</w:t>
            </w:r>
            <w:r>
              <w:rPr>
                <w:rFonts w:hint="eastAsia" w:ascii="宋体" w:hAnsi="宋体" w:eastAsia="宋体" w:cs="宋体"/>
                <w:spacing w:val="6"/>
                <w:sz w:val="18"/>
                <w:szCs w:val="18"/>
                <w:lang w:eastAsia="zh-CN"/>
              </w:rPr>
              <w:t>/pN</w:t>
            </w:r>
            <w:r>
              <w:rPr>
                <w:rFonts w:hint="eastAsia" w:ascii="宋体" w:hAnsi="宋体" w:eastAsia="宋体" w:cs="宋体"/>
                <w:spacing w:val="6"/>
                <w:sz w:val="18"/>
                <w:szCs w:val="18"/>
                <w:vertAlign w:val="subscript"/>
                <w:lang w:eastAsia="zh-CN"/>
              </w:rPr>
              <w:t>x</w:t>
            </w:r>
            <w:r>
              <w:rPr>
                <w:rFonts w:hint="eastAsia" w:ascii="宋体" w:hAnsi="宋体" w:eastAsia="宋体" w:cs="宋体"/>
                <w:spacing w:val="6"/>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高危</w:t>
            </w:r>
          </w:p>
        </w:tc>
        <w:tc>
          <w:tcPr>
            <w:tcW w:w="2532"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Ⅲ~ⅣA期，无残留病灶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Ⅰ~ⅣA期，非内膜样癌（浆液性癌、透明细胞癌、未分化癌、癌肉瘤、混合细胞癌）伴肌层浸润，无残留病灶</w:t>
            </w:r>
          </w:p>
          <w:p>
            <w:pPr>
              <w:keepNext w:val="0"/>
              <w:keepLines w:val="0"/>
              <w:pageBreakBefore w:val="0"/>
              <w:widowControl/>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p>
        </w:tc>
        <w:tc>
          <w:tcPr>
            <w:tcW w:w="340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Ⅲ~ⅣA期，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 xml:space="preserve">内膜样癌无残留病灶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w:t>
            </w:r>
            <w:r>
              <w:rPr>
                <w:rFonts w:hint="eastAsia" w:ascii="宋体" w:hAnsi="宋体" w:eastAsia="宋体" w:cs="宋体"/>
                <w:b/>
                <w:bCs/>
                <w:spacing w:val="6"/>
                <w:sz w:val="18"/>
                <w:szCs w:val="18"/>
                <w:lang w:eastAsia="zh-CN"/>
              </w:rPr>
              <w:t>p53abn</w:t>
            </w:r>
            <w:r>
              <w:rPr>
                <w:rFonts w:hint="eastAsia" w:ascii="宋体" w:hAnsi="宋体" w:eastAsia="宋体" w:cs="宋体"/>
                <w:spacing w:val="6"/>
                <w:sz w:val="18"/>
                <w:szCs w:val="18"/>
                <w:lang w:eastAsia="zh-CN"/>
              </w:rPr>
              <w:t xml:space="preserve">内膜样癌伴肌层浸润，无残留病灶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Ⅰ~ⅣA期，</w:t>
            </w:r>
            <w:r>
              <w:rPr>
                <w:rFonts w:hint="eastAsia" w:ascii="宋体" w:hAnsi="宋体" w:eastAsia="宋体" w:cs="宋体"/>
                <w:b/>
                <w:bCs/>
                <w:spacing w:val="6"/>
                <w:sz w:val="18"/>
                <w:szCs w:val="18"/>
                <w:lang w:eastAsia="zh-CN"/>
              </w:rPr>
              <w:t>dMMR/NSMP</w:t>
            </w:r>
            <w:r>
              <w:rPr>
                <w:rFonts w:hint="eastAsia" w:ascii="宋体" w:hAnsi="宋体" w:eastAsia="宋体" w:cs="宋体"/>
                <w:spacing w:val="6"/>
                <w:sz w:val="18"/>
                <w:szCs w:val="18"/>
                <w:lang w:eastAsia="zh-CN"/>
              </w:rPr>
              <w:t>非内膜样癌（浆液性癌、未分化癌、癌肉瘤），伴肌层浸润，无残留病灶</w:t>
            </w:r>
          </w:p>
        </w:tc>
        <w:tc>
          <w:tcPr>
            <w:tcW w:w="339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67" w:type="dxa"/>
            <w:vAlign w:val="center"/>
          </w:tcPr>
          <w:p>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晚期转移</w:t>
            </w:r>
          </w:p>
        </w:tc>
        <w:tc>
          <w:tcPr>
            <w:tcW w:w="2532"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Ⅲ~ⅣA期伴残留病灶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ⅣB期</w:t>
            </w:r>
          </w:p>
        </w:tc>
        <w:tc>
          <w:tcPr>
            <w:tcW w:w="340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 xml:space="preserve">Ⅲ~ⅣA期，伴残留病灶，任何分子分型 </w:t>
            </w:r>
          </w:p>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ⅣB期，任何分子分型</w:t>
            </w:r>
          </w:p>
        </w:tc>
        <w:tc>
          <w:tcPr>
            <w:tcW w:w="3398" w:type="dxa"/>
            <w:vAlign w:val="center"/>
          </w:tcPr>
          <w:p>
            <w:pPr>
              <w:keepNext w:val="0"/>
              <w:keepLines w:val="0"/>
              <w:pageBreakBefore w:val="0"/>
              <w:widowControl/>
              <w:numPr>
                <w:ilvl w:val="0"/>
                <w:numId w:val="22"/>
              </w:numPr>
              <w:kinsoku/>
              <w:wordWrap/>
              <w:overflowPunct/>
              <w:topLinePunct w:val="0"/>
              <w:autoSpaceDE/>
              <w:autoSpaceDN/>
              <w:bidi w:val="0"/>
              <w:adjustRightInd/>
              <w:snapToGrid/>
              <w:spacing w:line="288" w:lineRule="auto"/>
              <w:jc w:val="both"/>
              <w:textAlignment w:val="auto"/>
              <w:rPr>
                <w:rFonts w:hint="eastAsia" w:ascii="宋体" w:hAnsi="宋体" w:eastAsia="宋体" w:cs="宋体"/>
                <w:spacing w:val="6"/>
                <w:sz w:val="18"/>
                <w:szCs w:val="18"/>
                <w:lang w:eastAsia="zh-CN"/>
              </w:rPr>
            </w:pPr>
            <w:r>
              <w:rPr>
                <w:rFonts w:hint="eastAsia" w:ascii="宋体" w:hAnsi="宋体" w:eastAsia="宋体" w:cs="宋体"/>
                <w:spacing w:val="6"/>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pPr>
        <w:keepNext w:val="0"/>
        <w:keepLines w:val="0"/>
        <w:pageBreakBefore w:val="0"/>
        <w:widowControl/>
        <w:kinsoku/>
        <w:wordWrap/>
        <w:overflowPunct/>
        <w:topLinePunct w:val="0"/>
        <w:autoSpaceDE/>
        <w:autoSpaceDN/>
        <w:bidi w:val="0"/>
        <w:adjustRightInd/>
        <w:snapToGrid/>
        <w:spacing w:before="120" w:beforeLines="50" w:line="24" w:lineRule="atLeast"/>
        <w:textAlignment w:val="auto"/>
        <w:rPr>
          <w:rFonts w:hint="eastAsia" w:ascii="宋体" w:hAnsi="宋体" w:eastAsia="宋体" w:cs="宋体"/>
          <w:spacing w:val="0"/>
          <w:sz w:val="18"/>
          <w:szCs w:val="18"/>
          <w:lang w:eastAsia="zh-CN"/>
        </w:rPr>
      </w:pPr>
      <w:r>
        <w:rPr>
          <w:rFonts w:hint="eastAsia" w:ascii="宋体" w:hAnsi="宋体" w:eastAsia="宋体" w:cs="宋体"/>
          <w:b/>
          <w:bCs/>
          <w:spacing w:val="0"/>
          <w:sz w:val="18"/>
          <w:szCs w:val="18"/>
          <w:lang w:eastAsia="zh-CN"/>
        </w:rPr>
        <w:t>注：</w:t>
      </w:r>
      <w:r>
        <w:rPr>
          <w:rFonts w:hint="eastAsia" w:ascii="宋体" w:hAnsi="宋体" w:eastAsia="宋体" w:cs="宋体"/>
          <w:spacing w:val="0"/>
          <w:sz w:val="18"/>
          <w:szCs w:val="18"/>
          <w:vertAlign w:val="superscript"/>
          <w:lang w:eastAsia="zh-CN"/>
        </w:rPr>
        <w:t>△</w:t>
      </w:r>
      <w:r>
        <w:rPr>
          <w:rFonts w:hint="eastAsia" w:ascii="宋体" w:hAnsi="宋体" w:eastAsia="宋体" w:cs="宋体"/>
          <w:spacing w:val="0"/>
          <w:sz w:val="18"/>
          <w:szCs w:val="18"/>
          <w:lang w:eastAsia="zh-CN"/>
        </w:rPr>
        <w:t>：对Ⅲ~ⅣA期POLEmut子宫内膜样癌和Ⅰ~ⅣA期dMMR或NSMP透明细胞癌伴肌层浸润者，没有充分的数据将这些患者分配到分子分型的预后危险组别中去。建议进行前瞻性登记；</w:t>
      </w:r>
      <w:r>
        <w:rPr>
          <w:rFonts w:hint="eastAsia" w:ascii="宋体" w:hAnsi="宋体" w:eastAsia="宋体" w:cs="宋体"/>
          <w:spacing w:val="0"/>
          <w:sz w:val="18"/>
          <w:szCs w:val="18"/>
          <w:vertAlign w:val="superscript"/>
          <w:lang w:eastAsia="zh-CN"/>
        </w:rPr>
        <w:t>*</w:t>
      </w:r>
      <w:r>
        <w:rPr>
          <w:rFonts w:hint="eastAsia" w:ascii="宋体" w:hAnsi="宋体" w:eastAsia="宋体" w:cs="宋体"/>
          <w:spacing w:val="0"/>
          <w:sz w:val="18"/>
          <w:szCs w:val="18"/>
          <w:lang w:eastAsia="zh-CN"/>
        </w:rPr>
        <w:t>：根据FIGO分级两分类，G1和G2定义为低级别，G3为高级别。</w:t>
      </w:r>
    </w:p>
    <w:p>
      <w:pPr>
        <w:rPr>
          <w:rFonts w:hint="eastAsia" w:ascii="宋体" w:hAnsi="宋体" w:eastAsia="宋体" w:cs="宋体"/>
          <w:sz w:val="16"/>
          <w:szCs w:val="16"/>
          <w:lang w:eastAsia="zh-CN"/>
        </w:rPr>
      </w:pPr>
      <w:r>
        <w:rPr>
          <w:rFonts w:hint="eastAsia" w:ascii="宋体" w:hAnsi="宋体" w:eastAsia="宋体" w:cs="宋体"/>
          <w:sz w:val="16"/>
          <w:szCs w:val="16"/>
          <w:lang w:eastAsia="zh-CN"/>
        </w:rPr>
        <w:br w:type="page"/>
      </w:r>
    </w:p>
    <w:p>
      <w:pPr>
        <w:spacing w:after="120" w:afterLines="50" w:line="44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表2 分子分型命名对照表</w:t>
      </w:r>
    </w:p>
    <w:tbl>
      <w:tblPr>
        <w:tblStyle w:val="15"/>
        <w:tblW w:w="10205"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696"/>
        <w:gridCol w:w="1696"/>
        <w:gridCol w:w="1851"/>
        <w:gridCol w:w="1567"/>
        <w:gridCol w:w="1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WHO</w:t>
            </w:r>
          </w:p>
        </w:tc>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ESGO</w:t>
            </w:r>
          </w:p>
        </w:tc>
        <w:tc>
          <w:tcPr>
            <w:tcW w:w="1696"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NCCN</w:t>
            </w:r>
          </w:p>
        </w:tc>
        <w:tc>
          <w:tcPr>
            <w:tcW w:w="1851"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TCGA</w:t>
            </w:r>
          </w:p>
        </w:tc>
        <w:tc>
          <w:tcPr>
            <w:tcW w:w="1567"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ProMisE</w:t>
            </w:r>
          </w:p>
        </w:tc>
        <w:tc>
          <w:tcPr>
            <w:tcW w:w="1699" w:type="dxa"/>
            <w:shd w:val="clear" w:color="auto" w:fill="9DC3E6"/>
            <w:vAlign w:val="center"/>
          </w:tcPr>
          <w:p>
            <w:pPr>
              <w:spacing w:before="13" w:line="252" w:lineRule="auto"/>
              <w:ind w:right="174"/>
              <w:jc w:val="center"/>
              <w:rPr>
                <w:rFonts w:hint="eastAsia" w:ascii="宋体" w:hAnsi="宋体" w:eastAsia="宋体" w:cs="宋体"/>
                <w:b/>
                <w:bCs/>
                <w:color w:val="auto"/>
                <w:sz w:val="21"/>
                <w:szCs w:val="21"/>
                <w:lang w:eastAsia="zh-CN"/>
              </w:rPr>
            </w:pPr>
            <w:r>
              <w:rPr>
                <w:rFonts w:hint="eastAsia" w:ascii="宋体" w:hAnsi="宋体" w:eastAsia="宋体" w:cs="宋体"/>
                <w:b/>
                <w:bCs/>
                <w:color w:val="auto"/>
                <w:sz w:val="21"/>
                <w:szCs w:val="21"/>
                <w:lang w:eastAsia="zh-CN"/>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mut</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(ultramutated)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 xml:space="preserve"> EDM</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i/>
                <w:iCs/>
                <w:sz w:val="21"/>
                <w:szCs w:val="21"/>
                <w:lang w:eastAsia="zh-CN"/>
              </w:rPr>
              <w:t>POLE</w:t>
            </w:r>
            <w:r>
              <w:rPr>
                <w:rFonts w:hint="eastAsia" w:ascii="宋体" w:hAnsi="宋体" w:eastAsia="宋体" w:cs="宋体"/>
                <w:sz w:val="21"/>
                <w:szCs w:val="21"/>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MSI-H</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 (hypermutated)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MMR-D</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low (endometrioid)</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wt</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6"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w:t>
            </w:r>
          </w:p>
        </w:tc>
        <w:tc>
          <w:tcPr>
            <w:tcW w:w="185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Copy-number high (serous-like)</w:t>
            </w:r>
          </w:p>
        </w:tc>
        <w:tc>
          <w:tcPr>
            <w:tcW w:w="1567"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 abn</w:t>
            </w:r>
          </w:p>
        </w:tc>
        <w:tc>
          <w:tcPr>
            <w:tcW w:w="1699"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p53-mutant</w:t>
            </w:r>
          </w:p>
        </w:tc>
      </w:tr>
    </w:tbl>
    <w:p>
      <w:pPr>
        <w:widowControl/>
        <w:spacing w:before="120" w:beforeLines="50"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spacing w:line="360" w:lineRule="auto"/>
        <w:rPr>
          <w:rFonts w:hint="eastAsia" w:ascii="宋体" w:hAnsi="宋体" w:eastAsia="宋体" w:cs="宋体"/>
          <w:sz w:val="18"/>
          <w:szCs w:val="18"/>
          <w:lang w:eastAsia="zh-CN"/>
        </w:rPr>
      </w:pPr>
    </w:p>
    <w:p>
      <w:p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参考文献：</w:t>
      </w:r>
    </w:p>
    <w:p>
      <w:pPr>
        <w:numPr>
          <w:ilvl w:val="0"/>
          <w:numId w:val="23"/>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《ESGO／ESTRO／ESP指南：子宫内膜癌患者的管理（2020版）》；</w:t>
      </w:r>
    </w:p>
    <w:p>
      <w:pPr>
        <w:numPr>
          <w:ilvl w:val="0"/>
          <w:numId w:val="23"/>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《子宫内膜癌诊断与治疗指南（2021版）》；</w:t>
      </w:r>
    </w:p>
    <w:p>
      <w:pPr>
        <w:numPr>
          <w:ilvl w:val="0"/>
          <w:numId w:val="23"/>
        </w:numPr>
        <w:spacing w:line="360" w:lineRule="auto"/>
        <w:rPr>
          <w:rFonts w:hint="eastAsia" w:ascii="宋体" w:hAnsi="宋体" w:eastAsia="宋体" w:cs="宋体"/>
          <w:sz w:val="18"/>
          <w:szCs w:val="18"/>
          <w:lang w:eastAsia="zh-CN"/>
        </w:rPr>
      </w:pPr>
      <w:r>
        <w:rPr>
          <w:rFonts w:hint="eastAsia" w:ascii="宋体" w:hAnsi="宋体" w:eastAsia="宋体" w:cs="宋体"/>
          <w:sz w:val="18"/>
          <w:szCs w:val="18"/>
          <w:lang w:eastAsia="zh-CN"/>
        </w:rPr>
        <w:t>《子宫内膜癌分子检测中国专家共识（2021版）》。</w:t>
      </w:r>
    </w:p>
    <w:p>
      <w:pPr>
        <w:rPr>
          <w:rFonts w:hint="eastAsia" w:ascii="宋体" w:hAnsi="宋体" w:eastAsia="宋体" w:cs="宋体"/>
          <w:sz w:val="16"/>
          <w:szCs w:val="16"/>
          <w:lang w:eastAsia="zh-CN"/>
        </w:rPr>
      </w:pPr>
      <w:r>
        <w:rPr>
          <w:rFonts w:hint="eastAsia" w:ascii="宋体" w:hAnsi="宋体" w:eastAsia="宋体" w:cs="宋体"/>
          <w:sz w:val="16"/>
          <w:szCs w:val="16"/>
          <w:lang w:eastAsia="zh-CN"/>
        </w:rPr>
        <w:br w:type="page"/>
      </w:r>
    </w:p>
    <w:p>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pPr>
        <w:pStyle w:val="38"/>
        <w:numPr>
          <w:ilvl w:val="0"/>
          <w:numId w:val="19"/>
        </w:numPr>
        <w:bidi w:val="0"/>
        <w:spacing w:line="360" w:lineRule="auto"/>
        <w:ind w:left="425" w:leftChars="0" w:hanging="425" w:firstLineChars="0"/>
        <w:jc w:val="left"/>
        <w:rPr>
          <w:b/>
          <w:bCs/>
          <w:spacing w:val="23"/>
          <w:sz w:val="21"/>
          <w:szCs w:val="21"/>
        </w:rPr>
      </w:pPr>
      <w:bookmarkStart w:id="115" w:name="_Toc17928"/>
      <w:r>
        <w:rPr>
          <w:b/>
          <w:bCs/>
          <w:spacing w:val="23"/>
          <w:sz w:val="21"/>
          <w:szCs w:val="21"/>
        </w:rPr>
        <w:t>常见靶向药物相关基因检测列表</w:t>
      </w:r>
      <w:bookmarkEnd w:id="109"/>
      <w:bookmarkEnd w:id="110"/>
      <w:bookmarkEnd w:id="111"/>
      <w:bookmarkEnd w:id="112"/>
      <w:bookmarkEnd w:id="115"/>
    </w:p>
    <w:bookmarkEnd w:id="113"/>
    <w:bookmarkEnd w:id="114"/>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116" w:name="_Toc17792_WPSOffice_Level2"/>
    </w:p>
    <w:p>
      <w:bookmarkStart w:id="117" w:name="_Toc4503"/>
      <w:bookmarkStart w:id="118" w:name="_Toc27809"/>
      <w:bookmarkStart w:id="119" w:name="_Toc11901"/>
      <w:bookmarkStart w:id="120" w:name="_Toc14611_WPSOffice_Level1"/>
      <w:bookmarkStart w:id="121" w:name="_Toc22623"/>
      <w:bookmarkStart w:id="122" w:name="_Toc22162_WPSOffice_Level1"/>
      <w:bookmarkStart w:id="123" w:name="_Toc13275"/>
      <w:bookmarkStart w:id="124" w:name="_Toc19584_WPSOffice_Level1"/>
    </w:p>
    <w:p>
      <w:pPr>
        <w:pStyle w:val="38"/>
        <w:numPr>
          <w:ilvl w:val="0"/>
          <w:numId w:val="19"/>
        </w:numPr>
        <w:bidi w:val="0"/>
        <w:spacing w:line="360" w:lineRule="auto"/>
        <w:ind w:left="425" w:leftChars="0" w:hanging="425" w:firstLineChars="0"/>
        <w:jc w:val="left"/>
        <w:rPr>
          <w:b/>
          <w:bCs/>
          <w:spacing w:val="23"/>
          <w:sz w:val="21"/>
          <w:szCs w:val="21"/>
        </w:rPr>
      </w:pPr>
      <w:bookmarkStart w:id="125" w:name="_Toc3198"/>
      <w:r>
        <w:rPr>
          <w:b/>
          <w:bCs/>
          <w:spacing w:val="23"/>
          <w:sz w:val="21"/>
          <w:szCs w:val="21"/>
        </w:rPr>
        <w:t>参考文献</w:t>
      </w:r>
      <w:bookmarkEnd w:id="117"/>
      <w:bookmarkEnd w:id="118"/>
      <w:bookmarkEnd w:id="119"/>
      <w:bookmarkEnd w:id="125"/>
    </w:p>
    <w:bookmarkEnd w:id="116"/>
    <w:bookmarkEnd w:id="120"/>
    <w:bookmarkEnd w:id="121"/>
    <w:bookmarkEnd w:id="122"/>
    <w:bookmarkEnd w:id="123"/>
    <w:bookmarkEnd w:id="124"/>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Shaw AT, Bauer TM, de Marinis F, et al. First-line lorlatinib or crizotinib in advanced ALK-positive lung cancer. N Engl J Med. 2020;383(21):2018-2029. [PMID: 33207094]</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Yaeger R, et al. Encorafenib, binimetinib, and cetuximab in BRAF V600E-mutated colorectal cancer. N Engl J Med. 2019;381(17):1632-1643. [PMID: 31566309]</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Yang JCH, Camidge DR, Yang CT, et al. Safety, efficacy, and pharmacokinetics of almonertinib (HS-10296) in pretreated patients with EGFR-mutated advanced NSCLC: A multicenter, open-label, phase 1 trial. J Thorac Oncol. 2020;15(12):1907-1918. [PMID: 32916310]</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Shi Y, Hu X, Zhang S, et al. Efficacy and safety of alflutinib (AST2818) in patients with T790M mutation-positive NSCLC: A phase IIb multicenter single-arm study. J Clin Oncol. 2020;38(suppl 15): abstr 9602.</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Yun J, Lee SH, Kim SY, et al. Antitumor Activity of Amivantamab (JNJ-61186372), an EGFR-MET Bispecific Antibody, in Diverse Models of EGFR Exon 20 Insertion-Driven NSCLC[J]. Cancer Discov. 2020, 10(8):1194-1209. [PMID: 32414908]</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Abou-Alfa GK, Sahai V, Hollebecque A, et al. Pemigatinib for previously treated, locally advanced or metastatic cholangiocarcinoma: a multicentre, open-label, phase 2 study. Lancet Oncol. 2020;21(5):671-684. [PMID: 32203698]</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Loriot Y, Necchi A, Park SH, et al. Erdafitinib in locally advanced or metastatic urothelial carcinoma. N Engl J Med. 2019;381(4):338-348. [PMID: 31340094]</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Smit EF, Nakagawa K, Nagasaka M, et al. Trastuzumab deruxtecan (T-DXd; DS-8201) in patients with HER2-mutated metastatic non-small cell lung cancer (NSCLC): Interim results of DESTINY-Lung01. J Clin Oncol. 2020;38(suppl 15): abstr 9504.</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Chung HC, et al. First-line pembrolizumab/placebo plus trastuzumab and chemotherapy in HER2-positive advanced gastric cancer: KEYNOTE-811. Future Oncol 2021 Feb;17(5):491-501. [PMID: 33167735]</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Lee HW, Sa JK, Gualberto A, et al. A phase II trial of tipifarnib for patients with previously treated, metastatic urothelial carcinoma harboring HRAS mutations. Clin Cancer Res. 2020; 26(19): 5113-5119. [PMID: 32636318]</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Fakih MG, Strickler JH, et al. KRAS G12C Inhibition with Sotorasib in Advanced Solid Tumors[J]. N Engl J Med. 2020, 24;383(13):1207-1217. [PMID: 32955176]</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Wolf J, Seto T, Han JY, Reguart N, et al. Capmatinib in MET exon 14-mutated or MET-amplified non-small-cell lung cancer. N Engl J Med. 2020;383(10):944-957. [PMID: 32877583]</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Lu S et al., Phase II study of savolitinib in patients with pulmonary sarcomatoid carcinoma and other types of non-small cell lung cancer harboring MET exon 14 skipping mutations. J Clin Oncol. 2020;38(suppl 15): abstr 9519. </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Clark JW, Weiss J, Ou SI, et al. Antitumor activity of crizotinib in lung cancers harboring a MET exon 14 alteration. Nat Med. 2020;26(1):47-51. [PMID: 31932802]</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Paik PK, Felip E, Veillon R, et al. Tepotinib in non-small-cell lung cancer with MET exon 14 skipping mutations. N Engl J Med. 2020;383(10):931-943. [PMID: 32469185]</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Doebele RC, Drilon A, Paz-Ares L, et al. Entrectinib in patients with advanced or metastatic NTRK fusion-positive solid tumours: integrated analysis of three phase 1-2 trials. Lancet Oncol. 2020;21(2):271-282. [PMID: 31838007]</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DuBois SG, Kummar S, et al. Larotrectinib in patients with TRK fusion-positive solid tumours: a pooled analysis of three phase 1/2 clinical trials. Lancet Oncol. 2020;21(4):531-540. [PMID: 32105622]</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Bradford D, Larkins E, Mushti SL, et al. FDA approval summary: Selpercatinib for the treatment of lung and thyroid cancers with RET gene mutations or fusions. Clin Cancer Res. 2021;27(8):2130-2135. [PMID: 33239432]</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Drusbosky LM, Rodriguez E, Dawar R, et al. Therapeutic strategies in RET gene rearranged non-small cell lung cancer. J Hematol Oncol. 2021;14(1):50. [PMID: 33771190]</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Siena S, Dziadziuszko R, et al. Entrectinib in ROS1 fusion-positive non-small-cell lung cancer: integrated analysis of three phase 1-2 trials. Lancet Oncol. 2020;21(2):261-270. [PMID: 31838015]</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pStyle w:val="31"/>
        <w:numPr>
          <w:ilvl w:val="0"/>
          <w:numId w:val="0"/>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Zhao H, Yao W, Min X, et al. Apatinib Plus Gefitinib as First-Line Treatment in Advanced EGFR-Mutant NSCLC: The Phase III ACTIVE Study (CTONG1706). J Thorac Oncol. 2021;16(9):1533-1546. [PMID: 34033974]</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2">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sz w:val="21"/>
        <w:szCs w:val="21"/>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7A0C32E"/>
    <w:multiLevelType w:val="multilevel"/>
    <w:tmpl w:val="A7A0C32E"/>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B861432"/>
    <w:multiLevelType w:val="multilevel"/>
    <w:tmpl w:val="CB861432"/>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rPr>
        <w:rFonts w:hint="default" w:ascii="宋体" w:hAnsi="宋体" w:eastAsia="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ascii="宋体" w:hAnsi="宋体" w:eastAsia="宋体" w:cs="宋体"/>
        <w:b w:val="0"/>
        <w:bCs w:val="0"/>
        <w:color w:val="auto"/>
        <w:sz w:val="18"/>
        <w:szCs w:val="18"/>
      </w:rPr>
    </w:lvl>
  </w:abstractNum>
  <w:abstractNum w:abstractNumId="12">
    <w:nsid w:val="219D0AF6"/>
    <w:multiLevelType w:val="singleLevel"/>
    <w:tmpl w:val="219D0AF6"/>
    <w:lvl w:ilvl="0" w:tentative="0">
      <w:start w:val="1"/>
      <w:numFmt w:val="decimal"/>
      <w:suff w:val="space"/>
      <w:lvlText w:val="%1."/>
      <w:lvlJc w:val="left"/>
      <w:rPr>
        <w:rFonts w:hint="default"/>
        <w:sz w:val="18"/>
        <w:szCs w:val="18"/>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2EADBF60"/>
    <w:multiLevelType w:val="multilevel"/>
    <w:tmpl w:val="2EADBF60"/>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3FE2A38E"/>
    <w:multiLevelType w:val="singleLevel"/>
    <w:tmpl w:val="3FE2A38E"/>
    <w:lvl w:ilvl="0" w:tentative="0">
      <w:start w:val="1"/>
      <w:numFmt w:val="decimal"/>
      <w:lvlText w:val="%1."/>
      <w:lvlJc w:val="left"/>
      <w:pPr>
        <w:ind w:left="425" w:hanging="425"/>
      </w:pPr>
      <w:rPr>
        <w:rFonts w:hint="default" w:ascii="宋体" w:hAnsi="宋体" w:eastAsia="宋体" w:cs="宋体"/>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2"/>
  </w:num>
  <w:num w:numId="3">
    <w:abstractNumId w:val="19"/>
  </w:num>
  <w:num w:numId="4">
    <w:abstractNumId w:val="13"/>
  </w:num>
  <w:num w:numId="5">
    <w:abstractNumId w:val="15"/>
  </w:num>
  <w:num w:numId="6">
    <w:abstractNumId w:val="0"/>
  </w:num>
  <w:num w:numId="7">
    <w:abstractNumId w:val="2"/>
  </w:num>
  <w:num w:numId="8">
    <w:abstractNumId w:val="14"/>
  </w:num>
  <w:num w:numId="9">
    <w:abstractNumId w:val="10"/>
  </w:num>
  <w:num w:numId="10">
    <w:abstractNumId w:val="5"/>
  </w:num>
  <w:num w:numId="11">
    <w:abstractNumId w:val="16"/>
  </w:num>
  <w:num w:numId="12">
    <w:abstractNumId w:val="20"/>
  </w:num>
  <w:num w:numId="13">
    <w:abstractNumId w:val="11"/>
  </w:num>
  <w:num w:numId="14">
    <w:abstractNumId w:val="7"/>
  </w:num>
  <w:num w:numId="15">
    <w:abstractNumId w:val="3"/>
  </w:num>
  <w:num w:numId="16">
    <w:abstractNumId w:val="8"/>
  </w:num>
  <w:num w:numId="17">
    <w:abstractNumId w:val="1"/>
  </w:num>
  <w:num w:numId="18">
    <w:abstractNumId w:val="9"/>
  </w:num>
  <w:num w:numId="19">
    <w:abstractNumId w:val="4"/>
  </w:num>
  <w:num w:numId="20">
    <w:abstractNumId w:val="12"/>
  </w:num>
  <w:num w:numId="21">
    <w:abstractNumId w:val="18"/>
  </w:num>
  <w:num w:numId="22">
    <w:abstractNumId w:val="21"/>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1AC3A93"/>
    <w:rsid w:val="01B40023"/>
    <w:rsid w:val="02052599"/>
    <w:rsid w:val="0215675F"/>
    <w:rsid w:val="022051E8"/>
    <w:rsid w:val="02337A11"/>
    <w:rsid w:val="027C0F8A"/>
    <w:rsid w:val="028358E7"/>
    <w:rsid w:val="029A38EC"/>
    <w:rsid w:val="029A67E2"/>
    <w:rsid w:val="02CA5230"/>
    <w:rsid w:val="02D853A6"/>
    <w:rsid w:val="0329174C"/>
    <w:rsid w:val="033463D6"/>
    <w:rsid w:val="038726D8"/>
    <w:rsid w:val="03E921F1"/>
    <w:rsid w:val="041471B2"/>
    <w:rsid w:val="04455AD9"/>
    <w:rsid w:val="04791D69"/>
    <w:rsid w:val="04871837"/>
    <w:rsid w:val="04A167FA"/>
    <w:rsid w:val="04BD1641"/>
    <w:rsid w:val="04C17114"/>
    <w:rsid w:val="04CD44FD"/>
    <w:rsid w:val="04DA79AB"/>
    <w:rsid w:val="05815BFE"/>
    <w:rsid w:val="05887898"/>
    <w:rsid w:val="059E1945"/>
    <w:rsid w:val="05B13825"/>
    <w:rsid w:val="05BC1DCB"/>
    <w:rsid w:val="05F23D13"/>
    <w:rsid w:val="05F442DA"/>
    <w:rsid w:val="06A4457F"/>
    <w:rsid w:val="06A61E8D"/>
    <w:rsid w:val="06E36A2C"/>
    <w:rsid w:val="06EB7F4D"/>
    <w:rsid w:val="0707102A"/>
    <w:rsid w:val="07250EAC"/>
    <w:rsid w:val="072D7F04"/>
    <w:rsid w:val="074043CC"/>
    <w:rsid w:val="07AB34E7"/>
    <w:rsid w:val="07AC6639"/>
    <w:rsid w:val="07D36A00"/>
    <w:rsid w:val="07DB59EB"/>
    <w:rsid w:val="083F50A2"/>
    <w:rsid w:val="088D7FF0"/>
    <w:rsid w:val="09202A79"/>
    <w:rsid w:val="09212671"/>
    <w:rsid w:val="095F057B"/>
    <w:rsid w:val="09705B33"/>
    <w:rsid w:val="0A043ABA"/>
    <w:rsid w:val="0A337BEA"/>
    <w:rsid w:val="0A757891"/>
    <w:rsid w:val="0A8703FE"/>
    <w:rsid w:val="0ADA7F11"/>
    <w:rsid w:val="0ADD29EC"/>
    <w:rsid w:val="0AE94AB9"/>
    <w:rsid w:val="0AEC09F3"/>
    <w:rsid w:val="0B5F0945"/>
    <w:rsid w:val="0B8B164B"/>
    <w:rsid w:val="0BA82D72"/>
    <w:rsid w:val="0C1768CC"/>
    <w:rsid w:val="0C3A0C95"/>
    <w:rsid w:val="0C3E5385"/>
    <w:rsid w:val="0C96240B"/>
    <w:rsid w:val="0D055CE8"/>
    <w:rsid w:val="0D0E2E15"/>
    <w:rsid w:val="0D194A15"/>
    <w:rsid w:val="0D877621"/>
    <w:rsid w:val="0D9819F1"/>
    <w:rsid w:val="0DAD1717"/>
    <w:rsid w:val="0DC45CC1"/>
    <w:rsid w:val="0E11445D"/>
    <w:rsid w:val="0E542351"/>
    <w:rsid w:val="0E632099"/>
    <w:rsid w:val="0E644C2B"/>
    <w:rsid w:val="0E82580A"/>
    <w:rsid w:val="0EBD5798"/>
    <w:rsid w:val="0EBF2A43"/>
    <w:rsid w:val="0EC91129"/>
    <w:rsid w:val="0ED843CC"/>
    <w:rsid w:val="0F2012A5"/>
    <w:rsid w:val="0F8A6A96"/>
    <w:rsid w:val="0FAC5123"/>
    <w:rsid w:val="0FB9297A"/>
    <w:rsid w:val="0FEF6595"/>
    <w:rsid w:val="0FFE1C1F"/>
    <w:rsid w:val="103E1593"/>
    <w:rsid w:val="10A519AE"/>
    <w:rsid w:val="10D26947"/>
    <w:rsid w:val="11046F6E"/>
    <w:rsid w:val="11067689"/>
    <w:rsid w:val="110D3F98"/>
    <w:rsid w:val="118B49B4"/>
    <w:rsid w:val="11AF6FAB"/>
    <w:rsid w:val="12722FE7"/>
    <w:rsid w:val="12850E64"/>
    <w:rsid w:val="12963DA1"/>
    <w:rsid w:val="12F372F0"/>
    <w:rsid w:val="132612E4"/>
    <w:rsid w:val="13897526"/>
    <w:rsid w:val="13AB527B"/>
    <w:rsid w:val="13DF7F59"/>
    <w:rsid w:val="13ED6813"/>
    <w:rsid w:val="147565B0"/>
    <w:rsid w:val="14872247"/>
    <w:rsid w:val="148972D9"/>
    <w:rsid w:val="149B7751"/>
    <w:rsid w:val="14AA5F0C"/>
    <w:rsid w:val="14C82A00"/>
    <w:rsid w:val="14CF3B54"/>
    <w:rsid w:val="14E50274"/>
    <w:rsid w:val="15060550"/>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A33CE1"/>
    <w:rsid w:val="17C57C22"/>
    <w:rsid w:val="17EF172D"/>
    <w:rsid w:val="18036692"/>
    <w:rsid w:val="18115FA7"/>
    <w:rsid w:val="184F5A03"/>
    <w:rsid w:val="188B1EE6"/>
    <w:rsid w:val="188E10A8"/>
    <w:rsid w:val="18A5002C"/>
    <w:rsid w:val="19437087"/>
    <w:rsid w:val="19534E9A"/>
    <w:rsid w:val="1969147D"/>
    <w:rsid w:val="199369D8"/>
    <w:rsid w:val="19E22EEF"/>
    <w:rsid w:val="19F53DD2"/>
    <w:rsid w:val="1A1E242D"/>
    <w:rsid w:val="1A35599E"/>
    <w:rsid w:val="1A5E6E15"/>
    <w:rsid w:val="1A9C4C96"/>
    <w:rsid w:val="1AF45ED7"/>
    <w:rsid w:val="1B083E66"/>
    <w:rsid w:val="1B10343F"/>
    <w:rsid w:val="1B28649B"/>
    <w:rsid w:val="1B3B4866"/>
    <w:rsid w:val="1BA36B7F"/>
    <w:rsid w:val="1BAD3E87"/>
    <w:rsid w:val="1BD973CA"/>
    <w:rsid w:val="1BEE491C"/>
    <w:rsid w:val="1BF46BFF"/>
    <w:rsid w:val="1C166655"/>
    <w:rsid w:val="1C2529FF"/>
    <w:rsid w:val="1C300265"/>
    <w:rsid w:val="1C7A05D0"/>
    <w:rsid w:val="1C98707F"/>
    <w:rsid w:val="1CCD19AC"/>
    <w:rsid w:val="1CD3634C"/>
    <w:rsid w:val="1CDD0B4D"/>
    <w:rsid w:val="1CFB3D7D"/>
    <w:rsid w:val="1D0B7646"/>
    <w:rsid w:val="1D103BE7"/>
    <w:rsid w:val="1D306ECF"/>
    <w:rsid w:val="1D6F2319"/>
    <w:rsid w:val="1D7C6F7B"/>
    <w:rsid w:val="1DE8432D"/>
    <w:rsid w:val="1E1954BB"/>
    <w:rsid w:val="1E424F38"/>
    <w:rsid w:val="1E5B4AE9"/>
    <w:rsid w:val="1E5D40E4"/>
    <w:rsid w:val="1EAB0C6A"/>
    <w:rsid w:val="1EAF2912"/>
    <w:rsid w:val="1EE510E1"/>
    <w:rsid w:val="1EEB2832"/>
    <w:rsid w:val="1F2B7CAE"/>
    <w:rsid w:val="1FB23A5A"/>
    <w:rsid w:val="1FC77337"/>
    <w:rsid w:val="1FF95398"/>
    <w:rsid w:val="20205A20"/>
    <w:rsid w:val="202D7F0F"/>
    <w:rsid w:val="20855B55"/>
    <w:rsid w:val="209432E5"/>
    <w:rsid w:val="20943D07"/>
    <w:rsid w:val="20C205EB"/>
    <w:rsid w:val="20CA3A62"/>
    <w:rsid w:val="2120368E"/>
    <w:rsid w:val="216F18A9"/>
    <w:rsid w:val="217001E2"/>
    <w:rsid w:val="218960DE"/>
    <w:rsid w:val="21B7389D"/>
    <w:rsid w:val="21D55A39"/>
    <w:rsid w:val="22180203"/>
    <w:rsid w:val="22322E8D"/>
    <w:rsid w:val="224C7FA0"/>
    <w:rsid w:val="226A689A"/>
    <w:rsid w:val="226C1FBE"/>
    <w:rsid w:val="22B1632D"/>
    <w:rsid w:val="22C65DE1"/>
    <w:rsid w:val="22D4409F"/>
    <w:rsid w:val="22E53212"/>
    <w:rsid w:val="2322058C"/>
    <w:rsid w:val="232B252D"/>
    <w:rsid w:val="235C2C2A"/>
    <w:rsid w:val="23DC4798"/>
    <w:rsid w:val="23FF1819"/>
    <w:rsid w:val="240007AE"/>
    <w:rsid w:val="244D2216"/>
    <w:rsid w:val="24AB2DE2"/>
    <w:rsid w:val="24CB3805"/>
    <w:rsid w:val="24E973B2"/>
    <w:rsid w:val="250E3D96"/>
    <w:rsid w:val="25152B1F"/>
    <w:rsid w:val="251C5B9B"/>
    <w:rsid w:val="253036C5"/>
    <w:rsid w:val="25650DC3"/>
    <w:rsid w:val="256C4478"/>
    <w:rsid w:val="25C7784B"/>
    <w:rsid w:val="25FE1515"/>
    <w:rsid w:val="26972DEC"/>
    <w:rsid w:val="26976104"/>
    <w:rsid w:val="26B66697"/>
    <w:rsid w:val="26D51C8F"/>
    <w:rsid w:val="26D97B53"/>
    <w:rsid w:val="271A3FF4"/>
    <w:rsid w:val="271C165B"/>
    <w:rsid w:val="2786240A"/>
    <w:rsid w:val="27870460"/>
    <w:rsid w:val="27984A7E"/>
    <w:rsid w:val="27EA6CAB"/>
    <w:rsid w:val="27FB5709"/>
    <w:rsid w:val="28642123"/>
    <w:rsid w:val="28754B32"/>
    <w:rsid w:val="28855B91"/>
    <w:rsid w:val="28B63ACE"/>
    <w:rsid w:val="28B640D1"/>
    <w:rsid w:val="28B74238"/>
    <w:rsid w:val="28B83CA7"/>
    <w:rsid w:val="28C86CFA"/>
    <w:rsid w:val="28CB616B"/>
    <w:rsid w:val="28E3589C"/>
    <w:rsid w:val="28E502F9"/>
    <w:rsid w:val="292D0C40"/>
    <w:rsid w:val="29345F99"/>
    <w:rsid w:val="29363F06"/>
    <w:rsid w:val="29555C64"/>
    <w:rsid w:val="296F5B95"/>
    <w:rsid w:val="29A30A29"/>
    <w:rsid w:val="29C63095"/>
    <w:rsid w:val="29CB7AAA"/>
    <w:rsid w:val="29DE0525"/>
    <w:rsid w:val="29EF70C8"/>
    <w:rsid w:val="2A221D03"/>
    <w:rsid w:val="2A2A76A0"/>
    <w:rsid w:val="2A3716AB"/>
    <w:rsid w:val="2A51621C"/>
    <w:rsid w:val="2A7F29B1"/>
    <w:rsid w:val="2ADE2A02"/>
    <w:rsid w:val="2B485DBB"/>
    <w:rsid w:val="2B692B05"/>
    <w:rsid w:val="2B8C0A94"/>
    <w:rsid w:val="2BDE1876"/>
    <w:rsid w:val="2C165FD1"/>
    <w:rsid w:val="2C427C83"/>
    <w:rsid w:val="2C576226"/>
    <w:rsid w:val="2C6827EE"/>
    <w:rsid w:val="2C804AD7"/>
    <w:rsid w:val="2CE33F5E"/>
    <w:rsid w:val="2D061413"/>
    <w:rsid w:val="2D8C591B"/>
    <w:rsid w:val="2DA2135E"/>
    <w:rsid w:val="2E0C0EE9"/>
    <w:rsid w:val="2E3D6CA4"/>
    <w:rsid w:val="2E7C3545"/>
    <w:rsid w:val="2E824F5C"/>
    <w:rsid w:val="2EA34453"/>
    <w:rsid w:val="2EB35A8A"/>
    <w:rsid w:val="2EE144CD"/>
    <w:rsid w:val="2F28730D"/>
    <w:rsid w:val="2F374489"/>
    <w:rsid w:val="2F406882"/>
    <w:rsid w:val="2F541713"/>
    <w:rsid w:val="2FB12A1A"/>
    <w:rsid w:val="2FF5022D"/>
    <w:rsid w:val="30310CEB"/>
    <w:rsid w:val="304862D7"/>
    <w:rsid w:val="306929CC"/>
    <w:rsid w:val="30DA24F1"/>
    <w:rsid w:val="30E41C41"/>
    <w:rsid w:val="31033685"/>
    <w:rsid w:val="310959FE"/>
    <w:rsid w:val="3109732A"/>
    <w:rsid w:val="31421E08"/>
    <w:rsid w:val="31464ABB"/>
    <w:rsid w:val="315E5833"/>
    <w:rsid w:val="31842820"/>
    <w:rsid w:val="31A92150"/>
    <w:rsid w:val="31F938CC"/>
    <w:rsid w:val="32080EDC"/>
    <w:rsid w:val="320A7881"/>
    <w:rsid w:val="324E6866"/>
    <w:rsid w:val="329B6F43"/>
    <w:rsid w:val="32AB7EAB"/>
    <w:rsid w:val="32B71D27"/>
    <w:rsid w:val="32DB7156"/>
    <w:rsid w:val="32DE07F1"/>
    <w:rsid w:val="32F01EBB"/>
    <w:rsid w:val="33323300"/>
    <w:rsid w:val="33725A73"/>
    <w:rsid w:val="338527AA"/>
    <w:rsid w:val="33AE0711"/>
    <w:rsid w:val="33B622BC"/>
    <w:rsid w:val="33CF05AE"/>
    <w:rsid w:val="34034526"/>
    <w:rsid w:val="3447774B"/>
    <w:rsid w:val="346571EB"/>
    <w:rsid w:val="346D24B1"/>
    <w:rsid w:val="34777EA9"/>
    <w:rsid w:val="348573AD"/>
    <w:rsid w:val="34EA0013"/>
    <w:rsid w:val="35055D74"/>
    <w:rsid w:val="354B10C4"/>
    <w:rsid w:val="357E5409"/>
    <w:rsid w:val="35945D5F"/>
    <w:rsid w:val="35B3556B"/>
    <w:rsid w:val="35F00617"/>
    <w:rsid w:val="35F5325E"/>
    <w:rsid w:val="360630CA"/>
    <w:rsid w:val="360A76FC"/>
    <w:rsid w:val="36940077"/>
    <w:rsid w:val="36CB4432"/>
    <w:rsid w:val="36E25529"/>
    <w:rsid w:val="371E73E3"/>
    <w:rsid w:val="3766051B"/>
    <w:rsid w:val="37731B0B"/>
    <w:rsid w:val="37AE5234"/>
    <w:rsid w:val="37E81DE8"/>
    <w:rsid w:val="384635F3"/>
    <w:rsid w:val="3848012E"/>
    <w:rsid w:val="3849628B"/>
    <w:rsid w:val="39334160"/>
    <w:rsid w:val="39525C52"/>
    <w:rsid w:val="399A5E65"/>
    <w:rsid w:val="39A64D30"/>
    <w:rsid w:val="39AF7966"/>
    <w:rsid w:val="39D864CC"/>
    <w:rsid w:val="39F1200D"/>
    <w:rsid w:val="3A202424"/>
    <w:rsid w:val="3A49481A"/>
    <w:rsid w:val="3A4D09F5"/>
    <w:rsid w:val="3A6F6E31"/>
    <w:rsid w:val="3AE140C1"/>
    <w:rsid w:val="3AF460F5"/>
    <w:rsid w:val="3B414471"/>
    <w:rsid w:val="3B6B584B"/>
    <w:rsid w:val="3B721C7C"/>
    <w:rsid w:val="3B7C521D"/>
    <w:rsid w:val="3B99114B"/>
    <w:rsid w:val="3B9B0105"/>
    <w:rsid w:val="3BEA5380"/>
    <w:rsid w:val="3BF35040"/>
    <w:rsid w:val="3C3F24CA"/>
    <w:rsid w:val="3C5D7D9D"/>
    <w:rsid w:val="3CC95781"/>
    <w:rsid w:val="3CD4512A"/>
    <w:rsid w:val="3D105F1B"/>
    <w:rsid w:val="3D1C54C3"/>
    <w:rsid w:val="3D621347"/>
    <w:rsid w:val="3D6C60E9"/>
    <w:rsid w:val="3D855C98"/>
    <w:rsid w:val="3DB27834"/>
    <w:rsid w:val="3E177369"/>
    <w:rsid w:val="3E5C4C18"/>
    <w:rsid w:val="3E7D0E01"/>
    <w:rsid w:val="3EB5502E"/>
    <w:rsid w:val="3EC949BD"/>
    <w:rsid w:val="3ECA2025"/>
    <w:rsid w:val="3F051B05"/>
    <w:rsid w:val="3F1D1FAD"/>
    <w:rsid w:val="3F1E2D5E"/>
    <w:rsid w:val="3F4343E8"/>
    <w:rsid w:val="3F731171"/>
    <w:rsid w:val="3FAF6578"/>
    <w:rsid w:val="3FC0487B"/>
    <w:rsid w:val="3FCB42E0"/>
    <w:rsid w:val="3FF2193A"/>
    <w:rsid w:val="405979F4"/>
    <w:rsid w:val="40890521"/>
    <w:rsid w:val="40895D14"/>
    <w:rsid w:val="409A44DC"/>
    <w:rsid w:val="40BA2B58"/>
    <w:rsid w:val="40CD5E20"/>
    <w:rsid w:val="41B015F1"/>
    <w:rsid w:val="41C73588"/>
    <w:rsid w:val="41EC43CC"/>
    <w:rsid w:val="41FF695D"/>
    <w:rsid w:val="42072045"/>
    <w:rsid w:val="421847E2"/>
    <w:rsid w:val="42AF2F7A"/>
    <w:rsid w:val="42D665BD"/>
    <w:rsid w:val="42F70CC1"/>
    <w:rsid w:val="432D51F3"/>
    <w:rsid w:val="433E782A"/>
    <w:rsid w:val="435766B4"/>
    <w:rsid w:val="43821027"/>
    <w:rsid w:val="43BF6B8A"/>
    <w:rsid w:val="44024434"/>
    <w:rsid w:val="440920A4"/>
    <w:rsid w:val="44627A06"/>
    <w:rsid w:val="44C23006"/>
    <w:rsid w:val="44C6598F"/>
    <w:rsid w:val="45067F8C"/>
    <w:rsid w:val="452112A4"/>
    <w:rsid w:val="452C52BD"/>
    <w:rsid w:val="454A2BAB"/>
    <w:rsid w:val="45755361"/>
    <w:rsid w:val="459308E1"/>
    <w:rsid w:val="459C4FE4"/>
    <w:rsid w:val="45A93012"/>
    <w:rsid w:val="45B1654F"/>
    <w:rsid w:val="45D4644E"/>
    <w:rsid w:val="46241FAD"/>
    <w:rsid w:val="4631342E"/>
    <w:rsid w:val="46550A34"/>
    <w:rsid w:val="46A072C4"/>
    <w:rsid w:val="46B42A43"/>
    <w:rsid w:val="46B72EB2"/>
    <w:rsid w:val="46E4791E"/>
    <w:rsid w:val="470B23FB"/>
    <w:rsid w:val="473E2065"/>
    <w:rsid w:val="47A33F8A"/>
    <w:rsid w:val="47EF36B3"/>
    <w:rsid w:val="4811052D"/>
    <w:rsid w:val="48552080"/>
    <w:rsid w:val="4883115E"/>
    <w:rsid w:val="48867CD4"/>
    <w:rsid w:val="488A5A4F"/>
    <w:rsid w:val="48A72109"/>
    <w:rsid w:val="48C65C4C"/>
    <w:rsid w:val="48F33103"/>
    <w:rsid w:val="49114D9F"/>
    <w:rsid w:val="494F5588"/>
    <w:rsid w:val="499248EA"/>
    <w:rsid w:val="499E6F1D"/>
    <w:rsid w:val="49C56F37"/>
    <w:rsid w:val="49CC431D"/>
    <w:rsid w:val="4A1A1AFC"/>
    <w:rsid w:val="4A1C7F69"/>
    <w:rsid w:val="4A2048F5"/>
    <w:rsid w:val="4A4A7BE5"/>
    <w:rsid w:val="4A4C0DA7"/>
    <w:rsid w:val="4A4F7BFE"/>
    <w:rsid w:val="4A693618"/>
    <w:rsid w:val="4A7345CA"/>
    <w:rsid w:val="4A821FE5"/>
    <w:rsid w:val="4A83553B"/>
    <w:rsid w:val="4AA36DBB"/>
    <w:rsid w:val="4B315A79"/>
    <w:rsid w:val="4B4D7464"/>
    <w:rsid w:val="4B6232EC"/>
    <w:rsid w:val="4B9A6960"/>
    <w:rsid w:val="4BC14EAA"/>
    <w:rsid w:val="4BDD4E70"/>
    <w:rsid w:val="4BE42260"/>
    <w:rsid w:val="4C050246"/>
    <w:rsid w:val="4C0B1AE7"/>
    <w:rsid w:val="4C0F23A4"/>
    <w:rsid w:val="4C120763"/>
    <w:rsid w:val="4C1677E9"/>
    <w:rsid w:val="4C6263AC"/>
    <w:rsid w:val="4C9C3D37"/>
    <w:rsid w:val="4D123B20"/>
    <w:rsid w:val="4D6A264C"/>
    <w:rsid w:val="4D6A309D"/>
    <w:rsid w:val="4D9E31C3"/>
    <w:rsid w:val="4DB6655A"/>
    <w:rsid w:val="4DC108F4"/>
    <w:rsid w:val="4DC26600"/>
    <w:rsid w:val="4E010F87"/>
    <w:rsid w:val="4E0176F5"/>
    <w:rsid w:val="4E414BB2"/>
    <w:rsid w:val="4E8E63A1"/>
    <w:rsid w:val="4EA2737D"/>
    <w:rsid w:val="4EBF7296"/>
    <w:rsid w:val="4ED24E8A"/>
    <w:rsid w:val="4ED75229"/>
    <w:rsid w:val="4ED84F0E"/>
    <w:rsid w:val="4EED06FD"/>
    <w:rsid w:val="4F0A4F22"/>
    <w:rsid w:val="4F2C4F1E"/>
    <w:rsid w:val="4F2E3E48"/>
    <w:rsid w:val="4F5624CB"/>
    <w:rsid w:val="4F8A3F4D"/>
    <w:rsid w:val="4FB467F9"/>
    <w:rsid w:val="4FB77C93"/>
    <w:rsid w:val="4FD02F65"/>
    <w:rsid w:val="4FF32B52"/>
    <w:rsid w:val="4FF80594"/>
    <w:rsid w:val="4FFD0EF1"/>
    <w:rsid w:val="502D4F37"/>
    <w:rsid w:val="50EE4AFC"/>
    <w:rsid w:val="50FC115E"/>
    <w:rsid w:val="510D07DF"/>
    <w:rsid w:val="511A2283"/>
    <w:rsid w:val="516F1C65"/>
    <w:rsid w:val="519B28E7"/>
    <w:rsid w:val="51A96C75"/>
    <w:rsid w:val="51BB3335"/>
    <w:rsid w:val="51DF1FC8"/>
    <w:rsid w:val="524C7FCA"/>
    <w:rsid w:val="524D5852"/>
    <w:rsid w:val="52594F0F"/>
    <w:rsid w:val="525A72F5"/>
    <w:rsid w:val="5282034B"/>
    <w:rsid w:val="52832C8D"/>
    <w:rsid w:val="528E13BC"/>
    <w:rsid w:val="52B1673D"/>
    <w:rsid w:val="52B60945"/>
    <w:rsid w:val="52DB3A4A"/>
    <w:rsid w:val="52DC5D03"/>
    <w:rsid w:val="52E57CC3"/>
    <w:rsid w:val="52F71F9E"/>
    <w:rsid w:val="5312550A"/>
    <w:rsid w:val="534E08DF"/>
    <w:rsid w:val="53667193"/>
    <w:rsid w:val="53D1543B"/>
    <w:rsid w:val="53DE69BF"/>
    <w:rsid w:val="53F73F0F"/>
    <w:rsid w:val="54113F0F"/>
    <w:rsid w:val="541A0F48"/>
    <w:rsid w:val="541C0D17"/>
    <w:rsid w:val="541E45C6"/>
    <w:rsid w:val="54212C80"/>
    <w:rsid w:val="542A6641"/>
    <w:rsid w:val="544B130D"/>
    <w:rsid w:val="54AB72C9"/>
    <w:rsid w:val="54C71FE7"/>
    <w:rsid w:val="54D44608"/>
    <w:rsid w:val="54D723E8"/>
    <w:rsid w:val="55020B76"/>
    <w:rsid w:val="550721D5"/>
    <w:rsid w:val="556F2AE4"/>
    <w:rsid w:val="55A47060"/>
    <w:rsid w:val="55AC636A"/>
    <w:rsid w:val="55B300C2"/>
    <w:rsid w:val="55C15CC7"/>
    <w:rsid w:val="55DF1367"/>
    <w:rsid w:val="55F3376F"/>
    <w:rsid w:val="563648E8"/>
    <w:rsid w:val="56813D1C"/>
    <w:rsid w:val="56A650A5"/>
    <w:rsid w:val="56B967C0"/>
    <w:rsid w:val="56BE67A9"/>
    <w:rsid w:val="56EE7782"/>
    <w:rsid w:val="56F93D01"/>
    <w:rsid w:val="571C57F3"/>
    <w:rsid w:val="57345015"/>
    <w:rsid w:val="576B0D91"/>
    <w:rsid w:val="57830686"/>
    <w:rsid w:val="57B70A7D"/>
    <w:rsid w:val="57C96345"/>
    <w:rsid w:val="57CB6623"/>
    <w:rsid w:val="57D92384"/>
    <w:rsid w:val="57F17DFC"/>
    <w:rsid w:val="58020827"/>
    <w:rsid w:val="581808D2"/>
    <w:rsid w:val="585D27D8"/>
    <w:rsid w:val="58791C73"/>
    <w:rsid w:val="5889686F"/>
    <w:rsid w:val="58941028"/>
    <w:rsid w:val="58A44110"/>
    <w:rsid w:val="58A47FA0"/>
    <w:rsid w:val="58AB6E2E"/>
    <w:rsid w:val="58DE21CC"/>
    <w:rsid w:val="58E6455C"/>
    <w:rsid w:val="5927169E"/>
    <w:rsid w:val="5A056A12"/>
    <w:rsid w:val="5A21029D"/>
    <w:rsid w:val="5A3C11E6"/>
    <w:rsid w:val="5A4243DA"/>
    <w:rsid w:val="5A540A70"/>
    <w:rsid w:val="5A981634"/>
    <w:rsid w:val="5AA63E98"/>
    <w:rsid w:val="5AD12776"/>
    <w:rsid w:val="5B19039D"/>
    <w:rsid w:val="5B2616E5"/>
    <w:rsid w:val="5B3A4C3E"/>
    <w:rsid w:val="5B884B96"/>
    <w:rsid w:val="5BA557F4"/>
    <w:rsid w:val="5C9A78E6"/>
    <w:rsid w:val="5CA06501"/>
    <w:rsid w:val="5CB066AF"/>
    <w:rsid w:val="5CB5471F"/>
    <w:rsid w:val="5D090FC9"/>
    <w:rsid w:val="5DA77EDC"/>
    <w:rsid w:val="5DDF69A4"/>
    <w:rsid w:val="5E112F6F"/>
    <w:rsid w:val="5E1455E7"/>
    <w:rsid w:val="5E4D291A"/>
    <w:rsid w:val="5E544F61"/>
    <w:rsid w:val="5E9E54E7"/>
    <w:rsid w:val="5F7128AF"/>
    <w:rsid w:val="5FA2526B"/>
    <w:rsid w:val="5FAA3C47"/>
    <w:rsid w:val="5FB850F5"/>
    <w:rsid w:val="5FC12063"/>
    <w:rsid w:val="5FDC1404"/>
    <w:rsid w:val="5FF61953"/>
    <w:rsid w:val="600E54F4"/>
    <w:rsid w:val="60564992"/>
    <w:rsid w:val="60581B0C"/>
    <w:rsid w:val="606B09F8"/>
    <w:rsid w:val="607B75C7"/>
    <w:rsid w:val="60A827A3"/>
    <w:rsid w:val="60D51A59"/>
    <w:rsid w:val="60E82224"/>
    <w:rsid w:val="60F575C1"/>
    <w:rsid w:val="61147D5F"/>
    <w:rsid w:val="6141130F"/>
    <w:rsid w:val="61426DE4"/>
    <w:rsid w:val="61B17DFE"/>
    <w:rsid w:val="61C20E69"/>
    <w:rsid w:val="62070A08"/>
    <w:rsid w:val="62847EA7"/>
    <w:rsid w:val="62B07EE3"/>
    <w:rsid w:val="62DB637F"/>
    <w:rsid w:val="62FA10BA"/>
    <w:rsid w:val="62FD5017"/>
    <w:rsid w:val="63296CF6"/>
    <w:rsid w:val="634624B2"/>
    <w:rsid w:val="63532130"/>
    <w:rsid w:val="6371294A"/>
    <w:rsid w:val="63B77886"/>
    <w:rsid w:val="63C57EA5"/>
    <w:rsid w:val="63D615FE"/>
    <w:rsid w:val="63DE39EA"/>
    <w:rsid w:val="640B7333"/>
    <w:rsid w:val="64582635"/>
    <w:rsid w:val="6469117D"/>
    <w:rsid w:val="64871562"/>
    <w:rsid w:val="649B069F"/>
    <w:rsid w:val="64AA3487"/>
    <w:rsid w:val="64AD3E8E"/>
    <w:rsid w:val="64EA7FB1"/>
    <w:rsid w:val="64EC6C5A"/>
    <w:rsid w:val="653D7AF3"/>
    <w:rsid w:val="655E7666"/>
    <w:rsid w:val="6569254B"/>
    <w:rsid w:val="65814D25"/>
    <w:rsid w:val="658D3BDA"/>
    <w:rsid w:val="65B119A5"/>
    <w:rsid w:val="65F04A1A"/>
    <w:rsid w:val="65F916BF"/>
    <w:rsid w:val="66142E13"/>
    <w:rsid w:val="6622535F"/>
    <w:rsid w:val="663A6D90"/>
    <w:rsid w:val="66565CBE"/>
    <w:rsid w:val="670E76D1"/>
    <w:rsid w:val="672C15FE"/>
    <w:rsid w:val="67326007"/>
    <w:rsid w:val="67574E33"/>
    <w:rsid w:val="675C4146"/>
    <w:rsid w:val="67982DDE"/>
    <w:rsid w:val="67D77C44"/>
    <w:rsid w:val="684D1A1A"/>
    <w:rsid w:val="68645048"/>
    <w:rsid w:val="6884286B"/>
    <w:rsid w:val="690459DC"/>
    <w:rsid w:val="690B7AFD"/>
    <w:rsid w:val="691D2791"/>
    <w:rsid w:val="69404AFD"/>
    <w:rsid w:val="694F2539"/>
    <w:rsid w:val="69543567"/>
    <w:rsid w:val="695E5E63"/>
    <w:rsid w:val="69715746"/>
    <w:rsid w:val="69773104"/>
    <w:rsid w:val="6A47087A"/>
    <w:rsid w:val="6A6D318E"/>
    <w:rsid w:val="6A8F5A13"/>
    <w:rsid w:val="6A90444F"/>
    <w:rsid w:val="6A930078"/>
    <w:rsid w:val="6AFC4C50"/>
    <w:rsid w:val="6AFF6DD9"/>
    <w:rsid w:val="6B2031BA"/>
    <w:rsid w:val="6B274553"/>
    <w:rsid w:val="6B456FE3"/>
    <w:rsid w:val="6B4B4A7E"/>
    <w:rsid w:val="6B6721F6"/>
    <w:rsid w:val="6B6A15BD"/>
    <w:rsid w:val="6B713444"/>
    <w:rsid w:val="6B7A60D6"/>
    <w:rsid w:val="6B9F6D44"/>
    <w:rsid w:val="6BA336D5"/>
    <w:rsid w:val="6BF26F47"/>
    <w:rsid w:val="6C203A9A"/>
    <w:rsid w:val="6C385BB0"/>
    <w:rsid w:val="6C45652D"/>
    <w:rsid w:val="6C4A35E0"/>
    <w:rsid w:val="6CA6506C"/>
    <w:rsid w:val="6CB75CCD"/>
    <w:rsid w:val="6CD0753E"/>
    <w:rsid w:val="6D2D26D4"/>
    <w:rsid w:val="6D425E8D"/>
    <w:rsid w:val="6D550E72"/>
    <w:rsid w:val="6D6F7597"/>
    <w:rsid w:val="6DA84871"/>
    <w:rsid w:val="6E153270"/>
    <w:rsid w:val="6E411486"/>
    <w:rsid w:val="6E6602A3"/>
    <w:rsid w:val="6E9303C1"/>
    <w:rsid w:val="6EAE7221"/>
    <w:rsid w:val="6ECF03D4"/>
    <w:rsid w:val="6EEA4B30"/>
    <w:rsid w:val="6EEB1850"/>
    <w:rsid w:val="6F313CA3"/>
    <w:rsid w:val="6FBE7937"/>
    <w:rsid w:val="6FC02C16"/>
    <w:rsid w:val="6FF6475E"/>
    <w:rsid w:val="70091247"/>
    <w:rsid w:val="70093B7A"/>
    <w:rsid w:val="70184EA3"/>
    <w:rsid w:val="704C5807"/>
    <w:rsid w:val="70687850"/>
    <w:rsid w:val="707A1033"/>
    <w:rsid w:val="70B37683"/>
    <w:rsid w:val="70CB53E1"/>
    <w:rsid w:val="70E45041"/>
    <w:rsid w:val="714E12CF"/>
    <w:rsid w:val="71561022"/>
    <w:rsid w:val="717604C9"/>
    <w:rsid w:val="71EC218B"/>
    <w:rsid w:val="7207078C"/>
    <w:rsid w:val="7209016D"/>
    <w:rsid w:val="720D49AF"/>
    <w:rsid w:val="722D38CE"/>
    <w:rsid w:val="72351C36"/>
    <w:rsid w:val="7259341C"/>
    <w:rsid w:val="728B00C1"/>
    <w:rsid w:val="72AB6FF9"/>
    <w:rsid w:val="72D80D10"/>
    <w:rsid w:val="734521A8"/>
    <w:rsid w:val="736B4245"/>
    <w:rsid w:val="73707E67"/>
    <w:rsid w:val="73776F50"/>
    <w:rsid w:val="73786858"/>
    <w:rsid w:val="73A428CE"/>
    <w:rsid w:val="73E922BE"/>
    <w:rsid w:val="741F0C23"/>
    <w:rsid w:val="743439CA"/>
    <w:rsid w:val="748F3308"/>
    <w:rsid w:val="749F23F8"/>
    <w:rsid w:val="74BC7F66"/>
    <w:rsid w:val="74D54ABD"/>
    <w:rsid w:val="74DD127A"/>
    <w:rsid w:val="750D7CD6"/>
    <w:rsid w:val="75260EE2"/>
    <w:rsid w:val="753D1C2F"/>
    <w:rsid w:val="75686B98"/>
    <w:rsid w:val="75874327"/>
    <w:rsid w:val="7677072C"/>
    <w:rsid w:val="768317F7"/>
    <w:rsid w:val="76A00464"/>
    <w:rsid w:val="76A021B3"/>
    <w:rsid w:val="76B664D7"/>
    <w:rsid w:val="76E33575"/>
    <w:rsid w:val="76EB2B73"/>
    <w:rsid w:val="76EE7538"/>
    <w:rsid w:val="770B0914"/>
    <w:rsid w:val="77430656"/>
    <w:rsid w:val="77507B4A"/>
    <w:rsid w:val="77513CCB"/>
    <w:rsid w:val="775D41D3"/>
    <w:rsid w:val="77A33591"/>
    <w:rsid w:val="77AC053F"/>
    <w:rsid w:val="77D16924"/>
    <w:rsid w:val="77DA2952"/>
    <w:rsid w:val="7824651E"/>
    <w:rsid w:val="782C2784"/>
    <w:rsid w:val="78326601"/>
    <w:rsid w:val="784A1D68"/>
    <w:rsid w:val="7880578A"/>
    <w:rsid w:val="78B9498D"/>
    <w:rsid w:val="797F7147"/>
    <w:rsid w:val="799F4335"/>
    <w:rsid w:val="79BE2A91"/>
    <w:rsid w:val="79CE1B3B"/>
    <w:rsid w:val="79F94C21"/>
    <w:rsid w:val="79F9757E"/>
    <w:rsid w:val="7A0F0FE1"/>
    <w:rsid w:val="7A6634A8"/>
    <w:rsid w:val="7A697D45"/>
    <w:rsid w:val="7A992CC0"/>
    <w:rsid w:val="7AAD2A82"/>
    <w:rsid w:val="7AB031CF"/>
    <w:rsid w:val="7B3A50B0"/>
    <w:rsid w:val="7B8B2C1D"/>
    <w:rsid w:val="7B8F3840"/>
    <w:rsid w:val="7BCA3B47"/>
    <w:rsid w:val="7BD020E4"/>
    <w:rsid w:val="7BDE06A1"/>
    <w:rsid w:val="7C01614C"/>
    <w:rsid w:val="7C622E82"/>
    <w:rsid w:val="7D064597"/>
    <w:rsid w:val="7D12020E"/>
    <w:rsid w:val="7D2F0819"/>
    <w:rsid w:val="7D2F33BE"/>
    <w:rsid w:val="7D793C28"/>
    <w:rsid w:val="7D8C0F6F"/>
    <w:rsid w:val="7E045A8F"/>
    <w:rsid w:val="7E517338"/>
    <w:rsid w:val="7E9771C1"/>
    <w:rsid w:val="7EB604BE"/>
    <w:rsid w:val="7EC33344"/>
    <w:rsid w:val="7F674E25"/>
    <w:rsid w:val="7F6A5445"/>
    <w:rsid w:val="7F721F37"/>
    <w:rsid w:val="7FAE0A4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13228</Words>
  <Characters>35326</Characters>
  <Lines>395</Lines>
  <Paragraphs>111</Paragraphs>
  <TotalTime>0</TotalTime>
  <ScaleCrop>false</ScaleCrop>
  <LinksUpToDate>false</LinksUpToDate>
  <CharactersWithSpaces>38693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2024-06-14T03:56:36Z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