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jc w:val="right"/>
        <w:rPr>
          <w:b/>
          <w:bCs/>
          <w:sz w:val="72"/>
          <w:szCs w:val="72"/>
          <w:lang w:eastAsia="zh-CN"/>
        </w:rPr>
      </w:pPr>
      <w:r>
        <w:rPr>
          <w:rFonts w:hint="eastAsia" w:ascii="黑体" w:hAnsi="黑体" w:eastAsia="黑体" w:cs="黑体"/>
          <w:b/>
          <w:bCs/>
          <w:spacing w:val="23"/>
          <w:sz w:val="72"/>
          <w:szCs w:val="72"/>
          <w:lang w:val="en-US" w:eastAsia="zh-CN"/>
        </w:rPr>
        <w:t>肿瘤个性化诊疗指导</w:t>
      </w:r>
    </w:p>
    <w:p>
      <w:pPr>
        <w:jc w:val="right"/>
        <w:rPr>
          <w:rFonts w:hint="eastAsia" w:ascii="黑体" w:hAnsi="黑体" w:eastAsia="黑体" w:cs="黑体"/>
          <w:b/>
          <w:bCs/>
          <w:spacing w:val="23"/>
          <w:sz w:val="72"/>
          <w:szCs w:val="72"/>
        </w:rPr>
      </w:pPr>
      <w:r>
        <w:rPr>
          <w:rFonts w:hint="eastAsia" w:ascii="黑体" w:hAnsi="黑体" w:eastAsia="黑体" w:cs="黑体"/>
          <w:b/>
          <w:bCs/>
          <w:spacing w:val="23"/>
          <w:sz w:val="72"/>
          <w:szCs w:val="72"/>
          <w:lang w:val="en-US" w:eastAsia="zh-Hans"/>
        </w:rPr>
        <w:t>实体瘤</w:t>
      </w:r>
      <w:r>
        <w:rPr>
          <w:rFonts w:hint="eastAsia" w:ascii="黑体" w:hAnsi="黑体" w:eastAsia="黑体" w:cs="黑体"/>
          <w:b/>
          <w:bCs/>
          <w:spacing w:val="23"/>
          <w:sz w:val="72"/>
          <w:szCs w:val="72"/>
          <w:lang w:val="en-US" w:eastAsia="zh-CN"/>
        </w:rPr>
        <w:t>188</w:t>
      </w:r>
      <w:r>
        <w:rPr>
          <w:rFonts w:hint="eastAsia" w:ascii="黑体" w:hAnsi="黑体" w:eastAsia="黑体" w:cs="黑体"/>
          <w:b/>
          <w:bCs/>
          <w:spacing w:val="23"/>
          <w:sz w:val="72"/>
          <w:szCs w:val="72"/>
          <w:lang w:val="en-US" w:eastAsia="zh-Hans"/>
        </w:rPr>
        <w:t>基因检测报告</w:t>
      </w:r>
    </w:p>
    <w:p/>
    <w:p/>
    <w:p>
      <w:pPr>
        <w:rPr>
          <w:rFonts w:hint="eastAsia" w:ascii="微软雅黑" w:hAnsi="宋体" w:eastAsia="微软雅黑" w:cs="宋体"/>
          <w:sz w:val="48"/>
          <w:szCs w:val="48"/>
          <w:lang w:val="en-US" w:eastAsia="zh-CN"/>
        </w:rPr>
      </w:pPr>
      <w:r>
        <w:rPr>
          <w:rFonts w:ascii="Arial Regular" w:hAnsi="Arial Regular" w:eastAsia="黑体" w:cs="Arial Regular"/>
          <w:bCs/>
          <w:color w:val="262262"/>
          <w:sz w:val="24"/>
          <w:szCs w:val="24"/>
          <w:u w:color="404040"/>
        </w:rPr>
        <w:drawing>
          <wp:anchor distT="0" distB="0" distL="114300" distR="114300" simplePos="0" relativeHeight="251664384" behindDoc="0" locked="0" layoutInCell="1" allowOverlap="1">
            <wp:simplePos x="0" y="0"/>
            <wp:positionH relativeFrom="page">
              <wp:posOffset>2275205</wp:posOffset>
            </wp:positionH>
            <wp:positionV relativeFrom="page">
              <wp:posOffset>5253990</wp:posOffset>
            </wp:positionV>
            <wp:extent cx="4912995" cy="5553075"/>
            <wp:effectExtent l="0" t="0" r="9525" b="952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912995" cy="5553075"/>
                    </a:xfrm>
                    <a:prstGeom prst="rect">
                      <a:avLst/>
                    </a:prstGeom>
                    <a:noFill/>
                    <a:ln>
                      <a:noFill/>
                    </a:ln>
                  </pic:spPr>
                </pic:pic>
              </a:graphicData>
            </a:graphic>
          </wp:anchor>
        </w:drawing>
      </w:r>
    </w:p>
    <w:p>
      <w:pPr>
        <w:rPr>
          <w:sz w:val="20"/>
          <w:lang w:eastAsia="zh-CN"/>
        </w:rPr>
        <w:sectPr>
          <w:headerReference r:id="rId3" w:type="default"/>
          <w:pgSz w:w="11910" w:h="16840"/>
          <w:pgMar w:top="567" w:right="805" w:bottom="567" w:left="805" w:header="567" w:footer="567" w:gutter="0"/>
          <w:pgBorders>
            <w:top w:val="none" w:sz="0" w:space="0"/>
            <w:left w:val="none" w:sz="0" w:space="0"/>
            <w:bottom w:val="none" w:sz="0" w:space="0"/>
            <w:right w:val="none" w:sz="0" w:space="0"/>
          </w:pgBorders>
          <w:pgNumType w:start="1"/>
          <w:cols w:space="0" w:num="1"/>
          <w:rtlGutter w:val="0"/>
          <w:docGrid w:linePitch="0" w:charSpace="0"/>
        </w:sectPr>
      </w:pPr>
    </w:p>
    <w:p>
      <w:pPr>
        <w:rPr>
          <w:rFonts w:hint="default"/>
          <w:lang w:eastAsia="zh-CN"/>
        </w:rPr>
      </w:pPr>
    </w:p>
    <w:p>
      <w:pPr>
        <w:rPr>
          <w:rFonts w:hint="default"/>
          <w:lang w:eastAsia="zh-CN"/>
        </w:rPr>
      </w:pPr>
    </w:p>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center"/>
        <w:outlineLvl w:val="9"/>
        <w:rPr>
          <w:rFonts w:ascii="微软雅黑"/>
          <w:b/>
          <w:spacing w:val="23"/>
          <w:lang w:eastAsia="zh-CN"/>
        </w:rPr>
      </w:pPr>
      <w:r>
        <w:rPr>
          <w:rFonts w:hint="eastAsia" w:ascii="黑体" w:hAnsi="黑体" w:eastAsia="黑体" w:cs="黑体"/>
          <w:b/>
          <w:bCs/>
          <w:color w:val="231F20"/>
          <w:spacing w:val="23"/>
          <w:kern w:val="2"/>
          <w:sz w:val="36"/>
          <w:szCs w:val="36"/>
          <w:lang w:val="en-US" w:eastAsia="zh-CN"/>
        </w:rPr>
        <w:t>致您的一封信</w:t>
      </w:r>
    </w:p>
    <w:p>
      <w:pPr>
        <w:pStyle w:val="6"/>
        <w:spacing w:before="11"/>
        <w:rPr>
          <w:rFonts w:ascii="微软雅黑"/>
          <w:b/>
          <w:sz w:val="15"/>
          <w:lang w:eastAsia="zh-CN"/>
        </w:rPr>
      </w:pPr>
    </w:p>
    <w:p>
      <w:pPr>
        <w:pStyle w:val="6"/>
        <w:spacing w:before="11"/>
        <w:rPr>
          <w:rFonts w:ascii="微软雅黑"/>
          <w:b/>
          <w:sz w:val="15"/>
          <w:lang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pacing w:val="6"/>
          <w:kern w:val="2"/>
          <w:sz w:val="21"/>
          <w:szCs w:val="21"/>
          <w:lang w:eastAsia="zh-CN"/>
        </w:rPr>
      </w:pPr>
      <w:r>
        <w:rPr>
          <w:rFonts w:hint="eastAsia" w:ascii="宋体" w:hAnsi="宋体" w:eastAsia="宋体" w:cs="宋体"/>
          <w:b/>
          <w:bCs/>
          <w:spacing w:val="6"/>
          <w:kern w:val="2"/>
          <w:sz w:val="21"/>
          <w:szCs w:val="21"/>
          <w:lang w:eastAsia="zh-CN"/>
        </w:rPr>
        <w:t>尊敬的</w:t>
      </w:r>
      <w:r>
        <w:rPr>
          <w:rFonts w:hint="default" w:ascii="宋体" w:hAnsi="宋体" w:eastAsia="宋体" w:cs="宋体"/>
          <w:b/>
          <w:bCs/>
          <w:spacing w:val="6"/>
          <w:kern w:val="2"/>
          <w:sz w:val="21"/>
          <w:szCs w:val="21"/>
          <w:lang w:eastAsia="zh-CN"/>
        </w:rPr>
        <w:t>{{ client }}</w:t>
      </w:r>
      <w:r>
        <w:rPr>
          <w:rFonts w:hint="eastAsia" w:cs="宋体"/>
          <w:b/>
          <w:bCs/>
          <w:spacing w:val="6"/>
          <w:kern w:val="2"/>
          <w:sz w:val="21"/>
          <w:szCs w:val="21"/>
          <w:lang w:val="en-US" w:eastAsia="zh-CN"/>
        </w:rPr>
        <w:t>{{ appellation }}</w:t>
      </w:r>
      <w:r>
        <w:rPr>
          <w:rFonts w:hint="eastAsia" w:ascii="宋体" w:hAnsi="宋体" w:eastAsia="宋体" w:cs="宋体"/>
          <w:b/>
          <w:bCs/>
          <w:spacing w:val="6"/>
          <w:kern w:val="2"/>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514" w:firstLineChars="200"/>
        <w:textAlignment w:val="auto"/>
        <w:rPr>
          <w:rFonts w:hint="default" w:ascii="宋体" w:hAnsi="宋体" w:eastAsia="宋体" w:cs="宋体"/>
          <w:b/>
          <w:bCs/>
          <w:spacing w:val="6"/>
          <w:kern w:val="2"/>
          <w:sz w:val="21"/>
          <w:szCs w:val="21"/>
          <w:lang w:eastAsia="zh-CN"/>
        </w:rPr>
      </w:pPr>
      <w:r>
        <w:rPr>
          <w:rFonts w:ascii="宋体" w:hAnsi="宋体" w:eastAsia="宋体" w:cs="宋体"/>
          <w:b/>
          <w:bCs/>
          <w:spacing w:val="23"/>
          <w:sz w:val="21"/>
          <w:szCs w:val="21"/>
          <w:lang w:eastAsia="zh-CN"/>
        </w:rPr>
        <w:t>您</w:t>
      </w:r>
      <w:r>
        <w:rPr>
          <w:rFonts w:ascii="宋体" w:hAnsi="宋体" w:eastAsia="宋体" w:cs="宋体"/>
          <w:b/>
          <w:bCs/>
          <w:spacing w:val="6"/>
          <w:kern w:val="2"/>
          <w:sz w:val="21"/>
          <w:szCs w:val="21"/>
          <w:lang w:eastAsia="zh-CN"/>
        </w:rPr>
        <w:t>好！</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感谢您对安为康医学检验的信任！安为康医学检验旨在针对肿瘤治疗提供综合性的诊疗评估报告。我们通过更全面、更权威及更前沿的分子诊断技术对您的送检样本进行检测，为您的肿瘤精准诊疗保驾护航！</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我们本着科学严谨，认真负责的态度，依据美国国立综合癌症网络（NCCN）临床指南、国内外专家共识、国际癌症临床会议等循证医学证据为您筛选敏感性较高、毒副作用较低的个性化药物治疗方案，帮助医生实现精准治疗，并最大化提升您的治疗获益。</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此次检测具体内容由您的主治医生根据您的病情和检测意愿进行选择，并在安为康医学检验实验室进行，与您个人身份有关的资料我们将妥善保管，并且保证不会泄露给第三方机构。此次检测本质上属于研究性检测，具体检测内容可更好地为您及您的主治医生从核酸水平上提供参考，而不具有直接诊断和治疗的目的，具体疾病干预措施以临床医生意见为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23"/>
          <w:sz w:val="21"/>
          <w:szCs w:val="21"/>
        </w:rPr>
      </w:pPr>
      <w:r>
        <w:rPr>
          <w:rFonts w:ascii="宋体" w:hAnsi="宋体" w:eastAsia="宋体" w:cs="宋体"/>
          <w:spacing w:val="23"/>
          <w:sz w:val="21"/>
          <w:szCs w:val="21"/>
        </w:rPr>
        <w:t>随着科学与医学的不断发展，癌症治疗的不断突破，我们有充足的理由相信癌症不再是无法攻克的难题。安为康医学检验全体将竭诚为您服务，与您携手抗击病魔。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智慧成就健康！</w:t>
      </w:r>
    </w:p>
    <w:p>
      <w:pPr>
        <w:keepNext w:val="0"/>
        <w:keepLines w:val="0"/>
        <w:pageBreakBefore w:val="0"/>
        <w:widowControl w:val="0"/>
        <w:kinsoku/>
        <w:wordWrap/>
        <w:overflowPunct/>
        <w:topLinePunct w:val="0"/>
        <w:autoSpaceDE/>
        <w:autoSpaceDN/>
        <w:bidi w:val="0"/>
        <w:adjustRightInd/>
        <w:snapToGrid/>
        <w:spacing w:line="360" w:lineRule="auto"/>
        <w:ind w:firstLine="500" w:firstLineChars="200"/>
        <w:jc w:val="both"/>
        <w:textAlignment w:val="auto"/>
        <w:rPr>
          <w:rFonts w:ascii="宋体" w:hAnsi="宋体" w:eastAsia="宋体" w:cs="宋体"/>
          <w:spacing w:val="20"/>
          <w:kern w:val="2"/>
          <w:sz w:val="21"/>
          <w:szCs w:val="21"/>
          <w:lang w:eastAsia="zh-CN"/>
        </w:rPr>
      </w:pPr>
    </w:p>
    <w:p>
      <w:pPr>
        <w:pStyle w:val="6"/>
        <w:spacing w:before="11"/>
        <w:rPr>
          <w:rFonts w:hint="eastAsia" w:eastAsia="黑体"/>
          <w:spacing w:val="-2"/>
          <w:lang w:val="en-US" w:eastAsia="zh-CN"/>
        </w:rPr>
        <w:sectPr>
          <w:footerReference r:id="rId4" w:type="default"/>
          <w:pgSz w:w="11910" w:h="16840"/>
          <w:pgMar w:top="1417" w:right="805" w:bottom="567" w:left="805" w:header="567" w:footer="567" w:gutter="0"/>
          <w:pgBorders>
            <w:top w:val="none" w:sz="0" w:space="0"/>
            <w:left w:val="none" w:sz="0" w:space="0"/>
            <w:bottom w:val="none" w:sz="0" w:space="0"/>
            <w:right w:val="none" w:sz="0" w:space="0"/>
          </w:pgBorders>
          <w:pgNumType w:start="1"/>
          <w:cols w:space="0" w:num="1"/>
          <w:rtlGutter w:val="0"/>
          <w:docGrid w:linePitch="299" w:charSpace="0"/>
        </w:sectPr>
      </w:pPr>
    </w:p>
    <w:p>
      <w:pPr>
        <w:rPr>
          <w:rFonts w:ascii="Times New Roman" w:hAnsi="Times New Roman" w:eastAsia="微软雅黑" w:cs="Times New Roman"/>
          <w:b/>
          <w:color w:val="00B050"/>
          <w:sz w:val="32"/>
          <w:szCs w:val="32"/>
          <w:lang w:eastAsia="zh-CN"/>
        </w:rPr>
      </w:pP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1430655</wp:posOffset>
                </wp:positionH>
                <wp:positionV relativeFrom="paragraph">
                  <wp:posOffset>83820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2.65pt;margin-top:6.6pt;height:44.95pt;width:93.8pt;z-index:251662336;mso-width-relative:page;mso-height-relative:page;" filled="f" stroked="f" coordsize="21600,21600" o:gfxdata="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519gtYAAAAKAQAADwAAAAAAAAABACAAAAAiAAAAZHJz&#10;L2Rvd25yZXYueG1sUEsBAhQAFAAAAAgAh07iQCLYtvYGAgAAFQQAAA4AAAAAAAAAAQAgAAAAJQEA&#10;AGRycy9lMm9Eb2MueG1sUEsFBgAAAAAGAAYAWQEAAJ0FA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59264"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59264;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1312;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357ED2"/>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0288;mso-width-relative:page;mso-height-relative:page;" fillcolor="#357ED2" filled="t" stroked="f" coordsize="21600,21600" o:gfxdata="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BkWj9cAAAAJAQAA&#10;DwAAAAAAAAABACAAAAAiAAAAZHJzL2Rvd25yZXYueG1sUEsBAhQAFAAAAAgAh07iQDXVthUaAgAA&#10;NQQAAA4AAAAAAAAAAQAgAAAAJgEAAGRycy9lMm9Eb2MueG1sUEsFBgAAAAAGAAYAWQEAALIFAAAA&#10;AA==&#10;">
                <v:fill on="t" focussize="0,0"/>
                <v:stroke on="f"/>
                <v:imagedata o:title=""/>
                <o:lock v:ext="edit" aspectratio="f"/>
                <v:textbox>
                  <w:txbxContent>
                    <w:p>
                      <w:pPr>
                        <w:jc w:val="center"/>
                      </w:pPr>
                    </w:p>
                  </w:txbxContent>
                </v:textbox>
              </v:rect>
            </w:pict>
          </mc:Fallback>
        </mc:AlternateContent>
      </w:r>
    </w:p>
    <w:p>
      <w:pPr>
        <w:rPr>
          <w:lang w:eastAsia="zh-CN"/>
        </w:rPr>
      </w:pPr>
    </w:p>
    <w:p>
      <w:pPr>
        <w:rPr>
          <w:lang w:eastAsia="zh-CN"/>
        </w:rPr>
      </w:pPr>
    </w:p>
    <w:p>
      <w:pPr>
        <w:rPr>
          <w:lang w:eastAsia="zh-CN"/>
        </w:rPr>
      </w:pPr>
    </w:p>
    <w:sdt>
      <w:sdtPr>
        <w:rPr>
          <w:rFonts w:ascii="宋体" w:hAnsi="宋体" w:eastAsia="宋体" w:cs="宋体"/>
          <w:sz w:val="21"/>
          <w:szCs w:val="22"/>
          <w:lang w:val="en-US" w:eastAsia="en-US" w:bidi="ar-SA"/>
        </w:rPr>
        <w:id w:val="147482458"/>
        <w15:color w:val="DBDBDB"/>
        <w:docPartObj>
          <w:docPartGallery w:val="Table of Contents"/>
          <w:docPartUnique/>
        </w:docPartObj>
      </w:sdtPr>
      <w:sdtEndPr>
        <w:rPr>
          <w:rFonts w:ascii="宋体" w:hAnsi="宋体" w:eastAsia="宋体" w:cs="宋体"/>
          <w:b/>
          <w:sz w:val="21"/>
          <w:szCs w:val="22"/>
          <w:lang w:val="en-US" w:eastAsia="en-US" w:bidi="ar-SA"/>
        </w:rPr>
      </w:sdtEndPr>
      <w:sdtContent>
        <w:p>
          <w:pPr>
            <w:spacing w:before="0" w:beforeLines="0" w:after="0" w:afterLines="0" w:line="240" w:lineRule="auto"/>
            <w:ind w:left="0" w:leftChars="0" w:right="0" w:rightChars="0" w:firstLine="0" w:firstLineChars="0"/>
            <w:jc w:val="center"/>
          </w:pP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fldChar w:fldCharType="begin"/>
          </w:r>
          <w:r>
            <w:instrText xml:space="preserve">TOC \o "1-2" \h \u </w:instrText>
          </w:r>
          <w:r>
            <w:fldChar w:fldCharType="separate"/>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_Toc28780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样本信息</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_Toc28780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_Toc12022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检测项目</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_Toc12022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_Toc23654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检测基因列表</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_Toc23654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_Toc5984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检测结果小结</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_Toc5984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_Toc24900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检测结果及用药提示</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_Toc24900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5</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_Toc1294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靶向药物用药</w:t>
          </w:r>
          <w:r>
            <w:rPr>
              <w:rFonts w:hint="eastAsia" w:ascii="宋体" w:hAnsi="宋体" w:eastAsia="宋体" w:cs="宋体"/>
              <w:color w:val="000000" w:themeColor="text1"/>
              <w:spacing w:val="23"/>
              <w:sz w:val="24"/>
              <w:szCs w:val="24"/>
              <w14:textFill>
                <w14:solidFill>
                  <w14:schemeClr w14:val="tx1"/>
                </w14:solidFill>
              </w14:textFill>
            </w:rPr>
            <w:t>提示</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_Toc1294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5</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{%if 2531 not in diseaseIdList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_Toc32640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本癌种FDA/NMPA获批的其他可选靶向药物</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_Toc32640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8</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_Toc24614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免疫药物用药提示</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_Toc24614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9</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_Toc2545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基因检测结果解析</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_Toc2545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11</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15"/>
              <w:szCs w:val="15"/>
              <w:lang w:eastAsia="zh-CN"/>
            </w:rPr>
            <w:t>{%if BodyDrugDrugDetectionStr or unknownVarAnalysisStr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_Toc13893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变异位点结果解析</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_Toc13893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11</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_Toc19804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免疫检测结果解析</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_Toc19804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15</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_Toc10320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附录</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_Toc10320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16</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_Toc6522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样本质控情况</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_Toc6522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16</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_Toc22493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常见靶向药物相关基因检测列表</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_Toc22493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17</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_Toc24385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参考文献</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_Toc24385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18</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p>
        <w:p>
          <w:r>
            <w:fldChar w:fldCharType="end"/>
          </w:r>
        </w:p>
      </w:sdtContent>
    </w:sdt>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bookmarkStart w:id="0" w:name="_Toc13806"/>
      <w:bookmarkStart w:id="1" w:name="_Toc21009_WPSOffice_Level1"/>
      <w:bookmarkStart w:id="2" w:name="_Toc27500"/>
      <w:bookmarkStart w:id="3" w:name="_Toc24397"/>
      <w:bookmarkStart w:id="4" w:name="_Toc32054"/>
      <w:bookmarkStart w:id="5" w:name="_Toc21669"/>
      <w:bookmarkStart w:id="6" w:name="_Toc24178_WPSOffice_Level1"/>
      <w:bookmarkStart w:id="7" w:name="_Toc30143_WPSOffice_Level1"/>
    </w:p>
    <w:p>
      <w:pPr>
        <w:pStyle w:val="37"/>
        <w:keepNext w:val="0"/>
        <w:keepLines w:val="0"/>
        <w:pageBreakBefore w:val="0"/>
        <w:widowControl w:val="0"/>
        <w:kinsoku/>
        <w:wordWrap/>
        <w:overflowPunct/>
        <w:topLinePunct w:val="0"/>
        <w:autoSpaceDE/>
        <w:autoSpaceDN/>
        <w:bidi w:val="0"/>
        <w:adjustRightInd/>
        <w:snapToGrid/>
        <w:spacing w:before="0" w:after="0" w:line="360" w:lineRule="auto"/>
        <w:textAlignment w:val="auto"/>
        <w:rPr>
          <w:b/>
          <w:bCs/>
          <w:spacing w:val="23"/>
          <w:sz w:val="24"/>
          <w:szCs w:val="24"/>
        </w:rPr>
      </w:pPr>
      <w:bookmarkStart w:id="8" w:name="_Toc28780"/>
      <w:r>
        <w:rPr>
          <w:b/>
          <w:bCs/>
          <w:spacing w:val="23"/>
          <w:sz w:val="24"/>
          <w:szCs w:val="24"/>
        </w:rPr>
        <w:t>样本信息</w:t>
      </w:r>
      <w:bookmarkEnd w:id="0"/>
      <w:bookmarkEnd w:id="1"/>
      <w:bookmarkEnd w:id="2"/>
      <w:bookmarkEnd w:id="3"/>
      <w:bookmarkEnd w:id="4"/>
      <w:bookmarkEnd w:id="5"/>
      <w:bookmarkEnd w:id="6"/>
      <w:bookmarkEnd w:id="7"/>
      <w:bookmarkEnd w:id="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1739"/>
        <w:gridCol w:w="2123"/>
        <w:gridCol w:w="1240"/>
        <w:gridCol w:w="1027"/>
        <w:gridCol w:w="135"/>
        <w:gridCol w:w="1908"/>
        <w:gridCol w:w="2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5102" w:type="dxa"/>
            <w:gridSpan w:val="3"/>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个人信息</w:t>
            </w:r>
          </w:p>
        </w:tc>
        <w:tc>
          <w:tcPr>
            <w:tcW w:w="5103" w:type="dxa"/>
            <w:gridSpan w:val="4"/>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疾病信息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spacing w:val="11"/>
                <w:kern w:val="2"/>
                <w:sz w:val="21"/>
                <w:szCs w:val="21"/>
                <w:highlight w:val="none"/>
                <w:lang w:val="en-US" w:eastAsia="zh-CN"/>
              </w:rPr>
              <w:t>患者 ID</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 endif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样本条码</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sample_barcode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姓</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名</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client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病理诊断</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diseaseName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别</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sex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TNM 分期</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tnm_periodization</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龄</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age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家 族 史</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firsttreatment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基因检测史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secondtreatment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用 药 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thirdtreatment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样品类型</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样品采样</w:t>
            </w:r>
            <w:r>
              <w:rPr>
                <w:rFonts w:hint="eastAsia" w:ascii="宋体" w:hAnsi="宋体" w:eastAsia="宋体" w:cs="宋体"/>
                <w:spacing w:val="11"/>
                <w:kern w:val="2"/>
                <w:sz w:val="21"/>
                <w:szCs w:val="21"/>
                <w:lang w:val="en-US" w:eastAsia="zh-CN"/>
              </w:rPr>
              <w:t>日期</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样品接收</w:t>
            </w:r>
            <w:r>
              <w:rPr>
                <w:rFonts w:hint="eastAsia" w:ascii="宋体" w:hAnsi="宋体" w:eastAsia="宋体" w:cs="宋体"/>
                <w:spacing w:val="11"/>
                <w:kern w:val="2"/>
                <w:sz w:val="21"/>
                <w:szCs w:val="21"/>
                <w:lang w:val="en-US" w:eastAsia="zh-CN"/>
              </w:rPr>
              <w:t>日期</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送检</w:t>
            </w:r>
            <w:r>
              <w:rPr>
                <w:rFonts w:hint="eastAsia" w:ascii="宋体" w:hAnsi="宋体" w:eastAsia="宋体" w:cs="宋体"/>
                <w:spacing w:val="11"/>
                <w:kern w:val="2"/>
                <w:sz w:val="21"/>
                <w:szCs w:val="21"/>
                <w:lang w:val="en-US" w:eastAsia="zh-Hans"/>
              </w:rPr>
              <w:t>单位</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spacing w:val="11"/>
                <w:kern w:val="2"/>
                <w:sz w:val="21"/>
                <w:szCs w:val="21"/>
                <w:highlight w:val="none"/>
                <w:lang w:val="en-US" w:eastAsia="zh-CN"/>
              </w:rPr>
              <w:t>送检次数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specimentype }}</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spacing w:val="11"/>
                <w:kern w:val="2"/>
                <w:sz w:val="21"/>
                <w:szCs w:val="21"/>
                <w:lang w:val="en-US" w:eastAsia="zh-CN"/>
              </w:rPr>
            </w:pPr>
            <w:r>
              <w:rPr>
                <w:rFonts w:hint="eastAsia" w:ascii="宋体" w:hAnsi="宋体" w:eastAsia="宋体" w:cs="宋体"/>
                <w:bCs/>
                <w:color w:val="000000"/>
                <w:sz w:val="21"/>
                <w:szCs w:val="21"/>
                <w:lang w:eastAsia="zh-CN"/>
              </w:rPr>
              <w:t>{{ collectdate }}</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hospital }}</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bCs/>
                <w:color w:val="000000"/>
                <w:sz w:val="21"/>
                <w:szCs w:val="21"/>
                <w:lang w:eastAsia="zh-CN"/>
              </w:rPr>
              <w:t>{{ inspection_number</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bl>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9" w:name="_Toc7021_WPSOffice_Level1"/>
      <w:bookmarkStart w:id="10" w:name="_Toc19594"/>
      <w:bookmarkStart w:id="11" w:name="_Toc11465"/>
      <w:bookmarkStart w:id="12" w:name="_Toc12022"/>
      <w:bookmarkStart w:id="13" w:name="_Toc10518"/>
      <w:bookmarkStart w:id="14" w:name="_Toc17451"/>
      <w:bookmarkStart w:id="15" w:name="_Toc18062_WPSOffice_Level1"/>
      <w:bookmarkStart w:id="16" w:name="_Toc11015_WPSOffice_Level1"/>
      <w:bookmarkStart w:id="17" w:name="_Toc3823"/>
      <w:r>
        <w:rPr>
          <w:rFonts w:ascii="Times New Roman" w:hAnsi="Times New Roman" w:eastAsia="宋体" w:cs="宋体"/>
          <w:b/>
          <w:bCs/>
          <w:spacing w:val="23"/>
          <w:sz w:val="24"/>
          <w:szCs w:val="24"/>
        </w:rPr>
        <w:t>检测项目</w:t>
      </w:r>
      <w:bookmarkEnd w:id="9"/>
      <w:bookmarkEnd w:id="10"/>
      <w:bookmarkEnd w:id="11"/>
      <w:bookmarkEnd w:id="12"/>
      <w:bookmarkEnd w:id="13"/>
      <w:bookmarkEnd w:id="14"/>
      <w:bookmarkEnd w:id="15"/>
      <w:bookmarkEnd w:id="16"/>
    </w:p>
    <w:p>
      <w:pPr>
        <w:spacing w:line="360" w:lineRule="auto"/>
        <w:ind w:firstLine="464" w:firstLineChars="200"/>
        <w:jc w:val="both"/>
        <w:rPr>
          <w:rFonts w:hint="eastAsia" w:ascii="宋体" w:hAnsi="宋体" w:eastAsia="宋体" w:cs="宋体"/>
          <w:bCs/>
          <w:spacing w:val="11"/>
          <w:sz w:val="21"/>
          <w:szCs w:val="21"/>
          <w:lang w:eastAsia="zh-CN"/>
        </w:rPr>
      </w:pPr>
      <w:r>
        <w:rPr>
          <w:rFonts w:hint="eastAsia" w:ascii="宋体" w:hAnsi="宋体" w:eastAsia="宋体" w:cs="宋体"/>
          <w:bCs/>
          <w:spacing w:val="11"/>
          <w:sz w:val="21"/>
          <w:szCs w:val="21"/>
          <w:lang w:eastAsia="zh-CN"/>
        </w:rPr>
        <w:t>本产品对与肿瘤密切相关的</w:t>
      </w:r>
      <w:r>
        <w:rPr>
          <w:rFonts w:hint="eastAsia" w:cs="宋体"/>
          <w:bCs/>
          <w:spacing w:val="11"/>
          <w:sz w:val="21"/>
          <w:szCs w:val="21"/>
          <w:lang w:val="en-US" w:eastAsia="zh-CN"/>
        </w:rPr>
        <w:t>188</w:t>
      </w:r>
      <w:r>
        <w:rPr>
          <w:rFonts w:hint="eastAsia" w:ascii="宋体" w:hAnsi="宋体" w:eastAsia="宋体" w:cs="宋体"/>
          <w:bCs/>
          <w:spacing w:val="11"/>
          <w:sz w:val="21"/>
          <w:szCs w:val="21"/>
          <w:lang w:eastAsia="zh-CN"/>
        </w:rPr>
        <w:t>个基因进行高通量</w:t>
      </w:r>
      <w:r>
        <w:rPr>
          <w:rFonts w:hint="eastAsia" w:ascii="宋体" w:hAnsi="宋体" w:eastAsia="宋体" w:cs="宋体"/>
          <w:bCs/>
          <w:spacing w:val="11"/>
          <w:sz w:val="21"/>
          <w:szCs w:val="21"/>
          <w:lang w:val="en-US" w:eastAsia="zh-CN"/>
        </w:rPr>
        <w:t>脱氧核糖核酸</w:t>
      </w:r>
      <w:r>
        <w:rPr>
          <w:rFonts w:hint="eastAsia" w:ascii="宋体" w:hAnsi="宋体" w:eastAsia="宋体" w:cs="宋体"/>
          <w:bCs/>
          <w:spacing w:val="11"/>
          <w:sz w:val="21"/>
          <w:szCs w:val="21"/>
          <w:lang w:eastAsia="zh-CN"/>
        </w:rPr>
        <w:t>测序。检测突变形式为点突变（SNV）、小片段插入缺失（INDEL）、拷贝数变异（CNV）以及融合（FUSION）。</w:t>
      </w:r>
    </w:p>
    <w:p>
      <w:pPr>
        <w:spacing w:line="360" w:lineRule="auto"/>
        <w:ind w:firstLine="464" w:firstLineChars="200"/>
        <w:jc w:val="both"/>
        <w:rPr>
          <w:rFonts w:hint="eastAsia" w:ascii="宋体" w:hAnsi="宋体" w:eastAsia="宋体" w:cs="宋体"/>
          <w:bCs/>
          <w:spacing w:val="11"/>
          <w:sz w:val="21"/>
          <w:szCs w:val="21"/>
          <w:lang w:eastAsia="zh-CN"/>
        </w:rPr>
      </w:pPr>
      <w:bookmarkStart w:id="18" w:name="_Toc534807930"/>
      <w:r>
        <w:rPr>
          <w:rFonts w:hint="eastAsia" w:ascii="宋体" w:hAnsi="宋体" w:eastAsia="宋体" w:cs="宋体"/>
          <w:bCs/>
          <w:spacing w:val="11"/>
          <w:sz w:val="21"/>
          <w:szCs w:val="21"/>
          <w:lang w:eastAsia="zh-CN"/>
        </w:rPr>
        <w:t>本报告分析基因变异与靶向药物、免疫药物的相关性，给出靶向药物（FDA/NMPA批准药物、临床试验药物等）的用药提示信息，从而为临床制定治疗方案提供参考信息。</w:t>
      </w:r>
    </w:p>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19" w:name="_Toc23654"/>
      <w:r>
        <w:rPr>
          <w:rFonts w:ascii="Times New Roman" w:hAnsi="Times New Roman" w:eastAsia="宋体" w:cs="宋体"/>
          <w:b/>
          <w:bCs/>
          <w:spacing w:val="23"/>
          <w:sz w:val="24"/>
          <w:szCs w:val="24"/>
        </w:rPr>
        <w:t>检测</w:t>
      </w:r>
      <w:r>
        <w:rPr>
          <w:rFonts w:hint="eastAsia" w:ascii="Times New Roman" w:hAnsi="Times New Roman" w:eastAsia="宋体" w:cs="宋体"/>
          <w:b/>
          <w:bCs/>
          <w:spacing w:val="23"/>
          <w:sz w:val="24"/>
          <w:szCs w:val="24"/>
        </w:rPr>
        <w:t>基因列表</w:t>
      </w:r>
      <w:bookmarkEnd w:id="19"/>
    </w:p>
    <w:tbl>
      <w:tblPr>
        <w:tblStyle w:val="15"/>
        <w:tblpPr w:leftFromText="180" w:rightFromText="180" w:vertAnchor="text" w:horzAnchor="page" w:tblpXSpec="center" w:tblpY="8"/>
        <w:tblOverlap w:val="never"/>
        <w:tblW w:w="105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1"/>
        <w:gridCol w:w="1051"/>
        <w:gridCol w:w="1051"/>
        <w:gridCol w:w="1051"/>
        <w:gridCol w:w="1052"/>
        <w:gridCol w:w="1052"/>
        <w:gridCol w:w="1052"/>
        <w:gridCol w:w="1052"/>
        <w:gridCol w:w="1052"/>
        <w:gridCol w:w="1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516" w:type="dxa"/>
            <w:gridSpan w:val="10"/>
            <w:vAlign w:val="center"/>
          </w:tcPr>
          <w:p>
            <w:pPr>
              <w:widowControl/>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{%tr for Gene in </w:t>
            </w:r>
            <w:r>
              <w:rPr>
                <w:rFonts w:hint="eastAsia" w:ascii="宋体" w:hAnsi="宋体" w:eastAsia="宋体" w:cs="宋体"/>
                <w:sz w:val="18"/>
                <w:szCs w:val="18"/>
                <w:lang w:val="en-US" w:eastAsia="zh-CN"/>
              </w:rPr>
              <w:t>gene.genes</w:t>
            </w:r>
            <w:r>
              <w:rPr>
                <w:rFonts w:hint="eastAsia" w:ascii="宋体" w:hAnsi="宋体" w:eastAsia="宋体" w:cs="宋体"/>
                <w:sz w:val="18"/>
                <w:szCs w:val="18"/>
                <w:lang w:eastAsia="zh-CN"/>
              </w:rPr>
              <w:t xml:space="preserve"> | </w:t>
            </w:r>
            <w:r>
              <w:rPr>
                <w:rFonts w:hint="eastAsia" w:cs="宋体"/>
                <w:sz w:val="18"/>
                <w:szCs w:val="18"/>
                <w:lang w:eastAsia="zh-CN"/>
              </w:rPr>
              <w:t>red2(</w:t>
            </w:r>
            <w:r>
              <w:rPr>
                <w:rFonts w:hint="eastAsia" w:cs="宋体"/>
                <w:sz w:val="18"/>
                <w:szCs w:val="18"/>
                <w:lang w:val="en-US" w:eastAsia="zh-CN"/>
              </w:rPr>
              <w:t>10</w:t>
            </w:r>
            <w:r>
              <w:rPr>
                <w:rFonts w:hint="eastAsia" w:cs="宋体"/>
                <w:sz w:val="18"/>
                <w:szCs w:val="18"/>
                <w:lang w:eastAsia="zh-CN"/>
              </w:rPr>
              <w:t>,21,'宋体','宋体',False)</w:t>
            </w:r>
            <w:r>
              <w:rPr>
                <w:rFonts w:hint="eastAsia" w:ascii="宋体" w:hAnsi="宋体" w:eastAsia="宋体" w:cs="宋体"/>
                <w:sz w:val="18"/>
                <w:szCs w:val="18"/>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Gene[0] }}</w:t>
            </w:r>
          </w:p>
        </w:tc>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Gene[1] }}</w:t>
            </w:r>
          </w:p>
        </w:tc>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Gene[2] }}</w:t>
            </w:r>
          </w:p>
        </w:tc>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Gene[3]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Gene[4]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Gene[5]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w:t>
            </w:r>
            <w:r>
              <w:rPr>
                <w:rFonts w:hint="eastAsia" w:cs="宋体"/>
                <w:i/>
                <w:sz w:val="21"/>
                <w:szCs w:val="21"/>
                <w:lang w:val="en-US" w:eastAsia="zh-CN"/>
              </w:rPr>
              <w:t>6</w:t>
            </w:r>
            <w:r>
              <w:rPr>
                <w:rFonts w:hint="eastAsia" w:ascii="宋体" w:hAnsi="宋体" w:eastAsia="宋体" w:cs="宋体"/>
                <w:i/>
                <w:sz w:val="21"/>
                <w:szCs w:val="21"/>
                <w:lang w:eastAsia="zh-CN"/>
              </w:rPr>
              <w:t>] }}</w:t>
            </w:r>
          </w:p>
        </w:tc>
        <w:tc>
          <w:tcPr>
            <w:tcW w:w="1052" w:type="dxa"/>
            <w:vAlign w:val="center"/>
          </w:tcPr>
          <w:p>
            <w:pPr>
              <w:widowControl/>
              <w:jc w:val="center"/>
              <w:rPr>
                <w:rFonts w:hint="eastAsia" w:ascii="宋体" w:hAnsi="宋体" w:eastAsia="宋体" w:cs="宋体"/>
                <w:i/>
                <w:sz w:val="21"/>
                <w:szCs w:val="21"/>
                <w:lang w:val="en-US" w:eastAsia="zh-CN" w:bidi="ar-SA"/>
              </w:rPr>
            </w:pPr>
            <w:r>
              <w:rPr>
                <w:rFonts w:hint="eastAsia" w:ascii="宋体" w:hAnsi="宋体" w:eastAsia="宋体" w:cs="宋体"/>
                <w:i/>
                <w:sz w:val="21"/>
                <w:szCs w:val="21"/>
                <w:lang w:eastAsia="zh-CN"/>
              </w:rPr>
              <w:t>{{r Gene[</w:t>
            </w:r>
            <w:r>
              <w:rPr>
                <w:rFonts w:hint="eastAsia" w:cs="宋体"/>
                <w:i/>
                <w:sz w:val="21"/>
                <w:szCs w:val="21"/>
                <w:lang w:val="en-US" w:eastAsia="zh-CN"/>
              </w:rPr>
              <w:t>7</w:t>
            </w:r>
            <w:r>
              <w:rPr>
                <w:rFonts w:hint="eastAsia" w:ascii="宋体" w:hAnsi="宋体" w:eastAsia="宋体" w:cs="宋体"/>
                <w:i/>
                <w:sz w:val="21"/>
                <w:szCs w:val="21"/>
                <w:lang w:eastAsia="zh-CN"/>
              </w:rPr>
              <w:t>]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w:t>
            </w:r>
            <w:r>
              <w:rPr>
                <w:rFonts w:hint="eastAsia" w:cs="宋体"/>
                <w:i/>
                <w:sz w:val="21"/>
                <w:szCs w:val="21"/>
                <w:lang w:val="en-US" w:eastAsia="zh-CN"/>
              </w:rPr>
              <w:t>8</w:t>
            </w:r>
            <w:r>
              <w:rPr>
                <w:rFonts w:hint="eastAsia" w:ascii="宋体" w:hAnsi="宋体" w:eastAsia="宋体" w:cs="宋体"/>
                <w:i/>
                <w:sz w:val="21"/>
                <w:szCs w:val="21"/>
                <w:lang w:eastAsia="zh-CN"/>
              </w:rPr>
              <w:t>]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w:t>
            </w:r>
            <w:r>
              <w:rPr>
                <w:rFonts w:hint="eastAsia" w:cs="宋体"/>
                <w:i/>
                <w:sz w:val="21"/>
                <w:szCs w:val="21"/>
                <w:lang w:val="en-US" w:eastAsia="zh-CN"/>
              </w:rPr>
              <w:t>9</w:t>
            </w:r>
            <w:r>
              <w:rPr>
                <w:rFonts w:hint="eastAsia" w:ascii="宋体" w:hAnsi="宋体" w:eastAsia="宋体" w:cs="宋体"/>
                <w:i/>
                <w:sz w:val="21"/>
                <w:szCs w:val="21"/>
                <w:lang w:eastAsia="zh-CN"/>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516" w:type="dxa"/>
            <w:gridSpan w:val="10"/>
            <w:vAlign w:val="center"/>
          </w:tcPr>
          <w:p>
            <w:pPr>
              <w:spacing w:line="276"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{%tr endfor%}</w:t>
            </w:r>
          </w:p>
        </w:tc>
      </w:tr>
    </w:tbl>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spacing w:line="276" w:lineRule="auto"/>
        <w:jc w:val="both"/>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20" w:name="_Toc25920"/>
      <w:bookmarkStart w:id="21" w:name="_Toc4088"/>
      <w:bookmarkStart w:id="22" w:name="_Toc6221_WPSOffice_Level1"/>
      <w:bookmarkStart w:id="23" w:name="_Toc23369_WPSOffice_Level1"/>
      <w:bookmarkStart w:id="24" w:name="_Toc3871"/>
      <w:bookmarkStart w:id="25" w:name="_Toc18058"/>
      <w:bookmarkStart w:id="26" w:name="_Toc5984"/>
      <w:bookmarkStart w:id="27" w:name="_Toc1410"/>
      <w:r>
        <w:rPr>
          <w:rFonts w:hint="eastAsia" w:ascii="Times New Roman" w:hAnsi="Times New Roman" w:eastAsia="宋体" w:cs="宋体"/>
          <w:b/>
          <w:bCs/>
          <w:spacing w:val="23"/>
          <w:sz w:val="24"/>
          <w:szCs w:val="24"/>
        </w:rPr>
        <w:t>检测结果小结</w:t>
      </w:r>
      <w:bookmarkEnd w:id="20"/>
      <w:bookmarkEnd w:id="21"/>
      <w:bookmarkEnd w:id="22"/>
      <w:bookmarkEnd w:id="23"/>
      <w:bookmarkEnd w:id="24"/>
      <w:bookmarkEnd w:id="25"/>
      <w:bookmarkEnd w:id="26"/>
      <w:bookmarkEnd w:id="27"/>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1204"/>
        <w:gridCol w:w="1132"/>
        <w:gridCol w:w="1136"/>
        <w:gridCol w:w="1200"/>
        <w:gridCol w:w="1044"/>
        <w:gridCol w:w="1375"/>
        <w:gridCol w:w="780"/>
        <w:gridCol w:w="795"/>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Hans"/>
              </w:rPr>
              <w:t>变异类型</w:t>
            </w:r>
          </w:p>
        </w:tc>
        <w:tc>
          <w:tcPr>
            <w:tcW w:w="1132"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基因</w:t>
            </w:r>
          </w:p>
        </w:tc>
        <w:tc>
          <w:tcPr>
            <w:tcW w:w="113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突变类型</w:t>
            </w:r>
          </w:p>
        </w:tc>
        <w:tc>
          <w:tcPr>
            <w:tcW w:w="120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核苷酸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04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氨基酸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37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频率(%)/</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CN"/>
              </w:rPr>
            </w:pPr>
            <w:r>
              <w:rPr>
                <w:rFonts w:hint="eastAsia" w:cs="宋体"/>
                <w:b/>
                <w:bCs/>
                <w:color w:val="auto"/>
                <w:spacing w:val="11"/>
                <w:kern w:val="2"/>
                <w:sz w:val="21"/>
                <w:szCs w:val="21"/>
                <w:lang w:val="en-US" w:eastAsia="zh-CN"/>
              </w:rPr>
              <w:t>拷贝数</w:t>
            </w:r>
          </w:p>
        </w:tc>
        <w:tc>
          <w:tcPr>
            <w:tcW w:w="78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染色体</w:t>
            </w:r>
          </w:p>
        </w:tc>
        <w:tc>
          <w:tcPr>
            <w:tcW w:w="79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外显子</w:t>
            </w:r>
          </w:p>
        </w:tc>
        <w:tc>
          <w:tcPr>
            <w:tcW w:w="1539"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转录本号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if siteResult</w:t>
            </w:r>
            <w:r>
              <w:rPr>
                <w:rFonts w:hint="eastAsia" w:cs="宋体"/>
                <w:sz w:val="21"/>
                <w:szCs w:val="21"/>
                <w:lang w:val="en-US" w:eastAsia="zh-CN"/>
              </w:rPr>
              <w:t xml:space="preserve"> </w:t>
            </w:r>
            <w:r>
              <w:rPr>
                <w:rFonts w:hint="eastAsia" w:ascii="宋体" w:hAnsi="宋体" w:eastAsia="宋体" w:cs="宋体"/>
                <w:sz w:val="21"/>
                <w:szCs w:val="21"/>
                <w:lang w:eastAsia="zh-CN"/>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none"/>
                <w:lang w:val="en-US" w:eastAsia="zh-CN" w:bidi="ar-SA"/>
              </w:rPr>
            </w:pPr>
            <w:r>
              <w:rPr>
                <w:rFonts w:hint="eastAsia" w:ascii="宋体" w:hAnsi="宋体" w:eastAsia="宋体" w:cs="宋体"/>
                <w:sz w:val="21"/>
                <w:szCs w:val="21"/>
                <w:lang w:eastAsia="zh-CN"/>
              </w:rPr>
              <w:t xml:space="preserve">{%tr for </w:t>
            </w:r>
            <w:r>
              <w:rPr>
                <w:rFonts w:hint="eastAsia" w:cs="宋体"/>
                <w:sz w:val="21"/>
                <w:szCs w:val="21"/>
                <w:lang w:val="en-US" w:eastAsia="zh-CN"/>
              </w:rPr>
              <w:t xml:space="preserve">sr </w:t>
            </w:r>
            <w:r>
              <w:rPr>
                <w:rFonts w:hint="eastAsia" w:ascii="宋体" w:hAnsi="宋体" w:eastAsia="宋体" w:cs="宋体"/>
                <w:sz w:val="21"/>
                <w:szCs w:val="21"/>
                <w:lang w:eastAsia="zh-CN"/>
              </w:rPr>
              <w:t>in siteResult</w:t>
            </w:r>
            <w:r>
              <w:rPr>
                <w:rFonts w:hint="eastAsia"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sr.variation_type }}</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sr.gene }}</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sr.ExonicFunc_knownGene_Chinese }}</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sr.cHGVS }}</w:t>
            </w:r>
          </w:p>
        </w:tc>
        <w:tc>
          <w:tcPr>
            <w:tcW w:w="104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sr.pHGVS }}</w:t>
            </w:r>
          </w:p>
        </w:tc>
        <w:tc>
          <w:tcPr>
            <w:tcW w:w="137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sr.mutFreq }}</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sr.chr }}</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sr.Exon }}</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sr.Transcript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yellow"/>
                <w:lang w:val="en-US" w:eastAsia="zh-CN" w:bidi="ar-SA"/>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18"/>
                <w:szCs w:val="18"/>
                <w:lang w:val="en-US" w:eastAsia="zh-CN" w:bidi="ar-SA"/>
              </w:rPr>
            </w:pPr>
            <w:r>
              <w:rPr>
                <w:rFonts w:hint="eastAsia" w:cs="宋体"/>
                <w:b w:val="0"/>
                <w:bCs w:val="0"/>
                <w:spacing w:val="11"/>
                <w:kern w:val="2"/>
                <w:sz w:val="21"/>
                <w:szCs w:val="21"/>
                <w:lang w:val="en-US" w:eastAsia="zh-CN"/>
              </w:rPr>
              <w:t>/</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04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37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rPr>
            </w:pPr>
            <w:r>
              <w:rPr>
                <w:rFonts w:hint="eastAsia" w:ascii="宋体" w:hAnsi="宋体" w:eastAsia="宋体" w:cs="宋体"/>
                <w:sz w:val="21"/>
                <w:szCs w:val="21"/>
                <w:lang w:eastAsia="zh-CN"/>
              </w:rPr>
              <w:t>{%tr endif %}</w:t>
            </w:r>
          </w:p>
        </w:tc>
      </w:tr>
    </w:tbl>
    <w:p>
      <w:pPr>
        <w:numPr>
          <w:ilvl w:val="0"/>
          <w:numId w:val="0"/>
        </w:numPr>
        <w:rPr>
          <w:rFonts w:ascii="微软雅黑" w:hAnsi="微软雅黑" w:eastAsia="微软雅黑" w:cs="微软雅黑"/>
          <w:sz w:val="18"/>
          <w:szCs w:val="18"/>
          <w:lang w:eastAsia="zh-CN" w:bidi="ar"/>
        </w:rPr>
      </w:pPr>
    </w:p>
    <w:p>
      <w:pPr>
        <w:numPr>
          <w:ilvl w:val="0"/>
          <w:numId w:val="0"/>
        </w:numPr>
        <w:rPr>
          <w:rFonts w:ascii="微软雅黑" w:hAnsi="微软雅黑" w:eastAsia="微软雅黑" w:cs="微软雅黑"/>
          <w:spacing w:val="23"/>
          <w:sz w:val="18"/>
          <w:szCs w:val="18"/>
          <w:lang w:eastAsia="zh-CN" w:bidi="ar"/>
        </w:rPr>
      </w:pPr>
      <w:r>
        <w:rPr>
          <w:rFonts w:hint="eastAsia" w:cs="宋体"/>
          <w:b/>
          <w:bCs/>
          <w:spacing w:val="23"/>
          <w:kern w:val="2"/>
          <w:sz w:val="21"/>
          <w:szCs w:val="21"/>
          <w:lang w:val="en-US" w:eastAsia="zh-CN"/>
        </w:rPr>
        <w:t>1、</w:t>
      </w:r>
      <w:r>
        <w:rPr>
          <w:rFonts w:hint="eastAsia" w:ascii="宋体" w:hAnsi="宋体" w:eastAsia="宋体" w:cs="宋体"/>
          <w:b/>
          <w:bCs/>
          <w:spacing w:val="23"/>
          <w:kern w:val="2"/>
          <w:sz w:val="21"/>
          <w:szCs w:val="21"/>
          <w:lang w:val="en-US" w:eastAsia="zh-Hans"/>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p>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074"/>
        <w:gridCol w:w="1924"/>
        <w:gridCol w:w="4093"/>
        <w:gridCol w:w="2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atLeast"/>
          <w:jc w:val="center"/>
        </w:trPr>
        <w:tc>
          <w:tcPr>
            <w:tcW w:w="207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基因</w:t>
            </w:r>
          </w:p>
        </w:tc>
        <w:tc>
          <w:tcPr>
            <w:tcW w:w="192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变异类型</w:t>
            </w:r>
          </w:p>
        </w:tc>
        <w:tc>
          <w:tcPr>
            <w:tcW w:w="4093"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检测结果</w:t>
            </w:r>
          </w:p>
        </w:tc>
        <w:tc>
          <w:tcPr>
            <w:tcW w:w="211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lang w:val="en-US"/>
              </w:rPr>
            </w:pPr>
            <w:r>
              <w:rPr>
                <w:rFonts w:hint="eastAsia" w:cs="宋体"/>
                <w:b/>
                <w:bCs/>
                <w:i w:val="0"/>
                <w:iCs w:val="0"/>
                <w:color w:val="auto"/>
                <w:kern w:val="0"/>
                <w:sz w:val="21"/>
                <w:szCs w:val="21"/>
                <w:u w:val="none"/>
                <w:lang w:val="en-US" w:eastAsia="zh-CN" w:bidi="ar"/>
              </w:rPr>
              <w:t>变异</w:t>
            </w:r>
            <w:r>
              <w:rPr>
                <w:rFonts w:hint="eastAsia" w:ascii="宋体" w:hAnsi="宋体" w:eastAsia="宋体" w:cs="宋体"/>
                <w:b/>
                <w:bCs/>
                <w:i w:val="0"/>
                <w:iCs w:val="0"/>
                <w:color w:val="auto"/>
                <w:kern w:val="0"/>
                <w:sz w:val="21"/>
                <w:szCs w:val="21"/>
                <w:u w:val="none"/>
                <w:lang w:val="en-US" w:eastAsia="zh-CN" w:bidi="ar"/>
              </w:rPr>
              <w:t>丰度/拷贝数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for i</w:t>
            </w:r>
            <w:r>
              <w:rPr>
                <w:rFonts w:hint="eastAsia" w:ascii="宋体" w:hAnsi="宋体" w:eastAsia="宋体" w:cs="宋体"/>
                <w:sz w:val="21"/>
                <w:szCs w:val="21"/>
                <w:lang w:val="en-US" w:eastAsia="zh-CN"/>
              </w:rPr>
              <w:t xml:space="preserve">t </w:t>
            </w:r>
            <w:r>
              <w:rPr>
                <w:rFonts w:hint="eastAsia" w:ascii="宋体" w:hAnsi="宋体" w:eastAsia="宋体" w:cs="宋体"/>
                <w:sz w:val="21"/>
                <w:szCs w:val="21"/>
                <w:lang w:eastAsia="zh-CN"/>
              </w:rPr>
              <w:t>in importantTargetedGeneFilter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207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it.gene }}</w:t>
            </w:r>
          </w:p>
        </w:tc>
        <w:tc>
          <w:tcPr>
            <w:tcW w:w="192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it.info }}</w:t>
            </w:r>
          </w:p>
        </w:tc>
        <w:tc>
          <w:tcPr>
            <w:tcW w:w="4093"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 xml:space="preserve">{% if </w:t>
            </w:r>
            <w:r>
              <w:rPr>
                <w:rFonts w:hint="eastAsia" w:ascii="宋体" w:hAnsi="宋体" w:eastAsia="宋体" w:cs="宋体"/>
                <w:sz w:val="21"/>
                <w:szCs w:val="21"/>
                <w:lang w:val="en-US" w:eastAsia="zh-CN"/>
              </w:rPr>
              <w:t xml:space="preserve">it.ori_variantList </w:t>
            </w:r>
            <w:r>
              <w:rPr>
                <w:rFonts w:hint="eastAsia" w:ascii="宋体" w:hAnsi="宋体" w:eastAsia="宋体" w:cs="宋体"/>
                <w:sz w:val="21"/>
                <w:szCs w:val="21"/>
                <w:lang w:eastAsia="zh-CN"/>
              </w:rPr>
              <w:t>== [] %}</w:t>
            </w:r>
            <w:r>
              <w:rPr>
                <w:rFonts w:hint="eastAsia" w:ascii="宋体" w:hAnsi="宋体" w:eastAsia="宋体" w:cs="宋体"/>
                <w:sz w:val="21"/>
                <w:szCs w:val="21"/>
                <w:lang w:val="en-US" w:eastAsia="zh-CN"/>
              </w:rPr>
              <w:t>未检测到与用药相关突变{%else%}{% for i in it.ori_variantList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c>
          <w:tcPr>
            <w:tcW w:w="2114"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if it.mutFreqList == [] %}/{%else%}{% for i in it.mutFreqList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endfor %}</w:t>
            </w:r>
          </w:p>
        </w:tc>
      </w:tr>
    </w:tbl>
    <w:p>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074"/>
        <w:gridCol w:w="1924"/>
        <w:gridCol w:w="2971"/>
        <w:gridCol w:w="3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74"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基因</w:t>
            </w:r>
          </w:p>
        </w:tc>
        <w:tc>
          <w:tcPr>
            <w:tcW w:w="1924"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变异类型</w:t>
            </w:r>
          </w:p>
        </w:tc>
        <w:tc>
          <w:tcPr>
            <w:tcW w:w="2971"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检测结果</w:t>
            </w:r>
          </w:p>
        </w:tc>
        <w:tc>
          <w:tcPr>
            <w:tcW w:w="3236"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lang w:val="en-US"/>
              </w:rPr>
            </w:pPr>
            <w:r>
              <w:rPr>
                <w:rFonts w:hint="eastAsia" w:cs="宋体"/>
                <w:b/>
                <w:bCs/>
                <w:i w:val="0"/>
                <w:iCs w:val="0"/>
                <w:color w:val="auto"/>
                <w:kern w:val="0"/>
                <w:sz w:val="21"/>
                <w:szCs w:val="21"/>
                <w:u w:val="none"/>
                <w:lang w:val="en-US" w:eastAsia="zh-CN" w:bidi="ar"/>
              </w:rPr>
              <w:t>变异</w:t>
            </w:r>
            <w:r>
              <w:rPr>
                <w:rFonts w:hint="eastAsia" w:ascii="宋体" w:hAnsi="宋体" w:eastAsia="宋体" w:cs="宋体"/>
                <w:b/>
                <w:bCs/>
                <w:i w:val="0"/>
                <w:iCs w:val="0"/>
                <w:color w:val="auto"/>
                <w:kern w:val="0"/>
                <w:sz w:val="21"/>
                <w:szCs w:val="21"/>
                <w:u w:val="none"/>
                <w:lang w:val="en-US" w:eastAsia="zh-CN" w:bidi="ar"/>
              </w:rPr>
              <w:t>丰度/拷贝数/融合reads数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for i</w:t>
            </w:r>
            <w:r>
              <w:rPr>
                <w:rFonts w:hint="eastAsia" w:ascii="宋体" w:hAnsi="宋体" w:eastAsia="宋体" w:cs="宋体"/>
                <w:sz w:val="21"/>
                <w:szCs w:val="21"/>
                <w:lang w:val="en-US" w:eastAsia="zh-CN"/>
              </w:rPr>
              <w:t xml:space="preserve">t </w:t>
            </w:r>
            <w:r>
              <w:rPr>
                <w:rFonts w:hint="eastAsia" w:ascii="宋体" w:hAnsi="宋体" w:eastAsia="宋体" w:cs="宋体"/>
                <w:sz w:val="21"/>
                <w:szCs w:val="21"/>
                <w:lang w:eastAsia="zh-CN"/>
              </w:rPr>
              <w:t>in importantTargetedGeneFilter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207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it.gene }}</w:t>
            </w:r>
          </w:p>
        </w:tc>
        <w:tc>
          <w:tcPr>
            <w:tcW w:w="192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it.info }}</w:t>
            </w:r>
          </w:p>
        </w:tc>
        <w:tc>
          <w:tcPr>
            <w:tcW w:w="2971"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 xml:space="preserve">{% if </w:t>
            </w:r>
            <w:r>
              <w:rPr>
                <w:rFonts w:hint="eastAsia" w:ascii="宋体" w:hAnsi="宋体" w:eastAsia="宋体" w:cs="宋体"/>
                <w:sz w:val="21"/>
                <w:szCs w:val="21"/>
                <w:lang w:val="en-US" w:eastAsia="zh-CN"/>
              </w:rPr>
              <w:t xml:space="preserve">it.ori_variantList </w:t>
            </w:r>
            <w:r>
              <w:rPr>
                <w:rFonts w:hint="eastAsia" w:ascii="宋体" w:hAnsi="宋体" w:eastAsia="宋体" w:cs="宋体"/>
                <w:sz w:val="21"/>
                <w:szCs w:val="21"/>
                <w:lang w:eastAsia="zh-CN"/>
              </w:rPr>
              <w:t>== [] %}</w:t>
            </w:r>
            <w:r>
              <w:rPr>
                <w:rFonts w:hint="eastAsia" w:ascii="宋体" w:hAnsi="宋体" w:eastAsia="宋体" w:cs="宋体"/>
                <w:sz w:val="21"/>
                <w:szCs w:val="21"/>
                <w:lang w:val="en-US" w:eastAsia="zh-CN"/>
              </w:rPr>
              <w:t>未检测到与用药相关突变{%else%}{% for i in it.ori_variantList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c>
          <w:tcPr>
            <w:tcW w:w="3236"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if it.mutFreqList == [] %}/{%else%}{% for i in it.mutFreqList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endfor %}</w:t>
            </w:r>
          </w:p>
        </w:tc>
      </w:tr>
    </w:tbl>
    <w:p>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{%endif%}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pacing w:val="6"/>
          <w:sz w:val="18"/>
          <w:szCs w:val="18"/>
          <w:highlight w:val="none"/>
          <w:lang w:eastAsia="zh-CN"/>
        </w:rPr>
      </w:pPr>
      <w:r>
        <w:rPr>
          <w:rFonts w:hint="eastAsia" w:ascii="宋体" w:hAnsi="宋体" w:eastAsia="宋体" w:cs="宋体"/>
          <w:b/>
          <w:bCs/>
          <w:spacing w:val="6"/>
          <w:sz w:val="18"/>
          <w:szCs w:val="18"/>
          <w:highlight w:val="none"/>
          <w:lang w:eastAsia="zh-CN"/>
        </w:rPr>
        <w:t>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1. 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2.</w:t>
      </w:r>
      <w:r>
        <w:rPr>
          <w:rFonts w:hint="eastAsia" w:cs="宋体"/>
          <w:spacing w:val="6"/>
          <w:sz w:val="18"/>
          <w:szCs w:val="18"/>
          <w:highlight w:val="none"/>
          <w:lang w:val="en-US" w:eastAsia="zh-CN"/>
        </w:rPr>
        <w:t xml:space="preserve"> </w:t>
      </w:r>
      <w:r>
        <w:rPr>
          <w:rFonts w:hint="eastAsia" w:ascii="宋体" w:hAnsi="宋体" w:eastAsia="宋体" w:cs="宋体"/>
          <w:spacing w:val="6"/>
          <w:sz w:val="18"/>
          <w:szCs w:val="18"/>
          <w:highlight w:val="none"/>
          <w:lang w:eastAsia="zh-CN"/>
        </w:rPr>
        <w:t>变异详情，可查看基因变异检测结果及解析。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3.</w:t>
      </w:r>
      <w:r>
        <w:rPr>
          <w:rFonts w:hint="eastAsia" w:cs="宋体"/>
          <w:spacing w:val="6"/>
          <w:sz w:val="18"/>
          <w:szCs w:val="18"/>
          <w:highlight w:val="none"/>
          <w:lang w:val="en-US" w:eastAsia="zh-CN"/>
        </w:rPr>
        <w:t xml:space="preserve"> </w:t>
      </w:r>
      <w:r>
        <w:rPr>
          <w:rFonts w:hint="eastAsia" w:ascii="宋体" w:hAnsi="宋体" w:eastAsia="宋体" w:cs="宋体"/>
          <w:spacing w:val="6"/>
          <w:sz w:val="18"/>
          <w:szCs w:val="18"/>
          <w:highlight w:val="none"/>
          <w:lang w:eastAsia="zh-CN"/>
        </w:rPr>
        <w:t>以上基因的检测范围涵盖但不限于上表中列出的变异类型。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pacing w:val="6"/>
          <w:sz w:val="18"/>
          <w:szCs w:val="18"/>
          <w:lang w:eastAsia="zh-CN" w:bidi="ar"/>
        </w:rPr>
      </w:pPr>
      <w:r>
        <w:rPr>
          <w:rFonts w:hint="eastAsia" w:cs="宋体"/>
          <w:spacing w:val="6"/>
          <w:sz w:val="18"/>
          <w:szCs w:val="18"/>
          <w:highlight w:val="none"/>
          <w:lang w:val="en-US" w:eastAsia="zh-CN"/>
        </w:rPr>
        <w:t xml:space="preserve">4. </w:t>
      </w:r>
      <w:r>
        <w:rPr>
          <w:rFonts w:hint="eastAsia" w:ascii="宋体" w:hAnsi="宋体" w:eastAsia="宋体" w:cs="宋体"/>
          <w:spacing w:val="6"/>
          <w:sz w:val="18"/>
          <w:szCs w:val="18"/>
          <w:highlight w:val="none"/>
          <w:lang w:eastAsia="zh-CN"/>
        </w:rPr>
        <w:t>"</w:t>
      </w:r>
      <w:r>
        <w:rPr>
          <w:rFonts w:hint="eastAsia" w:ascii="宋体" w:hAnsi="宋体" w:eastAsia="宋体" w:cs="宋体"/>
          <w:sz w:val="21"/>
          <w:szCs w:val="21"/>
          <w:lang w:val="en-US" w:eastAsia="zh-CN"/>
        </w:rPr>
        <w:t>/</w:t>
      </w:r>
      <w:bookmarkStart w:id="108" w:name="_GoBack"/>
      <w:bookmarkEnd w:id="108"/>
      <w:r>
        <w:rPr>
          <w:rFonts w:hint="eastAsia" w:ascii="宋体" w:hAnsi="宋体" w:eastAsia="宋体" w:cs="宋体"/>
          <w:spacing w:val="6"/>
          <w:sz w:val="18"/>
          <w:szCs w:val="18"/>
          <w:highlight w:val="none"/>
          <w:lang w:eastAsia="zh-CN"/>
        </w:rPr>
        <w:t>"表示本次检测未发现相关变异。</w:t>
      </w:r>
    </w:p>
    <w:p>
      <w:pPr>
        <w:widowControl/>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pPr>
        <w:rPr>
          <w:rFonts w:hint="eastAsia"/>
        </w:rPr>
      </w:pPr>
      <w:bookmarkStart w:id="28" w:name="_Toc2781"/>
      <w:bookmarkStart w:id="29" w:name="_Toc22132"/>
      <w:bookmarkStart w:id="30" w:name="_Toc19898_WPSOffice_Level1"/>
      <w:bookmarkStart w:id="31" w:name="_Toc12381"/>
      <w:bookmarkStart w:id="32" w:name="_Toc14062"/>
      <w:bookmarkStart w:id="33" w:name="_Toc20136_WPSOffice_Level1"/>
      <w:bookmarkStart w:id="34" w:name="_Toc19184"/>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35" w:name="_Toc24900"/>
      <w:r>
        <w:rPr>
          <w:rFonts w:hint="eastAsia" w:ascii="Times New Roman" w:hAnsi="Times New Roman" w:eastAsia="宋体" w:cs="宋体"/>
          <w:b/>
          <w:bCs/>
          <w:spacing w:val="23"/>
          <w:sz w:val="24"/>
          <w:szCs w:val="24"/>
        </w:rPr>
        <w:t>检测结果及用药提示</w:t>
      </w:r>
      <w:bookmarkEnd w:id="18"/>
      <w:bookmarkEnd w:id="28"/>
      <w:bookmarkEnd w:id="29"/>
      <w:bookmarkEnd w:id="30"/>
      <w:bookmarkEnd w:id="31"/>
      <w:bookmarkEnd w:id="32"/>
      <w:bookmarkEnd w:id="33"/>
      <w:bookmarkEnd w:id="34"/>
      <w:bookmarkEnd w:id="35"/>
    </w:p>
    <w:p>
      <w:pPr>
        <w:pStyle w:val="38"/>
        <w:numPr>
          <w:ilvl w:val="0"/>
          <w:numId w:val="8"/>
        </w:numPr>
        <w:bidi w:val="0"/>
        <w:spacing w:line="360" w:lineRule="auto"/>
        <w:ind w:left="425" w:leftChars="0" w:hanging="425" w:firstLineChars="0"/>
        <w:jc w:val="left"/>
        <w:rPr>
          <w:b/>
          <w:bCs/>
          <w:spacing w:val="23"/>
          <w:sz w:val="21"/>
          <w:szCs w:val="21"/>
        </w:rPr>
      </w:pPr>
      <w:bookmarkStart w:id="36" w:name="_Toc1294"/>
      <w:bookmarkStart w:id="37" w:name="_Toc14224"/>
      <w:bookmarkStart w:id="38" w:name="_Toc5598"/>
      <w:bookmarkStart w:id="39" w:name="_Toc4331_WPSOffice_Level1"/>
      <w:bookmarkStart w:id="40" w:name="_Toc25727"/>
      <w:bookmarkStart w:id="41" w:name="_Toc23846_WPSOffice_Level1"/>
      <w:bookmarkStart w:id="42" w:name="_Toc23903"/>
      <w:bookmarkStart w:id="43" w:name="_Toc28194"/>
      <w:bookmarkStart w:id="44" w:name="_Toc32443_WPSOffice_Level1"/>
      <w:bookmarkStart w:id="45" w:name="_Toc32661"/>
      <w:r>
        <w:rPr>
          <w:rFonts w:hint="eastAsia"/>
          <w:b/>
          <w:bCs/>
          <w:spacing w:val="23"/>
          <w:sz w:val="21"/>
          <w:szCs w:val="21"/>
          <w:lang w:val="en-US" w:eastAsia="zh-CN"/>
        </w:rPr>
        <w:t>靶向药物用药</w:t>
      </w:r>
      <w:r>
        <w:rPr>
          <w:rFonts w:hint="eastAsia"/>
          <w:b/>
          <w:bCs/>
          <w:spacing w:val="23"/>
          <w:sz w:val="21"/>
          <w:szCs w:val="21"/>
        </w:rPr>
        <w:t>提示</w:t>
      </w:r>
      <w:bookmarkEnd w:id="36"/>
      <w:bookmarkEnd w:id="37"/>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color w:val="000000" w:themeColor="text1"/>
          <w:spacing w:val="6"/>
          <w:sz w:val="21"/>
          <w:szCs w:val="21"/>
          <w:lang w:eastAsia="zh-CN"/>
          <w14:textFill>
            <w14:solidFill>
              <w14:schemeClr w14:val="tx1"/>
            </w14:solidFill>
          </w14:textFill>
        </w:rPr>
      </w:pPr>
      <w:r>
        <w:rPr>
          <w:rFonts w:hint="eastAsia" w:ascii="宋体" w:hAnsi="宋体" w:eastAsia="宋体" w:cs="宋体"/>
          <w:b w:val="0"/>
          <w:bCs/>
          <w:color w:val="000000" w:themeColor="text1"/>
          <w:spacing w:val="6"/>
          <w:sz w:val="21"/>
          <w:szCs w:val="21"/>
          <w:lang w:eastAsia="zh-CN"/>
          <w14:textFill>
            <w14:solidFill>
              <w14:schemeClr w14:val="tx1"/>
            </w14:solidFill>
          </w14:textFill>
        </w:rPr>
        <w:t>本次样本共检出{{ summaryOfRresults.thisGeneticmarkerVwListSize }}个</w:t>
      </w:r>
      <w:r>
        <w:rPr>
          <w:rFonts w:hint="eastAsia" w:cs="宋体"/>
          <w:b w:val="0"/>
          <w:bCs/>
          <w:color w:val="000000" w:themeColor="text1"/>
          <w:spacing w:val="6"/>
          <w:sz w:val="21"/>
          <w:szCs w:val="21"/>
          <w:lang w:val="en-US" w:eastAsia="zh-CN"/>
          <w14:textFill>
            <w14:solidFill>
              <w14:schemeClr w14:val="tx1"/>
            </w14:solidFill>
          </w14:textFill>
        </w:rPr>
        <w:t>变异位点</w:t>
      </w:r>
      <w:r>
        <w:rPr>
          <w:rFonts w:hint="eastAsia" w:ascii="宋体" w:hAnsi="宋体" w:eastAsia="宋体" w:cs="宋体"/>
          <w:b w:val="0"/>
          <w:bCs/>
          <w:color w:val="000000" w:themeColor="text1"/>
          <w:spacing w:val="6"/>
          <w:sz w:val="21"/>
          <w:szCs w:val="21"/>
          <w:lang w:eastAsia="zh-CN"/>
          <w14:textFill>
            <w14:solidFill>
              <w14:schemeClr w14:val="tx1"/>
            </w14:solidFill>
          </w14:textFill>
        </w:rPr>
        <w:t>，其中{{summaryOfRresults.somaticDrugCount}}个与靶向药物相关</w:t>
      </w:r>
      <w:r>
        <w:rPr>
          <w:rFonts w:hint="eastAsia" w:cs="宋体"/>
          <w:b w:val="0"/>
          <w:bCs/>
          <w:color w:val="000000" w:themeColor="text1"/>
          <w:spacing w:val="6"/>
          <w:sz w:val="21"/>
          <w:szCs w:val="21"/>
          <w:lang w:eastAsia="zh-CN"/>
          <w14:textFill>
            <w14:solidFill>
              <w14:schemeClr w14:val="tx1"/>
            </w14:solidFill>
          </w14:textFill>
        </w:rPr>
        <w:t>。</w:t>
      </w:r>
      <w:r>
        <w:rPr>
          <w:rFonts w:hint="eastAsia" w:ascii="宋体" w:hAnsi="宋体" w:eastAsia="宋体" w:cs="宋体"/>
          <w:b w:val="0"/>
          <w:bCs/>
          <w:color w:val="000000" w:themeColor="text1"/>
          <w:spacing w:val="6"/>
          <w:sz w:val="21"/>
          <w:szCs w:val="21"/>
          <w:lang w:eastAsia="zh-CN"/>
          <w14:textFill>
            <w14:solidFill>
              <w14:schemeClr w14:val="tx1"/>
            </w14:solidFill>
          </w14:textFill>
        </w:rPr>
        <w:t>{%if BodyDrugDrugDetectionStr or unknownVarAnalysisStr %}具体信息详见“基因检测结果解析”。{% endif %}</w:t>
      </w:r>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67"/>
        <w:gridCol w:w="1836"/>
        <w:gridCol w:w="3553"/>
        <w:gridCol w:w="3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67" w:hRule="atLeast"/>
          <w:tblHeader/>
          <w:jc w:val="center"/>
        </w:trPr>
        <w:tc>
          <w:tcPr>
            <w:tcW w:w="1167"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变异分类</w:t>
            </w:r>
          </w:p>
        </w:tc>
        <w:tc>
          <w:tcPr>
            <w:tcW w:w="1836"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突变基因</w:t>
            </w:r>
          </w:p>
        </w:tc>
        <w:tc>
          <w:tcPr>
            <w:tcW w:w="3553"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可能获益的药物</w:t>
            </w:r>
          </w:p>
        </w:tc>
        <w:tc>
          <w:tcPr>
            <w:tcW w:w="3649"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可能耐药药物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4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if bodyAndComplexDrugTipLineStr or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0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bodyDrugTipLineStr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for tip in complexDrugTipLineStr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865"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tip.comutation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w:t>
            </w:r>
          </w:p>
        </w:tc>
        <w:tc>
          <w:tcPr>
            <w:tcW w:w="3553"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spacing w:val="0"/>
          <w:sz w:val="18"/>
          <w:szCs w:val="18"/>
          <w:lang w:eastAsia="zh-CN"/>
        </w:rPr>
      </w:pPr>
      <w:r>
        <w:rPr>
          <w:rFonts w:hint="eastAsia" w:ascii="宋体" w:hAnsi="宋体" w:eastAsia="宋体" w:cs="宋体"/>
          <w:b/>
          <w:spacing w:val="0"/>
          <w:sz w:val="18"/>
          <w:szCs w:val="18"/>
          <w:lang w:eastAsia="zh-CN"/>
        </w:rPr>
        <w:t>注：</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本报告所列举的药物或基因变异并未按照基因或者药物的重要性排序，具体决策需参照临床实际。</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“-”表示该位点无相应靶向药物提示。</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*标注的药物：NMPA批准的靶向药物。</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outlineLvl w:val="9"/>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分析注释时采用RefSeq转录本编号。</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变异丰度：在某位点产生突变的等位基因在该位点全部等位基因中所占比率。</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拷贝数：是指某⼀种基因或某⼀段特定的DNA序列在单倍体基因组中出现的数目。{% if readsFlag == True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reads数：RNA层面检测到的支持融合基因的片段数。{% endif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检测结果：“NM”为基因的转录本编号，“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多靶点循证检测结果中的符号意义：“+”表示“并且”，“/”表示“或者”，“!”表示“不满足”。{% endif %}</w:t>
      </w:r>
    </w:p>
    <w:p>
      <w:pPr>
        <w:widowControl/>
        <w:rPr>
          <w:rFonts w:ascii="Times New Roman" w:hAnsi="Times New Roman" w:eastAsia="微软雅黑" w:cs="Times New Roman"/>
          <w:b w:val="0"/>
          <w:bCs w:val="0"/>
          <w:color w:val="0070C0"/>
          <w:sz w:val="28"/>
          <w:szCs w:val="28"/>
          <w:lang w:eastAsia="zh-CN"/>
        </w:rPr>
      </w:pPr>
      <w:r>
        <w:rPr>
          <w:rFonts w:ascii="Times New Roman" w:hAnsi="Times New Roman" w:eastAsia="微软雅黑" w:cs="Times New Roman"/>
          <w:b w:val="0"/>
          <w:bCs w:val="0"/>
          <w:color w:val="0070C0"/>
          <w:sz w:val="28"/>
          <w:szCs w:val="28"/>
          <w:lang w:eastAsia="zh-CN"/>
        </w:rPr>
        <w:br w:type="page"/>
      </w:r>
    </w:p>
    <w:p>
      <w:pPr>
        <w:rPr>
          <w:rFonts w:hint="eastAsia" w:ascii="宋体" w:hAnsi="宋体" w:eastAsia="宋体" w:cs="宋体"/>
          <w:b w:val="0"/>
          <w:bCs w:val="0"/>
          <w:color w:val="000000" w:themeColor="text1"/>
          <w:sz w:val="24"/>
          <w:szCs w:val="24"/>
          <w:lang w:eastAsia="zh-CN"/>
          <w14:textFill>
            <w14:solidFill>
              <w14:schemeClr w14:val="tx1"/>
            </w14:solidFill>
          </w14:textFill>
        </w:rPr>
      </w:pPr>
      <w:bookmarkStart w:id="46" w:name="_Toc18258"/>
      <w:bookmarkStart w:id="47" w:name="_Toc11398"/>
      <w:bookmarkStart w:id="48" w:name="_Toc11562_WPSOffice_Level3"/>
      <w:r>
        <w:rPr>
          <w:rFonts w:hint="eastAsia" w:ascii="宋体" w:hAnsi="宋体" w:eastAsia="宋体" w:cs="宋体"/>
          <w:b w:val="0"/>
          <w:bCs w:val="0"/>
          <w:color w:val="000000" w:themeColor="text1"/>
          <w:sz w:val="24"/>
          <w:szCs w:val="24"/>
          <w:lang w:eastAsia="zh-CN"/>
          <w14:textFill>
            <w14:solidFill>
              <w14:schemeClr w14:val="tx1"/>
            </w14:solidFill>
          </w14:textFill>
        </w:rPr>
        <w:t xml:space="preserve">{%if </w:t>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2531 not in </w:t>
      </w:r>
      <w:r>
        <w:rPr>
          <w:rFonts w:hint="eastAsia" w:ascii="宋体" w:hAnsi="宋体" w:eastAsia="宋体" w:cs="宋体"/>
          <w:b w:val="0"/>
          <w:bCs w:val="0"/>
          <w:color w:val="000000" w:themeColor="text1"/>
          <w:sz w:val="24"/>
          <w:szCs w:val="24"/>
          <w:lang w:eastAsia="zh-CN"/>
          <w14:textFill>
            <w14:solidFill>
              <w14:schemeClr w14:val="tx1"/>
            </w14:solidFill>
          </w14:textFill>
        </w:rPr>
        <w:t>diseaseIdList %}</w:t>
      </w:r>
    </w:p>
    <w:p>
      <w:pPr>
        <w:pStyle w:val="38"/>
        <w:numPr>
          <w:ilvl w:val="0"/>
          <w:numId w:val="8"/>
        </w:numPr>
        <w:bidi w:val="0"/>
        <w:spacing w:line="360" w:lineRule="auto"/>
        <w:ind w:left="425" w:leftChars="0" w:hanging="425" w:firstLineChars="0"/>
        <w:jc w:val="left"/>
        <w:rPr>
          <w:rFonts w:hint="eastAsia" w:ascii="Times New Roman" w:hAnsi="Times New Roman" w:eastAsia="宋体" w:cs="宋体"/>
          <w:b/>
          <w:bCs/>
          <w:spacing w:val="23"/>
          <w:sz w:val="21"/>
          <w:szCs w:val="21"/>
          <w:lang w:val="en-US" w:eastAsia="zh-CN"/>
        </w:rPr>
      </w:pPr>
      <w:bookmarkStart w:id="49" w:name="_Toc16733"/>
      <w:bookmarkStart w:id="50" w:name="_Toc32640"/>
      <w:r>
        <w:rPr>
          <w:rFonts w:hint="eastAsia" w:ascii="Times New Roman" w:hAnsi="Times New Roman" w:eastAsia="宋体" w:cs="宋体"/>
          <w:b/>
          <w:bCs/>
          <w:spacing w:val="23"/>
          <w:sz w:val="21"/>
          <w:szCs w:val="21"/>
          <w:lang w:val="en-US" w:eastAsia="zh-CN"/>
        </w:rPr>
        <w:t>本</w:t>
      </w:r>
      <w:r>
        <w:rPr>
          <w:rFonts w:hint="eastAsia" w:ascii="宋体" w:hAnsi="宋体" w:eastAsia="宋体" w:cs="宋体"/>
          <w:b/>
          <w:bCs/>
          <w:spacing w:val="23"/>
          <w:sz w:val="21"/>
          <w:szCs w:val="21"/>
          <w:lang w:val="en-US" w:eastAsia="zh-CN"/>
        </w:rPr>
        <w:t>癌种FDA/NMPA获批的其他可</w:t>
      </w:r>
      <w:r>
        <w:rPr>
          <w:rFonts w:hint="eastAsia" w:ascii="Times New Roman" w:hAnsi="Times New Roman" w:eastAsia="宋体" w:cs="宋体"/>
          <w:b/>
          <w:bCs/>
          <w:spacing w:val="23"/>
          <w:sz w:val="21"/>
          <w:szCs w:val="21"/>
          <w:lang w:val="en-US" w:eastAsia="zh-CN"/>
        </w:rPr>
        <w:t>选靶向药物</w:t>
      </w:r>
      <w:bookmarkEnd w:id="46"/>
      <w:bookmarkEnd w:id="47"/>
      <w:bookmarkEnd w:id="49"/>
      <w:bookmarkEnd w:id="50"/>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1242"/>
        <w:gridCol w:w="1243"/>
        <w:gridCol w:w="628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atLeast"/>
          <w:jc w:val="center"/>
        </w:trPr>
        <w:tc>
          <w:tcPr>
            <w:tcW w:w="1210"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癌种</w:t>
            </w:r>
          </w:p>
        </w:tc>
        <w:tc>
          <w:tcPr>
            <w:tcW w:w="1210"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药物</w:t>
            </w:r>
          </w:p>
        </w:tc>
        <w:tc>
          <w:tcPr>
            <w:tcW w:w="6124"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获批适应症</w:t>
            </w:r>
          </w:p>
        </w:tc>
        <w:tc>
          <w:tcPr>
            <w:tcW w:w="1393"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获批机构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add in approvedDrugData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add.disease }}</w:t>
            </w:r>
          </w:p>
        </w:tc>
        <w:tc>
          <w:tcPr>
            <w:tcW w:w="1210"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add.drug }}</w:t>
            </w:r>
          </w:p>
        </w:tc>
        <w:tc>
          <w:tcPr>
            <w:tcW w:w="6124" w:type="dxa"/>
            <w:vAlign w:val="center"/>
          </w:tcPr>
          <w:p>
            <w:pPr>
              <w:keepNext w:val="0"/>
              <w:keepLines w:val="0"/>
              <w:pageBreakBefore w:val="0"/>
              <w:widowControl/>
              <w:kinsoku/>
              <w:wordWrap/>
              <w:overflowPunct/>
              <w:topLinePunct w:val="0"/>
              <w:autoSpaceDE/>
              <w:autoSpaceDN/>
              <w:bidi w:val="0"/>
              <w:adjustRightInd/>
              <w:snapToGrid w:val="0"/>
              <w:spacing w:before="0" w:beforeLines="30" w:after="0" w:afterLines="30"/>
              <w:jc w:val="left"/>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add.indication }}</w:t>
            </w:r>
          </w:p>
        </w:tc>
        <w:tc>
          <w:tcPr>
            <w:tcW w:w="1393"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add.institution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bl>
    <w:p>
      <w:pPr>
        <w:spacing w:before="29" w:line="240" w:lineRule="auto"/>
        <w:rPr>
          <w:rFonts w:hint="eastAsia" w:ascii="宋体" w:hAnsi="宋体" w:eastAsia="宋体" w:cs="宋体"/>
          <w:b/>
          <w:color w:val="auto"/>
          <w:spacing w:val="6"/>
          <w:sz w:val="21"/>
          <w:szCs w:val="21"/>
          <w:lang w:val="en-US" w:eastAsia="zh-CN"/>
        </w:rPr>
      </w:pPr>
      <w:r>
        <w:rPr>
          <w:rFonts w:hint="default" w:ascii="Times New Roman" w:hAnsi="Times New Roman" w:cs="Times New Roman"/>
          <w:sz w:val="24"/>
          <w:szCs w:val="24"/>
          <w:lang w:eastAsia="zh-CN"/>
        </w:rPr>
        <w:br w:type="page"/>
      </w:r>
      <w:r>
        <w:rPr>
          <w:rFonts w:hint="eastAsia" w:ascii="宋体" w:hAnsi="宋体" w:eastAsia="宋体" w:cs="宋体"/>
          <w:b w:val="0"/>
          <w:bCs w:val="0"/>
          <w:color w:val="000000" w:themeColor="text1"/>
          <w:sz w:val="24"/>
          <w:szCs w:val="24"/>
          <w:lang w:eastAsia="zh-CN"/>
          <w14:textFill>
            <w14:solidFill>
              <w14:schemeClr w14:val="tx1"/>
            </w14:solidFill>
          </w14:textFill>
        </w:rPr>
        <w:t>{% endif %}</w:t>
      </w:r>
    </w:p>
    <w:p>
      <w:pPr>
        <w:pStyle w:val="38"/>
        <w:numPr>
          <w:ilvl w:val="0"/>
          <w:numId w:val="8"/>
        </w:numPr>
        <w:bidi w:val="0"/>
        <w:spacing w:line="360" w:lineRule="auto"/>
        <w:ind w:left="425" w:leftChars="0" w:hanging="425" w:firstLineChars="0"/>
        <w:jc w:val="left"/>
        <w:rPr>
          <w:rFonts w:hint="eastAsia" w:ascii="Times New Roman" w:hAnsi="Times New Roman" w:eastAsia="宋体" w:cs="宋体"/>
          <w:b/>
          <w:bCs/>
          <w:spacing w:val="23"/>
          <w:sz w:val="21"/>
          <w:szCs w:val="21"/>
          <w:lang w:eastAsia="zh-CN"/>
        </w:rPr>
      </w:pPr>
      <w:bookmarkStart w:id="51" w:name="_Toc5931"/>
      <w:bookmarkStart w:id="52" w:name="_Toc24614"/>
      <w:r>
        <w:rPr>
          <w:rFonts w:hint="eastAsia" w:ascii="Times New Roman" w:hAnsi="Times New Roman" w:eastAsia="宋体" w:cs="宋体"/>
          <w:b/>
          <w:bCs/>
          <w:spacing w:val="23"/>
          <w:sz w:val="21"/>
          <w:szCs w:val="21"/>
          <w:lang w:val="en-US" w:eastAsia="zh-CN"/>
        </w:rPr>
        <w:t>免疫药物用药提示</w:t>
      </w:r>
      <w:bookmarkEnd w:id="51"/>
      <w:bookmarkEnd w:id="52"/>
    </w:p>
    <w:tbl>
      <w:tblPr>
        <w:tblStyle w:val="14"/>
        <w:tblW w:w="10205"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74"/>
        <w:gridCol w:w="2693"/>
        <w:gridCol w:w="35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974" w:type="dxa"/>
            <w:shd w:val="clear" w:color="auto" w:fill="9DC3E6"/>
            <w:vAlign w:val="center"/>
          </w:tcPr>
          <w:p>
            <w:pPr>
              <w:widowControl/>
              <w:snapToGrid w:val="0"/>
              <w:jc w:val="center"/>
              <w:textAlignment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检出指标/基因</w:t>
            </w:r>
          </w:p>
        </w:tc>
        <w:tc>
          <w:tcPr>
            <w:tcW w:w="2693" w:type="dxa"/>
            <w:shd w:val="clear" w:color="auto" w:fill="9DC3E6"/>
            <w:vAlign w:val="center"/>
          </w:tcPr>
          <w:p>
            <w:pPr>
              <w:widowControl/>
              <w:snapToGrid w:val="0"/>
              <w:jc w:val="center"/>
              <w:textAlignment w:val="center"/>
              <w:rPr>
                <w:rFonts w:hint="eastAsia" w:ascii="宋体" w:hAnsi="宋体" w:eastAsia="宋体" w:cs="宋体"/>
                <w:b/>
                <w:bCs/>
                <w:color w:val="auto"/>
                <w:sz w:val="21"/>
                <w:szCs w:val="21"/>
              </w:rPr>
            </w:pPr>
            <w:r>
              <w:rPr>
                <w:rStyle w:val="39"/>
                <w:rFonts w:hint="eastAsia" w:ascii="宋体" w:hAnsi="宋体" w:eastAsia="宋体" w:cs="宋体"/>
                <w:b/>
                <w:bCs/>
                <w:color w:val="auto"/>
                <w:lang w:eastAsia="zh-CN" w:bidi="ar"/>
              </w:rPr>
              <w:t>检测结果</w:t>
            </w:r>
          </w:p>
        </w:tc>
        <w:tc>
          <w:tcPr>
            <w:tcW w:w="3538" w:type="dxa"/>
            <w:shd w:val="clear" w:color="auto" w:fill="9DC3E6"/>
            <w:vAlign w:val="center"/>
          </w:tcPr>
          <w:p>
            <w:pPr>
              <w:widowControl/>
              <w:snapToGrid w:val="0"/>
              <w:jc w:val="center"/>
              <w:textAlignment w:val="center"/>
              <w:rPr>
                <w:rFonts w:hint="eastAsia" w:ascii="宋体" w:hAnsi="宋体" w:eastAsia="宋体" w:cs="宋体"/>
                <w:b/>
                <w:bCs/>
                <w:color w:val="auto"/>
                <w:sz w:val="21"/>
                <w:szCs w:val="21"/>
              </w:rPr>
            </w:pPr>
            <w:r>
              <w:rPr>
                <w:rStyle w:val="39"/>
                <w:rFonts w:hint="eastAsia" w:ascii="宋体" w:hAnsi="宋体" w:eastAsia="宋体" w:cs="宋体"/>
                <w:b/>
                <w:bCs/>
                <w:color w:val="auto"/>
                <w:lang w:eastAsia="zh-CN" w:bidi="ar"/>
              </w:rPr>
              <w:t>检测意义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74" w:type="dxa"/>
            <w:shd w:val="clear" w:color="auto" w:fill="auto"/>
            <w:vAlign w:val="center"/>
          </w:tcPr>
          <w:p>
            <w:pPr>
              <w:widowControl/>
              <w:snapToGrid w:val="0"/>
              <w:jc w:val="center"/>
              <w:textAlignment w:val="center"/>
              <w:rPr>
                <w:rFonts w:hint="eastAsia" w:ascii="宋体" w:hAnsi="宋体" w:eastAsia="宋体" w:cs="宋体"/>
                <w:b/>
                <w:bCs/>
                <w:color w:val="000000"/>
                <w:sz w:val="21"/>
                <w:szCs w:val="21"/>
                <w:lang w:eastAsia="zh-CN"/>
              </w:rPr>
            </w:pPr>
            <w:r>
              <w:rPr>
                <w:rStyle w:val="42"/>
                <w:rFonts w:hint="eastAsia" w:ascii="宋体" w:hAnsi="宋体" w:eastAsia="宋体" w:cs="宋体"/>
                <w:lang w:eastAsia="zh-CN" w:bidi="ar"/>
              </w:rPr>
              <w:t>微卫星不稳定（</w:t>
            </w:r>
            <w:r>
              <w:rPr>
                <w:rStyle w:val="40"/>
                <w:rFonts w:hint="eastAsia" w:ascii="宋体" w:hAnsi="宋体" w:eastAsia="宋体" w:cs="宋体"/>
                <w:lang w:eastAsia="zh-CN" w:bidi="ar"/>
              </w:rPr>
              <w:t>MSI</w:t>
            </w:r>
            <w:r>
              <w:rPr>
                <w:rStyle w:val="42"/>
                <w:rFonts w:hint="eastAsia" w:ascii="宋体" w:hAnsi="宋体" w:eastAsia="宋体" w:cs="宋体"/>
                <w:lang w:eastAsia="zh-CN" w:bidi="ar"/>
              </w:rPr>
              <w:t>）</w:t>
            </w:r>
          </w:p>
        </w:tc>
        <w:tc>
          <w:tcPr>
            <w:tcW w:w="2693" w:type="dxa"/>
            <w:shd w:val="clear" w:color="auto" w:fill="auto"/>
            <w:vAlign w:val="center"/>
          </w:tcPr>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 summaryOfRresults.msi_status_state }}</w:t>
            </w:r>
          </w:p>
        </w:tc>
        <w:tc>
          <w:tcPr>
            <w:tcW w:w="3538" w:type="dxa"/>
            <w:shd w:val="clear" w:color="auto" w:fill="auto"/>
            <w:vAlign w:val="center"/>
          </w:tcPr>
          <w:p>
            <w:pPr>
              <w:keepNext w:val="0"/>
              <w:keepLines w:val="0"/>
              <w:pageBreakBefore w:val="0"/>
              <w:widowControl/>
              <w:kinsoku/>
              <w:wordWrap/>
              <w:overflowPunct/>
              <w:topLinePunct w:val="0"/>
              <w:autoSpaceDE/>
              <w:autoSpaceDN/>
              <w:bidi w:val="0"/>
              <w:adjustRightInd/>
              <w:snapToGrid w:val="0"/>
              <w:spacing w:before="0" w:beforeLines="30" w:line="288" w:lineRule="auto"/>
              <w:jc w:val="both"/>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 if summaryOfRresults.msi_status == ‘MSI-H’ %}</w:t>
            </w:r>
            <w:r>
              <w:rPr>
                <w:rStyle w:val="41"/>
                <w:rFonts w:hint="eastAsia" w:ascii="宋体" w:hAnsi="宋体" w:eastAsia="宋体" w:cs="宋体"/>
                <w:lang w:eastAsia="zh-CN" w:bidi="ar"/>
              </w:rPr>
              <w:t>微卫星不稳定型（</w:t>
            </w:r>
            <w:r>
              <w:rPr>
                <w:rStyle w:val="43"/>
                <w:rFonts w:hint="eastAsia" w:ascii="宋体" w:hAnsi="宋体" w:eastAsia="宋体" w:cs="宋体"/>
                <w:lang w:eastAsia="zh-CN" w:bidi="ar"/>
              </w:rPr>
              <w:t>MSI-H</w:t>
            </w:r>
            <w:r>
              <w:rPr>
                <w:rStyle w:val="41"/>
                <w:rFonts w:hint="eastAsia" w:ascii="宋体" w:hAnsi="宋体" w:eastAsia="宋体" w:cs="宋体"/>
                <w:lang w:eastAsia="zh-CN" w:bidi="ar"/>
              </w:rPr>
              <w:t>）患者免疫治疗预后较好，接受免疫检查点抑制剂药物治疗的获益率较高。</w:t>
            </w:r>
            <w:r>
              <w:rPr>
                <w:rFonts w:hint="eastAsia" w:ascii="宋体" w:hAnsi="宋体" w:eastAsia="宋体" w:cs="宋体"/>
                <w:sz w:val="21"/>
                <w:szCs w:val="21"/>
                <w:lang w:eastAsia="zh-CN"/>
              </w:rPr>
              <w:t>{% else %}</w:t>
            </w:r>
            <w:r>
              <w:rPr>
                <w:rFonts w:hint="eastAsia" w:ascii="宋体" w:hAnsi="宋体" w:eastAsia="宋体" w:cs="宋体"/>
                <w:color w:val="000000"/>
                <w:sz w:val="21"/>
                <w:szCs w:val="21"/>
                <w:lang w:eastAsia="zh-CN" w:bidi="ar"/>
              </w:rPr>
              <w:t>微卫星稳定型（MSS）患者接受免疫检查点抑制剂药物治疗的获益率较低。</w:t>
            </w:r>
            <w:r>
              <w:rPr>
                <w:rFonts w:hint="eastAsia" w:ascii="宋体" w:hAnsi="宋体" w:eastAsia="宋体" w:cs="宋体"/>
                <w:sz w:val="21"/>
                <w:szCs w:val="21"/>
                <w:lang w:eastAsia="zh-CN"/>
              </w:rPr>
              <w:t>{%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注：</w:t>
      </w:r>
    </w:p>
    <w:p>
      <w:pPr>
        <w:keepNext w:val="0"/>
        <w:keepLines w:val="0"/>
        <w:pageBreakBefore w:val="0"/>
        <w:numPr>
          <w:ilvl w:val="0"/>
          <w:numId w:val="10"/>
        </w:numPr>
        <w:kinsoku/>
        <w:wordWrap/>
        <w:overflowPunct/>
        <w:topLinePunct w:val="0"/>
        <w:bidi w:val="0"/>
        <w:snapToGrid/>
        <w:spacing w:line="360" w:lineRule="auto"/>
        <w:jc w:val="left"/>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免疫药物疗效相关基因突变检测及免疫药物用药提示：通过高通量测序法检测与免疫药物疗效相关的基因突变，评估免疫检查点抑制剂获益情况。</w:t>
      </w:r>
    </w:p>
    <w:p>
      <w:pPr>
        <w:keepNext w:val="0"/>
        <w:keepLines w:val="0"/>
        <w:pageBreakBefore w:val="0"/>
        <w:numPr>
          <w:ilvl w:val="0"/>
          <w:numId w:val="10"/>
        </w:numPr>
        <w:kinsoku/>
        <w:wordWrap/>
        <w:overflowPunct/>
        <w:topLinePunct w:val="0"/>
        <w:bidi w:val="0"/>
        <w:snapToGrid/>
        <w:spacing w:line="360" w:lineRule="auto"/>
        <w:jc w:val="left"/>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keepNext w:val="0"/>
        <w:keepLines w:val="0"/>
        <w:pageBreakBefore w:val="0"/>
        <w:numPr>
          <w:ilvl w:val="0"/>
          <w:numId w:val="10"/>
        </w:numPr>
        <w:kinsoku/>
        <w:wordWrap/>
        <w:overflowPunct/>
        <w:topLinePunct w:val="0"/>
        <w:bidi w:val="0"/>
        <w:snapToGrid/>
        <w:spacing w:line="360" w:lineRule="auto"/>
        <w:jc w:val="left"/>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指标详细解析说明见免疫检查点抑制剂治疗相关指标检测结果解析。</w:t>
      </w:r>
    </w:p>
    <w:bookmarkEnd w:id="48"/>
    <w:tbl>
      <w:tblPr>
        <w:tblStyle w:val="15"/>
        <w:tblpPr w:leftFromText="181" w:rightFromText="181" w:vertAnchor="page" w:tblpXSpec="center" w:tblpY="15195"/>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30"/>
        <w:gridCol w:w="3387"/>
        <w:gridCol w:w="33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检验者：</w:t>
            </w:r>
            <w:r>
              <w:drawing>
                <wp:anchor distT="0" distB="0" distL="114935" distR="114935" simplePos="0" relativeHeight="251667456" behindDoc="0" locked="0" layoutInCell="1" allowOverlap="0">
                  <wp:simplePos x="0" y="0"/>
                  <wp:positionH relativeFrom="column">
                    <wp:posOffset>496570</wp:posOffset>
                  </wp:positionH>
                  <wp:positionV relativeFrom="page">
                    <wp:posOffset>-215900</wp:posOffset>
                  </wp:positionV>
                  <wp:extent cx="694055" cy="531495"/>
                  <wp:effectExtent l="0" t="0" r="6985" b="190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694055" cy="531495"/>
                          </a:xfrm>
                          <a:prstGeom prst="rect">
                            <a:avLst/>
                          </a:prstGeom>
                          <a:noFill/>
                          <a:ln>
                            <a:noFill/>
                          </a:ln>
                        </pic:spPr>
                      </pic:pic>
                    </a:graphicData>
                  </a:graphic>
                </wp:anchor>
              </w:drawing>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审核者：</w:t>
            </w:r>
            <w:r>
              <w:rPr>
                <w:sz w:val="22"/>
              </w:rPr>
              <w:drawing>
                <wp:anchor distT="0" distB="0" distL="114300" distR="114300" simplePos="0" relativeHeight="251668480" behindDoc="0" locked="0" layoutInCell="1" allowOverlap="1">
                  <wp:simplePos x="0" y="0"/>
                  <wp:positionH relativeFrom="column">
                    <wp:posOffset>532765</wp:posOffset>
                  </wp:positionH>
                  <wp:positionV relativeFrom="page">
                    <wp:posOffset>-161925</wp:posOffset>
                  </wp:positionV>
                  <wp:extent cx="933450" cy="432435"/>
                  <wp:effectExtent l="0" t="0" r="11430" b="952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933450" cy="432435"/>
                          </a:xfrm>
                          <a:prstGeom prst="rect">
                            <a:avLst/>
                          </a:prstGeom>
                          <a:noFill/>
                          <a:ln>
                            <a:noFill/>
                          </a:ln>
                        </pic:spPr>
                      </pic:pic>
                    </a:graphicData>
                  </a:graphic>
                </wp:anchor>
              </w:drawing>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批准者：</w:t>
            </w:r>
            <w:r>
              <w:drawing>
                <wp:anchor distT="0" distB="0" distL="114300" distR="114300" simplePos="0" relativeHeight="251665408" behindDoc="0" locked="0" layoutInCell="1" allowOverlap="1">
                  <wp:simplePos x="0" y="0"/>
                  <wp:positionH relativeFrom="column">
                    <wp:posOffset>410210</wp:posOffset>
                  </wp:positionH>
                  <wp:positionV relativeFrom="page">
                    <wp:posOffset>-360045</wp:posOffset>
                  </wp:positionV>
                  <wp:extent cx="1202690" cy="678180"/>
                  <wp:effectExtent l="0" t="0" r="1270" b="7620"/>
                  <wp:wrapNone/>
                  <wp:docPr id="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5"/>
                          <pic:cNvPicPr>
                            <a:picLocks noChangeAspect="1"/>
                          </pic:cNvPicPr>
                        </pic:nvPicPr>
                        <pic:blipFill>
                          <a:blip r:embed="rId10"/>
                          <a:stretch>
                            <a:fillRect/>
                          </a:stretch>
                        </pic:blipFill>
                        <pic:spPr>
                          <a:xfrm>
                            <a:off x="0" y="0"/>
                            <a:ext cx="1202690" cy="678180"/>
                          </a:xfrm>
                          <a:prstGeom prst="rect">
                            <a:avLst/>
                          </a:prstGeom>
                          <a:noFill/>
                          <a:ln>
                            <a:noFill/>
                          </a:ln>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hint="eastAsia" w:ascii="宋体" w:hAnsi="宋体" w:eastAsia="宋体" w:cs="宋体"/>
                <w:b w:val="0"/>
                <w:bCs w:val="0"/>
                <w:spacing w:val="6"/>
                <w:sz w:val="21"/>
                <w:szCs w:val="21"/>
              </w:rPr>
            </w:pPr>
          </w:p>
        </w:tc>
        <w:tc>
          <w:tcPr>
            <w:tcW w:w="3505" w:type="dxa"/>
            <w:vAlign w:val="top"/>
          </w:tcPr>
          <w:p>
            <w:pPr>
              <w:widowControl/>
              <w:jc w:val="both"/>
              <w:rPr>
                <w:rFonts w:hint="eastAsia" w:ascii="宋体" w:hAnsi="宋体" w:eastAsia="宋体" w:cs="宋体"/>
                <w:b w:val="0"/>
                <w:bCs w:val="0"/>
                <w:spacing w:val="6"/>
                <w:position w:val="1"/>
                <w:sz w:val="21"/>
                <w:szCs w:val="21"/>
                <w:lang w:eastAsia="zh-CN"/>
              </w:rPr>
            </w:pPr>
          </w:p>
        </w:tc>
        <w:tc>
          <w:tcPr>
            <w:tcW w:w="3506" w:type="dxa"/>
            <w:vAlign w:val="top"/>
          </w:tcPr>
          <w:p>
            <w:pPr>
              <w:widowControl/>
              <w:jc w:val="both"/>
              <w:rPr>
                <w:rFonts w:hint="eastAsia" w:ascii="宋体" w:hAnsi="宋体" w:eastAsia="宋体" w:cs="宋体"/>
                <w:b w:val="0"/>
                <w:bCs w:val="0"/>
                <w:spacing w:val="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检验日期</w:t>
            </w:r>
            <w:r>
              <w:rPr>
                <w:rFonts w:hint="eastAsia" w:cs="宋体"/>
                <w:b w:val="0"/>
                <w:bCs w:val="0"/>
                <w:spacing w:val="6"/>
                <w:sz w:val="21"/>
                <w:szCs w:val="21"/>
                <w:lang w:eastAsia="zh-CN"/>
              </w:rPr>
              <w:t>：</w:t>
            </w:r>
            <w:r>
              <w:rPr>
                <w:rFonts w:hint="eastAsia" w:cs="宋体"/>
                <w:b w:val="0"/>
                <w:bCs w:val="0"/>
                <w:spacing w:val="6"/>
                <w:sz w:val="21"/>
                <w:szCs w:val="21"/>
                <w:lang w:val="en-US" w:eastAsia="zh-CN"/>
              </w:rPr>
              <w:t>{</w:t>
            </w:r>
            <w:r>
              <w:rPr>
                <w:rFonts w:hint="eastAsia" w:ascii="宋体" w:hAnsi="宋体" w:eastAsia="宋体" w:cs="宋体"/>
                <w:b w:val="0"/>
                <w:bCs w:val="0"/>
                <w:spacing w:val="6"/>
                <w:kern w:val="2"/>
                <w:sz w:val="21"/>
                <w:szCs w:val="21"/>
                <w:lang w:eastAsia="zh-CN"/>
              </w:rPr>
              <w:t>{ commission_date }}</w:t>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position w:val="1"/>
                <w:sz w:val="21"/>
                <w:szCs w:val="21"/>
                <w:lang w:eastAsia="zh-CN"/>
              </w:rPr>
              <w:t>审核日期</w:t>
            </w:r>
            <w:r>
              <w:rPr>
                <w:rFonts w:hint="eastAsia" w:cs="宋体"/>
                <w:b w:val="0"/>
                <w:bCs w:val="0"/>
                <w:spacing w:val="6"/>
                <w:position w:val="1"/>
                <w:sz w:val="21"/>
                <w:szCs w:val="21"/>
                <w:lang w:val="en-US" w:eastAsia="zh-CN"/>
              </w:rPr>
              <w:t>：</w:t>
            </w:r>
            <w:r>
              <w:rPr>
                <w:rFonts w:hint="eastAsia" w:ascii="宋体" w:hAnsi="宋体" w:eastAsia="宋体" w:cs="宋体"/>
                <w:b w:val="0"/>
                <w:bCs w:val="0"/>
                <w:spacing w:val="6"/>
                <w:kern w:val="2"/>
                <w:sz w:val="21"/>
                <w:szCs w:val="21"/>
                <w:lang w:eastAsia="zh-CN"/>
              </w:rPr>
              <w:t>{{ reportdate }}</w:t>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批准日期</w:t>
            </w:r>
            <w:r>
              <w:rPr>
                <w:rFonts w:hint="eastAsia" w:cs="宋体"/>
                <w:b w:val="0"/>
                <w:bCs w:val="0"/>
                <w:spacing w:val="6"/>
                <w:sz w:val="21"/>
                <w:szCs w:val="21"/>
                <w:lang w:eastAsia="zh-CN"/>
              </w:rPr>
              <w:t>：</w:t>
            </w:r>
            <w:r>
              <w:rPr>
                <w:rFonts w:hint="eastAsia" w:ascii="宋体" w:hAnsi="宋体" w:eastAsia="宋体" w:cs="宋体"/>
                <w:b w:val="0"/>
                <w:bCs w:val="0"/>
                <w:spacing w:val="6"/>
                <w:kern w:val="2"/>
                <w:sz w:val="21"/>
                <w:szCs w:val="21"/>
                <w:lang w:eastAsia="zh-CN"/>
              </w:rPr>
              <w:t>{{ reportdate }}</w:t>
            </w:r>
          </w:p>
        </w:tc>
      </w:tr>
    </w:tbl>
    <w:p>
      <w:pPr>
        <w:rPr>
          <w:rFonts w:hint="eastAsia"/>
        </w:rPr>
      </w:pPr>
      <w:r>
        <w:rPr>
          <w:sz w:val="22"/>
        </w:rPr>
        <w:drawing>
          <wp:anchor distT="0" distB="0" distL="114300" distR="114300" simplePos="0" relativeHeight="251666432" behindDoc="0" locked="0" layoutInCell="1" allowOverlap="1">
            <wp:simplePos x="0" y="0"/>
            <wp:positionH relativeFrom="column">
              <wp:posOffset>5033010</wp:posOffset>
            </wp:positionH>
            <wp:positionV relativeFrom="page">
              <wp:posOffset>9154795</wp:posOffset>
            </wp:positionV>
            <wp:extent cx="1079500" cy="1079500"/>
            <wp:effectExtent l="0" t="0" r="2540" b="2540"/>
            <wp:wrapNone/>
            <wp:docPr id="1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6"/>
                    <pic:cNvPicPr>
                      <a:picLocks noChangeAspect="1"/>
                    </pic:cNvPicPr>
                  </pic:nvPicPr>
                  <pic:blipFill>
                    <a:blip r:embed="rId11"/>
                    <a:stretch>
                      <a:fillRect/>
                    </a:stretch>
                  </pic:blipFill>
                  <pic:spPr>
                    <a:xfrm>
                      <a:off x="0" y="0"/>
                      <a:ext cx="1079500" cy="1079500"/>
                    </a:xfrm>
                    <a:prstGeom prst="rect">
                      <a:avLst/>
                    </a:prstGeom>
                    <a:noFill/>
                    <a:ln>
                      <a:noFill/>
                    </a:ln>
                  </pic:spPr>
                </pic:pic>
              </a:graphicData>
            </a:graphic>
          </wp:anchor>
        </w:drawing>
      </w:r>
      <w:r>
        <w:rPr>
          <w:rFonts w:hint="eastAsia"/>
        </w:rPr>
        <w:br w:type="page"/>
      </w:r>
    </w:p>
    <w:p>
      <w:pPr>
        <w:rPr>
          <w:rFonts w:hint="eastAsia" w:ascii="宋体" w:hAnsi="宋体" w:eastAsia="宋体" w:cs="宋体"/>
          <w:b/>
          <w:color w:val="00B050"/>
          <w:sz w:val="24"/>
          <w:szCs w:val="24"/>
          <w:lang w:val="en-US" w:eastAsia="zh-CN"/>
        </w:rPr>
      </w:pPr>
      <w:r>
        <w:rPr>
          <w:rFonts w:hint="eastAsia" w:ascii="宋体" w:hAnsi="宋体" w:eastAsia="宋体" w:cs="宋体"/>
          <w:bCs/>
          <w:sz w:val="24"/>
          <w:szCs w:val="24"/>
          <w:lang w:eastAsia="zh-CN"/>
        </w:rPr>
        <w:t>{% f</w:t>
      </w:r>
      <w:r>
        <w:rPr>
          <w:rFonts w:hint="eastAsia" w:ascii="宋体" w:hAnsi="宋体" w:eastAsia="宋体" w:cs="宋体"/>
          <w:bCs/>
          <w:sz w:val="24"/>
          <w:szCs w:val="24"/>
          <w:lang w:val="en-US" w:eastAsia="zh-CN"/>
        </w:rPr>
        <w:t xml:space="preserve">or </w:t>
      </w:r>
      <w:r>
        <w:rPr>
          <w:rFonts w:hint="eastAsia" w:ascii="宋体" w:hAnsi="宋体" w:eastAsia="宋体" w:cs="宋体"/>
          <w:bCs/>
          <w:sz w:val="24"/>
          <w:szCs w:val="24"/>
          <w:lang w:eastAsia="zh-CN"/>
        </w:rPr>
        <w:t>i</w:t>
      </w:r>
      <w:r>
        <w:rPr>
          <w:rFonts w:hint="eastAsia" w:ascii="宋体" w:hAnsi="宋体" w:eastAsia="宋体" w:cs="宋体"/>
          <w:bCs/>
          <w:sz w:val="24"/>
          <w:szCs w:val="24"/>
          <w:lang w:val="en-US" w:eastAsia="zh-CN"/>
        </w:rPr>
        <w:t>a</w:t>
      </w:r>
      <w:r>
        <w:rPr>
          <w:rFonts w:hint="eastAsia" w:ascii="宋体" w:hAnsi="宋体" w:eastAsia="宋体" w:cs="宋体"/>
          <w:bCs/>
          <w:sz w:val="24"/>
          <w:szCs w:val="24"/>
          <w:lang w:eastAsia="zh-CN"/>
        </w:rPr>
        <w:t xml:space="preserve"> </w:t>
      </w:r>
      <w:r>
        <w:rPr>
          <w:rFonts w:hint="eastAsia" w:ascii="宋体" w:hAnsi="宋体" w:eastAsia="宋体" w:cs="宋体"/>
          <w:bCs/>
          <w:sz w:val="24"/>
          <w:szCs w:val="24"/>
          <w:lang w:val="en-US" w:eastAsia="zh-CN"/>
        </w:rPr>
        <w:t>in</w:t>
      </w:r>
      <w:r>
        <w:rPr>
          <w:rFonts w:hint="eastAsia" w:ascii="宋体" w:hAnsi="宋体" w:eastAsia="宋体" w:cs="宋体"/>
          <w:bCs/>
          <w:sz w:val="24"/>
          <w:szCs w:val="24"/>
          <w:lang w:eastAsia="zh-CN"/>
        </w:rPr>
        <w:t xml:space="preserve"> immuneAll</w:t>
      </w:r>
      <w:r>
        <w:rPr>
          <w:rFonts w:hint="eastAsia" w:ascii="宋体" w:hAnsi="宋体" w:eastAsia="宋体" w:cs="宋体"/>
          <w:bCs/>
          <w:sz w:val="24"/>
          <w:szCs w:val="24"/>
          <w:lang w:val="en-US" w:eastAsia="zh-CN"/>
        </w:rPr>
        <w:t xml:space="preserve"> </w:t>
      </w:r>
      <w:r>
        <w:rPr>
          <w:rFonts w:hint="eastAsia" w:ascii="宋体" w:hAnsi="宋体" w:eastAsia="宋体" w:cs="宋体"/>
          <w:bCs/>
          <w:sz w:val="24"/>
          <w:szCs w:val="24"/>
          <w:lang w:eastAsia="zh-CN"/>
        </w:rPr>
        <w:t>%}</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591"/>
        <w:gridCol w:w="3447"/>
        <w:gridCol w:w="31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3471" w:type="dxa"/>
            <w:tcBorders>
              <w:tl2br w:val="nil"/>
              <w:tr2bl w:val="nil"/>
            </w:tcBorders>
            <w:shd w:val="clear" w:color="auto" w:fill="9DC3E6"/>
            <w:vAlign w:val="center"/>
          </w:tcPr>
          <w:p>
            <w:pPr>
              <w:spacing w:line="240" w:lineRule="exact"/>
              <w:ind w:left="9" w:leftChars="0"/>
              <w:jc w:val="center"/>
              <w:rPr>
                <w:rFonts w:hint="eastAsia" w:ascii="宋体" w:hAnsi="宋体" w:eastAsia="宋体" w:cs="宋体"/>
                <w:b/>
                <w:color w:val="auto"/>
                <w:lang w:eastAsia="zh-CN"/>
              </w:rPr>
            </w:pPr>
            <w:r>
              <w:rPr>
                <w:rFonts w:hint="eastAsia" w:ascii="宋体" w:hAnsi="宋体" w:eastAsia="宋体" w:cs="宋体"/>
                <w:color w:val="auto"/>
                <w:sz w:val="18"/>
                <w:szCs w:val="18"/>
                <w:lang w:eastAsia="zh-CN"/>
              </w:rPr>
              <w:t>{%t</w:t>
            </w:r>
            <w:r>
              <w:rPr>
                <w:rFonts w:hint="eastAsia" w:ascii="宋体" w:hAnsi="宋体" w:eastAsia="宋体" w:cs="宋体"/>
                <w:color w:val="auto"/>
                <w:sz w:val="18"/>
                <w:szCs w:val="18"/>
                <w:lang w:val="en-US" w:eastAsia="zh-CN"/>
              </w:rPr>
              <w:t>c</w:t>
            </w:r>
            <w:r>
              <w:rPr>
                <w:rFonts w:hint="eastAsia" w:ascii="宋体" w:hAnsi="宋体" w:eastAsia="宋体" w:cs="宋体"/>
                <w:color w:val="auto"/>
                <w:sz w:val="18"/>
                <w:szCs w:val="18"/>
                <w:lang w:eastAsia="zh-CN"/>
              </w:rPr>
              <w:t xml:space="preserve"> for immune in i</w:t>
            </w:r>
            <w:r>
              <w:rPr>
                <w:rFonts w:hint="eastAsia" w:ascii="宋体" w:hAnsi="宋体" w:eastAsia="宋体" w:cs="宋体"/>
                <w:color w:val="auto"/>
                <w:sz w:val="18"/>
                <w:szCs w:val="18"/>
                <w:lang w:val="en-US" w:eastAsia="zh-CN"/>
              </w:rPr>
              <w:t>a.</w:t>
            </w:r>
            <w:r>
              <w:rPr>
                <w:rFonts w:hint="eastAsia" w:ascii="宋体" w:hAnsi="宋体" w:eastAsia="宋体" w:cs="宋体"/>
                <w:color w:val="auto"/>
                <w:sz w:val="18"/>
                <w:szCs w:val="18"/>
                <w:lang w:eastAsia="zh-CN"/>
              </w:rPr>
              <w:t>immune</w:t>
            </w:r>
            <w:r>
              <w:rPr>
                <w:rFonts w:hint="eastAsia" w:ascii="宋体" w:hAnsi="宋体" w:eastAsia="宋体" w:cs="宋体"/>
                <w:color w:val="auto"/>
                <w:sz w:val="18"/>
                <w:szCs w:val="18"/>
                <w:lang w:val="en-US" w:eastAsia="zh-CN"/>
              </w:rPr>
              <w:t>List</w:t>
            </w:r>
            <w:r>
              <w:rPr>
                <w:rFonts w:hint="eastAsia" w:ascii="宋体" w:hAnsi="宋体" w:eastAsia="宋体" w:cs="宋体"/>
                <w:color w:val="auto"/>
                <w:sz w:val="18"/>
                <w:szCs w:val="18"/>
                <w:lang w:eastAsia="zh-CN"/>
              </w:rPr>
              <w:t xml:space="preserve"> %}</w:t>
            </w:r>
          </w:p>
        </w:tc>
        <w:tc>
          <w:tcPr>
            <w:tcW w:w="3332" w:type="dxa"/>
            <w:tcBorders>
              <w:tl2br w:val="nil"/>
              <w:tr2bl w:val="nil"/>
            </w:tcBorders>
            <w:shd w:val="clear" w:color="auto" w:fill="9DC3E6"/>
            <w:vAlign w:val="center"/>
          </w:tcPr>
          <w:p>
            <w:pPr>
              <w:spacing w:line="240" w:lineRule="exact"/>
              <w:ind w:left="9" w:leftChars="0"/>
              <w:jc w:val="center"/>
              <w:rPr>
                <w:rFonts w:hint="eastAsia" w:ascii="宋体" w:hAnsi="宋体" w:eastAsia="宋体" w:cs="宋体"/>
                <w:b/>
                <w:color w:val="auto"/>
                <w:lang w:eastAsia="zh-CN"/>
              </w:rPr>
            </w:pPr>
            <w:r>
              <w:rPr>
                <w:rFonts w:hint="eastAsia" w:ascii="宋体" w:hAnsi="宋体" w:eastAsia="宋体" w:cs="宋体"/>
                <w:b/>
                <w:color w:val="auto"/>
                <w:lang w:val="en-US" w:eastAsia="zh-CN"/>
              </w:rPr>
              <w:t>{% hm %}</w:t>
            </w:r>
            <w:r>
              <w:rPr>
                <w:rFonts w:hint="eastAsia" w:ascii="宋体" w:hAnsi="宋体" w:eastAsia="宋体" w:cs="宋体"/>
                <w:b/>
                <w:color w:val="auto"/>
                <w:lang w:eastAsia="zh-CN"/>
              </w:rPr>
              <w:t>目前各癌种已批准的免疫治疗药物</w:t>
            </w:r>
          </w:p>
        </w:tc>
        <w:tc>
          <w:tcPr>
            <w:tcW w:w="3061" w:type="dxa"/>
            <w:tcBorders>
              <w:tl2br w:val="nil"/>
              <w:tr2bl w:val="nil"/>
            </w:tcBorders>
            <w:shd w:val="clear" w:color="auto" w:fill="9DC3E6"/>
            <w:vAlign w:val="center"/>
          </w:tcPr>
          <w:p>
            <w:pPr>
              <w:spacing w:line="240" w:lineRule="exact"/>
              <w:ind w:left="9" w:leftChars="0"/>
              <w:jc w:val="center"/>
              <w:rPr>
                <w:rFonts w:hint="eastAsia" w:ascii="宋体" w:hAnsi="宋体" w:eastAsia="宋体" w:cs="宋体"/>
                <w:b/>
                <w:color w:val="auto"/>
                <w:lang w:eastAsia="zh-CN"/>
              </w:rPr>
            </w:pPr>
            <w:r>
              <w:rPr>
                <w:rFonts w:hint="eastAsia" w:ascii="宋体" w:hAnsi="宋体" w:eastAsia="宋体" w:cs="宋体"/>
                <w:color w:val="auto"/>
                <w:sz w:val="18"/>
                <w:szCs w:val="18"/>
                <w:lang w:eastAsia="zh-CN"/>
              </w:rPr>
              <w:t>{%t</w:t>
            </w:r>
            <w:r>
              <w:rPr>
                <w:rFonts w:hint="eastAsia" w:ascii="宋体" w:hAnsi="宋体" w:eastAsia="宋体" w:cs="宋体"/>
                <w:color w:val="auto"/>
                <w:sz w:val="18"/>
                <w:szCs w:val="18"/>
                <w:lang w:val="en-US" w:eastAsia="zh-CN"/>
              </w:rPr>
              <w:t>c</w:t>
            </w:r>
            <w:r>
              <w:rPr>
                <w:rFonts w:hint="eastAsia" w:ascii="宋体" w:hAnsi="宋体" w:eastAsia="宋体" w:cs="宋体"/>
                <w:color w:val="auto"/>
                <w:sz w:val="18"/>
                <w:szCs w:val="18"/>
                <w:lang w:eastAsia="zh-CN"/>
              </w:rPr>
              <w:t xml:space="preserve">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21"/>
                <w:szCs w:val="21"/>
                <w:lang w:eastAsia="zh-CN"/>
              </w:rPr>
            </w:pPr>
            <w:r>
              <w:rPr>
                <w:rFonts w:hint="eastAsia" w:ascii="宋体" w:hAnsi="宋体" w:eastAsia="宋体" w:cs="宋体"/>
                <w:sz w:val="18"/>
                <w:szCs w:val="18"/>
                <w:lang w:eastAsia="zh-CN"/>
              </w:rPr>
              <w:t xml:space="preserve">{%tr for </w:t>
            </w:r>
            <w:r>
              <w:rPr>
                <w:rFonts w:hint="eastAsia" w:ascii="宋体" w:hAnsi="宋体" w:eastAsia="宋体" w:cs="宋体"/>
                <w:sz w:val="18"/>
                <w:szCs w:val="18"/>
                <w:lang w:val="en-US" w:eastAsia="zh-CN"/>
              </w:rPr>
              <w:t>key</w:t>
            </w:r>
            <w:r>
              <w:rPr>
                <w:rFonts w:hint="eastAsia" w:ascii="宋体" w:hAnsi="宋体" w:eastAsia="宋体" w:cs="宋体"/>
                <w:sz w:val="18"/>
                <w:szCs w:val="18"/>
                <w:lang w:eastAsia="zh-CN"/>
              </w:rPr>
              <w:t xml:space="preserve"> in </w:t>
            </w:r>
            <w:r>
              <w:rPr>
                <w:rFonts w:hint="eastAsia" w:ascii="宋体" w:hAnsi="宋体" w:eastAsia="宋体" w:cs="宋体"/>
                <w:sz w:val="18"/>
                <w:szCs w:val="18"/>
                <w:lang w:val="en-US" w:eastAsia="zh-CN"/>
              </w:rPr>
              <w:t>ia.</w:t>
            </w:r>
            <w:r>
              <w:rPr>
                <w:rFonts w:hint="eastAsia" w:ascii="宋体" w:hAnsi="宋体" w:eastAsia="宋体" w:cs="宋体"/>
                <w:sz w:val="18"/>
                <w:szCs w:val="18"/>
                <w:lang w:eastAsia="zh-CN"/>
              </w:rPr>
              <w:t>immuneTableKey</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21"/>
                <w:szCs w:val="21"/>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if key</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desc1</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 xml:space="preserve"> or key</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desc2</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 xml:space="preserve"> or key</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desc3</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 xml:space="preserve"> or key</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desc4</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9DC3E6"/>
            <w:vAlign w:val="center"/>
          </w:tcPr>
          <w:p>
            <w:pPr>
              <w:spacing w:line="240" w:lineRule="exact"/>
              <w:ind w:left="8"/>
              <w:jc w:val="center"/>
              <w:rPr>
                <w:rFonts w:hint="eastAsia" w:ascii="宋体" w:hAnsi="宋体" w:eastAsia="宋体" w:cs="宋体"/>
                <w:b/>
                <w:color w:val="auto"/>
                <w:sz w:val="18"/>
                <w:lang w:eastAsia="zh-CN"/>
              </w:rPr>
            </w:pPr>
            <w:r>
              <w:rPr>
                <w:rFonts w:hint="eastAsia" w:ascii="宋体" w:hAnsi="宋体" w:eastAsia="宋体" w:cs="宋体"/>
                <w:b/>
                <w:color w:val="auto"/>
                <w:sz w:val="18"/>
                <w:lang w:eastAsia="zh-CN"/>
              </w:rPr>
              <w:t>{%t</w:t>
            </w:r>
            <w:r>
              <w:rPr>
                <w:rFonts w:hint="eastAsia" w:ascii="宋体" w:hAnsi="宋体" w:eastAsia="宋体" w:cs="宋体"/>
                <w:b/>
                <w:color w:val="auto"/>
                <w:sz w:val="18"/>
                <w:lang w:val="en-US" w:eastAsia="zh-CN"/>
              </w:rPr>
              <w:t>c</w:t>
            </w:r>
            <w:r>
              <w:rPr>
                <w:rFonts w:hint="eastAsia" w:ascii="宋体" w:hAnsi="宋体" w:eastAsia="宋体" w:cs="宋体"/>
                <w:b/>
                <w:color w:val="auto"/>
                <w:sz w:val="18"/>
                <w:lang w:eastAsia="zh-CN"/>
              </w:rPr>
              <w:t xml:space="preserve"> for immune in i</w:t>
            </w:r>
            <w:r>
              <w:rPr>
                <w:rFonts w:hint="eastAsia" w:ascii="宋体" w:hAnsi="宋体" w:eastAsia="宋体" w:cs="宋体"/>
                <w:b/>
                <w:color w:val="auto"/>
                <w:sz w:val="18"/>
                <w:lang w:val="en-US" w:eastAsia="zh-CN"/>
              </w:rPr>
              <w:t>a.</w:t>
            </w:r>
            <w:r>
              <w:rPr>
                <w:rFonts w:hint="eastAsia" w:ascii="宋体" w:hAnsi="宋体" w:eastAsia="宋体" w:cs="宋体"/>
                <w:b/>
                <w:color w:val="auto"/>
                <w:sz w:val="18"/>
                <w:lang w:eastAsia="zh-CN"/>
              </w:rPr>
              <w:t>immune</w:t>
            </w:r>
            <w:r>
              <w:rPr>
                <w:rFonts w:hint="eastAsia" w:ascii="宋体" w:hAnsi="宋体" w:eastAsia="宋体" w:cs="宋体"/>
                <w:b/>
                <w:color w:val="auto"/>
                <w:sz w:val="18"/>
                <w:lang w:val="en-US" w:eastAsia="zh-CN"/>
              </w:rPr>
              <w:t>List</w:t>
            </w:r>
            <w:r>
              <w:rPr>
                <w:rFonts w:hint="eastAsia" w:ascii="宋体" w:hAnsi="宋体" w:eastAsia="宋体" w:cs="宋体"/>
                <w:b/>
                <w:color w:val="auto"/>
                <w:sz w:val="18"/>
                <w:lang w:eastAsia="zh-CN"/>
              </w:rPr>
              <w:t xml:space="preserve"> %}</w:t>
            </w:r>
          </w:p>
        </w:tc>
        <w:tc>
          <w:tcPr>
            <w:tcW w:w="3332" w:type="dxa"/>
            <w:tcBorders>
              <w:tl2br w:val="nil"/>
              <w:tr2bl w:val="nil"/>
            </w:tcBorders>
            <w:shd w:val="clear" w:color="auto" w:fill="9DC3E6"/>
            <w:vAlign w:val="center"/>
          </w:tcPr>
          <w:p>
            <w:pPr>
              <w:spacing w:line="240" w:lineRule="exact"/>
              <w:ind w:left="8"/>
              <w:jc w:val="center"/>
              <w:rPr>
                <w:rFonts w:hint="eastAsia" w:ascii="宋体" w:hAnsi="宋体" w:eastAsia="宋体" w:cs="宋体"/>
                <w:b/>
                <w:color w:val="auto"/>
                <w:sz w:val="18"/>
                <w:lang w:eastAsia="zh-CN"/>
              </w:rPr>
            </w:pPr>
            <w:r>
              <w:rPr>
                <w:rFonts w:hint="eastAsia" w:ascii="宋体" w:hAnsi="宋体" w:eastAsia="宋体" w:cs="宋体"/>
                <w:b/>
                <w:color w:val="auto"/>
                <w:sz w:val="18"/>
                <w:lang w:eastAsia="zh-CN"/>
              </w:rPr>
              <w:t xml:space="preserve">{% for </w:t>
            </w:r>
            <w:r>
              <w:rPr>
                <w:rFonts w:hint="eastAsia" w:ascii="宋体" w:hAnsi="宋体" w:eastAsia="宋体" w:cs="宋体"/>
                <w:b/>
                <w:color w:val="auto"/>
                <w:sz w:val="18"/>
                <w:lang w:val="en-US" w:eastAsia="zh-CN"/>
              </w:rPr>
              <w:t>i</w:t>
            </w:r>
            <w:r>
              <w:rPr>
                <w:rFonts w:hint="eastAsia" w:ascii="宋体" w:hAnsi="宋体" w:eastAsia="宋体" w:cs="宋体"/>
                <w:b/>
                <w:color w:val="auto"/>
                <w:sz w:val="18"/>
                <w:lang w:eastAsia="zh-CN"/>
              </w:rPr>
              <w:t xml:space="preserve"> in immune</w:t>
            </w:r>
            <w:r>
              <w:rPr>
                <w:rFonts w:hint="eastAsia" w:ascii="宋体" w:hAnsi="宋体" w:eastAsia="宋体" w:cs="宋体"/>
                <w:b/>
                <w:color w:val="auto"/>
                <w:sz w:val="18"/>
                <w:lang w:val="en-US" w:eastAsia="zh-CN"/>
              </w:rPr>
              <w:t>[key]</w:t>
            </w:r>
            <w:r>
              <w:rPr>
                <w:rFonts w:hint="eastAsia" w:ascii="宋体" w:hAnsi="宋体" w:eastAsia="宋体" w:cs="宋体"/>
                <w:b/>
                <w:color w:val="auto"/>
                <w:sz w:val="18"/>
                <w:lang w:eastAsia="zh-CN"/>
              </w:rPr>
              <w:t xml:space="preserve"> | </w:t>
            </w:r>
            <w:r>
              <w:rPr>
                <w:rFonts w:hint="eastAsia" w:ascii="宋体" w:hAnsi="宋体" w:eastAsia="宋体" w:cs="宋体"/>
                <w:b/>
                <w:color w:val="auto"/>
                <w:sz w:val="18"/>
                <w:lang w:val="en-US" w:eastAsia="zh-CN"/>
              </w:rPr>
              <w:t>nl</w:t>
            </w:r>
            <w:r>
              <w:rPr>
                <w:rFonts w:hint="eastAsia" w:ascii="宋体" w:hAnsi="宋体" w:eastAsia="宋体" w:cs="宋体"/>
                <w:b/>
                <w:color w:val="auto"/>
                <w:sz w:val="18"/>
                <w:lang w:eastAsia="zh-CN"/>
              </w:rPr>
              <w:t xml:space="preserve">() %}{%if loop.last%}{{ </w:t>
            </w:r>
            <w:r>
              <w:rPr>
                <w:rFonts w:hint="eastAsia" w:ascii="宋体" w:hAnsi="宋体" w:eastAsia="宋体" w:cs="宋体"/>
                <w:b/>
                <w:color w:val="auto"/>
                <w:sz w:val="18"/>
                <w:lang w:val="en-US" w:eastAsia="zh-CN"/>
              </w:rPr>
              <w:t xml:space="preserve">i </w:t>
            </w:r>
            <w:r>
              <w:rPr>
                <w:rFonts w:hint="eastAsia" w:ascii="宋体" w:hAnsi="宋体" w:eastAsia="宋体" w:cs="宋体"/>
                <w:b/>
                <w:color w:val="auto"/>
                <w:sz w:val="18"/>
                <w:lang w:eastAsia="zh-CN"/>
              </w:rPr>
              <w:t xml:space="preserve">}}{%else%}{{ </w:t>
            </w:r>
            <w:r>
              <w:rPr>
                <w:rFonts w:hint="eastAsia" w:ascii="宋体" w:hAnsi="宋体" w:eastAsia="宋体" w:cs="宋体"/>
                <w:b/>
                <w:color w:val="auto"/>
                <w:sz w:val="18"/>
                <w:lang w:val="en-US" w:eastAsia="zh-CN"/>
              </w:rPr>
              <w:t xml:space="preserve">i </w:t>
            </w:r>
            <w:r>
              <w:rPr>
                <w:rFonts w:hint="eastAsia" w:ascii="宋体" w:hAnsi="宋体" w:eastAsia="宋体" w:cs="宋体"/>
                <w:b/>
                <w:color w:val="auto"/>
                <w:sz w:val="18"/>
                <w:lang w:eastAsia="zh-CN"/>
              </w:rPr>
              <w:t>}}</w:t>
            </w:r>
          </w:p>
          <w:p>
            <w:pPr>
              <w:spacing w:line="240" w:lineRule="exact"/>
              <w:ind w:left="8"/>
              <w:jc w:val="center"/>
              <w:rPr>
                <w:rFonts w:hint="eastAsia" w:ascii="宋体" w:hAnsi="宋体" w:eastAsia="宋体" w:cs="宋体"/>
                <w:b/>
                <w:color w:val="auto"/>
                <w:sz w:val="18"/>
                <w:lang w:eastAsia="zh-CN"/>
              </w:rPr>
            </w:pPr>
            <w:r>
              <w:rPr>
                <w:rFonts w:hint="eastAsia" w:ascii="宋体" w:hAnsi="宋体" w:eastAsia="宋体" w:cs="宋体"/>
                <w:b/>
                <w:color w:val="auto"/>
                <w:sz w:val="18"/>
                <w:lang w:eastAsia="zh-CN"/>
              </w:rPr>
              <w:t>{%endif%}{% endfor%}</w:t>
            </w:r>
          </w:p>
        </w:tc>
        <w:tc>
          <w:tcPr>
            <w:tcW w:w="3061" w:type="dxa"/>
            <w:tcBorders>
              <w:tl2br w:val="nil"/>
              <w:tr2bl w:val="nil"/>
            </w:tcBorders>
            <w:shd w:val="clear" w:color="auto" w:fill="9DC3E6"/>
            <w:vAlign w:val="center"/>
          </w:tcPr>
          <w:p>
            <w:pPr>
              <w:spacing w:line="240" w:lineRule="exact"/>
              <w:ind w:left="8"/>
              <w:jc w:val="center"/>
              <w:rPr>
                <w:rFonts w:hint="eastAsia" w:ascii="宋体" w:hAnsi="宋体" w:eastAsia="宋体" w:cs="宋体"/>
                <w:b/>
                <w:color w:val="auto"/>
                <w:sz w:val="18"/>
                <w:lang w:eastAsia="zh-CN"/>
              </w:rPr>
            </w:pPr>
            <w:r>
              <w:rPr>
                <w:rFonts w:hint="eastAsia" w:ascii="宋体" w:hAnsi="宋体" w:eastAsia="宋体" w:cs="宋体"/>
                <w:b/>
                <w:color w:val="auto"/>
                <w:sz w:val="18"/>
                <w:lang w:eastAsia="zh-CN"/>
              </w:rPr>
              <w:t>{%t</w:t>
            </w:r>
            <w:r>
              <w:rPr>
                <w:rFonts w:hint="eastAsia" w:ascii="宋体" w:hAnsi="宋体" w:eastAsia="宋体" w:cs="宋体"/>
                <w:b/>
                <w:color w:val="auto"/>
                <w:sz w:val="18"/>
                <w:lang w:val="en-US" w:eastAsia="zh-CN"/>
              </w:rPr>
              <w:t>c</w:t>
            </w:r>
            <w:r>
              <w:rPr>
                <w:rFonts w:hint="eastAsia" w:ascii="宋体" w:hAnsi="宋体" w:eastAsia="宋体" w:cs="宋体"/>
                <w:b/>
                <w:color w:val="auto"/>
                <w:sz w:val="18"/>
                <w:lang w:eastAsia="zh-CN"/>
              </w:rPr>
              <w:t xml:space="preserve">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leftChars="0" w:right="74" w:rightChars="0"/>
              <w:jc w:val="center"/>
              <w:rPr>
                <w:rFonts w:hint="eastAsia" w:ascii="宋体" w:hAnsi="宋体" w:eastAsia="宋体" w:cs="宋体"/>
                <w:sz w:val="18"/>
                <w:lang w:eastAsia="zh-CN"/>
              </w:rPr>
            </w:pPr>
            <w:r>
              <w:rPr>
                <w:rFonts w:hint="eastAsia" w:ascii="宋体" w:hAnsi="宋体" w:eastAsia="宋体" w:cs="宋体"/>
                <w:sz w:val="18"/>
                <w:lang w:eastAsia="zh-CN"/>
              </w:rPr>
              <w:t>{%t</w:t>
            </w:r>
            <w:r>
              <w:rPr>
                <w:rFonts w:hint="eastAsia" w:ascii="宋体" w:hAnsi="宋体" w:eastAsia="宋体" w:cs="宋体"/>
                <w:sz w:val="18"/>
                <w:lang w:val="en-US" w:eastAsia="zh-CN"/>
              </w:rPr>
              <w:t>c</w:t>
            </w:r>
            <w:r>
              <w:rPr>
                <w:rFonts w:hint="eastAsia" w:ascii="宋体" w:hAnsi="宋体" w:eastAsia="宋体" w:cs="宋体"/>
                <w:sz w:val="18"/>
                <w:lang w:eastAsia="zh-CN"/>
              </w:rPr>
              <w:t xml:space="preserve"> for imm</w:t>
            </w:r>
            <w:r>
              <w:rPr>
                <w:rFonts w:hint="eastAsia" w:ascii="宋体" w:hAnsi="宋体" w:eastAsia="宋体" w:cs="宋体"/>
                <w:sz w:val="18"/>
                <w:szCs w:val="18"/>
                <w:lang w:eastAsia="zh-CN"/>
              </w:rPr>
              <w:t>une in i</w:t>
            </w:r>
            <w:r>
              <w:rPr>
                <w:rFonts w:hint="eastAsia" w:ascii="宋体" w:hAnsi="宋体" w:eastAsia="宋体" w:cs="宋体"/>
                <w:sz w:val="18"/>
                <w:szCs w:val="18"/>
                <w:lang w:val="en-US" w:eastAsia="zh-CN"/>
              </w:rPr>
              <w:t>a.</w:t>
            </w:r>
            <w:r>
              <w:rPr>
                <w:rFonts w:hint="eastAsia" w:ascii="宋体" w:hAnsi="宋体" w:eastAsia="宋体" w:cs="宋体"/>
                <w:sz w:val="18"/>
                <w:szCs w:val="18"/>
                <w:lang w:eastAsia="zh-CN"/>
              </w:rPr>
              <w:t>immune</w:t>
            </w:r>
            <w:r>
              <w:rPr>
                <w:rFonts w:hint="eastAsia" w:ascii="宋体" w:hAnsi="宋体" w:eastAsia="宋体" w:cs="宋体"/>
                <w:sz w:val="18"/>
                <w:szCs w:val="18"/>
                <w:lang w:val="en-US" w:eastAsia="zh-CN"/>
              </w:rPr>
              <w:t>List</w:t>
            </w:r>
            <w:r>
              <w:rPr>
                <w:rFonts w:hint="eastAsia" w:ascii="宋体" w:hAnsi="宋体" w:eastAsia="宋体" w:cs="宋体"/>
                <w:sz w:val="18"/>
                <w:szCs w:val="18"/>
                <w:lang w:eastAsia="zh-CN"/>
              </w:rPr>
              <w:t xml:space="preserve"> </w:t>
            </w:r>
            <w:r>
              <w:rPr>
                <w:rFonts w:hint="eastAsia" w:ascii="宋体" w:hAnsi="宋体" w:eastAsia="宋体" w:cs="宋体"/>
                <w:sz w:val="18"/>
                <w:lang w:eastAsia="zh-CN"/>
              </w:rPr>
              <w:t>%}</w:t>
            </w:r>
          </w:p>
        </w:tc>
        <w:tc>
          <w:tcPr>
            <w:tcW w:w="3332" w:type="dxa"/>
            <w:tcBorders>
              <w:tl2br w:val="nil"/>
              <w:tr2bl w:val="nil"/>
            </w:tcBorders>
            <w:shd w:val="clear" w:color="auto" w:fill="auto"/>
            <w:vAlign w:val="center"/>
          </w:tcPr>
          <w:p>
            <w:pPr>
              <w:spacing w:line="240" w:lineRule="exact"/>
              <w:ind w:left="82" w:leftChars="0" w:right="74" w:rightChars="0"/>
              <w:jc w:val="center"/>
              <w:rPr>
                <w:rFonts w:hint="eastAsia" w:ascii="宋体" w:hAnsi="宋体" w:eastAsia="宋体" w:cs="宋体"/>
                <w:sz w:val="18"/>
                <w:lang w:eastAsia="zh-CN"/>
              </w:rPr>
            </w:pPr>
            <w:r>
              <w:rPr>
                <w:rFonts w:hint="eastAsia" w:ascii="宋体" w:hAnsi="宋体" w:eastAsia="宋体" w:cs="宋体"/>
                <w:sz w:val="18"/>
                <w:lang w:eastAsia="zh-CN"/>
              </w:rPr>
              <w:t xml:space="preserve">{% for </w:t>
            </w:r>
            <w:r>
              <w:rPr>
                <w:rFonts w:hint="eastAsia" w:ascii="宋体" w:hAnsi="宋体" w:eastAsia="宋体" w:cs="宋体"/>
                <w:sz w:val="18"/>
                <w:lang w:val="en-US" w:eastAsia="zh-CN"/>
              </w:rPr>
              <w:t>i</w:t>
            </w:r>
            <w:r>
              <w:rPr>
                <w:rFonts w:hint="eastAsia" w:ascii="宋体" w:hAnsi="宋体" w:eastAsia="宋体" w:cs="宋体"/>
                <w:sz w:val="18"/>
                <w:lang w:eastAsia="zh-CN"/>
              </w:rPr>
              <w:t xml:space="preserve"> in immune</w:t>
            </w:r>
            <w:r>
              <w:rPr>
                <w:rFonts w:hint="eastAsia" w:ascii="宋体" w:hAnsi="宋体" w:eastAsia="宋体" w:cs="宋体"/>
                <w:sz w:val="18"/>
                <w:lang w:val="en-US" w:eastAsia="zh-CN"/>
              </w:rPr>
              <w:t>[key]</w:t>
            </w:r>
            <w:r>
              <w:rPr>
                <w:rFonts w:hint="eastAsia" w:ascii="宋体" w:hAnsi="宋体" w:eastAsia="宋体" w:cs="宋体"/>
                <w:sz w:val="18"/>
                <w:lang w:eastAsia="zh-CN"/>
              </w:rPr>
              <w:t xml:space="preserve"> | </w:t>
            </w:r>
            <w:r>
              <w:rPr>
                <w:rFonts w:hint="eastAsia" w:ascii="宋体" w:hAnsi="宋体" w:eastAsia="宋体" w:cs="宋体"/>
                <w:sz w:val="18"/>
                <w:lang w:val="en-US" w:eastAsia="zh-CN"/>
              </w:rPr>
              <w:t>nl</w:t>
            </w:r>
            <w:r>
              <w:rPr>
                <w:rFonts w:hint="eastAsia" w:ascii="宋体" w:hAnsi="宋体" w:eastAsia="宋体" w:cs="宋体"/>
                <w:sz w:val="18"/>
                <w:lang w:eastAsia="zh-CN"/>
              </w:rPr>
              <w:t xml:space="preserve">() %}{%if loop.last%}{{ </w:t>
            </w:r>
            <w:r>
              <w:rPr>
                <w:rFonts w:hint="eastAsia" w:ascii="宋体" w:hAnsi="宋体" w:eastAsia="宋体" w:cs="宋体"/>
                <w:sz w:val="18"/>
                <w:lang w:val="en-US" w:eastAsia="zh-CN"/>
              </w:rPr>
              <w:t xml:space="preserve">i </w:t>
            </w:r>
            <w:r>
              <w:rPr>
                <w:rFonts w:hint="eastAsia" w:ascii="宋体" w:hAnsi="宋体" w:eastAsia="宋体" w:cs="宋体"/>
                <w:sz w:val="18"/>
                <w:lang w:eastAsia="zh-CN"/>
              </w:rPr>
              <w:t xml:space="preserve">}}{%else%}{{ </w:t>
            </w:r>
            <w:r>
              <w:rPr>
                <w:rFonts w:hint="eastAsia" w:ascii="宋体" w:hAnsi="宋体" w:eastAsia="宋体" w:cs="宋体"/>
                <w:sz w:val="18"/>
                <w:lang w:val="en-US" w:eastAsia="zh-CN"/>
              </w:rPr>
              <w:t xml:space="preserve">i </w:t>
            </w:r>
            <w:r>
              <w:rPr>
                <w:rFonts w:hint="eastAsia" w:ascii="宋体" w:hAnsi="宋体" w:eastAsia="宋体" w:cs="宋体"/>
                <w:sz w:val="18"/>
                <w:lang w:eastAsia="zh-CN"/>
              </w:rPr>
              <w:t>}}</w:t>
            </w:r>
          </w:p>
          <w:p>
            <w:pPr>
              <w:spacing w:line="240" w:lineRule="exact"/>
              <w:ind w:left="82" w:leftChars="0" w:right="74" w:rightChars="0"/>
              <w:jc w:val="center"/>
              <w:rPr>
                <w:rFonts w:hint="eastAsia" w:ascii="宋体" w:hAnsi="宋体" w:eastAsia="宋体" w:cs="宋体"/>
                <w:sz w:val="18"/>
                <w:lang w:eastAsia="zh-CN"/>
              </w:rPr>
            </w:pPr>
            <w:r>
              <w:rPr>
                <w:rFonts w:hint="eastAsia" w:ascii="宋体" w:hAnsi="宋体" w:eastAsia="宋体" w:cs="宋体"/>
                <w:sz w:val="18"/>
                <w:lang w:eastAsia="zh-CN"/>
              </w:rPr>
              <w:t>{%endif%}{% endfor%}</w:t>
            </w:r>
          </w:p>
        </w:tc>
        <w:tc>
          <w:tcPr>
            <w:tcW w:w="3061" w:type="dxa"/>
            <w:tcBorders>
              <w:tl2br w:val="nil"/>
              <w:tr2bl w:val="nil"/>
            </w:tcBorders>
            <w:shd w:val="clear" w:color="auto" w:fill="auto"/>
            <w:vAlign w:val="center"/>
          </w:tcPr>
          <w:p>
            <w:pPr>
              <w:spacing w:line="240" w:lineRule="exact"/>
              <w:ind w:left="82" w:leftChars="0" w:right="74" w:rightChars="0"/>
              <w:jc w:val="center"/>
              <w:rPr>
                <w:rFonts w:hint="eastAsia" w:ascii="宋体" w:hAnsi="宋体" w:eastAsia="宋体" w:cs="宋体"/>
                <w:sz w:val="18"/>
                <w:lang w:eastAsia="zh-CN"/>
              </w:rPr>
            </w:pPr>
            <w:r>
              <w:rPr>
                <w:rFonts w:hint="eastAsia" w:ascii="宋体" w:hAnsi="宋体" w:eastAsia="宋体" w:cs="宋体"/>
                <w:sz w:val="18"/>
                <w:lang w:eastAsia="zh-CN"/>
              </w:rPr>
              <w:t>{%t</w:t>
            </w:r>
            <w:r>
              <w:rPr>
                <w:rFonts w:hint="eastAsia" w:ascii="宋体" w:hAnsi="宋体" w:eastAsia="宋体" w:cs="宋体"/>
                <w:sz w:val="18"/>
                <w:lang w:val="en-US" w:eastAsia="zh-CN"/>
              </w:rPr>
              <w:t>c</w:t>
            </w:r>
            <w:r>
              <w:rPr>
                <w:rFonts w:hint="eastAsia" w:ascii="宋体" w:hAnsi="宋体" w:eastAsia="宋体" w:cs="宋体"/>
                <w:sz w:val="18"/>
                <w:lang w:eastAsia="zh-CN"/>
              </w:rPr>
              <w:t xml:space="preserve">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w:t>
            </w:r>
            <w:r>
              <w:rPr>
                <w:rFonts w:hint="eastAsia" w:ascii="宋体" w:hAnsi="宋体" w:eastAsia="宋体" w:cs="宋体"/>
                <w:sz w:val="18"/>
                <w:szCs w:val="18"/>
                <w:lang w:val="en-US" w:eastAsia="zh-CN"/>
              </w:rPr>
              <w:t>if</w:t>
            </w:r>
            <w:r>
              <w:rPr>
                <w:rFonts w:hint="eastAsia" w:ascii="宋体" w:hAnsi="宋体" w:eastAsia="宋体" w:cs="宋体"/>
                <w:sz w:val="18"/>
                <w:szCs w:val="18"/>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lang w:eastAsia="zh-CN"/>
        </w:rPr>
        <w:t>注：表中已获批药物包括单药获批药物和联药获批药物。信息来源：FDA/NMPA官网、药企官网发布信息。</w:t>
      </w:r>
    </w:p>
    <w:p>
      <w:pPr>
        <w:numPr>
          <w:ilvl w:val="0"/>
          <w:numId w:val="0"/>
        </w:numPr>
        <w:spacing w:line="360" w:lineRule="auto"/>
        <w:ind w:leftChars="0"/>
        <w:rPr>
          <w:rFonts w:hint="eastAsia" w:ascii="宋体" w:hAnsi="宋体" w:eastAsia="宋体" w:cs="宋体"/>
          <w:sz w:val="18"/>
          <w:szCs w:val="18"/>
          <w:lang w:eastAsia="zh-CN"/>
        </w:rPr>
      </w:pPr>
      <w:r>
        <w:br w:type="page"/>
      </w:r>
      <w:r>
        <w:rPr>
          <w:rFonts w:hint="eastAsia" w:ascii="宋体" w:hAnsi="宋体" w:eastAsia="宋体" w:cs="宋体"/>
          <w:sz w:val="24"/>
          <w:szCs w:val="24"/>
          <w:lang w:eastAsia="zh-CN"/>
        </w:rPr>
        <w:t>{% end</w:t>
      </w:r>
      <w:r>
        <w:rPr>
          <w:rFonts w:hint="eastAsia" w:ascii="宋体" w:hAnsi="宋体" w:eastAsia="宋体" w:cs="宋体"/>
          <w:sz w:val="24"/>
          <w:szCs w:val="24"/>
          <w:lang w:val="en-US" w:eastAsia="zh-CN"/>
        </w:rPr>
        <w:t>for</w:t>
      </w:r>
      <w:r>
        <w:rPr>
          <w:rFonts w:hint="eastAsia" w:ascii="宋体" w:hAnsi="宋体" w:eastAsia="宋体" w:cs="宋体"/>
          <w:sz w:val="24"/>
          <w:szCs w:val="24"/>
          <w:lang w:eastAsia="zh-CN"/>
        </w:rPr>
        <w:t xml:space="preserve"> %}</w:t>
      </w: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53" w:name="_Toc2545"/>
      <w:r>
        <w:rPr>
          <w:rFonts w:hint="eastAsia" w:ascii="Times New Roman" w:hAnsi="Times New Roman" w:eastAsia="宋体" w:cs="宋体"/>
          <w:b/>
          <w:bCs/>
          <w:spacing w:val="23"/>
          <w:sz w:val="24"/>
          <w:szCs w:val="24"/>
        </w:rPr>
        <w:t>基因检测结果解析</w:t>
      </w:r>
      <w:bookmarkEnd w:id="38"/>
      <w:bookmarkEnd w:id="39"/>
      <w:bookmarkEnd w:id="40"/>
      <w:bookmarkEnd w:id="41"/>
      <w:bookmarkEnd w:id="42"/>
      <w:bookmarkEnd w:id="43"/>
      <w:bookmarkEnd w:id="44"/>
      <w:bookmarkEnd w:id="45"/>
      <w:bookmarkEnd w:id="53"/>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color w:val="auto"/>
          <w:spacing w:val="11"/>
          <w:sz w:val="21"/>
          <w:szCs w:val="21"/>
          <w:lang w:eastAsia="zh-CN"/>
        </w:rPr>
      </w:pPr>
      <w:bookmarkStart w:id="54" w:name="_Toc29383"/>
      <w:bookmarkStart w:id="55" w:name="_Toc32468"/>
      <w:bookmarkStart w:id="56" w:name="_Toc26395"/>
      <w:bookmarkStart w:id="57" w:name="_Toc6784"/>
      <w:r>
        <w:rPr>
          <w:rFonts w:hint="eastAsia" w:ascii="宋体" w:hAnsi="宋体" w:eastAsia="宋体" w:cs="宋体"/>
          <w:bCs/>
          <w:spacing w:val="6"/>
          <w:sz w:val="21"/>
          <w:szCs w:val="21"/>
          <w:lang w:eastAsia="zh-CN"/>
        </w:rPr>
        <w:t>{% if BodyDrugDrugDetectionStr == [] and unknownVarAnalysisStr == []%}未检出靶向用药相关的</w:t>
      </w:r>
      <w:r>
        <w:rPr>
          <w:rFonts w:hint="eastAsia" w:cs="宋体"/>
          <w:bCs/>
          <w:spacing w:val="6"/>
          <w:sz w:val="21"/>
          <w:szCs w:val="21"/>
          <w:lang w:val="en-US" w:eastAsia="zh-CN"/>
        </w:rPr>
        <w:t>变异位点</w:t>
      </w:r>
      <w:r>
        <w:rPr>
          <w:rFonts w:hint="eastAsia" w:ascii="宋体" w:hAnsi="宋体" w:eastAsia="宋体" w:cs="宋体"/>
          <w:bCs/>
          <w:spacing w:val="6"/>
          <w:sz w:val="21"/>
          <w:szCs w:val="21"/>
          <w:lang w:eastAsia="zh-CN"/>
        </w:rPr>
        <w:t>；未检出未知临床意义</w:t>
      </w:r>
      <w:r>
        <w:rPr>
          <w:rFonts w:hint="eastAsia" w:cs="宋体"/>
          <w:bCs/>
          <w:spacing w:val="6"/>
          <w:sz w:val="21"/>
          <w:szCs w:val="21"/>
          <w:lang w:val="en-US" w:eastAsia="zh-CN"/>
        </w:rPr>
        <w:t>变异位点</w:t>
      </w:r>
      <w:r>
        <w:rPr>
          <w:rFonts w:hint="eastAsia" w:ascii="宋体" w:hAnsi="宋体" w:eastAsia="宋体" w:cs="宋体"/>
          <w:bCs/>
          <w:spacing w:val="6"/>
          <w:sz w:val="21"/>
          <w:szCs w:val="21"/>
          <w:lang w:eastAsia="zh-CN"/>
        </w:rPr>
        <w:t>。{% endif %}</w:t>
      </w:r>
      <w:r>
        <w:rPr>
          <w:rFonts w:hint="eastAsia" w:ascii="宋体" w:hAnsi="宋体" w:eastAsia="宋体" w:cs="宋体"/>
          <w:b/>
          <w:bCs w:val="0"/>
          <w:spacing w:val="6"/>
          <w:sz w:val="21"/>
          <w:szCs w:val="21"/>
          <w:lang w:eastAsia="zh-CN"/>
        </w:rPr>
        <w:t>{%if BodyDrugDrugDetectionStr or unknownVarAnalysisStr %}</w:t>
      </w:r>
    </w:p>
    <w:p>
      <w:pPr>
        <w:pStyle w:val="38"/>
        <w:numPr>
          <w:ilvl w:val="0"/>
          <w:numId w:val="11"/>
        </w:numPr>
        <w:bidi w:val="0"/>
        <w:spacing w:line="360" w:lineRule="auto"/>
        <w:ind w:left="425" w:leftChars="0" w:hanging="425" w:firstLineChars="0"/>
        <w:jc w:val="left"/>
        <w:rPr>
          <w:b/>
          <w:bCs/>
          <w:spacing w:val="23"/>
          <w:sz w:val="21"/>
          <w:szCs w:val="21"/>
        </w:rPr>
      </w:pPr>
      <w:bookmarkStart w:id="58" w:name="_Toc13893"/>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变异</w:t>
      </w:r>
      <w:r>
        <w:rPr>
          <w:rFonts w:hint="eastAsia" w:cs="宋体"/>
          <w:b/>
          <w:bCs/>
          <w:color w:val="000000" w:themeColor="text1"/>
          <w:spacing w:val="23"/>
          <w:sz w:val="21"/>
          <w:szCs w:val="21"/>
          <w:lang w:val="en-US" w:eastAsia="zh-CN" w:bidi="ar-SA"/>
          <w14:textFill>
            <w14:solidFill>
              <w14:schemeClr w14:val="tx1"/>
            </w14:solidFill>
          </w14:textFill>
        </w:rPr>
        <w:t>位点</w:t>
      </w:r>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结果解析</w:t>
      </w:r>
      <w:bookmarkEnd w:id="58"/>
    </w:p>
    <w:p>
      <w:pPr>
        <w:pStyle w:val="38"/>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outlineLvl w:val="9"/>
        <w:rPr>
          <w:b/>
          <w:bCs/>
          <w:spacing w:val="23"/>
          <w:sz w:val="10"/>
          <w:szCs w:val="10"/>
        </w:rPr>
      </w:pPr>
      <w:bookmarkStart w:id="59" w:name="_Toc30182"/>
      <w:bookmarkStart w:id="60" w:name="_Toc17311"/>
      <w:bookmarkStart w:id="61" w:name="_Toc8327"/>
      <w:r>
        <w:rPr>
          <w:rFonts w:hint="eastAsia" w:ascii="宋体" w:hAnsi="宋体" w:eastAsia="宋体" w:cs="宋体"/>
          <w:b/>
          <w:bCs/>
          <w:sz w:val="10"/>
          <w:szCs w:val="10"/>
          <w:lang w:eastAsia="zh-CN"/>
        </w:rPr>
        <w:t>{% for tdd in BodyDrugNoComplexStr %}</w:t>
      </w:r>
      <w:bookmarkEnd w:id="59"/>
      <w:bookmarkEnd w:id="60"/>
      <w:bookmarkEnd w:id="61"/>
    </w:p>
    <w:p>
      <w:pPr>
        <w:keepNext/>
        <w:spacing w:before="120" w:beforeLines="50" w:after="120" w:afterLines="50"/>
        <w:rPr>
          <w:rFonts w:hint="eastAsia" w:ascii="宋体" w:hAnsi="宋体" w:eastAsia="宋体" w:cs="宋体"/>
          <w:b/>
          <w:bCs w:val="0"/>
          <w:i/>
          <w:iCs/>
          <w:color w:val="auto"/>
          <w:sz w:val="24"/>
          <w:szCs w:val="24"/>
          <w:u w:val="single"/>
          <w:lang w:eastAsia="zh-CN"/>
        </w:rPr>
      </w:pPr>
      <w:r>
        <w:rPr>
          <w:rFonts w:hint="eastAsia" w:ascii="宋体" w:hAnsi="宋体" w:eastAsia="宋体" w:cs="宋体"/>
          <w:b/>
          <w:bCs w:val="0"/>
          <w:i/>
          <w:iCs/>
          <w:color w:val="auto"/>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bookmarkEnd w:id="54"/>
      <w:bookmarkEnd w:id="55"/>
      <w:bookmarkEnd w:id="56"/>
      <w:bookmarkEnd w:id="57"/>
    </w:tbl>
    <w:p>
      <w:pPr>
        <w:keepNext/>
        <w:spacing w:before="26"/>
        <w:rPr>
          <w:rFonts w:hint="eastAsia" w:ascii="宋体" w:hAnsi="宋体" w:eastAsia="宋体" w:cs="宋体"/>
          <w:b/>
          <w:color w:val="auto"/>
          <w:sz w:val="21"/>
          <w:szCs w:val="21"/>
          <w:lang w:eastAsia="zh-CN"/>
        </w:rPr>
      </w:pPr>
      <w:bookmarkStart w:id="62" w:name="_Toc26649"/>
      <w:bookmarkStart w:id="63" w:name="_Toc21764_WPSOffice_Level2"/>
      <w:bookmarkStart w:id="64" w:name="_Toc3782"/>
      <w:bookmarkStart w:id="65" w:name="_Toc15530"/>
      <w:bookmarkStart w:id="66" w:name="_Toc16347"/>
      <w:bookmarkStart w:id="67" w:name="_Toc1707_WPSOffice_Level2"/>
      <w:bookmarkStart w:id="68" w:name="_Toc6988"/>
      <w:r>
        <w:rPr>
          <w:rFonts w:hint="eastAsia" w:ascii="宋体" w:hAnsi="宋体" w:eastAsia="宋体" w:cs="宋体"/>
          <w:b/>
          <w:color w:val="auto"/>
          <w:sz w:val="21"/>
          <w:szCs w:val="21"/>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4"/>
          <w:lang w:eastAsia="zh-CN"/>
        </w:rPr>
      </w:pPr>
      <w:r>
        <w:rPr>
          <w:rFonts w:hint="eastAsia" w:ascii="宋体" w:hAnsi="宋体" w:eastAsia="宋体" w:cs="宋体"/>
          <w:b/>
          <w:color w:val="auto"/>
          <w:sz w:val="24"/>
          <w:lang w:eastAsia="zh-CN"/>
        </w:rPr>
        <w:t xml:space="preserve">{% endif %}{%if </w:t>
      </w:r>
      <w:r>
        <w:rPr>
          <w:rFonts w:hint="eastAsia" w:ascii="宋体" w:hAnsi="宋体" w:eastAsia="宋体" w:cs="宋体"/>
          <w:b/>
          <w:color w:val="auto"/>
          <w:sz w:val="24"/>
          <w:szCs w:val="24"/>
          <w:lang w:eastAsia="zh-CN"/>
        </w:rPr>
        <w:t>tdd.</w:t>
      </w:r>
      <w:r>
        <w:rPr>
          <w:rFonts w:hint="eastAsia" w:ascii="宋体" w:hAnsi="宋体" w:eastAsia="宋体" w:cs="宋体"/>
          <w:b/>
          <w:color w:val="auto"/>
          <w:sz w:val="24"/>
          <w:lang w:eastAsia="zh-CN"/>
        </w:rPr>
        <w:t>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0"/>
        <w:gridCol w:w="1505"/>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0"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0"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5"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widowControl/>
        <w:rPr>
          <w:rFonts w:hint="eastAsia" w:ascii="宋体" w:hAnsi="宋体" w:eastAsia="宋体" w:cs="宋体"/>
          <w:b/>
          <w:color w:val="auto"/>
          <w:sz w:val="24"/>
          <w:szCs w:val="24"/>
          <w:lang w:eastAsia="zh-CN"/>
        </w:rPr>
      </w:pPr>
      <w:r>
        <w:rPr>
          <w:rFonts w:hint="eastAsia" w:ascii="宋体" w:hAnsi="宋体" w:eastAsia="宋体" w:cs="宋体"/>
          <w:b/>
          <w:color w:val="auto"/>
          <w:sz w:val="24"/>
          <w:szCs w:val="24"/>
          <w:lang w:eastAsia="zh-CN"/>
        </w:rPr>
        <w:t>{% endif %}{% endfor %}{% for vus in unknownVarAnalysisStr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vus.gene}}</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6"/>
        <w:gridCol w:w="8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突变形式</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vus.mutDesc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基因说明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vus.gene_description_chinese }}</w:t>
            </w:r>
          </w:p>
        </w:tc>
      </w:tr>
    </w:tbl>
    <w:p>
      <w:pPr>
        <w:rPr>
          <w:rFonts w:hint="eastAsia" w:ascii="宋体" w:hAnsi="宋体" w:eastAsia="宋体" w:cs="宋体"/>
          <w:b/>
          <w:color w:val="000000" w:themeColor="text1"/>
          <w:sz w:val="20"/>
          <w:szCs w:val="20"/>
          <w:lang w:eastAsia="zh-CN"/>
          <w14:textFill>
            <w14:solidFill>
              <w14:schemeClr w14:val="tx1"/>
            </w14:solidFill>
          </w14:textFill>
        </w:rPr>
      </w:pPr>
      <w:r>
        <w:rPr>
          <w:rFonts w:hint="eastAsia" w:ascii="宋体" w:hAnsi="宋体" w:eastAsia="宋体" w:cs="宋体"/>
          <w:b/>
          <w:color w:val="000000" w:themeColor="text1"/>
          <w:sz w:val="20"/>
          <w:szCs w:val="20"/>
          <w:lang w:eastAsia="zh-CN"/>
          <w14:textFill>
            <w14:solidFill>
              <w14:schemeClr w14:val="tx1"/>
            </w14:solidFill>
          </w14:textFill>
        </w:rPr>
        <w:t>{% endfor %}{% for tdd in ComplexDrugStr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tdd.comutation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1"/>
        <w:gridCol w:w="1504"/>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4"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4"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rPr>
          <w:rFonts w:hint="eastAsia" w:ascii="宋体" w:hAnsi="宋体" w:eastAsia="宋体" w:cs="宋体"/>
          <w:sz w:val="20"/>
          <w:szCs w:val="18"/>
          <w:lang w:eastAsia="zh-CN"/>
        </w:rPr>
      </w:pPr>
      <w:r>
        <w:rPr>
          <w:rFonts w:hint="eastAsia" w:ascii="宋体" w:hAnsi="宋体" w:eastAsia="宋体" w:cs="宋体"/>
          <w:b/>
          <w:sz w:val="24"/>
          <w:szCs w:val="24"/>
          <w:lang w:eastAsia="zh-CN"/>
        </w:rPr>
        <w:t>{% endif %}{% endfor %}</w:t>
      </w:r>
      <w:r>
        <w:rPr>
          <w:rFonts w:hint="eastAsia" w:ascii="宋体" w:hAnsi="宋体" w:eastAsia="宋体" w:cs="宋体"/>
          <w:sz w:val="20"/>
          <w:szCs w:val="18"/>
          <w:lang w:eastAsia="zh-CN"/>
        </w:rPr>
        <w:br w:type="page"/>
      </w:r>
      <w:r>
        <w:rPr>
          <w:rFonts w:hint="eastAsia" w:ascii="宋体" w:hAnsi="宋体" w:eastAsia="宋体" w:cs="宋体"/>
          <w:b/>
          <w:sz w:val="24"/>
          <w:szCs w:val="24"/>
          <w:lang w:eastAsia="zh-CN"/>
        </w:rPr>
        <w:t>{% endif %}</w:t>
      </w:r>
    </w:p>
    <w:p>
      <w:pPr>
        <w:pStyle w:val="38"/>
        <w:numPr>
          <w:ilvl w:val="0"/>
          <w:numId w:val="11"/>
        </w:numPr>
        <w:bidi w:val="0"/>
        <w:spacing w:line="360" w:lineRule="auto"/>
        <w:ind w:left="425" w:leftChars="0" w:hanging="425" w:firstLineChars="0"/>
        <w:jc w:val="left"/>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pPr>
      <w:bookmarkStart w:id="69" w:name="_Toc12392"/>
      <w:bookmarkStart w:id="70" w:name="_Toc19804"/>
      <w:bookmarkStart w:id="71" w:name="_Toc15294"/>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免疫检测结果解析</w:t>
      </w:r>
      <w:bookmarkEnd w:id="69"/>
      <w:bookmarkEnd w:id="70"/>
      <w:bookmarkEnd w:id="71"/>
    </w:p>
    <w:p>
      <w:pPr>
        <w:pStyle w:val="38"/>
        <w:numPr>
          <w:ilvl w:val="1"/>
          <w:numId w:val="11"/>
        </w:numPr>
        <w:bidi w:val="0"/>
        <w:spacing w:line="360" w:lineRule="auto"/>
        <w:ind w:left="567" w:leftChars="0" w:hanging="567" w:firstLineChars="0"/>
        <w:jc w:val="left"/>
        <w:outlineLvl w:val="9"/>
        <w:rPr>
          <w:rFonts w:hint="eastAsia" w:ascii="宋体" w:hAnsi="宋体" w:eastAsia="宋体" w:cs="宋体"/>
          <w:b/>
          <w:color w:val="auto"/>
          <w:sz w:val="21"/>
          <w:szCs w:val="21"/>
          <w:lang w:eastAsia="zh-CN"/>
        </w:rPr>
      </w:pPr>
      <w:bookmarkStart w:id="72" w:name="_Toc16967"/>
      <w:bookmarkStart w:id="73" w:name="_Toc15588"/>
      <w:bookmarkStart w:id="74" w:name="_Toc5418"/>
      <w:r>
        <w:rPr>
          <w:rFonts w:hint="eastAsia" w:ascii="宋体" w:hAnsi="宋体" w:eastAsia="宋体" w:cs="宋体"/>
          <w:b/>
          <w:color w:val="auto"/>
          <w:spacing w:val="6"/>
          <w:sz w:val="21"/>
          <w:szCs w:val="21"/>
          <w:lang w:eastAsia="zh-CN" w:bidi="ar"/>
        </w:rPr>
        <w:t>微卫星不稳定（MSI）检测结果解析</w:t>
      </w:r>
      <w:bookmarkEnd w:id="72"/>
      <w:bookmarkEnd w:id="73"/>
      <w:bookmarkEnd w:id="74"/>
    </w:p>
    <w:tbl>
      <w:tblPr>
        <w:tblStyle w:val="14"/>
        <w:tblW w:w="10205"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750"/>
        <w:gridCol w:w="445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检测项目</w:t>
            </w:r>
          </w:p>
        </w:tc>
        <w:tc>
          <w:tcPr>
            <w:tcW w:w="4294"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b/>
                <w:bCs/>
                <w:sz w:val="21"/>
                <w:szCs w:val="21"/>
                <w:lang w:eastAsia="zh-CN"/>
              </w:rPr>
              <w:t>微卫星不稳定（microsatellite instability，MSI）</w:t>
            </w:r>
          </w:p>
        </w:tc>
        <w:tc>
          <w:tcPr>
            <w:tcW w:w="4294"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summaryOfRresults.</w:t>
            </w:r>
            <w:r>
              <w:rPr>
                <w:rFonts w:hint="eastAsia" w:ascii="宋体" w:hAnsi="宋体" w:eastAsia="宋体" w:cs="宋体"/>
                <w:sz w:val="21"/>
                <w:lang w:eastAsia="zh-CN"/>
              </w:rPr>
              <w:t>msi_status_state</w:t>
            </w:r>
            <w:r>
              <w:rPr>
                <w:rFonts w:hint="eastAsia" w:ascii="宋体" w:hAnsi="宋体" w:eastAsia="宋体" w:cs="宋体"/>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b/>
                <w:bCs/>
                <w:sz w:val="21"/>
                <w:szCs w:val="21"/>
                <w:lang w:eastAsia="zh-CN"/>
              </w:rPr>
            </w:pPr>
          </w:p>
        </w:tc>
        <w:tc>
          <w:tcPr>
            <w:tcW w:w="4294"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r>
              <w:rPr>
                <w:rFonts w:hint="eastAsia" w:ascii="宋体" w:hAnsi="宋体" w:eastAsia="宋体" w:cs="宋体"/>
                <w:b/>
                <w:spacing w:val="6"/>
                <w:sz w:val="18"/>
                <w:shd w:val="clear" w:color="auto" w:fill="FFFFFF"/>
                <w:lang w:eastAsia="zh-CN"/>
              </w:rPr>
              <w:t>指标解析：</w:t>
            </w:r>
          </w:p>
          <w:p>
            <w:pPr>
              <w:keepNext w:val="0"/>
              <w:keepLines w:val="0"/>
              <w:pageBreakBefore w:val="0"/>
              <w:widowControl w:val="0"/>
              <w:kinsoku/>
              <w:wordWrap/>
              <w:overflowPunct/>
              <w:topLinePunct w:val="0"/>
              <w:autoSpaceDE/>
              <w:autoSpaceDN/>
              <w:bidi w:val="0"/>
              <w:adjustRightInd/>
              <w:snapToGrid/>
              <w:spacing w:line="312" w:lineRule="auto"/>
              <w:ind w:firstLine="384" w:firstLineChars="200"/>
              <w:textAlignment w:val="auto"/>
              <w:rPr>
                <w:rFonts w:hint="eastAsia" w:ascii="宋体" w:hAnsi="宋体" w:eastAsia="宋体" w:cs="宋体"/>
                <w:sz w:val="18"/>
                <w:shd w:val="clear" w:color="auto" w:fill="FFFFFF"/>
                <w:lang w:eastAsia="zh-CN"/>
              </w:rPr>
            </w:pPr>
            <w:r>
              <w:rPr>
                <w:rFonts w:hint="eastAsia" w:ascii="宋体" w:hAnsi="宋体" w:eastAsia="宋体" w:cs="宋体"/>
                <w:spacing w:val="6"/>
                <w:sz w:val="18"/>
                <w:shd w:val="clear" w:color="auto" w:fill="FFFFFF"/>
                <w:lang w:eastAsia="zh-CN"/>
              </w:rPr>
              <w:t>微卫星不稳定（MSI）是由于在DNA复制时插入或缺失突变引起的微卫星序列长度改变的现象。MSI结果可以分为微卫星稳定型（MSS）、微卫星不稳定型（MSI-H）。MSI-H型结直肠癌、胃癌、子宫内膜癌、胆管癌及胰腺癌等患者可能从免疫治疗PD-1抑制剂类药物中获益。</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18"/>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r>
              <w:rPr>
                <w:rFonts w:hint="eastAsia" w:ascii="宋体" w:hAnsi="宋体" w:eastAsia="宋体" w:cs="宋体"/>
                <w:b/>
                <w:spacing w:val="6"/>
                <w:sz w:val="18"/>
                <w:shd w:val="clear" w:color="auto" w:fill="FFFFFF"/>
                <w:lang w:eastAsia="zh-CN"/>
              </w:rPr>
              <w:t>临床意义：</w:t>
            </w:r>
          </w:p>
          <w:p>
            <w:pPr>
              <w:keepNext w:val="0"/>
              <w:keepLines w:val="0"/>
              <w:pageBreakBefore w:val="0"/>
              <w:widowControl w:val="0"/>
              <w:numPr>
                <w:ilvl w:val="0"/>
                <w:numId w:val="12"/>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keepNext w:val="0"/>
              <w:keepLines w:val="0"/>
              <w:pageBreakBefore w:val="0"/>
              <w:widowControl w:val="0"/>
              <w:numPr>
                <w:ilvl w:val="0"/>
                <w:numId w:val="12"/>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keepNext w:val="0"/>
              <w:keepLines w:val="0"/>
              <w:pageBreakBefore w:val="0"/>
              <w:widowControl w:val="0"/>
              <w:numPr>
                <w:ilvl w:val="0"/>
                <w:numId w:val="12"/>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keepNext w:val="0"/>
              <w:keepLines w:val="0"/>
              <w:pageBreakBefore w:val="0"/>
              <w:widowControl w:val="0"/>
              <w:numPr>
                <w:ilvl w:val="0"/>
                <w:numId w:val="12"/>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keepNext w:val="0"/>
              <w:keepLines w:val="0"/>
              <w:pageBreakBefore w:val="0"/>
              <w:widowControl w:val="0"/>
              <w:numPr>
                <w:ilvl w:val="0"/>
                <w:numId w:val="12"/>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keepNext w:val="0"/>
              <w:keepLines w:val="0"/>
              <w:pageBreakBefore w:val="0"/>
              <w:widowControl w:val="0"/>
              <w:numPr>
                <w:ilvl w:val="0"/>
                <w:numId w:val="12"/>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keepNext w:val="0"/>
              <w:keepLines w:val="0"/>
              <w:pageBreakBefore w:val="0"/>
              <w:widowControl w:val="0"/>
              <w:numPr>
                <w:ilvl w:val="0"/>
                <w:numId w:val="12"/>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替雷利珠单抗用于治疗不可切除或转移性微卫星高度不稳定型（MSI-H）或错配修复基因缺陷型(dMMR)的成人晚期实体瘤患者，包括既往接受过氟尿嘧啶类、奥沙利铂和伊立替康治疗后出现疾病进展的晚期结直肠癌患者；既往治疗后出现疾病进展且无满意替代治疗方案的其他晚期实体瘤患者。</w:t>
            </w:r>
          </w:p>
          <w:p>
            <w:pPr>
              <w:keepNext w:val="0"/>
              <w:keepLines w:val="0"/>
              <w:pageBreakBefore w:val="0"/>
              <w:widowControl w:val="0"/>
              <w:numPr>
                <w:ilvl w:val="0"/>
                <w:numId w:val="12"/>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特普利单抗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keepNext w:val="0"/>
              <w:keepLines w:val="0"/>
              <w:pageBreakBefore w:val="0"/>
              <w:widowControl w:val="0"/>
              <w:numPr>
                <w:ilvl w:val="0"/>
                <w:numId w:val="12"/>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斯鲁利单抗用于不可切除或转移性微卫星高度不稳定（MSI-H）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患者。</w:t>
            </w:r>
          </w:p>
          <w:p>
            <w:pPr>
              <w:keepNext w:val="0"/>
              <w:keepLines w:val="0"/>
              <w:pageBreakBefore w:val="0"/>
              <w:widowControl w:val="0"/>
              <w:numPr>
                <w:ilvl w:val="0"/>
                <w:numId w:val="12"/>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keepNext w:val="0"/>
              <w:keepLines w:val="0"/>
              <w:pageBreakBefore w:val="0"/>
              <w:widowControl w:val="0"/>
              <w:numPr>
                <w:ilvl w:val="0"/>
                <w:numId w:val="12"/>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联合仑伐替尼用于治疗既往在任何情况下接受系统治疗后疾病进展、不适合根治性手术或放疗、经检测证实不是微卫星高不稳定性（MSI-H）或不是错配修复缺陷（dMMR）的晚期子宫内膜癌（EC）患者。</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rPr>
            </w:pPr>
            <w:r>
              <w:rPr>
                <w:rFonts w:hint="eastAsia" w:ascii="宋体" w:hAnsi="宋体" w:eastAsia="宋体" w:cs="宋体"/>
                <w:b/>
                <w:spacing w:val="6"/>
                <w:sz w:val="18"/>
                <w:shd w:val="clear" w:color="auto" w:fill="FFFFFF"/>
              </w:rPr>
              <w:t>注：</w:t>
            </w:r>
          </w:p>
          <w:p>
            <w:pPr>
              <w:keepNext w:val="0"/>
              <w:keepLines w:val="0"/>
              <w:pageBreakBefore w:val="0"/>
              <w:widowControl w:val="0"/>
              <w:numPr>
                <w:ilvl w:val="0"/>
                <w:numId w:val="13"/>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zCs w:val="18"/>
                <w:shd w:val="clear" w:color="auto" w:fill="FFFFFF"/>
                <w:lang w:eastAsia="zh-CN"/>
              </w:rPr>
            </w:pPr>
            <w:r>
              <w:rPr>
                <w:rFonts w:hint="eastAsia" w:ascii="宋体" w:hAnsi="宋体" w:eastAsia="宋体" w:cs="宋体"/>
                <w:spacing w:val="6"/>
                <w:sz w:val="18"/>
                <w:szCs w:val="18"/>
                <w:shd w:val="clear" w:color="auto" w:fill="FFFFFF"/>
                <w:lang w:eastAsia="zh-CN"/>
              </w:rPr>
              <w:t>本次检测使用NGS技术结合生物信息学算法，基于内部验证数据，通过微卫星位点的长度分布评估判断MSI状态。</w:t>
            </w:r>
          </w:p>
          <w:p>
            <w:pPr>
              <w:keepNext w:val="0"/>
              <w:keepLines w:val="0"/>
              <w:pageBreakBefore w:val="0"/>
              <w:widowControl w:val="0"/>
              <w:numPr>
                <w:ilvl w:val="0"/>
                <w:numId w:val="13"/>
              </w:numPr>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lang w:eastAsia="zh-CN"/>
              </w:rPr>
            </w:pPr>
            <w:r>
              <w:rPr>
                <w:rFonts w:hint="eastAsia" w:ascii="宋体" w:hAnsi="宋体" w:eastAsia="宋体" w:cs="宋体"/>
                <w:spacing w:val="6"/>
                <w:sz w:val="18"/>
                <w:szCs w:val="18"/>
                <w:shd w:val="clear" w:color="auto" w:fill="FFFFFF"/>
                <w:lang w:eastAsia="zh-CN"/>
              </w:rPr>
              <w:t>血液MSI值预测免疫检查点抑制剂治疗疗效处于临床研究阶段，证据尚不充分，报告仅供临床参考。</w:t>
            </w:r>
          </w:p>
        </w:tc>
      </w:tr>
    </w:tbl>
    <w:p>
      <w:pPr>
        <w:spacing w:before="26" w:after="120" w:afterLines="50"/>
        <w:rPr>
          <w:rFonts w:hint="eastAsia" w:ascii="宋体" w:hAnsi="宋体" w:eastAsia="宋体" w:cs="宋体"/>
          <w:b/>
          <w:sz w:val="21"/>
          <w:szCs w:val="21"/>
          <w:lang w:eastAsia="zh-CN"/>
        </w:rPr>
      </w:pPr>
      <w:r>
        <w:rPr>
          <w:rFonts w:hint="eastAsia" w:ascii="宋体" w:hAnsi="宋体" w:eastAsia="宋体" w:cs="宋体"/>
          <w:b/>
          <w:color w:val="auto"/>
          <w:sz w:val="24"/>
          <w:szCs w:val="24"/>
          <w:lang w:eastAsia="zh-CN" w:bidi="ar"/>
        </w:rPr>
        <w:br w:type="page"/>
      </w:r>
    </w:p>
    <w:p>
      <w:pPr>
        <w:rPr>
          <w:color w:val="000000" w:themeColor="text1"/>
          <w:sz w:val="16"/>
          <w14:textFill>
            <w14:solidFill>
              <w14:schemeClr w14:val="tx1"/>
            </w14:solidFill>
          </w14:textFill>
        </w:rPr>
      </w:pPr>
    </w:p>
    <w:bookmarkEnd w:id="62"/>
    <w:bookmarkEnd w:id="63"/>
    <w:bookmarkEnd w:id="64"/>
    <w:bookmarkEnd w:id="65"/>
    <w:bookmarkEnd w:id="66"/>
    <w:bookmarkEnd w:id="67"/>
    <w:bookmarkEnd w:id="68"/>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75" w:name="_Toc12505"/>
      <w:bookmarkStart w:id="76" w:name="_Toc28240"/>
      <w:bookmarkStart w:id="77" w:name="_Toc1707_WPSOffice_Level1"/>
      <w:bookmarkStart w:id="78" w:name="_Toc13196_WPSOffice_Level1"/>
      <w:bookmarkStart w:id="79" w:name="_Toc10320"/>
      <w:bookmarkStart w:id="80" w:name="_Toc27302"/>
      <w:bookmarkStart w:id="81" w:name="_Toc2409"/>
      <w:bookmarkStart w:id="82" w:name="_Toc16594"/>
      <w:bookmarkStart w:id="83" w:name="_Toc21764_WPSOffice_Level1"/>
      <w:r>
        <w:rPr>
          <w:rFonts w:hint="eastAsia" w:ascii="Times New Roman" w:hAnsi="Times New Roman" w:eastAsia="宋体" w:cs="宋体"/>
          <w:b/>
          <w:bCs/>
          <w:spacing w:val="23"/>
          <w:sz w:val="24"/>
          <w:szCs w:val="24"/>
        </w:rPr>
        <w:t>附录</w:t>
      </w:r>
      <w:bookmarkEnd w:id="75"/>
      <w:bookmarkEnd w:id="76"/>
      <w:bookmarkEnd w:id="77"/>
      <w:bookmarkEnd w:id="78"/>
      <w:bookmarkEnd w:id="79"/>
      <w:bookmarkEnd w:id="80"/>
      <w:bookmarkEnd w:id="81"/>
      <w:bookmarkEnd w:id="82"/>
      <w:bookmarkEnd w:id="83"/>
    </w:p>
    <w:p>
      <w:pPr>
        <w:pStyle w:val="38"/>
        <w:numPr>
          <w:ilvl w:val="0"/>
          <w:numId w:val="14"/>
        </w:numPr>
        <w:bidi w:val="0"/>
        <w:spacing w:line="360" w:lineRule="auto"/>
        <w:ind w:left="425" w:leftChars="0" w:hanging="425" w:firstLineChars="0"/>
        <w:jc w:val="left"/>
        <w:rPr>
          <w:b/>
          <w:bCs/>
          <w:spacing w:val="23"/>
          <w:sz w:val="21"/>
          <w:szCs w:val="21"/>
        </w:rPr>
      </w:pPr>
      <w:bookmarkStart w:id="84" w:name="_Toc6522"/>
      <w:bookmarkStart w:id="85" w:name="_Toc31490"/>
      <w:bookmarkStart w:id="86" w:name="_Toc27075"/>
      <w:bookmarkStart w:id="87" w:name="_Toc14255_WPSOffice_Level1"/>
      <w:bookmarkStart w:id="88" w:name="_Toc4168"/>
      <w:bookmarkStart w:id="89" w:name="_Toc15840_WPSOffice_Level1"/>
      <w:bookmarkStart w:id="90" w:name="_Toc24085_WPSOffice_Level1"/>
      <w:r>
        <w:rPr>
          <w:rFonts w:hint="eastAsia"/>
          <w:b/>
          <w:bCs/>
          <w:spacing w:val="23"/>
          <w:sz w:val="21"/>
          <w:szCs w:val="21"/>
        </w:rPr>
        <w:t>样本质控情况</w:t>
      </w:r>
      <w:bookmarkEnd w:id="84"/>
      <w:bookmarkEnd w:id="85"/>
      <w:bookmarkEnd w:id="86"/>
      <w:bookmarkEnd w:id="87"/>
      <w:bookmarkEnd w:id="88"/>
      <w:bookmarkEnd w:id="89"/>
      <w:bookmarkEnd w:id="90"/>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64"/>
        <w:gridCol w:w="2826"/>
        <w:gridCol w:w="2474"/>
        <w:gridCol w:w="2821"/>
        <w:gridCol w:w="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质控环节</w:t>
            </w:r>
          </w:p>
        </w:tc>
        <w:tc>
          <w:tcPr>
            <w:tcW w:w="2717"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质控参数</w:t>
            </w:r>
          </w:p>
        </w:tc>
        <w:tc>
          <w:tcPr>
            <w:tcW w:w="2378"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质控数值</w:t>
            </w:r>
          </w:p>
        </w:tc>
        <w:tc>
          <w:tcPr>
            <w:tcW w:w="2731" w:type="dxa"/>
            <w:gridSpan w:val="2"/>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病理评估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肿瘤细胞含量</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tumorcellcontent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核酸质量评估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DNA_total }}</w:t>
            </w:r>
          </w:p>
        </w:tc>
        <w:tc>
          <w:tcPr>
            <w:tcW w:w="2731" w:type="dxa"/>
            <w:gridSpan w:val="2"/>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≥100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≥20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DNA降解程度</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DNA_degradation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A/B/C级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预文库总量（ng）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outbound_quantity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测序质量评估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平均测序深度</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sequencing_depth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≥500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w:t>
            </w:r>
            <w:r>
              <w:rPr>
                <w:rFonts w:hint="eastAsia" w:ascii="宋体" w:hAnsi="宋体" w:eastAsia="宋体" w:cs="宋体"/>
                <w:color w:val="000000"/>
                <w:sz w:val="21"/>
                <w:szCs w:val="21"/>
                <w:lang w:eastAsia="zh-CN"/>
              </w:rPr>
              <w:t>15</w:t>
            </w:r>
            <w:r>
              <w:rPr>
                <w:rFonts w:hint="eastAsia" w:ascii="宋体" w:hAnsi="宋体" w:eastAsia="宋体" w:cs="宋体"/>
                <w:color w:val="000000"/>
                <w:sz w:val="21"/>
                <w:szCs w:val="21"/>
              </w:rPr>
              <w:t>00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覆盖均一性</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coverage_uniformity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基因组比对率</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genome_alignment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碱基质量Q30占比</w:t>
            </w:r>
          </w:p>
        </w:tc>
        <w:tc>
          <w:tcPr>
            <w:tcW w:w="2378" w:type="dxa"/>
            <w:shd w:val="clear" w:color="auto" w:fill="auto"/>
            <w:vAlign w:val="center"/>
          </w:tcPr>
          <w:p>
            <w:pPr>
              <w:autoSpaceDE w:val="0"/>
              <w:ind w:left="110" w:leftChars="50"/>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base_quality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19" w:type="dxa"/>
          <w:trHeight w:val="567" w:hRule="atLeast"/>
          <w:jc w:val="center"/>
        </w:trPr>
        <w:tc>
          <w:tcPr>
            <w:tcW w:w="1984" w:type="dxa"/>
            <w:shd w:val="clear" w:color="auto" w:fill="F1F1F1"/>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总体质量评估</w:t>
            </w:r>
          </w:p>
        </w:tc>
        <w:tc>
          <w:tcPr>
            <w:tcW w:w="7807" w:type="dxa"/>
            <w:gridSpan w:val="3"/>
            <w:shd w:val="clear" w:color="auto" w:fill="F1F1F1"/>
            <w:vAlign w:val="center"/>
          </w:tcPr>
          <w:p>
            <w:pPr>
              <w:autoSpaceDE w:val="0"/>
              <w:ind w:left="110" w:leftChars="50"/>
              <w:jc w:val="center"/>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Cs/>
          <w:sz w:val="18"/>
          <w:highlight w:val="none"/>
          <w:lang w:val="en-US" w:eastAsia="zh-CN"/>
        </w:rPr>
      </w:pPr>
      <w:r>
        <w:rPr>
          <w:rFonts w:hint="eastAsia" w:ascii="宋体" w:hAnsi="宋体" w:eastAsia="宋体" w:cs="宋体"/>
          <w:bCs/>
          <w:sz w:val="18"/>
          <w:highlight w:val="none"/>
          <w:lang w:val="en-US" w:eastAsia="zh-CN"/>
        </w:rPr>
        <w:t>注：</w:t>
      </w:r>
    </w:p>
    <w:p>
      <w:pPr>
        <w:keepNext w:val="0"/>
        <w:keepLines w:val="0"/>
        <w:pageBreakBefore w:val="0"/>
        <w:widowControl w:val="0"/>
        <w:numPr>
          <w:ilvl w:val="0"/>
          <w:numId w:val="15"/>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肿瘤细胞含量：送检样本经HE染色评估的肿瘤细胞含量。如送检样本不满足病理评估所需条件，则不进行此项评估。血浆cfDNA样本不做此项评估。</w:t>
      </w:r>
    </w:p>
    <w:p>
      <w:pPr>
        <w:keepNext w:val="0"/>
        <w:keepLines w:val="0"/>
        <w:pageBreakBefore w:val="0"/>
        <w:widowControl w:val="0"/>
        <w:numPr>
          <w:ilvl w:val="0"/>
          <w:numId w:val="15"/>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DNA总量：送检样本的DNA提取总量。</w:t>
      </w:r>
    </w:p>
    <w:p>
      <w:pPr>
        <w:keepNext w:val="0"/>
        <w:keepLines w:val="0"/>
        <w:pageBreakBefore w:val="0"/>
        <w:widowControl w:val="0"/>
        <w:numPr>
          <w:ilvl w:val="0"/>
          <w:numId w:val="15"/>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DNA降解程度：cfDNA样本不适用于此项评估。</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A级：有主带，或降解均匀且降解区域主要集中在5000bp以上；</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B级：无主带，降解均匀且降解区域主要集中在1500-5000bp之间；</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C级：无主带，降解均匀且降解区域主要集中在500-1500bp之间；</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pacing w:val="3"/>
          <w:sz w:val="18"/>
          <w:szCs w:val="18"/>
          <w:lang w:eastAsia="zh-CN"/>
        </w:rPr>
        <w:t>D级</w:t>
      </w:r>
      <w:r>
        <w:rPr>
          <w:rFonts w:hint="eastAsia" w:ascii="宋体" w:hAnsi="宋体" w:eastAsia="宋体" w:cs="宋体"/>
          <w:bCs/>
          <w:sz w:val="18"/>
          <w:szCs w:val="18"/>
          <w:lang w:eastAsia="zh-CN"/>
        </w:rPr>
        <w:t>（</w:t>
      </w:r>
      <w:r>
        <w:rPr>
          <w:rFonts w:hint="eastAsia" w:ascii="宋体" w:hAnsi="宋体" w:eastAsia="宋体" w:cs="宋体"/>
          <w:bCs/>
          <w:spacing w:val="1"/>
          <w:sz w:val="18"/>
          <w:szCs w:val="18"/>
          <w:lang w:eastAsia="zh-CN"/>
        </w:rPr>
        <w:t>不合格</w:t>
      </w:r>
      <w:r>
        <w:rPr>
          <w:rFonts w:hint="eastAsia" w:ascii="宋体" w:hAnsi="宋体" w:eastAsia="宋体" w:cs="宋体"/>
          <w:bCs/>
          <w:spacing w:val="-90"/>
          <w:sz w:val="18"/>
          <w:szCs w:val="18"/>
          <w:lang w:eastAsia="zh-CN"/>
        </w:rPr>
        <w:t>）</w:t>
      </w:r>
      <w:r>
        <w:rPr>
          <w:rFonts w:hint="eastAsia" w:ascii="宋体" w:hAnsi="宋体" w:eastAsia="宋体" w:cs="宋体"/>
          <w:bCs/>
          <w:sz w:val="18"/>
          <w:szCs w:val="18"/>
          <w:lang w:eastAsia="zh-CN"/>
        </w:rPr>
        <w:t>）：无主带，降解均匀且降解区域主要集中在500-1500bp</w:t>
      </w:r>
      <w:r>
        <w:rPr>
          <w:rFonts w:hint="eastAsia" w:ascii="宋体" w:hAnsi="宋体" w:eastAsia="宋体" w:cs="宋体"/>
          <w:bCs/>
          <w:spacing w:val="-1"/>
          <w:sz w:val="18"/>
          <w:szCs w:val="18"/>
          <w:lang w:eastAsia="zh-CN"/>
        </w:rPr>
        <w:t>之间，但总量介于</w:t>
      </w:r>
      <w:r>
        <w:rPr>
          <w:rFonts w:hint="eastAsia" w:ascii="宋体" w:hAnsi="宋体" w:eastAsia="宋体" w:cs="宋体"/>
          <w:bCs/>
          <w:sz w:val="18"/>
          <w:szCs w:val="18"/>
          <w:lang w:eastAsia="zh-CN"/>
        </w:rPr>
        <w:t>100ng</w:t>
      </w:r>
      <w:r>
        <w:rPr>
          <w:rFonts w:hint="eastAsia" w:ascii="宋体" w:hAnsi="宋体" w:eastAsia="宋体" w:cs="宋体"/>
          <w:bCs/>
          <w:spacing w:val="-3"/>
          <w:sz w:val="18"/>
          <w:szCs w:val="18"/>
          <w:lang w:eastAsia="zh-CN"/>
        </w:rPr>
        <w:t>到</w:t>
      </w:r>
      <w:r>
        <w:rPr>
          <w:rFonts w:hint="eastAsia" w:ascii="宋体" w:hAnsi="宋体" w:eastAsia="宋体" w:cs="宋体"/>
          <w:bCs/>
          <w:sz w:val="18"/>
          <w:szCs w:val="18"/>
          <w:lang w:eastAsia="zh-CN"/>
        </w:rPr>
        <w:t>300ng之间；或降解区</w:t>
      </w:r>
      <w:r>
        <w:rPr>
          <w:rFonts w:hint="eastAsia" w:ascii="宋体" w:hAnsi="宋体" w:eastAsia="宋体" w:cs="宋体"/>
          <w:bCs/>
          <w:spacing w:val="-2"/>
          <w:sz w:val="18"/>
          <w:szCs w:val="18"/>
          <w:lang w:eastAsia="zh-CN"/>
        </w:rPr>
        <w:t>域弥散在</w:t>
      </w:r>
      <w:r>
        <w:rPr>
          <w:rFonts w:hint="eastAsia" w:ascii="宋体" w:hAnsi="宋体" w:eastAsia="宋体" w:cs="宋体"/>
          <w:bCs/>
          <w:sz w:val="18"/>
          <w:szCs w:val="18"/>
          <w:lang w:eastAsia="zh-CN"/>
        </w:rPr>
        <w:t>150-1000bp</w:t>
      </w:r>
      <w:r>
        <w:rPr>
          <w:rFonts w:hint="eastAsia" w:ascii="宋体" w:hAnsi="宋体" w:eastAsia="宋体" w:cs="宋体"/>
          <w:bCs/>
          <w:spacing w:val="-2"/>
          <w:sz w:val="18"/>
          <w:szCs w:val="18"/>
          <w:lang w:eastAsia="zh-CN"/>
        </w:rPr>
        <w:t>，或集中在</w:t>
      </w:r>
      <w:r>
        <w:rPr>
          <w:rFonts w:hint="eastAsia" w:ascii="宋体" w:hAnsi="宋体" w:eastAsia="宋体" w:cs="宋体"/>
          <w:bCs/>
          <w:sz w:val="18"/>
          <w:szCs w:val="18"/>
          <w:lang w:eastAsia="zh-CN"/>
        </w:rPr>
        <w:t>500bp以下。</w:t>
      </w:r>
    </w:p>
    <w:p>
      <w:pPr>
        <w:keepNext w:val="0"/>
        <w:keepLines w:val="0"/>
        <w:pageBreakBefore w:val="0"/>
        <w:widowControl w:val="0"/>
        <w:numPr>
          <w:ilvl w:val="0"/>
          <w:numId w:val="15"/>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预文库总量：核酸片段经过接头连接和扩增纯化后中间产物的总量。</w:t>
      </w:r>
    </w:p>
    <w:p>
      <w:pPr>
        <w:keepNext w:val="0"/>
        <w:keepLines w:val="0"/>
        <w:pageBreakBefore w:val="0"/>
        <w:widowControl w:val="0"/>
        <w:numPr>
          <w:ilvl w:val="0"/>
          <w:numId w:val="15"/>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平均测序深度：目标区域每个碱基被测到的平均次数。</w:t>
      </w:r>
    </w:p>
    <w:p>
      <w:pPr>
        <w:keepNext w:val="0"/>
        <w:keepLines w:val="0"/>
        <w:pageBreakBefore w:val="0"/>
        <w:widowControl w:val="0"/>
        <w:numPr>
          <w:ilvl w:val="0"/>
          <w:numId w:val="15"/>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覆盖均一性：测序深度达到平均测序深度20%的碱基占比。</w:t>
      </w:r>
    </w:p>
    <w:p>
      <w:pPr>
        <w:keepNext w:val="0"/>
        <w:keepLines w:val="0"/>
        <w:pageBreakBefore w:val="0"/>
        <w:widowControl w:val="0"/>
        <w:numPr>
          <w:ilvl w:val="0"/>
          <w:numId w:val="15"/>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基因组比对率：比对到参考基因组上的reads数目占比。</w:t>
      </w:r>
    </w:p>
    <w:p>
      <w:pPr>
        <w:numPr>
          <w:ilvl w:val="0"/>
          <w:numId w:val="15"/>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碱基质量Q30占比：测序数据中碱基质量在Q30以上（即碱基识别错误率在千分之一以下）的占比。</w:t>
      </w:r>
    </w:p>
    <w:p>
      <w:pPr>
        <w:numPr>
          <w:ilvl w:val="0"/>
          <w:numId w:val="15"/>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总体质量评估：根据 DNA 平均测序深度进行评估，分为“合格”、“警戒”、“不合格”三个等级。总体质量评估为“警戒”或者“不合格”时，均会影响检测的准确性和敏感性。</w:t>
      </w:r>
    </w:p>
    <w:p>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pPr>
        <w:pStyle w:val="38"/>
        <w:numPr>
          <w:ilvl w:val="0"/>
          <w:numId w:val="14"/>
        </w:numPr>
        <w:bidi w:val="0"/>
        <w:spacing w:line="360" w:lineRule="auto"/>
        <w:ind w:left="425" w:leftChars="0" w:hanging="425" w:firstLineChars="0"/>
        <w:jc w:val="left"/>
        <w:rPr>
          <w:b/>
          <w:bCs/>
          <w:spacing w:val="23"/>
          <w:sz w:val="21"/>
          <w:szCs w:val="21"/>
        </w:rPr>
      </w:pPr>
      <w:bookmarkStart w:id="91" w:name="_Toc20303"/>
      <w:bookmarkStart w:id="92" w:name="_Toc1779"/>
      <w:bookmarkStart w:id="93" w:name="_Toc11896_WPSOffice_Level1"/>
      <w:bookmarkStart w:id="94" w:name="_Toc22493"/>
      <w:bookmarkStart w:id="95" w:name="_Toc11812"/>
      <w:bookmarkStart w:id="96" w:name="_Toc28810_WPSOffice_Level1"/>
      <w:bookmarkStart w:id="97" w:name="_Toc11193_WPSOffice_Level1"/>
      <w:r>
        <w:rPr>
          <w:b/>
          <w:bCs/>
          <w:spacing w:val="23"/>
          <w:sz w:val="21"/>
          <w:szCs w:val="21"/>
        </w:rPr>
        <w:t>常见靶向药物相关基因检测列表</w:t>
      </w:r>
      <w:bookmarkEnd w:id="91"/>
      <w:bookmarkEnd w:id="92"/>
      <w:bookmarkEnd w:id="93"/>
      <w:bookmarkEnd w:id="94"/>
      <w:bookmarkEnd w:id="95"/>
    </w:p>
    <w:bookmarkEnd w:id="96"/>
    <w:bookmarkEnd w:id="97"/>
    <w:tbl>
      <w:tblPr>
        <w:tblStyle w:val="15"/>
        <w:tblpPr w:leftFromText="181" w:rightFromText="181" w:vertAnchor="text" w:horzAnchor="page"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867"/>
        <w:gridCol w:w="658"/>
        <w:gridCol w:w="8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atLeast"/>
          <w:jc w:val="center"/>
        </w:trPr>
        <w:tc>
          <w:tcPr>
            <w:tcW w:w="867"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基因</w:t>
            </w:r>
          </w:p>
        </w:tc>
        <w:tc>
          <w:tcPr>
            <w:tcW w:w="658"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检测内容</w:t>
            </w:r>
          </w:p>
        </w:tc>
        <w:tc>
          <w:tcPr>
            <w:tcW w:w="8680"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靶向药物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80" w:type="dxa"/>
            <w:gridSpan w:val="3"/>
            <w:tcBorders>
              <w:tl2br w:val="nil"/>
              <w:tr2bl w:val="nil"/>
            </w:tcBorders>
            <w:vAlign w:val="center"/>
          </w:tcPr>
          <w:p>
            <w:pPr>
              <w:spacing w:before="19"/>
              <w:ind w:right="-6"/>
              <w:jc w:val="left"/>
              <w:rPr>
                <w:rFonts w:hint="eastAsia" w:ascii="宋体" w:hAnsi="宋体" w:eastAsia="宋体" w:cs="宋体"/>
                <w:spacing w:val="-1"/>
                <w:sz w:val="21"/>
                <w:szCs w:val="21"/>
              </w:rPr>
            </w:pPr>
            <w:r>
              <w:rPr>
                <w:rFonts w:hint="eastAsia" w:ascii="宋体" w:hAnsi="宋体" w:eastAsia="宋体" w:cs="宋体"/>
                <w:sz w:val="21"/>
                <w:szCs w:val="21"/>
                <w:lang w:eastAsia="zh-CN"/>
              </w:rPr>
              <w:t>{%tr for</w:t>
            </w:r>
            <w:r>
              <w:rPr>
                <w:rFonts w:hint="eastAsia" w:ascii="宋体" w:hAnsi="宋体" w:eastAsia="宋体" w:cs="宋体"/>
                <w:sz w:val="21"/>
                <w:szCs w:val="21"/>
                <w:lang w:val="en-US" w:eastAsia="zh-CN"/>
              </w:rPr>
              <w:t xml:space="preserve"> ct</w:t>
            </w:r>
            <w:r>
              <w:rPr>
                <w:rFonts w:hint="eastAsia" w:ascii="宋体" w:hAnsi="宋体" w:eastAsia="宋体" w:cs="宋体"/>
                <w:sz w:val="21"/>
                <w:szCs w:val="21"/>
                <w:lang w:eastAsia="zh-CN"/>
              </w:rPr>
              <w:t xml:space="preserve"> in commonTargetedDrug</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7" w:type="dxa"/>
            <w:vAlign w:val="center"/>
          </w:tcPr>
          <w:p>
            <w:pPr>
              <w:spacing w:line="206" w:lineRule="exact"/>
              <w:ind w:leftChars="-4" w:hanging="11" w:hangingChars="5"/>
              <w:jc w:val="center"/>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 for b in ct.gene | nl() %}{%if loop.last%}{{ b }}{%else%}{{ b }}</w:t>
            </w:r>
          </w:p>
          <w:p>
            <w:pPr>
              <w:spacing w:line="206" w:lineRule="exact"/>
              <w:ind w:leftChars="-4" w:hanging="11" w:hangingChars="5"/>
              <w:jc w:val="center"/>
              <w:rPr>
                <w:rFonts w:hint="eastAsia" w:ascii="宋体" w:hAnsi="宋体" w:eastAsia="宋体" w:cs="宋体"/>
                <w:b/>
                <w:bCs/>
                <w:color w:val="416AAB"/>
                <w:sz w:val="21"/>
                <w:szCs w:val="21"/>
              </w:rPr>
            </w:pPr>
            <w:r>
              <w:rPr>
                <w:rFonts w:hint="eastAsia" w:ascii="宋体" w:hAnsi="宋体" w:eastAsia="宋体" w:cs="宋体"/>
                <w:b/>
                <w:bCs/>
                <w:color w:val="auto"/>
                <w:sz w:val="21"/>
                <w:szCs w:val="21"/>
                <w:lang w:val="en-US" w:eastAsia="zh-CN"/>
              </w:rPr>
              <w:t>{%endif%}{% endfor%}</w:t>
            </w:r>
          </w:p>
        </w:tc>
        <w:tc>
          <w:tcPr>
            <w:tcW w:w="658"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{%endif%}{% endfor%}</w:t>
            </w:r>
          </w:p>
        </w:tc>
        <w:tc>
          <w:tcPr>
            <w:tcW w:w="8680" w:type="dxa"/>
            <w:vAlign w:val="center"/>
          </w:tcPr>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 for b in ct.targeted_drug | nl() %}{%if loop.last%}{% for i in b | nb() %}{%if loop.index % 2 == 0%}</w:t>
            </w:r>
            <w:r>
              <w:rPr>
                <w:rFonts w:hint="eastAsia" w:ascii="宋体" w:hAnsi="宋体" w:eastAsia="宋体" w:cs="宋体"/>
                <w:b/>
                <w:bCs/>
                <w:color w:val="auto"/>
                <w:sz w:val="21"/>
                <w:szCs w:val="21"/>
                <w:highlight w:val="none"/>
                <w:lang w:val="en-US" w:eastAsia="zh-CN"/>
              </w:rPr>
              <w:t>{{ i }}</w:t>
            </w:r>
            <w:r>
              <w:rPr>
                <w:rFonts w:hint="eastAsia" w:ascii="宋体" w:hAnsi="宋体" w:eastAsia="宋体" w:cs="宋体"/>
                <w:b w:val="0"/>
                <w:bCs w:val="0"/>
                <w:color w:val="auto"/>
                <w:sz w:val="21"/>
                <w:szCs w:val="21"/>
                <w:highlight w:val="none"/>
                <w:lang w:val="en-US" w:eastAsia="zh-CN"/>
              </w:rPr>
              <w:t>{%else%}{{ i }}{%endif%}{% endfor%}{%else%}{% for i in b | nb() %}{%if loop.index % 2 == 0%}</w:t>
            </w:r>
            <w:r>
              <w:rPr>
                <w:rFonts w:hint="eastAsia" w:ascii="宋体" w:hAnsi="宋体" w:eastAsia="宋体" w:cs="宋体"/>
                <w:b/>
                <w:bCs/>
                <w:color w:val="auto"/>
                <w:sz w:val="21"/>
                <w:szCs w:val="21"/>
                <w:highlight w:val="none"/>
                <w:lang w:val="en-US" w:eastAsia="zh-CN"/>
              </w:rPr>
              <w:t>{{ i }}</w:t>
            </w:r>
            <w:r>
              <w:rPr>
                <w:rFonts w:hint="eastAsia" w:ascii="宋体" w:hAnsi="宋体" w:eastAsia="宋体" w:cs="宋体"/>
                <w:b w:val="0"/>
                <w:bCs w:val="0"/>
                <w:color w:val="auto"/>
                <w:sz w:val="21"/>
                <w:szCs w:val="21"/>
                <w:highlight w:val="none"/>
                <w:lang w:val="en-US" w:eastAsia="zh-CN"/>
              </w:rPr>
              <w:t>{%else%}{{ i }}{%endif%}{% endfor%}</w:t>
            </w:r>
          </w:p>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spacing w:val="-1"/>
                <w:sz w:val="21"/>
                <w:szCs w:val="21"/>
              </w:rPr>
            </w:pPr>
            <w:r>
              <w:rPr>
                <w:rFonts w:hint="eastAsia" w:ascii="宋体" w:hAnsi="宋体" w:eastAsia="宋体" w:cs="宋体"/>
                <w:b w:val="0"/>
                <w:bCs w:val="0"/>
                <w:color w:val="auto"/>
                <w:sz w:val="21"/>
                <w:szCs w:val="21"/>
                <w:highlight w:val="none"/>
                <w:lang w:val="en-US" w:eastAsia="zh-CN"/>
              </w:rPr>
              <w:t>{%endif%}{% endfor%}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80" w:type="dxa"/>
            <w:gridSpan w:val="3"/>
            <w:vAlign w:val="center"/>
          </w:tcPr>
          <w:p>
            <w:pPr>
              <w:spacing w:before="19"/>
              <w:ind w:right="-6"/>
              <w:jc w:val="left"/>
              <w:rPr>
                <w:rFonts w:hint="eastAsia" w:ascii="宋体" w:hAnsi="宋体" w:eastAsia="宋体" w:cs="宋体"/>
                <w:spacing w:val="-1"/>
                <w:sz w:val="21"/>
                <w:szCs w:val="21"/>
              </w:rPr>
            </w:pPr>
            <w:r>
              <w:rPr>
                <w:rFonts w:hint="eastAsia" w:ascii="宋体" w:hAnsi="宋体" w:eastAsia="宋体" w:cs="宋体"/>
                <w:sz w:val="21"/>
                <w:szCs w:val="21"/>
                <w:lang w:eastAsia="zh-CN"/>
              </w:rPr>
              <w:t xml:space="preserve">{%tr </w:t>
            </w:r>
            <w:r>
              <w:rPr>
                <w:rFonts w:hint="eastAsia" w:ascii="宋体" w:hAnsi="宋体" w:eastAsia="宋体" w:cs="宋体"/>
                <w:sz w:val="21"/>
                <w:szCs w:val="21"/>
                <w:lang w:val="en-US" w:eastAsia="zh-CN"/>
              </w:rPr>
              <w:t>end</w:t>
            </w:r>
            <w:r>
              <w:rPr>
                <w:rFonts w:hint="eastAsia" w:ascii="宋体" w:hAnsi="宋体" w:eastAsia="宋体" w:cs="宋体"/>
                <w:sz w:val="21"/>
                <w:szCs w:val="21"/>
                <w:lang w:eastAsia="zh-CN"/>
              </w:rPr>
              <w:t>for %}</w:t>
            </w:r>
          </w:p>
        </w:tc>
      </w:tr>
    </w:tbl>
    <w:p>
      <w:pPr>
        <w:rPr>
          <w:lang w:eastAsia="zh-CN"/>
        </w:rPr>
      </w:pPr>
    </w:p>
    <w:p>
      <w:pPr>
        <w:tabs>
          <w:tab w:val="left" w:pos="6770"/>
        </w:tabs>
        <w:spacing w:before="27"/>
        <w:rPr>
          <w:rFonts w:ascii="Times New Roman" w:hAnsi="Times New Roman" w:eastAsia="微软雅黑" w:cs="Times New Roman"/>
          <w:sz w:val="15"/>
          <w:lang w:eastAsia="zh-CN"/>
        </w:rPr>
      </w:pPr>
      <w:r>
        <w:rPr>
          <w:lang w:eastAsia="zh-CN"/>
        </w:rPr>
        <w:br w:type="page"/>
      </w:r>
      <w:bookmarkEnd w:id="17"/>
      <w:bookmarkStart w:id="98" w:name="_Toc17792_WPSOffice_Level2"/>
    </w:p>
    <w:p>
      <w:bookmarkStart w:id="99" w:name="_Toc27809"/>
      <w:bookmarkStart w:id="100" w:name="_Toc4503"/>
      <w:bookmarkStart w:id="101" w:name="_Toc11901"/>
      <w:bookmarkStart w:id="102" w:name="_Toc14611_WPSOffice_Level1"/>
      <w:bookmarkStart w:id="103" w:name="_Toc13275"/>
      <w:bookmarkStart w:id="104" w:name="_Toc19584_WPSOffice_Level1"/>
      <w:bookmarkStart w:id="105" w:name="_Toc22623"/>
      <w:bookmarkStart w:id="106" w:name="_Toc22162_WPSOffice_Level1"/>
    </w:p>
    <w:p>
      <w:pPr>
        <w:pStyle w:val="38"/>
        <w:numPr>
          <w:ilvl w:val="0"/>
          <w:numId w:val="14"/>
        </w:numPr>
        <w:bidi w:val="0"/>
        <w:spacing w:line="360" w:lineRule="auto"/>
        <w:ind w:left="425" w:leftChars="0" w:hanging="425" w:firstLineChars="0"/>
        <w:jc w:val="left"/>
        <w:rPr>
          <w:b/>
          <w:bCs/>
          <w:spacing w:val="23"/>
          <w:sz w:val="21"/>
          <w:szCs w:val="21"/>
        </w:rPr>
      </w:pPr>
      <w:bookmarkStart w:id="107" w:name="_Toc24385"/>
      <w:r>
        <w:rPr>
          <w:b/>
          <w:bCs/>
          <w:spacing w:val="23"/>
          <w:sz w:val="21"/>
          <w:szCs w:val="21"/>
        </w:rPr>
        <w:t>参考文献</w:t>
      </w:r>
      <w:bookmarkEnd w:id="99"/>
      <w:bookmarkEnd w:id="100"/>
      <w:bookmarkEnd w:id="101"/>
      <w:bookmarkEnd w:id="107"/>
    </w:p>
    <w:bookmarkEnd w:id="98"/>
    <w:bookmarkEnd w:id="102"/>
    <w:bookmarkEnd w:id="103"/>
    <w:bookmarkEnd w:id="104"/>
    <w:bookmarkEnd w:id="105"/>
    <w:bookmarkEnd w:id="106"/>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Shaw AT, Bauer TM, de Marinis F, et al. First-line lorlatinib or crizotinib in advanced ALK-positive lung cancer. N Engl J Med. 2020;383(21):2018-2029. [PMID: 33207094]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Kopetz S, Grothey A, Yaeger R, et al. Encorafenib, binimetinib, and cetuximab in BRAF V600E-mutated colorectal cancer. N Engl J Med. 2019;381(17):1632-1643. [PMID: 31566309]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Nakagawa K, Garon EB, Seto T, et al. Ramucirumab plus erlotinib in patients with untreated, EGFR-mutated, advanced non-small-cell lung cancer (RELAY): a randomised, double-blind, placebo-controlled, phase 3 trial. Lancet Oncol. 2019;20(12):1655-1669. [PMID: 31591063]</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Yang JCH, Camidge DR, Yang CT, et al. Safety, efficacy, and pharmacokinetics of almonertinib (HS-10296) in pretreated patients with EGFR-mutated advanced NSCLC: A multicenter, open-label, phase 1 trial. J Thorac Oncol. 2020;15(12):1907-1918. [PMID: 32916310]</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Yun J, Lee SH, Kim SY, et al. Antitumor Activity of Amivantamab (JNJ-61186372), an EGFR-MET Bispecific Antibody, in Diverse Models of EGFR Exon 20 Insertion-Driven NSCLC[J]. Cancer Discov. 2020, 10(8):1194-1209. [PMID: 32414908]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Abou-Alfa GK, Sahai V, Hollebecque A, et al. Pemigatinib for previously treated, locally advanced or metastatic cholangiocarcinoma: a multicentre, open-label, phase 2 study. Lancet Oncol. 2020;21(5):671-684. [PMID: 32203698]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Loriot Y, Necchi A, Park SH, et al. Erdafitinib in locally advanced or metastatic urothelial carcinoma. N Engl J Med. 2019;381(4):338-348. [PMID: 31340094]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Chung HC, et al. First-line pembrolizumab/placebo plus trastuzumab and chemotherapy in HER2-positive advanced gastric cancer: KEYNOTE-811. Future Oncol 2021 Feb;17(5):491-501. [PMID: 33167735]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Lee HW, Sa JK, Gualberto 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Hong DS, Fakih MG, Strickler JH, et al. KRAS G12C Inhibition with Sotorasib in Advanced Solid Tumors[J]. N Engl J Med. 2020, 24;383(13):1207-1217. [PMID: 32955176]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Wolf J, Seto T, Han JY, Reguart N, et al. Capmatinib in MET exon 14-mutated or MET-amplified non-small-cell lung cancer. N Engl J Med. 2020;383(10):944-957. [PMID: 32877583]</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Lu S et al., Phase II study of savolitinib in patients with pulmonary sarcomatoid carcinoma and other types of non-small cell lung cancer harboring MET exon 14 skipping mutations. J Clin Oncol. 2020;38(suppl 15): abstr 9519. </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Drilon A, Clark JW, Weiss J, Ou SI, et al. Antitumor activity of crizotinib in lung cancers harboring a MET exon 14 alteration. Nat Med. 2020;26(1):47-51. [PMID: 31932802]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Paik PK, Felip E, Veillon R, et al. Tepotinib in non-small-cell lung cancer with MET exon 14 skipping mutations. N Engl J Med. 2020;383(10):931-943. [PMID: 32469185]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Doebele RC, Drilon A, Paz-Ares L, et al. Entrectinib in patients with advanced or metastatic NTRK fusion-positive solid tumours: integrated analysis of three phase 1-2 trials. Lancet Oncol. 2020;21(2):271-282. [PMID: 31838007]</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Hong DS, DuBois SG, Kummar S, et al. Larotrectinib in patients with TRK fusion-positive solid tumours: a pooled analysis of three phase 1/2 clinical trials. Lancet Oncol. 2020;21(4):531-540. [PMID: 32105622]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Jones RL, Serrano C, von Mehren M, et al. Avapritinib in unresectable or metastatic PDGFRA D842V-mutant gastrointestinal stromal tumours: Long-term efficacy and safety data from the NAVIGATOR phase I trial. Eur J Cancer. 2021;145:132-142. [PMID: 33465704]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Bradford D, Larkins E, Mushti SL, et al. FDA approval summary: Selpercatinib for the treatment of lung and thyroid cancers with RET gene mutations or fusions. Clin Cancer Res. 2021;27(8):2130-2135. [PMID: 33239432]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Zhao H, Yao W, Min X, et al. Apatinib Plus Gefitinib as First-Line Treatment in Advanced EGFR-Mutant NSCLC: The Phase III ACTIVE Study (CTONG1706). J Thorac Oncol. 2021;16(9):1533-1546. [PMID: 34033974]</w:t>
      </w:r>
    </w:p>
    <w:sectPr>
      <w:footerReference r:id="rId5" w:type="default"/>
      <w:pgSz w:w="11910" w:h="16840"/>
      <w:pgMar w:top="1417" w:right="805" w:bottom="680" w:left="805" w:header="454" w:footer="39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Regular">
    <w:altName w:val="Arial"/>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203700" cy="16954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203700" cy="169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35pt;width:331pt;mso-position-horizontal:center;mso-position-horizontal-relative:margin;z-index:251663360;mso-width-relative:page;mso-height-relative:page;" filled="f" stroked="f" coordsize="21600,21600" o:gfxdata="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VZeV9MAAAAEAQAADwAAAAAAAAABACAAAAAiAAAAZHJzL2Rvd25yZXYu&#10;eG1sUEsBAhQAFAAAAAgAh07iQKqh/ko5AgAAZAQAAA4AAAAAAAAAAQAgAAAAIgEAAGRycy9lMm9E&#10;b2MueG1sUEsFBgAAAAAGAAYAWQEAAM0FAAAAAA==&#10;">
              <v:fill on="f" focussize="0,0"/>
              <v:stroke on="f" weight="0.5pt"/>
              <v:imagedata o:title=""/>
              <o:lock v:ext="edit" aspectratio="f"/>
              <v:textbox inset="0mm,0mm,0mm,0mm">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000000" w:sz="4" w:space="0"/>
      </w:pBdr>
      <w:wordWrap/>
      <w:jc w:val="left"/>
    </w:pPr>
    <w:r>
      <w:rPr>
        <w:rFonts w:hint="eastAsia"/>
        <w:lang w:val="en-US" w:eastAsia="zh-CN"/>
      </w:rPr>
      <w:drawing>
        <wp:inline distT="0" distB="0" distL="114935" distR="114935">
          <wp:extent cx="1153795" cy="484505"/>
          <wp:effectExtent l="0" t="0" r="4445" b="3175"/>
          <wp:docPr id="2" name="图片 2" descr="安为康logo上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安为康logo上下"/>
                  <pic:cNvPicPr>
                    <a:picLocks noChangeAspect="1"/>
                  </pic:cNvPicPr>
                </pic:nvPicPr>
                <pic:blipFill>
                  <a:blip r:embed="rId1"/>
                  <a:stretch>
                    <a:fillRect/>
                  </a:stretch>
                </pic:blipFill>
                <pic:spPr>
                  <a:xfrm>
                    <a:off x="0" y="0"/>
                    <a:ext cx="1153795" cy="484505"/>
                  </a:xfrm>
                  <a:prstGeom prst="rect">
                    <a:avLst/>
                  </a:prstGeom>
                </pic:spPr>
              </pic:pic>
            </a:graphicData>
          </a:graphic>
        </wp:inline>
      </w:drawing>
    </w:r>
    <w:r>
      <w:rPr>
        <w:rFonts w:hint="eastAsia"/>
        <w:lang w:val="en-US" w:eastAsia="zh-CN"/>
      </w:rPr>
      <w:t xml:space="preserve">                                   </w:t>
    </w:r>
    <w:r>
      <w:rPr>
        <w:rFonts w:hint="eastAsia" w:ascii="微软雅黑" w:hAnsi="微软雅黑" w:eastAsia="微软雅黑" w:cs="微软雅黑"/>
        <w:sz w:val="21"/>
        <w:szCs w:val="21"/>
        <w:lang w:val="en-US" w:eastAsia="zh-CN"/>
      </w:rPr>
      <w:t>公司地址：合肥市庐阳区临泉路7266号研发楼安创大楼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0C373F8"/>
    <w:multiLevelType w:val="singleLevel"/>
    <w:tmpl w:val="80C373F8"/>
    <w:lvl w:ilvl="0" w:tentative="0">
      <w:start w:val="1"/>
      <w:numFmt w:val="chineseCounting"/>
      <w:pStyle w:val="37"/>
      <w:suff w:val="nothing"/>
      <w:lvlText w:val="%1、"/>
      <w:lvlJc w:val="left"/>
      <w:pPr>
        <w:ind w:left="0" w:firstLine="420"/>
      </w:pPr>
      <w:rPr>
        <w:rFonts w:hint="eastAsia"/>
      </w:rPr>
    </w:lvl>
  </w:abstractNum>
  <w:abstractNum w:abstractNumId="1">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2">
    <w:nsid w:val="91B5975A"/>
    <w:multiLevelType w:val="multilevel"/>
    <w:tmpl w:val="91B5975A"/>
    <w:lvl w:ilvl="0" w:tentative="0">
      <w:start w:val="1"/>
      <w:numFmt w:val="decimal"/>
      <w:pStyle w:val="38"/>
      <w:suff w:val="nothing"/>
      <w:lvlText w:val="%1、"/>
      <w:lvlJc w:val="left"/>
      <w:pPr>
        <w:tabs>
          <w:tab w:val="left" w:pos="420"/>
        </w:tabs>
        <w:ind w:left="0" w:firstLine="0"/>
      </w:pPr>
      <w:rPr>
        <w:rFonts w:hint="default" w:ascii="宋体" w:hAnsi="宋体" w:eastAsia="宋体" w:cs="宋体"/>
        <w:b/>
        <w:bCs/>
      </w:rPr>
    </w:lvl>
    <w:lvl w:ilvl="1" w:tentative="0">
      <w:start w:val="1"/>
      <w:numFmt w:val="decimal"/>
      <w:suff w:val="space"/>
      <w:lvlText w:val="%2、"/>
      <w:lvlJc w:val="left"/>
      <w:pPr>
        <w:ind w:left="0" w:firstLine="0"/>
      </w:pPr>
      <w:rPr>
        <w:rFonts w:hint="eastAsia" w:ascii="Times New Roman" w:hAnsi="Times New Roman" w:eastAsia="微软雅黑" w:cs="Times New Roman"/>
        <w:b/>
        <w:i w:val="0"/>
        <w:color w:val="31849B"/>
      </w:rPr>
    </w:lvl>
    <w:lvl w:ilvl="2" w:tentative="0">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B5CE2176"/>
    <w:multiLevelType w:val="multilevel"/>
    <w:tmpl w:val="B5CE2176"/>
    <w:lvl w:ilvl="0" w:tentative="0">
      <w:start w:val="1"/>
      <w:numFmt w:val="decimal"/>
      <w:lvlText w:val="%1."/>
      <w:lvlJc w:val="left"/>
      <w:pPr>
        <w:ind w:left="420" w:hanging="420"/>
      </w:pPr>
      <w:rPr>
        <w:rFonts w:hint="default" w:ascii="宋体" w:hAnsi="宋体" w:eastAsia="宋体" w:cs="宋体"/>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B83B4C26"/>
    <w:multiLevelType w:val="multilevel"/>
    <w:tmpl w:val="B83B4C26"/>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DAA0581D"/>
    <w:multiLevelType w:val="multilevel"/>
    <w:tmpl w:val="DAA0581D"/>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7EE91CB"/>
    <w:multiLevelType w:val="singleLevel"/>
    <w:tmpl w:val="17EE91CB"/>
    <w:lvl w:ilvl="0" w:tentative="0">
      <w:start w:val="1"/>
      <w:numFmt w:val="decimal"/>
      <w:lvlText w:val="%1."/>
      <w:lvlJc w:val="left"/>
      <w:pPr>
        <w:ind w:left="425" w:hanging="425"/>
      </w:pPr>
      <w:rPr>
        <w:rFonts w:hint="default" w:ascii="宋体" w:hAnsi="宋体" w:eastAsia="宋体" w:cs="宋体"/>
        <w:b w:val="0"/>
        <w:bCs w:val="0"/>
        <w:color w:val="auto"/>
        <w:sz w:val="18"/>
        <w:szCs w:val="18"/>
      </w:rPr>
    </w:lvl>
  </w:abstractNum>
  <w:abstractNum w:abstractNumId="8">
    <w:nsid w:val="219D0AF6"/>
    <w:multiLevelType w:val="singleLevel"/>
    <w:tmpl w:val="219D0AF6"/>
    <w:lvl w:ilvl="0" w:tentative="0">
      <w:start w:val="1"/>
      <w:numFmt w:val="decimal"/>
      <w:suff w:val="space"/>
      <w:lvlText w:val="%1."/>
      <w:lvlJc w:val="left"/>
      <w:rPr>
        <w:rFonts w:hint="default"/>
        <w:sz w:val="18"/>
        <w:szCs w:val="18"/>
      </w:rPr>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2EADBF60"/>
    <w:multiLevelType w:val="multilevel"/>
    <w:tmpl w:val="2EADBF60"/>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1">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5"/>
  </w:num>
  <w:num w:numId="3">
    <w:abstractNumId w:val="14"/>
  </w:num>
  <w:num w:numId="4">
    <w:abstractNumId w:val="9"/>
  </w:num>
  <w:num w:numId="5">
    <w:abstractNumId w:val="11"/>
  </w:num>
  <w:num w:numId="6">
    <w:abstractNumId w:val="0"/>
  </w:num>
  <w:num w:numId="7">
    <w:abstractNumId w:val="2"/>
  </w:num>
  <w:num w:numId="8">
    <w:abstractNumId w:val="10"/>
  </w:num>
  <w:num w:numId="9">
    <w:abstractNumId w:val="3"/>
  </w:num>
  <w:num w:numId="10">
    <w:abstractNumId w:val="7"/>
  </w:num>
  <w:num w:numId="11">
    <w:abstractNumId w:val="5"/>
  </w:num>
  <w:num w:numId="12">
    <w:abstractNumId w:val="6"/>
  </w:num>
  <w:num w:numId="13">
    <w:abstractNumId w:val="1"/>
  </w:num>
  <w:num w:numId="14">
    <w:abstractNumId w:val="4"/>
  </w:num>
  <w:num w:numId="15">
    <w:abstractNumId w:val="8"/>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0F0EF6"/>
    <w:rsid w:val="001141D3"/>
    <w:rsid w:val="001222E6"/>
    <w:rsid w:val="00154460"/>
    <w:rsid w:val="00163124"/>
    <w:rsid w:val="00170EE8"/>
    <w:rsid w:val="00172A27"/>
    <w:rsid w:val="00177AF0"/>
    <w:rsid w:val="00197022"/>
    <w:rsid w:val="002017D7"/>
    <w:rsid w:val="00210690"/>
    <w:rsid w:val="002233EA"/>
    <w:rsid w:val="00276CD5"/>
    <w:rsid w:val="00286CBA"/>
    <w:rsid w:val="002D4647"/>
    <w:rsid w:val="002E7BF1"/>
    <w:rsid w:val="002F55B3"/>
    <w:rsid w:val="00330820"/>
    <w:rsid w:val="00384980"/>
    <w:rsid w:val="003959EB"/>
    <w:rsid w:val="003A11EB"/>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64468"/>
    <w:rsid w:val="008B2982"/>
    <w:rsid w:val="008C0338"/>
    <w:rsid w:val="008D0329"/>
    <w:rsid w:val="008D3A92"/>
    <w:rsid w:val="00907638"/>
    <w:rsid w:val="00925228"/>
    <w:rsid w:val="009642B3"/>
    <w:rsid w:val="009A5F18"/>
    <w:rsid w:val="009B30F9"/>
    <w:rsid w:val="009D520A"/>
    <w:rsid w:val="00A010BF"/>
    <w:rsid w:val="00A0169B"/>
    <w:rsid w:val="00A64FFB"/>
    <w:rsid w:val="00A87211"/>
    <w:rsid w:val="00AE5DB4"/>
    <w:rsid w:val="00B01B75"/>
    <w:rsid w:val="00B0681C"/>
    <w:rsid w:val="00B8029D"/>
    <w:rsid w:val="00B93560"/>
    <w:rsid w:val="00BA69BC"/>
    <w:rsid w:val="00BA75BF"/>
    <w:rsid w:val="00BE686C"/>
    <w:rsid w:val="00C5314B"/>
    <w:rsid w:val="00C65D90"/>
    <w:rsid w:val="00C7340D"/>
    <w:rsid w:val="00C93764"/>
    <w:rsid w:val="00C96B88"/>
    <w:rsid w:val="00CA759C"/>
    <w:rsid w:val="00D1791D"/>
    <w:rsid w:val="00D2107B"/>
    <w:rsid w:val="00D22BB0"/>
    <w:rsid w:val="00D37694"/>
    <w:rsid w:val="00D40855"/>
    <w:rsid w:val="00D42537"/>
    <w:rsid w:val="00D730DF"/>
    <w:rsid w:val="00D97168"/>
    <w:rsid w:val="00DA2F2F"/>
    <w:rsid w:val="00DB3C5A"/>
    <w:rsid w:val="00DB610F"/>
    <w:rsid w:val="00E31BA8"/>
    <w:rsid w:val="00E50803"/>
    <w:rsid w:val="00E54B6E"/>
    <w:rsid w:val="00E90BC9"/>
    <w:rsid w:val="00E95FE1"/>
    <w:rsid w:val="00EB6EFB"/>
    <w:rsid w:val="00EF7DB4"/>
    <w:rsid w:val="00F25C1E"/>
    <w:rsid w:val="00F5027A"/>
    <w:rsid w:val="00F6571C"/>
    <w:rsid w:val="00FB4715"/>
    <w:rsid w:val="00FD2063"/>
    <w:rsid w:val="00FF7BB1"/>
    <w:rsid w:val="011A030A"/>
    <w:rsid w:val="011A0D8B"/>
    <w:rsid w:val="01230292"/>
    <w:rsid w:val="01392F4E"/>
    <w:rsid w:val="017A2B5E"/>
    <w:rsid w:val="018016F0"/>
    <w:rsid w:val="01A0337A"/>
    <w:rsid w:val="02337A11"/>
    <w:rsid w:val="027C0F8A"/>
    <w:rsid w:val="028358E7"/>
    <w:rsid w:val="029A67E2"/>
    <w:rsid w:val="02CA5230"/>
    <w:rsid w:val="02E91A90"/>
    <w:rsid w:val="0329174C"/>
    <w:rsid w:val="033463D6"/>
    <w:rsid w:val="038726D8"/>
    <w:rsid w:val="03E921F1"/>
    <w:rsid w:val="04455AD9"/>
    <w:rsid w:val="04791D69"/>
    <w:rsid w:val="04871837"/>
    <w:rsid w:val="04A167FA"/>
    <w:rsid w:val="04BD1641"/>
    <w:rsid w:val="04C17114"/>
    <w:rsid w:val="04CD44FD"/>
    <w:rsid w:val="05815BFE"/>
    <w:rsid w:val="05887898"/>
    <w:rsid w:val="059E1945"/>
    <w:rsid w:val="05B13825"/>
    <w:rsid w:val="05F23D13"/>
    <w:rsid w:val="06A4457F"/>
    <w:rsid w:val="06A61E8D"/>
    <w:rsid w:val="06E36A2C"/>
    <w:rsid w:val="06EB7F4D"/>
    <w:rsid w:val="07250EAC"/>
    <w:rsid w:val="074043CC"/>
    <w:rsid w:val="07AB34E7"/>
    <w:rsid w:val="07D36A00"/>
    <w:rsid w:val="07DB59EB"/>
    <w:rsid w:val="083F50A2"/>
    <w:rsid w:val="08492620"/>
    <w:rsid w:val="088D7FF0"/>
    <w:rsid w:val="09212671"/>
    <w:rsid w:val="095F057B"/>
    <w:rsid w:val="09705B33"/>
    <w:rsid w:val="0A043ABA"/>
    <w:rsid w:val="0A337BEA"/>
    <w:rsid w:val="0A757891"/>
    <w:rsid w:val="0A8703FE"/>
    <w:rsid w:val="0ADA7F11"/>
    <w:rsid w:val="0ADD29EC"/>
    <w:rsid w:val="0AEC09F3"/>
    <w:rsid w:val="0B5F0945"/>
    <w:rsid w:val="0B89157E"/>
    <w:rsid w:val="0BA82D72"/>
    <w:rsid w:val="0C1768CC"/>
    <w:rsid w:val="0C3A0C95"/>
    <w:rsid w:val="0C3E5385"/>
    <w:rsid w:val="0C96240B"/>
    <w:rsid w:val="0D055CE8"/>
    <w:rsid w:val="0D0E2E15"/>
    <w:rsid w:val="0D194A15"/>
    <w:rsid w:val="0D877621"/>
    <w:rsid w:val="0D9226E1"/>
    <w:rsid w:val="0D9819F1"/>
    <w:rsid w:val="0DAD1717"/>
    <w:rsid w:val="0E11445D"/>
    <w:rsid w:val="0E542351"/>
    <w:rsid w:val="0E632099"/>
    <w:rsid w:val="0E644C2B"/>
    <w:rsid w:val="0E82580A"/>
    <w:rsid w:val="0EBF2A43"/>
    <w:rsid w:val="0EC91129"/>
    <w:rsid w:val="0ED843CC"/>
    <w:rsid w:val="0F2012A5"/>
    <w:rsid w:val="0FB9297A"/>
    <w:rsid w:val="0FD76E08"/>
    <w:rsid w:val="0FEF6595"/>
    <w:rsid w:val="0FFE1C1F"/>
    <w:rsid w:val="10A519AE"/>
    <w:rsid w:val="10D26947"/>
    <w:rsid w:val="11046F6E"/>
    <w:rsid w:val="11067689"/>
    <w:rsid w:val="110D3F98"/>
    <w:rsid w:val="118B49B4"/>
    <w:rsid w:val="11E5739A"/>
    <w:rsid w:val="12722FE7"/>
    <w:rsid w:val="12850E64"/>
    <w:rsid w:val="12963DA1"/>
    <w:rsid w:val="12F372F0"/>
    <w:rsid w:val="132612E4"/>
    <w:rsid w:val="13897526"/>
    <w:rsid w:val="13AB527B"/>
    <w:rsid w:val="147565B0"/>
    <w:rsid w:val="14872247"/>
    <w:rsid w:val="148972D9"/>
    <w:rsid w:val="149B7751"/>
    <w:rsid w:val="14AA5F0C"/>
    <w:rsid w:val="14C82A00"/>
    <w:rsid w:val="14E50274"/>
    <w:rsid w:val="15060550"/>
    <w:rsid w:val="150E31A1"/>
    <w:rsid w:val="15196B67"/>
    <w:rsid w:val="152B5F53"/>
    <w:rsid w:val="152E3223"/>
    <w:rsid w:val="153F7D0D"/>
    <w:rsid w:val="156E1C8F"/>
    <w:rsid w:val="15D73C77"/>
    <w:rsid w:val="16345977"/>
    <w:rsid w:val="165063E4"/>
    <w:rsid w:val="16A6744E"/>
    <w:rsid w:val="16BD5BE8"/>
    <w:rsid w:val="16E67B0D"/>
    <w:rsid w:val="16EF32B7"/>
    <w:rsid w:val="16F8465A"/>
    <w:rsid w:val="175C3095"/>
    <w:rsid w:val="179E5A16"/>
    <w:rsid w:val="17C57C22"/>
    <w:rsid w:val="17EF172D"/>
    <w:rsid w:val="18036692"/>
    <w:rsid w:val="18115FA7"/>
    <w:rsid w:val="184F5A03"/>
    <w:rsid w:val="188A3FE1"/>
    <w:rsid w:val="188B1EE6"/>
    <w:rsid w:val="188E10A8"/>
    <w:rsid w:val="18A5002C"/>
    <w:rsid w:val="19437087"/>
    <w:rsid w:val="1969147D"/>
    <w:rsid w:val="199369D8"/>
    <w:rsid w:val="1A5E6E15"/>
    <w:rsid w:val="1A9C4C96"/>
    <w:rsid w:val="1AF45ED7"/>
    <w:rsid w:val="1B10343F"/>
    <w:rsid w:val="1B28649B"/>
    <w:rsid w:val="1B3B4866"/>
    <w:rsid w:val="1BA36B7F"/>
    <w:rsid w:val="1BAD3E87"/>
    <w:rsid w:val="1C166655"/>
    <w:rsid w:val="1C7A05D0"/>
    <w:rsid w:val="1C98707F"/>
    <w:rsid w:val="1CCD19AC"/>
    <w:rsid w:val="1CD3634C"/>
    <w:rsid w:val="1CFB3D7D"/>
    <w:rsid w:val="1D0B7646"/>
    <w:rsid w:val="1D103BE7"/>
    <w:rsid w:val="1D306ECF"/>
    <w:rsid w:val="1DE8432D"/>
    <w:rsid w:val="1E1954BB"/>
    <w:rsid w:val="1E424F38"/>
    <w:rsid w:val="1E5B4AE9"/>
    <w:rsid w:val="1E5D40E4"/>
    <w:rsid w:val="1EAB0C6A"/>
    <w:rsid w:val="1EAF2912"/>
    <w:rsid w:val="1EE510E1"/>
    <w:rsid w:val="1EEB2832"/>
    <w:rsid w:val="1F2B7CAE"/>
    <w:rsid w:val="1FB23A5A"/>
    <w:rsid w:val="1FC33C06"/>
    <w:rsid w:val="1FC77337"/>
    <w:rsid w:val="1FF95398"/>
    <w:rsid w:val="20205A20"/>
    <w:rsid w:val="202D7F0F"/>
    <w:rsid w:val="20855B55"/>
    <w:rsid w:val="209432E5"/>
    <w:rsid w:val="20943D07"/>
    <w:rsid w:val="20C205EB"/>
    <w:rsid w:val="20CA3A62"/>
    <w:rsid w:val="216F18A9"/>
    <w:rsid w:val="21790C04"/>
    <w:rsid w:val="218960DE"/>
    <w:rsid w:val="21D55A39"/>
    <w:rsid w:val="22180203"/>
    <w:rsid w:val="22322E8D"/>
    <w:rsid w:val="224C7FA0"/>
    <w:rsid w:val="226A689A"/>
    <w:rsid w:val="22B1632D"/>
    <w:rsid w:val="22B67E76"/>
    <w:rsid w:val="22D4409F"/>
    <w:rsid w:val="22FC1855"/>
    <w:rsid w:val="2322058C"/>
    <w:rsid w:val="232B252D"/>
    <w:rsid w:val="235C2C2A"/>
    <w:rsid w:val="23AE1934"/>
    <w:rsid w:val="23DC4798"/>
    <w:rsid w:val="23FF1819"/>
    <w:rsid w:val="240007AE"/>
    <w:rsid w:val="244D2216"/>
    <w:rsid w:val="24D278E4"/>
    <w:rsid w:val="24FE2FC6"/>
    <w:rsid w:val="250E3D96"/>
    <w:rsid w:val="25152B1F"/>
    <w:rsid w:val="253036C5"/>
    <w:rsid w:val="256C4478"/>
    <w:rsid w:val="25C7784B"/>
    <w:rsid w:val="26976104"/>
    <w:rsid w:val="27047A7D"/>
    <w:rsid w:val="271A3FF4"/>
    <w:rsid w:val="271C165B"/>
    <w:rsid w:val="2786240A"/>
    <w:rsid w:val="27870460"/>
    <w:rsid w:val="27984A7E"/>
    <w:rsid w:val="27EA6CAB"/>
    <w:rsid w:val="281020DB"/>
    <w:rsid w:val="28642123"/>
    <w:rsid w:val="28855B91"/>
    <w:rsid w:val="28B63ACE"/>
    <w:rsid w:val="28B640D1"/>
    <w:rsid w:val="28B74238"/>
    <w:rsid w:val="28B83CA7"/>
    <w:rsid w:val="28BA720D"/>
    <w:rsid w:val="28C86CFA"/>
    <w:rsid w:val="28CB616B"/>
    <w:rsid w:val="28E3589C"/>
    <w:rsid w:val="28E502F9"/>
    <w:rsid w:val="292D0C40"/>
    <w:rsid w:val="29345F99"/>
    <w:rsid w:val="29363F06"/>
    <w:rsid w:val="29555C64"/>
    <w:rsid w:val="296F5B95"/>
    <w:rsid w:val="29CB7AAA"/>
    <w:rsid w:val="29DE0525"/>
    <w:rsid w:val="29EF70C8"/>
    <w:rsid w:val="2A221D03"/>
    <w:rsid w:val="2A3716AB"/>
    <w:rsid w:val="2A51621C"/>
    <w:rsid w:val="2A7F29B1"/>
    <w:rsid w:val="2ADE2A02"/>
    <w:rsid w:val="2B1365FC"/>
    <w:rsid w:val="2B485DBB"/>
    <w:rsid w:val="2B692B05"/>
    <w:rsid w:val="2B8C0A94"/>
    <w:rsid w:val="2BDE1876"/>
    <w:rsid w:val="2C165FD1"/>
    <w:rsid w:val="2C427C83"/>
    <w:rsid w:val="2C576226"/>
    <w:rsid w:val="2D061413"/>
    <w:rsid w:val="2E0C0EE9"/>
    <w:rsid w:val="2E3D6CA4"/>
    <w:rsid w:val="2E7C3545"/>
    <w:rsid w:val="2E824F5C"/>
    <w:rsid w:val="2EB35A8A"/>
    <w:rsid w:val="2F28730D"/>
    <w:rsid w:val="2FB12A1A"/>
    <w:rsid w:val="30310CEB"/>
    <w:rsid w:val="304862D7"/>
    <w:rsid w:val="30DA24F1"/>
    <w:rsid w:val="30E41C41"/>
    <w:rsid w:val="31033685"/>
    <w:rsid w:val="310959FE"/>
    <w:rsid w:val="3109732A"/>
    <w:rsid w:val="31421E08"/>
    <w:rsid w:val="31464ABB"/>
    <w:rsid w:val="315E5833"/>
    <w:rsid w:val="32080EDC"/>
    <w:rsid w:val="324E6866"/>
    <w:rsid w:val="32A31141"/>
    <w:rsid w:val="32AB7EAB"/>
    <w:rsid w:val="32B71D27"/>
    <w:rsid w:val="32DB7156"/>
    <w:rsid w:val="32DE07F1"/>
    <w:rsid w:val="32F01EBB"/>
    <w:rsid w:val="33323300"/>
    <w:rsid w:val="33725A73"/>
    <w:rsid w:val="338527AA"/>
    <w:rsid w:val="33AE0711"/>
    <w:rsid w:val="33CF05AE"/>
    <w:rsid w:val="346D24B1"/>
    <w:rsid w:val="34777EA9"/>
    <w:rsid w:val="348573AD"/>
    <w:rsid w:val="34EA0013"/>
    <w:rsid w:val="35055D74"/>
    <w:rsid w:val="354B10C4"/>
    <w:rsid w:val="357E5409"/>
    <w:rsid w:val="35945D5F"/>
    <w:rsid w:val="35B3556B"/>
    <w:rsid w:val="35F5325E"/>
    <w:rsid w:val="360630CA"/>
    <w:rsid w:val="360A76FC"/>
    <w:rsid w:val="36940077"/>
    <w:rsid w:val="36A71E61"/>
    <w:rsid w:val="36E25529"/>
    <w:rsid w:val="371E73E3"/>
    <w:rsid w:val="37731B0B"/>
    <w:rsid w:val="37E81DE8"/>
    <w:rsid w:val="3848012E"/>
    <w:rsid w:val="39334160"/>
    <w:rsid w:val="393D6B8F"/>
    <w:rsid w:val="39525C52"/>
    <w:rsid w:val="399A5E65"/>
    <w:rsid w:val="39A64D30"/>
    <w:rsid w:val="39B00D21"/>
    <w:rsid w:val="3A202424"/>
    <w:rsid w:val="3A49481A"/>
    <w:rsid w:val="3A4D09F5"/>
    <w:rsid w:val="3AF460F5"/>
    <w:rsid w:val="3B414471"/>
    <w:rsid w:val="3B6B584B"/>
    <w:rsid w:val="3B721C7C"/>
    <w:rsid w:val="3B99114B"/>
    <w:rsid w:val="3B9B0105"/>
    <w:rsid w:val="3BEA5380"/>
    <w:rsid w:val="3BF35040"/>
    <w:rsid w:val="3C3F24CA"/>
    <w:rsid w:val="3C5D7D9D"/>
    <w:rsid w:val="3CC95781"/>
    <w:rsid w:val="3D105F1B"/>
    <w:rsid w:val="3D1C54C3"/>
    <w:rsid w:val="3D621347"/>
    <w:rsid w:val="3D6C60E9"/>
    <w:rsid w:val="3D855C98"/>
    <w:rsid w:val="3DB27834"/>
    <w:rsid w:val="3E177369"/>
    <w:rsid w:val="3E5C4C18"/>
    <w:rsid w:val="3E686A9E"/>
    <w:rsid w:val="3E7D0E01"/>
    <w:rsid w:val="3EC949BD"/>
    <w:rsid w:val="3F051B05"/>
    <w:rsid w:val="3F1D1FAD"/>
    <w:rsid w:val="3F4343E8"/>
    <w:rsid w:val="3FC0487B"/>
    <w:rsid w:val="3FCB42E0"/>
    <w:rsid w:val="3FF2193A"/>
    <w:rsid w:val="405979F4"/>
    <w:rsid w:val="40890521"/>
    <w:rsid w:val="40895D14"/>
    <w:rsid w:val="40BA2B58"/>
    <w:rsid w:val="40CD5E20"/>
    <w:rsid w:val="41B015F1"/>
    <w:rsid w:val="41C73588"/>
    <w:rsid w:val="41EC43CC"/>
    <w:rsid w:val="41FF695D"/>
    <w:rsid w:val="42AF2F7A"/>
    <w:rsid w:val="42D665BD"/>
    <w:rsid w:val="42F70CC1"/>
    <w:rsid w:val="435766B4"/>
    <w:rsid w:val="43821027"/>
    <w:rsid w:val="44024434"/>
    <w:rsid w:val="44C23006"/>
    <w:rsid w:val="44C6598F"/>
    <w:rsid w:val="452112A4"/>
    <w:rsid w:val="452C52BD"/>
    <w:rsid w:val="454A2BAB"/>
    <w:rsid w:val="45755361"/>
    <w:rsid w:val="459308E1"/>
    <w:rsid w:val="459F604B"/>
    <w:rsid w:val="45A93012"/>
    <w:rsid w:val="45D4644E"/>
    <w:rsid w:val="46550A34"/>
    <w:rsid w:val="46A072C4"/>
    <w:rsid w:val="46B53706"/>
    <w:rsid w:val="46B72EB2"/>
    <w:rsid w:val="46E4791E"/>
    <w:rsid w:val="470B23FB"/>
    <w:rsid w:val="47A33F8A"/>
    <w:rsid w:val="4811052D"/>
    <w:rsid w:val="48552080"/>
    <w:rsid w:val="4883115E"/>
    <w:rsid w:val="488A5A4F"/>
    <w:rsid w:val="48C65C4C"/>
    <w:rsid w:val="48F33103"/>
    <w:rsid w:val="49114D9F"/>
    <w:rsid w:val="494F5588"/>
    <w:rsid w:val="499E6F1D"/>
    <w:rsid w:val="49C56F37"/>
    <w:rsid w:val="4A1A1AFC"/>
    <w:rsid w:val="4A1C7F69"/>
    <w:rsid w:val="4A2048F5"/>
    <w:rsid w:val="4A4A7BE5"/>
    <w:rsid w:val="4A4C0DA7"/>
    <w:rsid w:val="4A4F7BFE"/>
    <w:rsid w:val="4A693618"/>
    <w:rsid w:val="4A7345CA"/>
    <w:rsid w:val="4A821FE5"/>
    <w:rsid w:val="4A83553B"/>
    <w:rsid w:val="4AA36DBB"/>
    <w:rsid w:val="4B315A79"/>
    <w:rsid w:val="4B4D7464"/>
    <w:rsid w:val="4B6232EC"/>
    <w:rsid w:val="4BC14EAA"/>
    <w:rsid w:val="4BE42260"/>
    <w:rsid w:val="4C050246"/>
    <w:rsid w:val="4C0B1AE7"/>
    <w:rsid w:val="4C0F23A4"/>
    <w:rsid w:val="4C120763"/>
    <w:rsid w:val="4C1677E9"/>
    <w:rsid w:val="4C4A3EE8"/>
    <w:rsid w:val="4C6263AC"/>
    <w:rsid w:val="4C761A31"/>
    <w:rsid w:val="4D123B20"/>
    <w:rsid w:val="4D4817CF"/>
    <w:rsid w:val="4D6A309D"/>
    <w:rsid w:val="4D9E31C3"/>
    <w:rsid w:val="4DB6655A"/>
    <w:rsid w:val="4DC108F4"/>
    <w:rsid w:val="4DC26600"/>
    <w:rsid w:val="4E010F87"/>
    <w:rsid w:val="4E0176F5"/>
    <w:rsid w:val="4E414BB2"/>
    <w:rsid w:val="4E8E63A1"/>
    <w:rsid w:val="4ED24E8A"/>
    <w:rsid w:val="4ED75229"/>
    <w:rsid w:val="4ED84F0E"/>
    <w:rsid w:val="4EED06FD"/>
    <w:rsid w:val="4F0A4F22"/>
    <w:rsid w:val="4F2C4F1E"/>
    <w:rsid w:val="4F5624CB"/>
    <w:rsid w:val="4F8A3F4D"/>
    <w:rsid w:val="4FB467F9"/>
    <w:rsid w:val="4FD02F65"/>
    <w:rsid w:val="4FF32B52"/>
    <w:rsid w:val="4FFD0EF1"/>
    <w:rsid w:val="502D4F37"/>
    <w:rsid w:val="50FC115E"/>
    <w:rsid w:val="510D07DF"/>
    <w:rsid w:val="511A2283"/>
    <w:rsid w:val="516F1C65"/>
    <w:rsid w:val="519B28E7"/>
    <w:rsid w:val="5216067E"/>
    <w:rsid w:val="524D5852"/>
    <w:rsid w:val="52594F0F"/>
    <w:rsid w:val="5282034B"/>
    <w:rsid w:val="52832C8D"/>
    <w:rsid w:val="528E13BC"/>
    <w:rsid w:val="52DB3A4A"/>
    <w:rsid w:val="52DC5D03"/>
    <w:rsid w:val="52E57CC3"/>
    <w:rsid w:val="5312550A"/>
    <w:rsid w:val="53667193"/>
    <w:rsid w:val="53D1543B"/>
    <w:rsid w:val="53DE69BF"/>
    <w:rsid w:val="53F73F0F"/>
    <w:rsid w:val="54113F0F"/>
    <w:rsid w:val="541A0F48"/>
    <w:rsid w:val="541C0D17"/>
    <w:rsid w:val="541E45C6"/>
    <w:rsid w:val="542A6641"/>
    <w:rsid w:val="544B130D"/>
    <w:rsid w:val="54AB72C9"/>
    <w:rsid w:val="54C71FE7"/>
    <w:rsid w:val="54D44608"/>
    <w:rsid w:val="54D723E8"/>
    <w:rsid w:val="550721D5"/>
    <w:rsid w:val="556F2AE4"/>
    <w:rsid w:val="55A47060"/>
    <w:rsid w:val="55AC636A"/>
    <w:rsid w:val="55C15CC7"/>
    <w:rsid w:val="55F3376F"/>
    <w:rsid w:val="563648E8"/>
    <w:rsid w:val="56A650A5"/>
    <w:rsid w:val="56B967C0"/>
    <w:rsid w:val="56BE67A9"/>
    <w:rsid w:val="56EE7782"/>
    <w:rsid w:val="571C57F3"/>
    <w:rsid w:val="57345015"/>
    <w:rsid w:val="5757242F"/>
    <w:rsid w:val="576B0D91"/>
    <w:rsid w:val="57830686"/>
    <w:rsid w:val="57C96345"/>
    <w:rsid w:val="57CB6623"/>
    <w:rsid w:val="57D92384"/>
    <w:rsid w:val="57F17DFC"/>
    <w:rsid w:val="58020827"/>
    <w:rsid w:val="581808D2"/>
    <w:rsid w:val="585D27D8"/>
    <w:rsid w:val="58791C73"/>
    <w:rsid w:val="5889686F"/>
    <w:rsid w:val="58941028"/>
    <w:rsid w:val="58A44110"/>
    <w:rsid w:val="58A47FA0"/>
    <w:rsid w:val="58DE21CC"/>
    <w:rsid w:val="58E6455C"/>
    <w:rsid w:val="591A1C25"/>
    <w:rsid w:val="5927169E"/>
    <w:rsid w:val="5A21029D"/>
    <w:rsid w:val="5A3C11E6"/>
    <w:rsid w:val="5A540A70"/>
    <w:rsid w:val="5AA63E98"/>
    <w:rsid w:val="5ACB50B1"/>
    <w:rsid w:val="5B19039D"/>
    <w:rsid w:val="5B2616E5"/>
    <w:rsid w:val="5B3A4C3E"/>
    <w:rsid w:val="5B884B96"/>
    <w:rsid w:val="5BA557F4"/>
    <w:rsid w:val="5C537F09"/>
    <w:rsid w:val="5C9A78E6"/>
    <w:rsid w:val="5CA06501"/>
    <w:rsid w:val="5CA71018"/>
    <w:rsid w:val="5D090FC9"/>
    <w:rsid w:val="5E112F6F"/>
    <w:rsid w:val="5E1455E7"/>
    <w:rsid w:val="5E4D291A"/>
    <w:rsid w:val="5E9E54E7"/>
    <w:rsid w:val="5F7128AF"/>
    <w:rsid w:val="5FA2526B"/>
    <w:rsid w:val="5FAA3C47"/>
    <w:rsid w:val="5FB850F5"/>
    <w:rsid w:val="5FC12063"/>
    <w:rsid w:val="5FDC1404"/>
    <w:rsid w:val="5FF61953"/>
    <w:rsid w:val="600E54F4"/>
    <w:rsid w:val="606B09F8"/>
    <w:rsid w:val="607B75C7"/>
    <w:rsid w:val="60A827A3"/>
    <w:rsid w:val="60D51A59"/>
    <w:rsid w:val="60E82224"/>
    <w:rsid w:val="60F575C1"/>
    <w:rsid w:val="61147D5F"/>
    <w:rsid w:val="6141130F"/>
    <w:rsid w:val="61426DE4"/>
    <w:rsid w:val="61B17DFE"/>
    <w:rsid w:val="61C20E69"/>
    <w:rsid w:val="62070A08"/>
    <w:rsid w:val="62847EA7"/>
    <w:rsid w:val="62DB637F"/>
    <w:rsid w:val="62FA10BA"/>
    <w:rsid w:val="62FD5017"/>
    <w:rsid w:val="63296CF6"/>
    <w:rsid w:val="634624B2"/>
    <w:rsid w:val="63532130"/>
    <w:rsid w:val="63B77886"/>
    <w:rsid w:val="63C57EA5"/>
    <w:rsid w:val="63D615FE"/>
    <w:rsid w:val="640B7333"/>
    <w:rsid w:val="64252105"/>
    <w:rsid w:val="64582635"/>
    <w:rsid w:val="6469117D"/>
    <w:rsid w:val="64871562"/>
    <w:rsid w:val="649B069F"/>
    <w:rsid w:val="64A22A14"/>
    <w:rsid w:val="64AA3487"/>
    <w:rsid w:val="64EA7FB1"/>
    <w:rsid w:val="64EC6C5A"/>
    <w:rsid w:val="653D7AF3"/>
    <w:rsid w:val="655E7666"/>
    <w:rsid w:val="6569254B"/>
    <w:rsid w:val="658D3BDA"/>
    <w:rsid w:val="65B119A5"/>
    <w:rsid w:val="65F916BF"/>
    <w:rsid w:val="6622535F"/>
    <w:rsid w:val="663A6D90"/>
    <w:rsid w:val="66565CBE"/>
    <w:rsid w:val="670E76D1"/>
    <w:rsid w:val="67326007"/>
    <w:rsid w:val="67513F85"/>
    <w:rsid w:val="67574E33"/>
    <w:rsid w:val="675C4146"/>
    <w:rsid w:val="67D77C44"/>
    <w:rsid w:val="684D1A1A"/>
    <w:rsid w:val="68645048"/>
    <w:rsid w:val="6884286B"/>
    <w:rsid w:val="690459DC"/>
    <w:rsid w:val="690B7AFD"/>
    <w:rsid w:val="69404AFD"/>
    <w:rsid w:val="694F2539"/>
    <w:rsid w:val="69543567"/>
    <w:rsid w:val="6A6D318E"/>
    <w:rsid w:val="6A90444F"/>
    <w:rsid w:val="6A930078"/>
    <w:rsid w:val="6AF86338"/>
    <w:rsid w:val="6AFC4C50"/>
    <w:rsid w:val="6AFF6DD9"/>
    <w:rsid w:val="6B2031BA"/>
    <w:rsid w:val="6B274553"/>
    <w:rsid w:val="6B456FE3"/>
    <w:rsid w:val="6B6721F6"/>
    <w:rsid w:val="6B713444"/>
    <w:rsid w:val="6B7A60D6"/>
    <w:rsid w:val="6B9F6D44"/>
    <w:rsid w:val="6BF26F47"/>
    <w:rsid w:val="6C1400EF"/>
    <w:rsid w:val="6C203A9A"/>
    <w:rsid w:val="6C385BB0"/>
    <w:rsid w:val="6C4A35E0"/>
    <w:rsid w:val="6C514A84"/>
    <w:rsid w:val="6CA6506C"/>
    <w:rsid w:val="6CB75CCD"/>
    <w:rsid w:val="6D2D26D4"/>
    <w:rsid w:val="6D425E8D"/>
    <w:rsid w:val="6D550E72"/>
    <w:rsid w:val="6D6F7597"/>
    <w:rsid w:val="6DA84871"/>
    <w:rsid w:val="6E411486"/>
    <w:rsid w:val="6E6602A3"/>
    <w:rsid w:val="6E9303C1"/>
    <w:rsid w:val="6EAE7221"/>
    <w:rsid w:val="6ECF03D4"/>
    <w:rsid w:val="6EEA4B30"/>
    <w:rsid w:val="6EEB1850"/>
    <w:rsid w:val="6F313CA3"/>
    <w:rsid w:val="6FBE7937"/>
    <w:rsid w:val="6FC02C16"/>
    <w:rsid w:val="6FF6475E"/>
    <w:rsid w:val="70093B7A"/>
    <w:rsid w:val="70184EA3"/>
    <w:rsid w:val="704C5807"/>
    <w:rsid w:val="70687850"/>
    <w:rsid w:val="707A1033"/>
    <w:rsid w:val="70CB53E1"/>
    <w:rsid w:val="70E45041"/>
    <w:rsid w:val="714E12CF"/>
    <w:rsid w:val="71561022"/>
    <w:rsid w:val="717604C9"/>
    <w:rsid w:val="71EC218B"/>
    <w:rsid w:val="7207078C"/>
    <w:rsid w:val="7209016D"/>
    <w:rsid w:val="722D38CE"/>
    <w:rsid w:val="72351C36"/>
    <w:rsid w:val="7259341C"/>
    <w:rsid w:val="728B00C1"/>
    <w:rsid w:val="734521A8"/>
    <w:rsid w:val="735C6FDE"/>
    <w:rsid w:val="73707E67"/>
    <w:rsid w:val="73776F50"/>
    <w:rsid w:val="73E922BE"/>
    <w:rsid w:val="741F0C23"/>
    <w:rsid w:val="743439CA"/>
    <w:rsid w:val="748F3308"/>
    <w:rsid w:val="74BC7F66"/>
    <w:rsid w:val="74DD127A"/>
    <w:rsid w:val="75260EE2"/>
    <w:rsid w:val="753D1C2F"/>
    <w:rsid w:val="75686B98"/>
    <w:rsid w:val="75874327"/>
    <w:rsid w:val="75A274B9"/>
    <w:rsid w:val="7677072C"/>
    <w:rsid w:val="768317F7"/>
    <w:rsid w:val="76A00464"/>
    <w:rsid w:val="76A021B3"/>
    <w:rsid w:val="76B664D7"/>
    <w:rsid w:val="76E33575"/>
    <w:rsid w:val="76EB2B73"/>
    <w:rsid w:val="770B0914"/>
    <w:rsid w:val="77430656"/>
    <w:rsid w:val="775D41D3"/>
    <w:rsid w:val="77A33591"/>
    <w:rsid w:val="77D16924"/>
    <w:rsid w:val="77DA2952"/>
    <w:rsid w:val="7824651E"/>
    <w:rsid w:val="782C2784"/>
    <w:rsid w:val="78326601"/>
    <w:rsid w:val="78B9498D"/>
    <w:rsid w:val="797F7147"/>
    <w:rsid w:val="79BE2A91"/>
    <w:rsid w:val="79CE1B3B"/>
    <w:rsid w:val="79F9757E"/>
    <w:rsid w:val="7A0F0FE1"/>
    <w:rsid w:val="7A6634A8"/>
    <w:rsid w:val="7A697D45"/>
    <w:rsid w:val="7A992CC0"/>
    <w:rsid w:val="7AB031CF"/>
    <w:rsid w:val="7B3A50B0"/>
    <w:rsid w:val="7B8B2C1D"/>
    <w:rsid w:val="7BCA3B47"/>
    <w:rsid w:val="7BD020E4"/>
    <w:rsid w:val="7BDE06A1"/>
    <w:rsid w:val="7C01614C"/>
    <w:rsid w:val="7C1C2F85"/>
    <w:rsid w:val="7D0D160B"/>
    <w:rsid w:val="7D12020E"/>
    <w:rsid w:val="7D2F0819"/>
    <w:rsid w:val="7D2F33BE"/>
    <w:rsid w:val="7D3E459F"/>
    <w:rsid w:val="7D793C28"/>
    <w:rsid w:val="7D8C0F6F"/>
    <w:rsid w:val="7DA84503"/>
    <w:rsid w:val="7E0F3325"/>
    <w:rsid w:val="7E517338"/>
    <w:rsid w:val="7E9771C1"/>
    <w:rsid w:val="7EB604BE"/>
    <w:rsid w:val="7EC33344"/>
    <w:rsid w:val="7F437511"/>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paragraph" w:customStyle="1" w:styleId="37">
    <w:name w:val="安为康一级标题"/>
    <w:basedOn w:val="1"/>
    <w:next w:val="1"/>
    <w:autoRedefine/>
    <w:qFormat/>
    <w:uiPriority w:val="0"/>
    <w:pPr>
      <w:numPr>
        <w:ilvl w:val="0"/>
        <w:numId w:val="6"/>
      </w:numPr>
      <w:ind w:left="0" w:firstLine="0"/>
      <w:jc w:val="center"/>
      <w:outlineLvl w:val="0"/>
    </w:pPr>
    <w:rPr>
      <w:rFonts w:ascii="Times New Roman" w:hAnsi="Times New Roman" w:eastAsia="宋体" w:cs="宋体"/>
      <w:b/>
      <w:bCs/>
      <w:color w:val="000000" w:themeColor="text1"/>
      <w:sz w:val="28"/>
      <w:szCs w:val="24"/>
      <w:lang w:eastAsia="zh-CN"/>
      <w14:textFill>
        <w14:solidFill>
          <w14:schemeClr w14:val="tx1"/>
        </w14:solidFill>
      </w14:textFill>
    </w:rPr>
  </w:style>
  <w:style w:type="paragraph" w:customStyle="1" w:styleId="38">
    <w:name w:val="样式2"/>
    <w:basedOn w:val="1"/>
    <w:next w:val="1"/>
    <w:autoRedefine/>
    <w:qFormat/>
    <w:uiPriority w:val="0"/>
    <w:pPr>
      <w:numPr>
        <w:ilvl w:val="0"/>
        <w:numId w:val="7"/>
      </w:numPr>
      <w:ind w:left="832" w:hanging="420"/>
      <w:jc w:val="center"/>
      <w:outlineLvl w:val="1"/>
    </w:pPr>
    <w:rPr>
      <w:rFonts w:ascii="Times New Roman" w:hAnsi="Times New Roman" w:eastAsia="宋体" w:cs="宋体"/>
      <w:b/>
      <w:bCs/>
      <w:color w:val="000000" w:themeColor="text1"/>
      <w:sz w:val="24"/>
      <w:szCs w:val="30"/>
      <w14:textFill>
        <w14:solidFill>
          <w14:schemeClr w14:val="tx1"/>
        </w14:solidFill>
      </w14:textFill>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7570</Words>
  <Characters>20820</Characters>
  <Lines>395</Lines>
  <Paragraphs>111</Paragraphs>
  <TotalTime>0</TotalTime>
  <ScaleCrop>false</ScaleCrop>
  <LinksUpToDate>false</LinksUpToDate>
  <CharactersWithSpaces>23002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2024-06-14T03:56:18Z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0ADA123E8FBD4FB5BAD3A36DC0A6751C</vt:lpwstr>
  </property>
</Properties>
</file>