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2336" behindDoc="0" locked="0" layoutInCell="1" allowOverlap="1">
            <wp:simplePos x="0" y="0"/>
            <wp:positionH relativeFrom="page">
              <wp:align>center</wp:align>
            </wp:positionH>
            <wp:positionV relativeFrom="paragraph">
              <wp:posOffset>100965</wp:posOffset>
            </wp:positionV>
            <wp:extent cx="7255510" cy="10264140"/>
            <wp:effectExtent l="0" t="0" r="13970" b="7620"/>
            <wp:wrapNone/>
            <wp:docPr id="7" name="图片 7" descr="提取自CF2305001_阮忠明_泛癌种825基因检测（血液）_20230510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提取自CF2305001_阮忠明_泛癌种825基因检测（血液）_20230510_00"/>
                    <pic:cNvPicPr>
                      <a:picLocks noChangeAspect="1"/>
                    </pic:cNvPicPr>
                  </pic:nvPicPr>
                  <pic:blipFill>
                    <a:blip r:embed="rId8"/>
                    <a:stretch>
                      <a:fillRect/>
                    </a:stretch>
                  </pic:blipFill>
                  <pic:spPr>
                    <a:xfrm>
                      <a:off x="0" y="0"/>
                      <a:ext cx="7255510" cy="10264140"/>
                    </a:xfrm>
                    <a:prstGeom prst="rect">
                      <a:avLst/>
                    </a:prstGeom>
                  </pic:spPr>
                </pic:pic>
              </a:graphicData>
            </a:graphic>
          </wp:anchor>
        </w:drawing>
      </w:r>
    </w:p>
    <w:p>
      <w:r>
        <w:tab/>
      </w:r>
    </w:p>
    <w:p>
      <w:pPr>
        <w:rPr>
          <w:sz w:val="40"/>
          <w:szCs w:val="48"/>
        </w:rPr>
      </w:pPr>
    </w:p>
    <w:p>
      <w:pPr>
        <w:rPr>
          <w:sz w:val="40"/>
          <w:szCs w:val="48"/>
        </w:rPr>
      </w:pPr>
    </w:p>
    <w:p/>
    <w:tbl>
      <w:tblPr>
        <w:tblStyle w:val="15"/>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9"/>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pPr>
              <w:ind w:left="200" w:leftChars="100"/>
              <w:rPr>
                <w:b/>
                <w:bCs/>
                <w:color w:val="31849B"/>
                <w:kern w:val="0"/>
                <w:sz w:val="28"/>
                <w:szCs w:val="28"/>
              </w:rPr>
            </w:pPr>
            <w:r>
              <w:rPr>
                <w:rFonts w:hint="eastAsia"/>
                <w:b/>
                <w:bCs/>
                <w:color w:val="23656F"/>
                <w:kern w:val="0"/>
                <w:sz w:val="28"/>
                <w:szCs w:val="28"/>
              </w:rPr>
              <w:t>报告正文</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检测结果小结</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400" w:leftChars="200"/>
              <w:rPr>
                <w:rFonts w:hint="default"/>
                <w:color w:val="3F3F3F"/>
                <w:kern w:val="0"/>
                <w:sz w:val="21"/>
                <w:szCs w:val="21"/>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rPr>
              <w:t>检测结果及用药提示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体细胞变异分级提示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rPr>
            </w:pPr>
            <w:r>
              <w:rPr>
                <w:rFonts w:hint="eastAsia"/>
                <w:color w:val="3F3F3F"/>
                <w:lang w:eastAsia="zh-CN"/>
              </w:rPr>
              <w:t>胚系变异结果提示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color w:val="3F3F3F"/>
                <w:lang w:eastAsia="zh-CN"/>
              </w:rPr>
            </w:pP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r>
              <w:rPr>
                <w:rFonts w:hint="eastAsia"/>
                <w:color w:val="3F3F3F"/>
                <w:lang w:val="en-US" w:eastAsia="zh-CN"/>
              </w:rPr>
              <w:t>本癌种FDA/NMPA获批的其他可选靶向药物</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400" w:leftChars="200"/>
              <w:rPr>
                <w:rFonts w:hint="eastAsia" w:ascii="Times New Roman" w:hAnsi="Times New Roman" w:eastAsia="微软雅黑" w:cs="Times New Roman"/>
                <w:color w:val="3F3F3F"/>
                <w:sz w:val="24"/>
                <w:szCs w:val="24"/>
                <w:lang w:eastAsia="zh-CN"/>
              </w:rPr>
            </w:pPr>
            <w:r>
              <w:rPr>
                <w:rFonts w:hint="default" w:ascii="Times New Roman" w:hAnsi="Times New Roman" w:eastAsia="微软雅黑" w:cs="Times New Roman"/>
                <w:color w:val="3F3F3F"/>
                <w:sz w:val="24"/>
                <w:szCs w:val="24"/>
                <w:lang w:eastAsia="zh-CN"/>
              </w:rPr>
              <w:t>{% endif %}</w:t>
            </w:r>
            <w:r>
              <w:rPr>
                <w:rFonts w:hint="eastAsia"/>
                <w:color w:val="3F3F3F"/>
                <w:lang w:eastAsia="zh-CN"/>
              </w:rPr>
              <w:t>免疫药物用药提示</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kern w:val="0"/>
                <w:szCs w:val="20"/>
              </w:rPr>
            </w:pPr>
            <w:r>
              <w:rPr>
                <w:rFonts w:hint="eastAsia"/>
                <w:b/>
                <w:bCs/>
                <w:color w:val="23656F"/>
                <w:kern w:val="0"/>
                <w:sz w:val="28"/>
                <w:szCs w:val="28"/>
              </w:rPr>
              <w:t>基因检测结果解析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胚系变异结果解析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免疫检测结果解析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default" w:ascii="Times New Roman" w:hAnsi="Times New Roman" w:cs="Times New Roman"/>
                <w:color w:val="3F3F3F"/>
              </w:rPr>
              <w:t>{% if gastrointestinalStromalTumor == True %}</w:t>
            </w:r>
            <w:r>
              <w:rPr>
                <w:rFonts w:hint="eastAsia"/>
                <w:color w:val="3F3F3F"/>
                <w:kern w:val="0"/>
                <w:sz w:val="21"/>
                <w:szCs w:val="21"/>
                <w:lang w:eastAsia="zh-CN"/>
              </w:rPr>
              <w:t>化疗药物检测解析</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3F3F3F"/>
                <w:kern w:val="0"/>
                <w:sz w:val="21"/>
                <w:szCs w:val="21"/>
              </w:rPr>
            </w:pPr>
            <w:r>
              <w:rPr>
                <w:rFonts w:hint="eastAsia"/>
                <w:color w:val="3F3F3F"/>
                <w:kern w:val="0"/>
                <w:sz w:val="21"/>
                <w:szCs w:val="21"/>
                <w:lang w:eastAsia="zh-CN"/>
              </w:rPr>
              <w:t>{% endif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color w:val="3F3F3F"/>
                <w:kern w:val="0"/>
                <w:sz w:val="21"/>
                <w:szCs w:val="21"/>
                <w:lang w:val="en-US" w:eastAsia="zh-CN"/>
              </w:rPr>
            </w:pPr>
            <w:r>
              <w:rPr>
                <w:rFonts w:hint="eastAsia"/>
                <w:color w:val="3F3F3F"/>
                <w:sz w:val="21"/>
                <w:szCs w:val="21"/>
              </w:rPr>
              <w:t>样本质控情况</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vAlign w:val="top"/>
          </w:tcPr>
          <w:p>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pPr>
              <w:rPr>
                <w:b/>
                <w:bCs/>
                <w:kern w:val="0"/>
                <w:szCs w:val="20"/>
              </w:rPr>
            </w:pPr>
          </w:p>
        </w:tc>
        <w:tc>
          <w:tcPr>
            <w:tcW w:w="7338" w:type="dxa"/>
            <w:tcBorders>
              <w:left w:val="single" w:color="23656F" w:sz="18" w:space="0"/>
              <w:right w:val="nil"/>
            </w:tcBorders>
            <w:shd w:val="clear" w:color="auto" w:fill="auto"/>
          </w:tcPr>
          <w:p>
            <w:pPr>
              <w:ind w:left="200" w:leftChars="100"/>
              <w:rPr>
                <w:color w:val="404040" w:themeColor="text1" w:themeTint="BF"/>
                <w:kern w:val="0"/>
                <w:sz w:val="21"/>
                <w:szCs w:val="21"/>
                <w14:textFill>
                  <w14:solidFill>
                    <w14:schemeClr w14:val="tx1">
                      <w14:lumMod w14:val="75000"/>
                      <w14:lumOff w14:val="25000"/>
                    </w14:schemeClr>
                  </w14:solidFill>
                </w14:textFill>
              </w:rPr>
            </w:pPr>
          </w:p>
        </w:tc>
      </w:tr>
    </w:tbl>
    <w:p>
      <w:pPr>
        <w:widowControl/>
        <w:adjustRightInd/>
        <w:snapToGrid/>
        <w:rPr>
          <w:sz w:val="18"/>
          <w:szCs w:val="18"/>
        </w:rPr>
      </w:pPr>
    </w:p>
    <w:p>
      <w:pPr>
        <w:pStyle w:val="25"/>
        <w:tabs>
          <w:tab w:val="left" w:pos="1256"/>
          <w:tab w:val="center" w:pos="4876"/>
        </w:tabs>
        <w:spacing w:before="156" w:after="156"/>
        <w:jc w:val="left"/>
      </w:pPr>
      <w:r>
        <w:tab/>
      </w:r>
    </w:p>
    <w:p>
      <w:pPr>
        <w:pStyle w:val="25"/>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pPr>
        <w:pStyle w:val="25"/>
        <w:spacing w:before="156" w:after="156"/>
      </w:pPr>
      <w:r>
        <w:rPr>
          <w:rFonts w:hint="eastAsia"/>
        </w:rPr>
        <w:t>报告正文</w:t>
      </w:r>
    </w:p>
    <w:p>
      <w:pPr>
        <w:pStyle w:val="2"/>
        <w:numPr>
          <w:ilvl w:val="0"/>
          <w:numId w:val="2"/>
        </w:numPr>
        <w:spacing w:before="156" w:after="156"/>
        <w:ind w:left="425" w:leftChars="0" w:hanging="425" w:firstLineChars="0"/>
      </w:pPr>
      <w:r>
        <w:rPr>
          <w:rFonts w:hint="eastAsia"/>
        </w:rPr>
        <w:t>基本信息</w:t>
      </w:r>
    </w:p>
    <w:tbl>
      <w:tblPr>
        <w:tblStyle w:val="15"/>
        <w:tblW w:w="9781"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559"/>
        <w:gridCol w:w="3420"/>
        <w:gridCol w:w="3802"/>
      </w:tblGrid>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pPr>
            <w:r>
              <w:rPr>
                <w:rFonts w:hint="eastAsia" w:ascii="微软雅黑" w:hAnsi="微软雅黑" w:eastAsia="微软雅黑" w:cs="微软雅黑"/>
                <w:color w:val="262626"/>
                <w:sz w:val="20"/>
              </w:rPr>
              <w:t>送检单位：{{ hospital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420"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3802"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送检项目：泛癌种基因检测（73 个基因）</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559" w:type="dxa"/>
            <w:shd w:val="clear" w:color="auto" w:fill="DAEEF3"/>
            <w:tcMar>
              <w:top w:w="28" w:type="dxa"/>
              <w:left w:w="108" w:type="dxa"/>
              <w:bottom w:w="28" w:type="dxa"/>
              <w:right w:w="108" w:type="dxa"/>
            </w:tcMar>
            <w:vAlign w:val="center"/>
          </w:tcPr>
          <w:p>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420" w:type="dxa"/>
            <w:shd w:val="clear" w:color="auto" w:fill="DAEEF3"/>
            <w:tcMar>
              <w:top w:w="28" w:type="dxa"/>
              <w:left w:w="108" w:type="dxa"/>
              <w:bottom w:w="28" w:type="dxa"/>
              <w:right w:w="108" w:type="dxa"/>
            </w:tcMar>
            <w:vAlign w:val="center"/>
          </w:tcPr>
          <w:p>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3802" w:type="dxa"/>
            <w:shd w:val="clear" w:color="auto" w:fill="DAEEF3"/>
            <w:tcMar>
              <w:top w:w="28" w:type="dxa"/>
              <w:left w:w="108" w:type="dxa"/>
              <w:bottom w:w="28" w:type="dxa"/>
              <w:right w:w="108" w:type="dxa"/>
            </w:tcMar>
            <w:vAlign w:val="center"/>
          </w:tcPr>
          <w:p>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559"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420"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979" w:type="dxa"/>
            <w:gridSpan w:val="2"/>
            <w:shd w:val="clear" w:color="auto" w:fill="DAEEF3"/>
            <w:tcMar>
              <w:top w:w="28" w:type="dxa"/>
              <w:left w:w="108" w:type="dxa"/>
              <w:bottom w:w="28" w:type="dxa"/>
              <w:right w:w="108" w:type="dxa"/>
            </w:tcMar>
            <w:vAlign w:val="top"/>
          </w:tcPr>
          <w:p>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3802" w:type="dxa"/>
            <w:shd w:val="clear" w:color="auto" w:fill="DAEEF3"/>
            <w:tcMar>
              <w:top w:w="28" w:type="dxa"/>
              <w:left w:w="108" w:type="dxa"/>
              <w:bottom w:w="28" w:type="dxa"/>
              <w:right w:w="108" w:type="dxa"/>
            </w:tcMar>
            <w:vAlign w:val="top"/>
          </w:tcPr>
          <w:p>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781" w:type="dxa"/>
            <w:gridSpan w:val="3"/>
            <w:shd w:val="clear" w:color="auto" w:fill="DAEEF3"/>
            <w:tcMar>
              <w:top w:w="28" w:type="dxa"/>
              <w:left w:w="108" w:type="dxa"/>
              <w:bottom w:w="28" w:type="dxa"/>
              <w:right w:w="108" w:type="dxa"/>
            </w:tcMar>
          </w:tcPr>
          <w:p>
            <w:r>
              <w:rPr>
                <w:rFonts w:hint="eastAsia"/>
                <w:highlight w:val="none"/>
              </w:rPr>
              <w:t>病理学评估：</w:t>
            </w:r>
            <w:r>
              <w:rPr>
                <w:highlight w:val="none"/>
              </w:rPr>
              <w:t>-</w:t>
            </w:r>
          </w:p>
        </w:tc>
      </w:tr>
      <w:bookmarkEnd w:id="0"/>
    </w:tbl>
    <w:p>
      <w:pPr>
        <w:bidi w:val="0"/>
      </w:pPr>
    </w:p>
    <w:p>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本产品对与肿瘤密切相关的86个基因进行高通量测序。检测突变形式为点突变（SNV）、小片段插入缺失（INDEL）、拷贝数变异（CNV）以及融合（FUSION）。本报告分析基因变异与靶向药物、免疫药物</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和遗传风险的相关性，给出靶向药物（FDA/NMPA批准药物、临床试验药物等）</w:t>
      </w:r>
      <w:r>
        <w:rPr>
          <w:rFonts w:hint="eastAsia"/>
          <w:b/>
          <w:bCs/>
          <w:color w:val="31849B"/>
          <w:sz w:val="21"/>
          <w:szCs w:val="24"/>
          <w:lang w:eastAsia="zh-CN"/>
        </w:rPr>
        <w:t>{% if gastrointestinalStromalTumor == True %}</w:t>
      </w:r>
      <w:r>
        <w:rPr>
          <w:rFonts w:hint="eastAsia"/>
          <w:b/>
          <w:bCs/>
          <w:color w:val="31849B"/>
          <w:sz w:val="21"/>
          <w:szCs w:val="24"/>
        </w:rPr>
        <w:t>、化疗药物</w:t>
      </w:r>
      <w:r>
        <w:rPr>
          <w:rFonts w:hint="eastAsia"/>
          <w:b/>
          <w:bCs/>
          <w:color w:val="31849B"/>
          <w:sz w:val="21"/>
          <w:szCs w:val="24"/>
          <w:lang w:eastAsia="zh-CN"/>
        </w:rPr>
        <w:t>{% endif %}</w:t>
      </w:r>
      <w:r>
        <w:rPr>
          <w:rFonts w:hint="eastAsia"/>
          <w:b/>
          <w:bCs/>
          <w:color w:val="31849B"/>
          <w:sz w:val="21"/>
          <w:szCs w:val="24"/>
        </w:rPr>
        <w:t>的用药提示信息，从而为临床制定治疗方案提供参考信息。</w:t>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rPr>
      </w:pPr>
      <w:bookmarkStart w:id="1" w:name="_Toc149837254"/>
      <w:bookmarkStart w:id="2" w:name="_Toc26933"/>
      <w:r>
        <w:rPr>
          <w:rFonts w:hint="eastAsia"/>
          <w:b/>
          <w:bCs/>
          <w:color w:val="31849B"/>
          <w:sz w:val="24"/>
          <w:szCs w:val="24"/>
          <w:lang w:val="en-US" w:eastAsia="zh-CN"/>
        </w:rPr>
        <w:t>检测结果小结</w:t>
      </w:r>
      <w:bookmarkEnd w:id="1"/>
      <w:bookmarkEnd w:id="2"/>
    </w:p>
    <w:tbl>
      <w:tblPr>
        <w:tblStyle w:val="15"/>
        <w:tblpPr w:leftFromText="180" w:rightFromText="180" w:vertAnchor="text" w:horzAnchor="page" w:tblpXSpec="center" w:tblpY="10"/>
        <w:tblOverlap w:val="never"/>
        <w:tblW w:w="4993"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581"/>
        <w:gridCol w:w="2649"/>
        <w:gridCol w:w="5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8" w:hRule="atLeast"/>
          <w:jc w:val="center"/>
        </w:trPr>
        <w:tc>
          <w:tcPr>
            <w:tcW w:w="2172" w:type="pct"/>
            <w:gridSpan w:val="2"/>
            <w:tcBorders>
              <w:top w:val="single" w:color="31849B" w:sz="12" w:space="0"/>
              <w:bottom w:val="single" w:color="31849B" w:sz="12" w:space="0"/>
              <w:right w:val="single" w:color="31849B" w:sz="8"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27" w:type="pct"/>
            <w:tcBorders>
              <w:top w:val="single" w:color="31849B" w:sz="12" w:space="0"/>
              <w:left w:val="single" w:color="31849B" w:sz="8" w:space="0"/>
              <w:bottom w:val="single" w:color="31849B" w:sz="12" w:space="0"/>
            </w:tcBorders>
            <w:shd w:val="clear" w:color="auto" w:fill="DAEEF3"/>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12"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27" w:type="pct"/>
            <w:tcBorders>
              <w:top w:val="single" w:color="31849B" w:sz="12" w:space="0"/>
              <w:left w:val="single" w:color="31849B" w:sz="8" w:space="0"/>
              <w:bottom w:val="single" w:color="31849B" w:sz="8" w:space="0"/>
            </w:tcBorders>
            <w:shd w:val="clear" w:color="auto" w:fill="auto"/>
            <w:vAlign w:val="center"/>
          </w:tcPr>
          <w:p>
            <w:pPr>
              <w:pStyle w:val="56"/>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12" w:type="pct"/>
            <w:vMerge w:val="restart"/>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ascii="Times New Roman" w:hAnsi="Times New Roman" w:eastAsia="微软雅黑" w:cs="黑体"/>
                <w:b/>
                <w:bCs/>
                <w:sz w:val="21"/>
                <w:lang w:eastAsia="zh-CN"/>
              </w:rPr>
              <w:t>微卫星不稳定性（MSI）</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812" w:type="pct"/>
            <w:vMerge w:val="continue"/>
            <w:tcBorders>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p>
        </w:tc>
        <w:tc>
          <w:tcPr>
            <w:tcW w:w="1360" w:type="pct"/>
            <w:tcBorders>
              <w:top w:val="single" w:color="31849B" w:sz="8" w:space="0"/>
              <w:left w:val="single" w:color="31849B" w:sz="8" w:space="0"/>
              <w:bottom w:val="single" w:color="31849B" w:sz="8" w:space="0"/>
              <w:right w:val="single" w:color="31849B" w:sz="8" w:space="0"/>
            </w:tcBorders>
            <w:shd w:val="clear" w:color="auto" w:fill="auto"/>
            <w:vAlign w:val="center"/>
          </w:tcPr>
          <w:p>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color w:val="262626"/>
                <w:kern w:val="2"/>
                <w:sz w:val="21"/>
                <w:szCs w:val="21"/>
                <w:lang w:val="en-US" w:eastAsia="zh-CN" w:bidi="ar-SA"/>
              </w:rPr>
            </w:pPr>
            <w:r>
              <w:rPr>
                <w:rFonts w:hint="eastAsia" w:ascii="Times New Roman" w:hAnsi="Times New Roman" w:eastAsia="微软雅黑" w:cs="Times New Roman"/>
                <w:b/>
                <w:bCs/>
                <w:sz w:val="21"/>
                <w:szCs w:val="21"/>
                <w:lang w:eastAsia="zh-CN"/>
              </w:rPr>
              <w:t>错配修复（MMR）基因</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gastrointestinalStromalTumor == True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8"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2827" w:type="pct"/>
            <w:tcBorders>
              <w:top w:val="single" w:color="31849B" w:sz="8" w:space="0"/>
              <w:left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详见“化疗药物检测解析”部分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5000" w:type="pct"/>
            <w:gridSpan w:val="3"/>
            <w:tcBorders>
              <w:top w:val="single" w:color="31849B" w:sz="8" w:space="0"/>
              <w:bottom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72" w:type="pct"/>
            <w:gridSpan w:val="2"/>
            <w:tcBorders>
              <w:top w:val="single" w:color="31849B" w:sz="8" w:space="0"/>
              <w:bottom w:val="single" w:color="31849B" w:sz="12" w:space="0"/>
              <w:right w:val="single" w:color="31849B" w:sz="8"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27" w:type="pct"/>
            <w:tcBorders>
              <w:top w:val="single" w:color="31849B" w:sz="8" w:space="0"/>
              <w:left w:val="single" w:color="31849B" w:sz="8" w:space="0"/>
              <w:bottom w:val="single" w:color="31849B" w:sz="12" w:space="0"/>
            </w:tcBorders>
            <w:shd w:val="clear" w:color="auto" w:fill="auto"/>
            <w:vAlign w:val="center"/>
          </w:tcPr>
          <w:p>
            <w:pPr>
              <w:pStyle w:val="56"/>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r>
        <w:rPr>
          <w:rFonts w:hint="eastAsia"/>
        </w:rPr>
        <w:br w:type="page"/>
      </w:r>
    </w:p>
    <w:p>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149837255"/>
      <w:bookmarkStart w:id="5" w:name="_Toc30402"/>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2"/>
        </w:numPr>
        <w:spacing w:before="156" w:after="156"/>
        <w:ind w:left="425" w:leftChars="0" w:hanging="425" w:firstLineChars="0"/>
      </w:pPr>
      <w:r>
        <w:rPr>
          <w:rFonts w:hint="eastAsia"/>
        </w:rPr>
        <w:t>检测结果及用药提示</w:t>
      </w:r>
    </w:p>
    <w:p>
      <w:pPr>
        <w:pStyle w:val="3"/>
        <w:numPr>
          <w:ilvl w:val="0"/>
          <w:numId w:val="6"/>
        </w:numPr>
        <w:bidi w:val="0"/>
        <w:ind w:left="425" w:leftChars="0" w:hanging="425" w:firstLineChars="0"/>
      </w:pPr>
      <w:bookmarkStart w:id="6" w:name="_Toc149837258"/>
      <w:bookmarkStart w:id="7" w:name="_Toc23434"/>
      <w:r>
        <w:rPr>
          <w:rFonts w:hint="eastAsia"/>
          <w:lang w:eastAsia="zh-CN"/>
        </w:rPr>
        <w:t>体细胞变异分级提示</w:t>
      </w:r>
      <w:bookmarkEnd w:id="6"/>
      <w:bookmarkEnd w:id="7"/>
      <w:r>
        <w:rPr>
          <w:rFonts w:hint="eastAsia"/>
          <w:lang w:val="en-US" w:eastAsia="zh-CN"/>
        </w:rPr>
        <w:t xml:space="preserve"> </w:t>
      </w:r>
    </w:p>
    <w:p>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7"/>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pPr>
              <w:pStyle w:val="56"/>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7"/>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7"/>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7"/>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0"/>
          <w:numId w:val="6"/>
        </w:numPr>
        <w:bidi w:val="0"/>
        <w:ind w:left="425" w:leftChars="0" w:hanging="425" w:firstLineChars="0"/>
        <w:rPr>
          <w:rFonts w:hint="eastAsia"/>
          <w:lang w:eastAsia="zh-CN"/>
        </w:rPr>
      </w:pPr>
      <w:bookmarkStart w:id="8" w:name="_Toc149837259"/>
      <w:bookmarkStart w:id="9" w:name="_Toc7697"/>
      <w:r>
        <w:rPr>
          <w:rFonts w:hint="eastAsia"/>
          <w:lang w:eastAsia="zh-CN"/>
        </w:rPr>
        <w:t>胚系变异结果提示</w:t>
      </w:r>
      <w:bookmarkEnd w:id="8"/>
      <w:bookmarkEnd w:id="9"/>
    </w:p>
    <w:p>
      <w:pPr>
        <w:pStyle w:val="4"/>
        <w:numPr>
          <w:ilvl w:val="1"/>
          <w:numId w:val="6"/>
        </w:numPr>
        <w:bidi w:val="0"/>
        <w:ind w:left="567" w:leftChars="0" w:hanging="567" w:firstLineChars="0"/>
        <w:outlineLvl w:val="2"/>
        <w:rPr>
          <w:rFonts w:hint="eastAsia"/>
          <w:lang w:eastAsia="zh-CN"/>
        </w:rPr>
      </w:pPr>
      <w:r>
        <w:rPr>
          <w:rFonts w:hint="eastAsia"/>
          <w:lang w:eastAsia="zh-CN"/>
        </w:rPr>
        <w:t>肿瘤遗传风险检测</w:t>
      </w:r>
    </w:p>
    <w:p>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7"/>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pPr>
              <w:pStyle w:val="56"/>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pPr>
        <w:pStyle w:val="4"/>
        <w:numPr>
          <w:ilvl w:val="1"/>
          <w:numId w:val="6"/>
        </w:numPr>
        <w:bidi w:val="0"/>
        <w:ind w:left="567" w:leftChars="0" w:hanging="567" w:firstLineChars="0"/>
        <w:outlineLvl w:val="2"/>
        <w:rPr>
          <w:rFonts w:hint="eastAsia"/>
          <w:lang w:eastAsia="zh-CN"/>
        </w:rPr>
      </w:pPr>
      <w:r>
        <w:rPr>
          <w:rFonts w:hint="eastAsia"/>
          <w:lang w:eastAsia="zh-CN"/>
        </w:rPr>
        <w:t>胚系变异用药提示</w:t>
      </w:r>
    </w:p>
    <w:tbl>
      <w:tblPr>
        <w:tblStyle w:val="57"/>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58"/>
        <w:numPr>
          <w:ilvl w:val="0"/>
          <w:numId w:val="9"/>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p>
      <w:pPr>
        <w:numPr>
          <w:ilvl w:val="0"/>
          <w:numId w:val="0"/>
        </w:numPr>
        <w:ind w:leftChars="0"/>
        <w:rPr>
          <w:rFonts w:hint="eastAsia" w:ascii="Times New Roman" w:hAnsi="Times New Roman" w:eastAsia="微软雅黑" w:cs="Times New Roman"/>
          <w:sz w:val="18"/>
          <w:szCs w:val="18"/>
          <w:lang w:eastAsia="zh-CN"/>
        </w:rPr>
      </w:pPr>
    </w:p>
    <w:tbl>
      <w:tblPr>
        <w:tblStyle w:val="15"/>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r>
              <w:rPr>
                <w:rFonts w:hint="eastAsia"/>
              </w:rPr>
              <w:t>检测者：</w:t>
            </w:r>
            <w:r>
              <w:rPr>
                <w:sz w:val="28"/>
              </w:rPr>
              <mc:AlternateContent>
                <mc:Choice Requires="wpg">
                  <w:drawing>
                    <wp:anchor distT="0" distB="0" distL="114300" distR="114300" simplePos="0" relativeHeight="251664384"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0">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1">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4384;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AKrHklqA0AAKMNAAAVAAAAZHJzL21lZGlhL2ltYWdlMS5qcGVnAaMNXPL/2P/gABBK&#10;RklGAAEBAQDcANwAAP/bAEMACAYGBwYFCAcHBwkJCAoMFA0MCwsMGRITDxQdGh8eHRocHCAkLicg&#10;IiwjHBwoNyksMDE0NDQfJzk9ODI8LjM0Mv/bAEMBCQkJDAsMGA0NGDIhHCEyMjIyMjIyMjIyMjIy&#10;MjIyMjIyMjIyMjIyMjIyMjIyMjIyMjIyMjIyMjIyMjIyMjIyMv/AABEIAGUA5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BuBAAAZHJzL21lZGlhL2ltYWdl&#10;MS5qcGVnUEsBAhQAFAAAAAgAh07iQNrGy1YhDQAAHA0AABUAAAAAAAAAAQAgAAAASRI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0"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1"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r>
              <w:rPr>
                <w:rFonts w:hint="eastAsia"/>
              </w:rPr>
              <w:t>审核者：</w:t>
            </w:r>
          </w:p>
        </w:tc>
      </w:tr>
      <w:tr>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0"/>
          <w:numId w:val="6"/>
        </w:numPr>
        <w:bidi w:val="0"/>
        <w:ind w:left="425" w:leftChars="0" w:hanging="425" w:firstLineChars="0"/>
        <w:rPr>
          <w:rFonts w:hint="eastAsia"/>
          <w:lang w:val="en-US" w:eastAsia="zh-CN"/>
        </w:rPr>
      </w:pPr>
      <w:bookmarkStart w:id="10" w:name="_Toc15882"/>
      <w:bookmarkStart w:id="11" w:name="_Toc149837260"/>
      <w:r>
        <w:rPr>
          <w:rFonts w:hint="eastAsia"/>
          <w:lang w:val="en-US" w:eastAsia="zh-CN"/>
        </w:rPr>
        <w:t>本癌种FDA/NMPA获批的其他可选靶向药物</w:t>
      </w:r>
      <w:bookmarkEnd w:id="10"/>
      <w:bookmarkEnd w:id="11"/>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pPr>
              <w:pStyle w:val="56"/>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sz w:val="21"/>
          <w:szCs w:val="21"/>
          <w:lang w:eastAsia="zh-CN"/>
        </w:rPr>
        <w:br w:type="page"/>
      </w:r>
      <w:r>
        <w:rPr>
          <w:rFonts w:hint="default" w:ascii="Times New Roman" w:hAnsi="Times New Roman" w:eastAsia="微软雅黑" w:cs="Times New Roman"/>
          <w:sz w:val="21"/>
          <w:szCs w:val="21"/>
          <w:lang w:eastAsia="zh-CN"/>
        </w:rPr>
        <w:t>{% endif %}</w:t>
      </w:r>
    </w:p>
    <w:p>
      <w:pPr>
        <w:pStyle w:val="3"/>
        <w:numPr>
          <w:ilvl w:val="0"/>
          <w:numId w:val="6"/>
        </w:numPr>
        <w:bidi w:val="0"/>
        <w:ind w:left="425" w:leftChars="0" w:hanging="425" w:firstLineChars="0"/>
        <w:rPr>
          <w:rFonts w:hint="eastAsia"/>
          <w:lang w:val="en-US" w:eastAsia="zh-CN"/>
        </w:rPr>
      </w:pPr>
      <w:r>
        <w:rPr>
          <w:rFonts w:hint="eastAsia"/>
          <w:lang w:val="en-US" w:eastAsia="zh-CN"/>
        </w:rPr>
        <w:t>免疫药物用药提示</w:t>
      </w:r>
    </w:p>
    <w:p>
      <w:pPr>
        <w:keepNext w:val="0"/>
        <w:keepLines w:val="0"/>
        <w:pageBreakBefore w:val="0"/>
        <w:widowControl w:val="0"/>
        <w:kinsoku/>
        <w:wordWrap/>
        <w:overflowPunct/>
        <w:topLinePunct w:val="0"/>
        <w:autoSpaceDE/>
        <w:autoSpaceDN/>
        <w:bidi w:val="0"/>
        <w:adjustRightInd w:val="0"/>
        <w:snapToGrid w:val="0"/>
        <w:spacing w:before="120" w:beforeLines="50" w:after="95" w:afterLines="30"/>
        <w:textAlignment w:val="auto"/>
        <w:rPr>
          <w:rFonts w:hint="eastAsia" w:ascii="Times New Roman" w:hAnsi="Times New Roman" w:eastAsia="微软雅黑" w:cs="Times New Roman"/>
          <w:b/>
          <w:color w:val="31849B"/>
          <w:sz w:val="22"/>
          <w:szCs w:val="22"/>
          <w:lang w:val="en-US" w:eastAsia="zh-CN"/>
        </w:rPr>
      </w:pPr>
      <w:r>
        <w:rPr>
          <w:rFonts w:hint="eastAsia" w:ascii="Times New Roman" w:hAnsi="Times New Roman" w:eastAsia="微软雅黑" w:cs="Times New Roman"/>
          <w:b/>
          <w:color w:val="31849B"/>
          <w:sz w:val="22"/>
          <w:szCs w:val="22"/>
          <w:lang w:eastAsia="zh-CN"/>
        </w:rPr>
        <w:t>免疫用药检测结果</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single" w:color="31849B" w:sz="12"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lang w:eastAsia="zh-CN"/>
              </w:rPr>
            </w:pPr>
            <w:r>
              <w:rPr>
                <w:rFonts w:hint="eastAsia" w:ascii="Times New Roman" w:hAnsi="Times New Roman" w:eastAsia="微软雅黑" w:cs="Times New Roman"/>
                <w:b/>
                <w:bCs/>
                <w:color w:val="31849B"/>
                <w:sz w:val="21"/>
                <w:szCs w:val="21"/>
                <w:lang w:eastAsia="zh-CN"/>
              </w:rPr>
              <w:t>检出指标/基因</w:t>
            </w:r>
          </w:p>
        </w:tc>
        <w:tc>
          <w:tcPr>
            <w:tcW w:w="2623" w:type="dxa"/>
            <w:tcBorders>
              <w:top w:val="single" w:color="31849B" w:sz="12" w:space="0"/>
              <w:left w:val="single" w:color="31849B" w:sz="8" w:space="0"/>
              <w:bottom w:val="single" w:color="31849B" w:sz="8" w:space="0"/>
              <w:right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检测结果</w:t>
            </w:r>
          </w:p>
        </w:tc>
        <w:tc>
          <w:tcPr>
            <w:tcW w:w="3445" w:type="dxa"/>
            <w:tcBorders>
              <w:top w:val="single" w:color="31849B" w:sz="12" w:space="0"/>
              <w:left w:val="single" w:color="31849B" w:sz="8" w:space="0"/>
              <w:bottom w:val="single" w:color="31849B" w:sz="8" w:space="0"/>
            </w:tcBorders>
            <w:shd w:val="clear" w:color="auto" w:fill="DAEEF3"/>
            <w:vAlign w:val="center"/>
          </w:tcPr>
          <w:p>
            <w:pPr>
              <w:widowControl/>
              <w:snapToGrid w:val="0"/>
              <w:jc w:val="center"/>
              <w:textAlignment w:val="center"/>
              <w:rPr>
                <w:rFonts w:ascii="Times New Roman" w:hAnsi="Times New Roman" w:eastAsia="微软雅黑" w:cs="Times New Roman"/>
                <w:b/>
                <w:bCs/>
                <w:color w:val="31849B"/>
                <w:sz w:val="21"/>
                <w:szCs w:val="21"/>
              </w:rPr>
            </w:pPr>
            <w:r>
              <w:rPr>
                <w:rStyle w:val="59"/>
                <w:rFonts w:hint="default" w:ascii="Times New Roman" w:hAnsi="Times New Roman" w:cs="Times New Roman"/>
                <w:color w:val="31849B"/>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tcBorders>
              <w:top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hint="default" w:ascii="Times New Roman" w:hAnsi="Times New Roman" w:cs="Times New Roman"/>
                <w:color w:val="262626"/>
                <w:lang w:eastAsia="zh-CN" w:bidi="ar"/>
              </w:rPr>
              <w:t>微卫星不稳定（</w:t>
            </w:r>
            <w:r>
              <w:rPr>
                <w:rStyle w:val="61"/>
                <w:rFonts w:eastAsia="微软雅黑"/>
                <w:color w:val="262626"/>
                <w:lang w:eastAsia="zh-CN" w:bidi="ar"/>
              </w:rPr>
              <w:t>MSI</w:t>
            </w:r>
            <w:r>
              <w:rPr>
                <w:rStyle w:val="60"/>
                <w:rFonts w:hint="default" w:ascii="Times New Roman" w:hAnsi="Times New Roman" w:cs="Times New Roman"/>
                <w:color w:val="262626"/>
                <w:lang w:eastAsia="zh-CN" w:bidi="ar"/>
              </w:rPr>
              <w:t>）</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summaryOfRresults.msi_status_state }}</w:t>
            </w:r>
          </w:p>
        </w:tc>
        <w:tc>
          <w:tcPr>
            <w:tcW w:w="3445" w:type="dxa"/>
            <w:tcBorders>
              <w:top w:val="single" w:color="31849B" w:sz="8" w:space="0"/>
              <w:left w:val="single" w:color="31849B" w:sz="8" w:space="0"/>
              <w:bottom w:val="single" w:color="31849B" w:sz="8" w:space="0"/>
            </w:tcBorders>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 xml:space="preserve">{% if summaryOfRresults.msi_status == </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MSI-H</w:t>
            </w:r>
            <w:r>
              <w:rPr>
                <w:rFonts w:ascii="Times New Roman" w:hAnsi="Times New Roman" w:eastAsia="微软雅黑" w:cs="Times New Roman"/>
                <w:color w:val="262626"/>
                <w:sz w:val="21"/>
                <w:szCs w:val="21"/>
                <w:lang w:eastAsia="zh-CN"/>
              </w:rPr>
              <w:t>’</w:t>
            </w:r>
            <w:r>
              <w:rPr>
                <w:rFonts w:hint="eastAsia" w:ascii="Times New Roman" w:hAnsi="Times New Roman" w:eastAsia="微软雅黑" w:cs="Times New Roman"/>
                <w:color w:val="262626"/>
                <w:sz w:val="21"/>
                <w:szCs w:val="21"/>
                <w:lang w:eastAsia="zh-CN"/>
              </w:rPr>
              <w:t xml:space="preserve"> %}</w:t>
            </w:r>
            <w:r>
              <w:rPr>
                <w:rStyle w:val="62"/>
                <w:rFonts w:hint="default" w:ascii="Times New Roman" w:hAnsi="Times New Roman" w:cs="Times New Roman"/>
                <w:color w:val="262626"/>
                <w:lang w:eastAsia="zh-CN" w:bidi="ar"/>
              </w:rPr>
              <w:t>微卫星不稳定型（</w:t>
            </w:r>
            <w:r>
              <w:rPr>
                <w:rStyle w:val="63"/>
                <w:rFonts w:eastAsia="微软雅黑"/>
                <w:color w:val="262626"/>
                <w:lang w:eastAsia="zh-CN" w:bidi="ar"/>
              </w:rPr>
              <w:t>MSI-H</w:t>
            </w:r>
            <w:r>
              <w:rPr>
                <w:rStyle w:val="62"/>
                <w:rFonts w:hint="default" w:ascii="Times New Roman" w:hAnsi="Times New Roman" w:cs="Times New Roman"/>
                <w:color w:val="262626"/>
                <w:lang w:eastAsia="zh-CN" w:bidi="ar"/>
              </w:rPr>
              <w:t>）患者免疫治疗预后较好，接受免疫检查点抑制剂药物治疗的获益率较高。</w:t>
            </w:r>
            <w:r>
              <w:rPr>
                <w:rFonts w:hint="eastAsia" w:ascii="Times New Roman" w:hAnsi="Times New Roman" w:eastAsia="微软雅黑" w:cs="Times New Roman"/>
                <w:color w:val="262626"/>
                <w:sz w:val="21"/>
                <w:szCs w:val="21"/>
                <w:lang w:eastAsia="zh-CN"/>
              </w:rPr>
              <w:t>{% else %}</w:t>
            </w:r>
            <w:r>
              <w:rPr>
                <w:rFonts w:hint="eastAsia" w:ascii="Times New Roman" w:hAnsi="Times New Roman" w:eastAsia="微软雅黑" w:cs="Times New Roman"/>
                <w:color w:val="262626"/>
                <w:sz w:val="21"/>
                <w:szCs w:val="21"/>
                <w:lang w:eastAsia="zh-CN" w:bidi="ar"/>
              </w:rPr>
              <w:t>微卫星稳定型（</w:t>
            </w:r>
            <w:r>
              <w:rPr>
                <w:rFonts w:ascii="Times New Roman" w:hAnsi="Times New Roman" w:eastAsia="微软雅黑" w:cs="Times New Roman"/>
                <w:color w:val="262626"/>
                <w:sz w:val="21"/>
                <w:szCs w:val="21"/>
                <w:lang w:eastAsia="zh-CN" w:bidi="ar"/>
              </w:rPr>
              <w:t>MSS</w:t>
            </w:r>
            <w:r>
              <w:rPr>
                <w:rFonts w:hint="eastAsia" w:ascii="Times New Roman" w:hAnsi="Times New Roman" w:eastAsia="微软雅黑" w:cs="Times New Roman"/>
                <w:color w:val="262626"/>
                <w:sz w:val="21"/>
                <w:szCs w:val="21"/>
                <w:lang w:eastAsia="zh-CN" w:bidi="ar"/>
              </w:rPr>
              <w:t>）患者接受免疫检查点抑制剂药物治疗的获益率较低。</w:t>
            </w:r>
            <w:r>
              <w:rPr>
                <w:rFonts w:hint="eastAsia" w:ascii="Times New Roman" w:hAnsi="Times New Roman" w:eastAsia="微软雅黑" w:cs="Times New Roman"/>
                <w:color w:val="262626"/>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tcBorders>
              <w:top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Style w:val="60"/>
                <w:rFonts w:hint="default" w:ascii="Times New Roman" w:hAnsi="Times New Roman" w:cs="Times New Roman"/>
                <w:color w:val="262626"/>
                <w:lang w:eastAsia="zh-CN" w:bidi="ar"/>
              </w:rPr>
            </w:pPr>
            <w:r>
              <w:rPr>
                <w:rStyle w:val="60"/>
                <w:rFonts w:hint="default" w:ascii="Times New Roman" w:hAnsi="Times New Roman" w:cs="Times New Roman"/>
                <w:color w:val="262626"/>
                <w:lang w:eastAsia="zh-CN" w:bidi="ar"/>
              </w:rPr>
              <w:t>错配修复（</w:t>
            </w:r>
            <w:r>
              <w:rPr>
                <w:rStyle w:val="61"/>
                <w:rFonts w:eastAsia="微软雅黑"/>
                <w:color w:val="262626"/>
                <w:lang w:eastAsia="zh-CN" w:bidi="ar"/>
              </w:rPr>
              <w:t>MMR</w:t>
            </w:r>
            <w:r>
              <w:rPr>
                <w:rStyle w:val="60"/>
                <w:rFonts w:hint="default" w:ascii="Times New Roman" w:hAnsi="Times New Roman" w:cs="Times New Roman"/>
                <w:color w:val="262626"/>
                <w:lang w:eastAsia="zh-CN" w:bidi="ar"/>
              </w:rPr>
              <w:t>）</w:t>
            </w:r>
          </w:p>
          <w:p>
            <w:pPr>
              <w:widowControl/>
              <w:snapToGrid w:val="0"/>
              <w:jc w:val="center"/>
              <w:textAlignment w:val="center"/>
              <w:rPr>
                <w:rFonts w:ascii="Times New Roman" w:hAnsi="Times New Roman" w:eastAsia="微软雅黑" w:cs="Times New Roman"/>
                <w:b/>
                <w:bCs/>
                <w:color w:val="262626"/>
                <w:sz w:val="21"/>
                <w:szCs w:val="21"/>
                <w:lang w:eastAsia="zh-CN"/>
              </w:rPr>
            </w:pPr>
            <w:r>
              <w:rPr>
                <w:rStyle w:val="60"/>
                <w:rFonts w:hint="default" w:ascii="Times New Roman" w:hAnsi="Times New Roman" w:cs="Times New Roman"/>
                <w:color w:val="262626"/>
                <w:lang w:eastAsia="zh-CN" w:bidi="ar"/>
              </w:rPr>
              <w:t>基因</w:t>
            </w: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MLH1</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restart"/>
            <w:tcBorders>
              <w:top w:val="single" w:color="31849B" w:sz="8" w:space="0"/>
              <w:left w:val="single" w:color="31849B" w:sz="8" w:space="0"/>
              <w:bottom w:val="single" w:color="31849B" w:sz="12" w:space="0"/>
            </w:tcBorders>
            <w:shd w:val="clear" w:color="auto" w:fill="auto"/>
            <w:vAlign w:val="center"/>
          </w:tcPr>
          <w:p>
            <w:pPr>
              <w:snapToGrid w:val="0"/>
              <w:jc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w:t>
            </w:r>
            <w:r>
              <w:rPr>
                <w:rFonts w:hint="eastAsia" w:ascii="Times New Roman" w:hAnsi="Times New Roman" w:eastAsia="微软雅黑" w:cs="Times New Roman"/>
                <w:color w:val="262626"/>
                <w:sz w:val="21"/>
                <w:szCs w:val="21"/>
                <w:lang w:eastAsia="zh-CN"/>
              </w:rPr>
              <w:t>2 %}{%if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MSH6</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8"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dmmr.dmmrM</w:t>
            </w:r>
            <w:r>
              <w:rPr>
                <w:rStyle w:val="63"/>
                <w:rFonts w:eastAsia="微软雅黑"/>
                <w:color w:val="262626"/>
                <w:lang w:eastAsia="zh-CN" w:bidi="ar"/>
              </w:rPr>
              <w:t>SH6</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tcBorders>
              <w:top w:val="single" w:color="31849B" w:sz="12" w:space="0"/>
              <w:bottom w:val="single" w:color="31849B" w:sz="12" w:space="0"/>
              <w:right w:val="single" w:color="31849B" w:sz="8" w:space="0"/>
            </w:tcBorders>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textAlignment w:val="center"/>
              <w:rPr>
                <w:rFonts w:ascii="Times New Roman" w:hAnsi="Times New Roman" w:eastAsia="微软雅黑" w:cs="Times New Roman"/>
                <w:color w:val="262626"/>
                <w:sz w:val="21"/>
                <w:szCs w:val="21"/>
              </w:rPr>
            </w:pPr>
            <w:r>
              <w:rPr>
                <w:rStyle w:val="63"/>
                <w:rFonts w:eastAsia="微软雅黑"/>
                <w:color w:val="262626"/>
                <w:lang w:eastAsia="zh-CN" w:bidi="ar"/>
              </w:rPr>
              <w:t>PMS2</w:t>
            </w:r>
            <w:r>
              <w:rPr>
                <w:rStyle w:val="63"/>
                <w:rFonts w:hint="eastAsia" w:eastAsia="微软雅黑"/>
                <w:color w:val="262626"/>
                <w:lang w:eastAsia="zh-CN" w:bidi="ar"/>
              </w:rPr>
              <w:t>失活突变</w:t>
            </w:r>
          </w:p>
        </w:tc>
        <w:tc>
          <w:tcPr>
            <w:tcW w:w="2623" w:type="dxa"/>
            <w:tcBorders>
              <w:top w:val="single" w:color="31849B" w:sz="8" w:space="0"/>
              <w:left w:val="single" w:color="31849B" w:sz="8" w:space="0"/>
              <w:bottom w:val="single" w:color="31849B" w:sz="12" w:space="0"/>
              <w:right w:val="single" w:color="31849B" w:sz="8" w:space="0"/>
            </w:tcBorders>
            <w:shd w:val="clear" w:color="auto" w:fill="auto"/>
            <w:vAlign w:val="center"/>
          </w:tcPr>
          <w:p>
            <w:pPr>
              <w:widowControl/>
              <w:snapToGrid w:val="0"/>
              <w:jc w:val="center"/>
              <w:textAlignment w:val="center"/>
              <w:rPr>
                <w:rFonts w:ascii="Times New Roman" w:hAnsi="Times New Roman" w:eastAsia="微软雅黑" w:cs="Times New Roman"/>
                <w:color w:val="262626"/>
                <w:sz w:val="21"/>
                <w:szCs w:val="21"/>
                <w:lang w:eastAsia="zh-CN"/>
              </w:rPr>
            </w:pPr>
            <w:r>
              <w:rPr>
                <w:rFonts w:hint="eastAsia" w:ascii="Times New Roman" w:hAnsi="Times New Roman" w:eastAsia="微软雅黑" w:cs="Times New Roman"/>
                <w:color w:val="262626"/>
                <w:sz w:val="21"/>
                <w:szCs w:val="21"/>
                <w:lang w:eastAsia="zh-CN"/>
              </w:rPr>
              <w:t>{%for i in dmmr.dmmr</w:t>
            </w:r>
            <w:r>
              <w:rPr>
                <w:rStyle w:val="63"/>
                <w:rFonts w:eastAsia="微软雅黑"/>
                <w:color w:val="262626"/>
                <w:lang w:eastAsia="zh-CN" w:bidi="ar"/>
              </w:rPr>
              <w:t>PMS2</w:t>
            </w:r>
            <w:r>
              <w:rPr>
                <w:rFonts w:hint="eastAsia" w:ascii="Times New Roman" w:hAnsi="Times New Roman" w:eastAsia="微软雅黑" w:cs="Times New Roman"/>
                <w:color w:val="262626"/>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262626"/>
                <w:sz w:val="21"/>
                <w:szCs w:val="21"/>
              </w:rPr>
            </w:pPr>
            <w:r>
              <w:rPr>
                <w:rFonts w:hint="eastAsia" w:ascii="Times New Roman" w:hAnsi="Times New Roman" w:eastAsia="微软雅黑" w:cs="Times New Roman"/>
                <w:color w:val="262626"/>
                <w:sz w:val="21"/>
                <w:szCs w:val="21"/>
                <w:lang w:eastAsia="zh-CN"/>
              </w:rPr>
              <w:t>{%endif%}{% endfor %}</w:t>
            </w:r>
          </w:p>
        </w:tc>
        <w:tc>
          <w:tcPr>
            <w:tcW w:w="3445" w:type="dxa"/>
            <w:vMerge w:val="continue"/>
            <w:tcBorders>
              <w:top w:val="single" w:color="31849B" w:sz="12" w:space="0"/>
              <w:left w:val="single" w:color="31849B" w:sz="8" w:space="0"/>
              <w:bottom w:val="single" w:color="31849B" w:sz="12" w:space="0"/>
            </w:tcBorders>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7"/>
        <w:numPr>
          <w:ilvl w:val="0"/>
          <w:numId w:val="10"/>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7"/>
        <w:numPr>
          <w:ilvl w:val="0"/>
          <w:numId w:val="10"/>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r>
        <w:rPr>
          <w:rFonts w:hint="eastAsia" w:ascii="Times New Roman" w:hAnsi="Times New Roman" w:eastAsia="微软雅黑" w:cs="Times New Roman"/>
          <w:bCs/>
          <w:shd w:val="clear" w:color="auto" w:fill="FFFFFF"/>
          <w:lang w:eastAsia="zh-CN"/>
        </w:rPr>
        <w:br w:type="page"/>
      </w:r>
    </w:p>
    <w:p>
      <w:pPr>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eastAsia="zh-CN"/>
        </w:rPr>
        <w:t>{% for ia in immuneAll %}</w:t>
      </w:r>
    </w:p>
    <w:tbl>
      <w:tblPr>
        <w:tblStyle w:val="15"/>
        <w:tblW w:w="9864"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3471"/>
        <w:gridCol w:w="3332"/>
        <w:gridCol w:w="3061"/>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1849B"/>
                <w:lang w:eastAsia="zh-CN"/>
              </w:rPr>
              <w:t>{% hm %}</w:t>
            </w:r>
            <w:r>
              <w:rPr>
                <w:rFonts w:ascii="Times New Roman" w:hAnsi="Times New Roman" w:eastAsia="微软雅黑" w:cs="Times New Roman"/>
                <w:b/>
                <w:color w:val="31849B"/>
                <w:lang w:eastAsia="zh-CN"/>
              </w:rPr>
              <w:t>目前各癌种已批准的免疫治疗药物</w:t>
            </w:r>
          </w:p>
        </w:tc>
        <w:tc>
          <w:tcPr>
            <w:tcW w:w="3061" w:type="dxa"/>
            <w:tcBorders>
              <w:tl2br w:val="nil"/>
              <w:tr2bl w:val="nil"/>
            </w:tcBorders>
            <w:shd w:val="clear" w:color="auto" w:fill="DAEEF3"/>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for immune in ia.immuneList %}</w:t>
            </w:r>
          </w:p>
        </w:tc>
        <w:tc>
          <w:tcPr>
            <w:tcW w:w="3332"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 for i in immune[key] | nl() %}{%if loop.last%}{{ i }}{%else%}{{ i }}</w:t>
            </w:r>
          </w:p>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{%endif%}{% endfor%}</w:t>
            </w:r>
          </w:p>
        </w:tc>
        <w:tc>
          <w:tcPr>
            <w:tcW w:w="3061" w:type="dxa"/>
            <w:tcBorders>
              <w:tl2br w:val="nil"/>
              <w:tr2bl w:val="nil"/>
            </w:tcBorders>
            <w:shd w:val="clear" w:color="auto" w:fill="DAEEF3"/>
            <w:vAlign w:val="center"/>
          </w:tcPr>
          <w:p>
            <w:pPr>
              <w:spacing w:line="240" w:lineRule="exact"/>
              <w:ind w:left="8"/>
              <w:jc w:val="center"/>
              <w:rPr>
                <w:rFonts w:ascii="Times New Roman" w:hAnsi="Times New Roman" w:eastAsia="微软雅黑" w:cs="Times New Roman"/>
                <w:b/>
                <w:color w:val="31849B"/>
                <w:sz w:val="18"/>
                <w:lang w:eastAsia="zh-CN"/>
              </w:rPr>
            </w:pPr>
            <w:r>
              <w:rPr>
                <w:rFonts w:hint="eastAsia" w:ascii="Times New Roman" w:hAnsi="Times New Roman" w:eastAsia="微软雅黑" w:cs="Times New Roman"/>
                <w:b/>
                <w:color w:val="31849B"/>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br w:type="page"/>
      </w:r>
    </w:p>
    <w:p>
      <w:pP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end</w:t>
      </w:r>
      <w:r>
        <w:rPr>
          <w:rFonts w:hint="eastAsia" w:ascii="Times New Roman" w:hAnsi="Times New Roman" w:eastAsia="微软雅黑" w:cs="Times New Roman"/>
          <w:sz w:val="21"/>
          <w:szCs w:val="21"/>
          <w:lang w:val="en-US" w:eastAsia="zh-CN"/>
        </w:rPr>
        <w:t>for</w:t>
      </w:r>
      <w:r>
        <w:rPr>
          <w:rFonts w:hint="eastAsia" w:ascii="Times New Roman" w:hAnsi="Times New Roman" w:eastAsia="微软雅黑" w:cs="Times New Roman"/>
          <w:sz w:val="21"/>
          <w:szCs w:val="21"/>
          <w:lang w:eastAsia="zh-CN"/>
        </w:rPr>
        <w:t xml:space="preserve">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pPr>
        <w:keepNext/>
        <w:keepLines/>
        <w:pageBreakBefore w:val="0"/>
        <w:widowControl w:val="0"/>
        <w:numPr>
          <w:ilvl w:val="0"/>
          <w:numId w:val="11"/>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pPr>
        <w:rPr>
          <w:rFonts w:ascii="Times New Roman" w:hAnsi="Times New Roman" w:eastAsia="微软雅黑" w:cs="Times New Roman"/>
          <w:b/>
          <w:sz w:val="24"/>
          <w:szCs w:val="24"/>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bookmarkStart w:id="15" w:name="_GoBack"/>
      <w:bookmarkEnd w:id="15"/>
      <w:r>
        <w:rPr>
          <w:rFonts w:hint="eastAsia" w:ascii="Times New Roman" w:hAnsi="Times New Roman" w:eastAsia="微软雅黑" w:cs="Times New Roman"/>
          <w:b w:val="0"/>
          <w:bCs w:val="0"/>
          <w:sz w:val="24"/>
          <w:szCs w:val="24"/>
          <w:lang w:eastAsia="zh-CN"/>
        </w:rPr>
        <w:t>{% for tdd in BodyDrugNoComplexStr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5"/>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2" w:name="_Toc25365"/>
      <w:r>
        <w:rPr>
          <w:rFonts w:hint="eastAsia"/>
          <w:b/>
          <w:bCs/>
          <w:color w:val="31849B"/>
          <w:sz w:val="24"/>
          <w:szCs w:val="32"/>
          <w:lang w:eastAsia="zh-CN"/>
        </w:rPr>
        <w:t>胚系变异结果解析</w:t>
      </w:r>
      <w:bookmarkEnd w:id="12"/>
    </w:p>
    <w:p>
      <w:pPr>
        <w:bidi w:val="0"/>
        <w:rPr>
          <w:b w:val="0"/>
          <w:bCs/>
          <w:sz w:val="20"/>
          <w:szCs w:val="20"/>
          <w:lang w:eastAsia="zh-CN"/>
        </w:rPr>
      </w:pPr>
      <w:r>
        <w:rPr>
          <w:rFonts w:hint="eastAsia" w:ascii="Times New Roman" w:hAnsi="Times New Roman" w:eastAsia="微软雅黑" w:cs="Times New Roman"/>
          <w:b w:val="0"/>
          <w:bCs/>
          <w:sz w:val="21"/>
          <w:szCs w:val="21"/>
          <w:lang w:eastAsia="zh-CN"/>
        </w:rPr>
        <w:t>{%if geneticCancerRiskInfo %}</w:t>
      </w:r>
      <w:r>
        <w:rPr>
          <w:rFonts w:hint="eastAsia"/>
          <w:b w:val="0"/>
          <w:bCs/>
          <w:sz w:val="20"/>
          <w:szCs w:val="20"/>
        </w:rPr>
        <w:t>{% for tdd in geneticCancerRiskInfo %}</w:t>
      </w:r>
    </w:p>
    <w:p>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hint="default" w:ascii="Times New Roman" w:hAnsi="Times New Roman" w:eastAsia="微软雅黑" w:cs="Times New Roman"/>
          <w:b/>
          <w:bCs/>
          <w:color w:val="31849B"/>
          <w:kern w:val="2"/>
          <w:sz w:val="22"/>
          <w:szCs w:val="32"/>
          <w:lang w:val="en-US" w:eastAsia="zh-CN"/>
        </w:rPr>
      </w:pPr>
      <w:r>
        <w:rPr>
          <w:rFonts w:hint="eastAsia" w:ascii="Times New Roman" w:hAnsi="Times New Roman" w:eastAsia="微软雅黑" w:cs="Times New Roman"/>
          <w:b/>
          <w:sz w:val="18"/>
          <w:szCs w:val="18"/>
          <w:lang w:eastAsia="zh-CN"/>
        </w:rPr>
        <w:t>{% endif %}{% endfor %}</w:t>
      </w:r>
      <w:r>
        <w:rPr>
          <w:rFonts w:hint="default" w:ascii="Times New Roman" w:hAnsi="Times New Roman" w:eastAsia="微软雅黑" w:cs="Times New Roman"/>
          <w:b/>
          <w:bCs/>
          <w:color w:val="31849B"/>
          <w:kern w:val="2"/>
          <w:sz w:val="22"/>
          <w:szCs w:val="32"/>
          <w:lang w:val="en-US" w:eastAsia="zh-CN"/>
        </w:rPr>
        <w:t>{% else %}</w:t>
      </w:r>
    </w:p>
    <w:p>
      <w:pPr>
        <w:bidi w:val="0"/>
        <w:rPr>
          <w:rFonts w:hint="eastAsia"/>
          <w:sz w:val="18"/>
          <w:szCs w:val="18"/>
          <w:lang w:eastAsia="zh-CN"/>
        </w:rPr>
      </w:pPr>
      <w:r>
        <w:rPr>
          <w:rFonts w:hint="default" w:ascii="Times New Roman" w:hAnsi="Times New Roman" w:eastAsia="微软雅黑" w:cs="Times New Roman"/>
          <w:b w:val="0"/>
          <w:bCs w:val="0"/>
          <w:color w:val="auto"/>
          <w:kern w:val="2"/>
          <w:sz w:val="22"/>
          <w:szCs w:val="32"/>
          <w:lang w:val="en-US" w:eastAsia="zh-CN"/>
        </w:rPr>
        <w:t>未检出靶药相关致病性及可能致病性胚系突变</w:t>
      </w:r>
      <w:r>
        <w:rPr>
          <w:rFonts w:hint="default" w:ascii="Times New Roman" w:hAnsi="Times New Roman" w:cs="Times New Roman"/>
          <w:b w:val="0"/>
          <w:bCs w:val="0"/>
          <w:color w:val="auto"/>
          <w:kern w:val="2"/>
          <w:sz w:val="22"/>
          <w:szCs w:val="32"/>
          <w:lang w:val="en-US" w:eastAsia="zh-CN"/>
        </w:rPr>
        <w:t>。</w:t>
      </w:r>
      <w:r>
        <w:rPr>
          <w:rFonts w:hint="eastAsia"/>
          <w:color w:val="auto"/>
          <w:sz w:val="22"/>
          <w:szCs w:val="22"/>
        </w:rPr>
        <w:t>{% endif %}</w:t>
      </w:r>
      <w:r>
        <w:rPr>
          <w:sz w:val="18"/>
          <w:szCs w:val="18"/>
          <w:lang w:eastAsia="zh-CN"/>
        </w:rPr>
        <w:br w:type="page"/>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免疫检测结果解析</w:t>
      </w:r>
    </w:p>
    <w:p>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r>
        <w:rPr>
          <w:rFonts w:hint="eastAsia"/>
          <w:b/>
          <w:bCs/>
          <w:color w:val="31849B"/>
          <w:sz w:val="22"/>
          <w:szCs w:val="22"/>
          <w:lang w:val="en-US"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single" w:color="31849B" w:sz="12" w:space="0"/>
              <w:bottom w:val="single" w:color="31849B" w:sz="8" w:space="0"/>
              <w:right w:val="single" w:color="31849B" w:sz="8" w:space="0"/>
            </w:tcBorders>
            <w:shd w:val="clear" w:color="auto" w:fill="DAEEF3"/>
            <w:vAlign w:val="center"/>
          </w:tcPr>
          <w:p>
            <w:pPr>
              <w:spacing w:before="26"/>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检测项目</w:t>
            </w:r>
          </w:p>
        </w:tc>
        <w:tc>
          <w:tcPr>
            <w:tcW w:w="4214"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7" w:hRule="atLeast"/>
          <w:jc w:val="center"/>
        </w:trPr>
        <w:tc>
          <w:tcPr>
            <w:tcW w:w="5383" w:type="dxa"/>
            <w:tcBorders>
              <w:top w:val="single" w:color="31849B" w:sz="8" w:space="0"/>
              <w:bottom w:val="single" w:color="31849B" w:sz="12" w:space="0"/>
              <w:right w:val="single" w:color="31849B" w:sz="8"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single" w:color="31849B" w:sz="8" w:space="0"/>
              <w:left w:val="single" w:color="31849B" w:sz="8" w:space="0"/>
              <w:bottom w:val="single" w:color="31849B" w:sz="12"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4" w:hRule="atLeast"/>
          <w:jc w:val="center"/>
        </w:trPr>
        <w:tc>
          <w:tcPr>
            <w:tcW w:w="5383"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8"/>
                <w:szCs w:val="18"/>
                <w:lang w:eastAsia="zh-CN"/>
              </w:rPr>
            </w:pPr>
          </w:p>
        </w:tc>
        <w:tc>
          <w:tcPr>
            <w:tcW w:w="4214"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8"/>
                <w:szCs w:val="18"/>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pPr>
        <w:widowControl/>
        <w:rPr>
          <w:rFonts w:ascii="Times New Roman" w:hAnsi="Times New Roman" w:eastAsia="微软雅黑" w:cs="Times New Roman"/>
          <w:b/>
          <w:bCs/>
          <w:color w:val="0070C0"/>
          <w:sz w:val="18"/>
          <w:szCs w:val="18"/>
          <w:lang w:eastAsia="zh-CN"/>
        </w:rPr>
      </w:pPr>
      <w:r>
        <w:rPr>
          <w:rFonts w:ascii="Times New Roman" w:hAnsi="Times New Roman" w:eastAsia="微软雅黑" w:cs="Times New Roman"/>
          <w:b/>
          <w:bCs/>
          <w:color w:val="0070C0"/>
          <w:sz w:val="18"/>
          <w:szCs w:val="18"/>
          <w:lang w:eastAsia="zh-CN"/>
        </w:rPr>
        <w:br w:type="page"/>
      </w:r>
    </w:p>
    <w:p>
      <w:pPr>
        <w:keepNext/>
        <w:keepLines/>
        <w:pageBreakBefore w:val="0"/>
        <w:widowControl w:val="0"/>
        <w:numPr>
          <w:ilvl w:val="1"/>
          <w:numId w:val="11"/>
        </w:numPr>
        <w:kinsoku/>
        <w:wordWrap/>
        <w:overflowPunct/>
        <w:topLinePunct w:val="0"/>
        <w:autoSpaceDE/>
        <w:autoSpaceDN/>
        <w:bidi w:val="0"/>
        <w:adjustRightInd w:val="0"/>
        <w:snapToGrid w:val="0"/>
        <w:ind w:left="567" w:leftChars="0" w:hanging="567" w:firstLineChars="0"/>
        <w:textAlignment w:val="auto"/>
        <w:outlineLvl w:val="2"/>
        <w:rPr>
          <w:rFonts w:hint="eastAsia"/>
          <w:b/>
          <w:bCs/>
          <w:color w:val="31849B"/>
          <w:sz w:val="22"/>
          <w:szCs w:val="22"/>
          <w:lang w:val="en-US" w:eastAsia="zh-CN"/>
        </w:rPr>
      </w:pPr>
      <w:bookmarkStart w:id="13" w:name="_Toc7307_WPSOffice_Level3"/>
      <w:r>
        <w:rPr>
          <w:rFonts w:hint="eastAsia"/>
          <w:b/>
          <w:bCs/>
          <w:color w:val="31849B"/>
          <w:sz w:val="22"/>
          <w:szCs w:val="22"/>
          <w:lang w:val="en-US" w:eastAsia="zh-CN"/>
        </w:rPr>
        <w:t>错配修复（MMR）相关基因检测结果</w:t>
      </w:r>
    </w:p>
    <w:bookmarkEnd w:id="13"/>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12"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基因名称</w:t>
            </w:r>
          </w:p>
        </w:tc>
        <w:tc>
          <w:tcPr>
            <w:tcW w:w="3117"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检测结果</w:t>
            </w:r>
          </w:p>
        </w:tc>
        <w:tc>
          <w:tcPr>
            <w:tcW w:w="1849" w:type="dxa"/>
            <w:tcBorders>
              <w:top w:val="single" w:color="31849B" w:sz="12" w:space="0"/>
              <w:left w:val="single" w:color="31849B" w:sz="8" w:space="0"/>
              <w:bottom w:val="single" w:color="31849B" w:sz="8" w:space="0"/>
              <w:right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w:t>
            </w:r>
            <w:r>
              <w:rPr>
                <w:rFonts w:ascii="Times New Roman" w:hAnsi="Times New Roman" w:eastAsia="微软雅黑" w:cs="Times New Roman"/>
                <w:b/>
                <w:color w:val="31849B"/>
                <w:sz w:val="21"/>
                <w:szCs w:val="21"/>
                <w:lang w:eastAsia="zh-CN"/>
              </w:rPr>
              <w:t>丰度</w:t>
            </w:r>
          </w:p>
        </w:tc>
        <w:tc>
          <w:tcPr>
            <w:tcW w:w="2631" w:type="dxa"/>
            <w:tcBorders>
              <w:top w:val="single" w:color="31849B" w:sz="12" w:space="0"/>
              <w:left w:val="single" w:color="31849B" w:sz="8" w:space="0"/>
              <w:bottom w:val="single" w:color="31849B" w:sz="8" w:space="0"/>
            </w:tcBorders>
            <w:shd w:val="clear" w:color="auto" w:fill="DAEEF3"/>
            <w:vAlign w:val="center"/>
          </w:tcPr>
          <w:p>
            <w:pPr>
              <w:spacing w:before="13" w:line="252" w:lineRule="auto"/>
              <w:ind w:right="174"/>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single" w:color="31849B" w:sz="8" w:space="0"/>
              <w:left w:val="single" w:color="31849B" w:sz="8" w:space="0"/>
              <w:bottom w:val="single" w:color="31849B" w:sz="8" w:space="0"/>
              <w:right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single" w:color="31849B" w:sz="8" w:space="0"/>
              <w:left w:val="single" w:color="31849B" w:sz="8" w:space="0"/>
              <w:bottom w:val="single" w:color="31849B" w:sz="8"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single" w:color="31849B" w:sz="8" w:space="0"/>
              <w:bottom w:val="single" w:color="31849B" w:sz="12" w:space="0"/>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single" w:color="31849B" w:sz="12"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MMR</w:t>
            </w:r>
            <w:r>
              <w:rPr>
                <w:rFonts w:hint="eastAsia" w:ascii="Times New Roman" w:hAnsi="Times New Roman" w:eastAsia="微软雅黑" w:cs="Times New Roman"/>
                <w:sz w:val="18"/>
                <w:szCs w:val="18"/>
                <w:shd w:val="clear" w:color="auto" w:fill="FFFFFF"/>
                <w:lang w:eastAsia="zh-CN"/>
              </w:rPr>
              <w:t>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21"/>
          <w:szCs w:val="21"/>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r>
        <w:rPr>
          <w:rFonts w:hint="eastAsia"/>
          <w:color w:val="000000" w:themeColor="text1"/>
          <w:sz w:val="21"/>
          <w:szCs w:val="21"/>
          <w14:textFill>
            <w14:solidFill>
              <w14:schemeClr w14:val="tx1"/>
            </w14:solidFill>
          </w14:textFill>
        </w:rPr>
        <w:t>{% if gastrointestinalStromalTumor == True %}</w:t>
      </w:r>
    </w:p>
    <w:p>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val="en-US" w:eastAsia="zh-CN"/>
        </w:rPr>
      </w:pPr>
      <w:r>
        <w:rPr>
          <w:rFonts w:hint="eastAsia"/>
          <w:b/>
          <w:bCs/>
          <w:color w:val="31849B"/>
          <w:sz w:val="24"/>
          <w:szCs w:val="32"/>
          <w:lang w:val="en-US" w:eastAsia="zh-CN"/>
        </w:rPr>
        <w:t>化疗药物检测解析</w:t>
      </w:r>
    </w:p>
    <w:p>
      <w:pPr>
        <w:keepNext/>
        <w:keepLines/>
        <w:numPr>
          <w:ilvl w:val="0"/>
          <w:numId w:val="0"/>
        </w:numPr>
        <w:spacing w:before="156" w:beforeLines="50" w:after="156" w:afterLines="50"/>
        <w:outlineLvl w:val="9"/>
        <w:rPr>
          <w:rFonts w:hint="default"/>
          <w:b/>
          <w:bCs/>
          <w:color w:val="31849B"/>
          <w:sz w:val="22"/>
          <w:szCs w:val="22"/>
          <w:lang w:val="en-US" w:eastAsia="zh-CN"/>
        </w:rPr>
      </w:pPr>
      <w:r>
        <w:rPr>
          <w:rFonts w:hint="default"/>
          <w:b/>
          <w:bCs/>
          <w:color w:val="31849B"/>
          <w:sz w:val="22"/>
          <w:szCs w:val="22"/>
          <w:lang w:val="en-US" w:eastAsia="zh-CN"/>
        </w:rPr>
        <w:t>化疗药物用药提示</w:t>
      </w:r>
    </w:p>
    <w:tbl>
      <w:tblPr>
        <w:tblStyle w:val="15"/>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23"/>
        <w:gridCol w:w="8247"/>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本癌种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67" w:hRule="atLeast"/>
          <w:jc w:val="center"/>
        </w:trPr>
        <w:tc>
          <w:tcPr>
            <w:tcW w:w="1623" w:type="dxa"/>
            <w:vMerge w:val="restar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其他癌种</w:t>
            </w: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2" w:hRule="atLeast"/>
          <w:jc w:val="center"/>
        </w:trPr>
        <w:tc>
          <w:tcPr>
            <w:tcW w:w="1623" w:type="dxa"/>
            <w:vMerge w:val="continue"/>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p>
        </w:tc>
        <w:tc>
          <w:tcPr>
            <w:tcW w:w="8247" w:type="dxa"/>
            <w:tcBorders>
              <w:tl2br w:val="nil"/>
              <w:tr2bl w:val="nil"/>
            </w:tcBorders>
            <w:shd w:val="clear" w:color="auto" w:fill="auto"/>
            <w:vAlign w:val="center"/>
          </w:tcPr>
          <w:p>
            <w:pPr>
              <w:widowControl/>
              <w:jc w:val="both"/>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p>
    <w:p>
      <w:pPr>
        <w:keepNext/>
        <w:keepLines/>
        <w:numPr>
          <w:ilvl w:val="0"/>
          <w:numId w:val="0"/>
        </w:numPr>
        <w:spacing w:before="156" w:beforeLines="50" w:after="156" w:afterLines="50"/>
        <w:outlineLvl w:val="9"/>
        <w:rPr>
          <w:rFonts w:hint="default"/>
          <w:b/>
          <w:bCs/>
          <w:color w:val="31849B"/>
          <w:sz w:val="22"/>
          <w:szCs w:val="22"/>
          <w:lang w:val="en-US" w:eastAsia="zh-CN"/>
        </w:rPr>
      </w:pPr>
      <w:r>
        <w:rPr>
          <w:rFonts w:hint="default"/>
          <w:b/>
          <w:bCs/>
          <w:color w:val="31849B"/>
          <w:sz w:val="22"/>
          <w:szCs w:val="22"/>
          <w:lang w:val="en-US"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48"/>
        <w:gridCol w:w="2745"/>
        <w:gridCol w:w="1389"/>
        <w:gridCol w:w="1139"/>
        <w:gridCol w:w="905"/>
        <w:gridCol w:w="1172"/>
        <w:gridCol w:w="1013"/>
        <w:gridCol w:w="549"/>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single" w:color="31849B" w:sz="12"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药物类别</w:t>
            </w:r>
          </w:p>
        </w:tc>
        <w:tc>
          <w:tcPr>
            <w:tcW w:w="1421"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6" w:lineRule="exact"/>
              <w:jc w:val="center"/>
              <w:rPr>
                <w:rFonts w:ascii="Times New Roman" w:hAnsi="Times New Roman" w:eastAsia="微软雅黑" w:cs="Times New Roman"/>
                <w:b/>
                <w:bCs/>
                <w:color w:val="31849B"/>
                <w:sz w:val="18"/>
                <w:szCs w:val="18"/>
              </w:rPr>
            </w:pPr>
            <w:r>
              <w:rPr>
                <w:rFonts w:hint="eastAsia" w:ascii="Times New Roman" w:hAnsi="Times New Roman" w:eastAsia="微软雅黑" w:cs="Times New Roman"/>
                <w:b/>
                <w:bCs/>
                <w:color w:val="31849B"/>
                <w:sz w:val="18"/>
                <w:szCs w:val="18"/>
                <w:lang w:eastAsia="zh-CN"/>
              </w:rPr>
              <w:t>化疗药物</w:t>
            </w:r>
          </w:p>
        </w:tc>
        <w:tc>
          <w:tcPr>
            <w:tcW w:w="71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检测基因</w:t>
            </w:r>
          </w:p>
        </w:tc>
        <w:tc>
          <w:tcPr>
            <w:tcW w:w="589"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检测位点</w:t>
            </w:r>
          </w:p>
        </w:tc>
        <w:tc>
          <w:tcPr>
            <w:tcW w:w="468"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检测结果</w:t>
            </w:r>
          </w:p>
        </w:tc>
        <w:tc>
          <w:tcPr>
            <w:tcW w:w="606"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毒副作用风险</w:t>
            </w:r>
          </w:p>
        </w:tc>
        <w:tc>
          <w:tcPr>
            <w:tcW w:w="524" w:type="pct"/>
            <w:tcBorders>
              <w:top w:val="single" w:color="31849B" w:sz="12" w:space="0"/>
              <w:left w:val="single" w:color="31849B" w:sz="8" w:space="0"/>
              <w:bottom w:val="single" w:color="31849B" w:sz="8" w:space="0"/>
              <w:right w:val="single" w:color="31849B" w:sz="8" w:space="0"/>
            </w:tcBorders>
            <w:shd w:val="clear" w:color="auto" w:fill="DAEEF3"/>
            <w:vAlign w:val="center"/>
          </w:tcPr>
          <w:p>
            <w:pPr>
              <w:spacing w:line="204" w:lineRule="exact"/>
              <w:jc w:val="center"/>
              <w:rPr>
                <w:rFonts w:ascii="Times New Roman" w:hAnsi="Times New Roman" w:eastAsia="微软雅黑" w:cs="Times New Roman"/>
                <w:b/>
                <w:bCs/>
                <w:color w:val="31849B"/>
                <w:sz w:val="18"/>
                <w:szCs w:val="18"/>
                <w:lang w:eastAsia="zh-CN"/>
              </w:rPr>
            </w:pPr>
            <w:r>
              <w:rPr>
                <w:rFonts w:hint="eastAsia" w:ascii="Times New Roman" w:hAnsi="Times New Roman" w:eastAsia="微软雅黑" w:cs="Times New Roman"/>
                <w:b/>
                <w:bCs/>
                <w:color w:val="31849B"/>
                <w:sz w:val="18"/>
                <w:szCs w:val="18"/>
                <w:lang w:eastAsia="zh-CN"/>
              </w:rPr>
              <w:t>药物敏感性</w:t>
            </w:r>
          </w:p>
        </w:tc>
        <w:tc>
          <w:tcPr>
            <w:tcW w:w="284" w:type="pct"/>
            <w:tcBorders>
              <w:top w:val="single" w:color="31849B" w:sz="12" w:space="0"/>
              <w:left w:val="single" w:color="31849B" w:sz="8" w:space="0"/>
              <w:bottom w:val="single" w:color="31849B" w:sz="8" w:space="0"/>
            </w:tcBorders>
            <w:shd w:val="clear" w:color="auto" w:fill="DAEEF3"/>
            <w:vAlign w:val="center"/>
          </w:tcPr>
          <w:p>
            <w:pPr>
              <w:spacing w:line="204" w:lineRule="exact"/>
              <w:jc w:val="center"/>
              <w:rPr>
                <w:rFonts w:ascii="Times New Roman" w:hAnsi="Times New Roman" w:eastAsia="微软雅黑" w:cs="Times New Roman"/>
                <w:color w:val="31849B"/>
                <w:sz w:val="18"/>
                <w:szCs w:val="18"/>
                <w:lang w:eastAsia="zh-CN"/>
              </w:rPr>
            </w:pPr>
            <w:r>
              <w:rPr>
                <w:rFonts w:hint="eastAsia" w:ascii="Times New Roman" w:hAnsi="Times New Roman" w:eastAsia="微软雅黑" w:cs="Times New Roman"/>
                <w:b/>
                <w:bCs/>
                <w:color w:val="31849B"/>
                <w:sz w:val="18"/>
                <w:szCs w:val="18"/>
                <w:lang w:eastAsia="zh-CN"/>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single" w:color="31849B" w:sz="8" w:space="0"/>
              <w:left w:val="single" w:color="31849B" w:sz="8" w:space="0"/>
              <w:bottom w:val="single" w:color="31849B" w:sz="8" w:space="0"/>
              <w:right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single" w:color="31849B" w:sz="8" w:space="0"/>
              <w:left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8"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single" w:color="31849B" w:sz="8" w:space="0"/>
              <w:bottom w:val="single" w:color="31849B" w:sz="12" w:space="0"/>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55"/>
        <w:keepNext w:val="0"/>
        <w:keepLines w:val="0"/>
        <w:pageBreakBefore w:val="0"/>
        <w:widowControl w:val="0"/>
        <w:tabs>
          <w:tab w:val="left" w:pos="1317"/>
        </w:tabs>
        <w:kinsoku w:val="0"/>
        <w:wordWrap/>
        <w:overflowPunct w:val="0"/>
        <w:topLinePunct w:val="0"/>
        <w:autoSpaceDE/>
        <w:autoSpaceDN/>
        <w:bidi w:val="0"/>
        <w:adjustRightInd w:val="0"/>
        <w:snapToGrid w:val="0"/>
        <w:spacing w:before="1" w:line="188" w:lineRule="auto"/>
        <w:ind w:right="1128" w:firstLine="0" w:firstLineChars="0"/>
        <w:textAlignment w:val="auto"/>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hint="default" w:ascii="Times New Roman" w:hAnsi="Times New Roman" w:eastAsia="微软雅黑" w:cs="Times New Roman"/>
          <w:sz w:val="18"/>
          <w:lang w:val="en-US" w:eastAsia="zh-CN"/>
        </w:rPr>
      </w:pP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未有研究报道或现有研究结论不一致。</w:t>
      </w:r>
      <w:r>
        <w:rPr>
          <w:rFonts w:ascii="Times New Roman" w:hAnsi="Times New Roman" w:eastAsia="微软雅黑" w:cs="Times New Roman"/>
          <w:sz w:val="18"/>
          <w:lang w:eastAsia="zh-CN"/>
        </w:rPr>
        <w:br w:type="page"/>
      </w:r>
    </w:p>
    <w:p>
      <w:pPr>
        <w:numPr>
          <w:ilvl w:val="0"/>
          <w:numId w:val="0"/>
        </w:numPr>
        <w:ind w:leftChars="0"/>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pPr>
        <w:pStyle w:val="3"/>
        <w:numPr>
          <w:ilvl w:val="0"/>
          <w:numId w:val="17"/>
        </w:numPr>
        <w:spacing w:before="156" w:after="156"/>
        <w:ind w:left="425" w:leftChars="0" w:hanging="425" w:firstLineChars="0"/>
      </w:pPr>
      <w:r>
        <w:rPr>
          <w:rFonts w:hint="eastAsia"/>
        </w:rPr>
        <w:t>样本质控情况</w:t>
      </w:r>
    </w:p>
    <w:tbl>
      <w:tblPr>
        <w:tblStyle w:val="15"/>
        <w:tblW w:w="4997"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2038"/>
        <w:gridCol w:w="2800"/>
        <w:gridCol w:w="2453"/>
        <w:gridCol w:w="2455"/>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7" w:type="pct"/>
            <w:tcBorders>
              <w:tl2br w:val="nil"/>
              <w:tr2bl w:val="nil"/>
            </w:tcBorders>
            <w:shd w:val="clear" w:color="auto" w:fill="DAEEF3"/>
            <w:vAlign w:val="center"/>
          </w:tcPr>
          <w:p>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DAEEF3"/>
            <w:vAlign w:val="center"/>
          </w:tcPr>
          <w:p>
            <w:pPr>
              <w:rPr>
                <w:rFonts w:ascii="Times New Roman" w:hAnsi="Times New Roman" w:cs="Times New Roman"/>
                <w:sz w:val="20"/>
                <w:szCs w:val="20"/>
              </w:rPr>
            </w:pPr>
          </w:p>
        </w:tc>
        <w:tc>
          <w:tcPr>
            <w:tcW w:w="143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453" w:type="dxa"/>
            <w:tcBorders>
              <w:tl2br w:val="nil"/>
              <w:tr2bl w:val="nil"/>
            </w:tcBorders>
            <w:shd w:val="clear" w:color="auto" w:fill="DAEEF3"/>
            <w:vAlign w:val="center"/>
          </w:tcPr>
          <w:p>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restar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453" w:type="dxa"/>
            <w:tcBorders>
              <w:tl2br w:val="nil"/>
              <w:tr2bl w:val="nil"/>
            </w:tcBorders>
            <w:shd w:val="clear" w:color="auto" w:fill="auto"/>
            <w:vAlign w:val="center"/>
          </w:tcPr>
          <w:p>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6" w:type="pct"/>
            <w:vMerge w:val="continue"/>
            <w:tcBorders>
              <w:tl2br w:val="nil"/>
              <w:tr2bl w:val="nil"/>
            </w:tcBorders>
            <w:shd w:val="clear" w:color="auto" w:fill="auto"/>
            <w:vAlign w:val="center"/>
          </w:tcPr>
          <w:p>
            <w:pPr>
              <w:rPr>
                <w:rFonts w:ascii="Times New Roman" w:hAnsi="Times New Roman" w:cs="Times New Roman"/>
                <w:sz w:val="20"/>
                <w:szCs w:val="20"/>
              </w:rPr>
            </w:pPr>
          </w:p>
        </w:tc>
        <w:tc>
          <w:tcPr>
            <w:tcW w:w="1436" w:type="pct"/>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453" w:type="dxa"/>
            <w:tcBorders>
              <w:tl2br w:val="nil"/>
              <w:tr2bl w:val="nil"/>
            </w:tcBorders>
            <w:shd w:val="clear" w:color="auto" w:fill="auto"/>
            <w:vAlign w:val="center"/>
          </w:tcPr>
          <w:p>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455" w:type="dxa"/>
            <w:tcBorders>
              <w:tl2br w:val="nil"/>
              <w:tr2bl w:val="nil"/>
            </w:tcBorders>
            <w:shd w:val="clear" w:color="auto" w:fill="auto"/>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6" w:type="pct"/>
            <w:tcBorders>
              <w:tl2br w:val="nil"/>
              <w:tr2bl w:val="nil"/>
            </w:tcBorders>
            <w:shd w:val="clear" w:color="auto" w:fill="DAEEF3"/>
            <w:vAlign w:val="center"/>
          </w:tcPr>
          <w:p>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3" w:type="pct"/>
            <w:gridSpan w:val="3"/>
            <w:tcBorders>
              <w:tl2br w:val="nil"/>
              <w:tr2bl w:val="nil"/>
            </w:tcBorders>
            <w:shd w:val="clear" w:color="auto" w:fill="DAEEF3"/>
            <w:vAlign w:val="center"/>
          </w:tcPr>
          <w:p>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numPr>
          <w:ilvl w:val="0"/>
          <w:numId w:val="0"/>
        </w:numPr>
        <w:spacing w:before="53" w:line="301" w:lineRule="exact"/>
        <w:rPr>
          <w:rFonts w:hint="default" w:ascii="Times New Roman" w:hAnsi="Times New Roman" w:eastAsia="微软雅黑" w:cs="Times New Roman"/>
          <w:b/>
          <w:bCs w:val="0"/>
          <w:sz w:val="18"/>
          <w:szCs w:val="18"/>
          <w:lang w:val="en-US" w:eastAsia="zh-CN"/>
        </w:rPr>
      </w:pPr>
      <w:r>
        <w:rPr>
          <w:rFonts w:hint="eastAsia" w:ascii="Times New Roman" w:hAnsi="Times New Roman" w:cs="Times New Roman"/>
          <w:b/>
          <w:bCs w:val="0"/>
          <w:sz w:val="18"/>
          <w:szCs w:val="18"/>
          <w:lang w:val="en-US" w:eastAsia="zh-CN"/>
        </w:rPr>
        <w:t>注：</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9"/>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r>
        <w:br w:type="page"/>
      </w:r>
    </w:p>
    <w:p>
      <w:pPr>
        <w:pStyle w:val="3"/>
        <w:numPr>
          <w:ilvl w:val="0"/>
          <w:numId w:val="17"/>
        </w:numPr>
        <w:spacing w:before="156" w:after="156"/>
        <w:ind w:left="425" w:leftChars="0" w:hanging="425" w:firstLineChars="0"/>
        <w:rPr>
          <w:rFonts w:hint="eastAsia"/>
        </w:rPr>
      </w:pPr>
      <w:r>
        <w:rPr>
          <w:rFonts w:hint="eastAsia"/>
        </w:rPr>
        <w:t>检测基因列表</w:t>
      </w:r>
    </w:p>
    <w:p>
      <w:pPr>
        <w:pStyle w:val="4"/>
        <w:numPr>
          <w:ilvl w:val="1"/>
          <w:numId w:val="17"/>
        </w:numPr>
        <w:spacing w:before="156" w:after="156"/>
        <w:ind w:left="567" w:leftChars="0" w:hanging="567" w:firstLineChars="0"/>
        <w:outlineLvl w:val="2"/>
        <w:rPr>
          <w:rFonts w:hint="eastAsia"/>
        </w:rPr>
      </w:pPr>
      <w:r>
        <w:rPr>
          <w:rFonts w:hint="eastAsia"/>
        </w:rPr>
        <w:t>常见靶向药物相关基因检测列表</w:t>
      </w:r>
    </w:p>
    <w:tbl>
      <w:tblPr>
        <w:tblStyle w:val="16"/>
        <w:tblpPr w:leftFromText="181" w:rightFromText="181" w:vertAnchor="text" w:horzAnchor="page" w:tblpXSpec="center" w:tblpY="1"/>
        <w:tblOverlap w:val="never"/>
        <w:tblW w:w="9815"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13" w:type="dxa"/>
          <w:bottom w:w="0" w:type="dxa"/>
          <w:right w:w="113" w:type="dxa"/>
        </w:tblCellMar>
      </w:tblPr>
      <w:tblGrid>
        <w:gridCol w:w="838"/>
        <w:gridCol w:w="611"/>
        <w:gridCol w:w="8366"/>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567" w:hRule="atLeast"/>
          <w:jc w:val="center"/>
        </w:trPr>
        <w:tc>
          <w:tcPr>
            <w:tcW w:w="838"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基因</w:t>
            </w:r>
          </w:p>
        </w:tc>
        <w:tc>
          <w:tcPr>
            <w:tcW w:w="611"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检测内容</w:t>
            </w:r>
          </w:p>
        </w:tc>
        <w:tc>
          <w:tcPr>
            <w:tcW w:w="8366" w:type="dxa"/>
            <w:shd w:val="clear" w:color="auto" w:fill="DAEEF3"/>
            <w:vAlign w:val="center"/>
          </w:tcPr>
          <w:p>
            <w:pPr>
              <w:spacing w:line="206" w:lineRule="exact"/>
              <w:ind w:leftChars="-4" w:hanging="9" w:hangingChars="5"/>
              <w:jc w:val="center"/>
              <w:rPr>
                <w:rFonts w:hint="default" w:ascii="Times New Roman" w:hAnsi="Times New Roman" w:eastAsia="微软雅黑" w:cs="Times New Roman"/>
                <w:b/>
                <w:bCs/>
                <w:color w:val="31849B"/>
                <w:sz w:val="18"/>
                <w:szCs w:val="18"/>
              </w:rPr>
            </w:pPr>
            <w:r>
              <w:rPr>
                <w:rFonts w:hint="default" w:ascii="Times New Roman" w:hAnsi="Times New Roman" w:eastAsia="微软雅黑" w:cs="Times New Roman"/>
                <w:b/>
                <w:bCs/>
                <w:color w:val="31849B"/>
                <w:sz w:val="18"/>
                <w:szCs w:val="18"/>
              </w:rPr>
              <w:t>靶向药物</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1"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hint="eastAsia"/>
        </w:rPr>
      </w:pPr>
    </w:p>
    <w:p>
      <w:pPr>
        <w:rPr>
          <w:rFonts w:hint="eastAsia"/>
        </w:rPr>
      </w:pPr>
      <w:r>
        <w:rPr>
          <w:rFonts w:hint="eastAsia"/>
        </w:rPr>
        <w:br w:type="page"/>
      </w:r>
    </w:p>
    <w:p>
      <w:pPr>
        <w:pStyle w:val="4"/>
        <w:numPr>
          <w:ilvl w:val="1"/>
          <w:numId w:val="17"/>
        </w:numPr>
        <w:spacing w:before="156" w:after="156"/>
        <w:ind w:left="567" w:leftChars="0" w:hanging="567" w:firstLineChars="0"/>
        <w:outlineLvl w:val="2"/>
        <w:rPr>
          <w:rFonts w:hint="eastAsia"/>
        </w:rPr>
      </w:pPr>
      <w:r>
        <w:rPr>
          <w:rFonts w:hint="eastAsia"/>
        </w:rPr>
        <w:t>基因列表</w:t>
      </w:r>
      <w:r>
        <w:rPr>
          <w:rFonts w:hint="eastAsia"/>
          <w:lang w:val="en-US" w:eastAsia="zh-CN"/>
        </w:rPr>
        <w:t>清单</w:t>
      </w:r>
    </w:p>
    <w:tbl>
      <w:tblPr>
        <w:tblStyle w:val="16"/>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2"/>
        <w:gridCol w:w="1662"/>
      </w:tblGrid>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rFonts w:hint="eastAsia"/>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pPr>
        <w:pStyle w:val="3"/>
        <w:numPr>
          <w:ilvl w:val="0"/>
          <w:numId w:val="17"/>
        </w:numPr>
        <w:spacing w:before="156" w:after="156"/>
        <w:ind w:left="425" w:leftChars="0" w:hanging="425" w:firstLineChars="0"/>
        <w:rPr>
          <w:rFonts w:hint="eastAsia"/>
        </w:rPr>
      </w:pPr>
      <w:r>
        <w:rPr>
          <w:rFonts w:hint="eastAsia"/>
        </w:rPr>
        <w:t>参考文献</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Shaw AT, Bauer TM, de Marinis F, et al. First-line lorlatinib or crizotinib in advanced ALK-positive lung cancer. N Engl J Med. 2020;383(21):2018-2029. [PMID: 33207094]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Fangusaro J, Onar-Thomas A, Poussaint TY, et al. Selumetinib in paediatric patients with BRAFaberrant or neurofibromatosis type 1-associated recurrent, refractory, or progressive low-grade glioma: a multicentre, phase 2 trial. Lancet Oncol 2019;20:1011-1022. [PMID: 31151904]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Van Cutsem E, Hujberts S, Grothey A, et al. Binimetinib, encorafenib, and cetuximab triplet therapy for patients with BRAF V600E-mutant metastatic colorectal cancer: Safety lead-in results from the phase III BEACON colorectal cancer study. J Clin Oncol. 2019;37(17):1460-1469. [PMID: 30892987]</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Yaeger R, et al. Encorafenib, binimetinib, and cetuximab in BRAF V600E-mutated colorectal cancer. N Engl J Med. 2019;381(17):1632-1643. [PMID: 31566309]</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Nakagawa K, Garon EB, Seto T, et al. Ramucirumab plus erlotinib in patients with untreated, EGFR-mutated, advanced non-small-cell lung cancer (RELAY): a randomised, double-blind, placebo-controlled, phase 3 trial. Lancet Oncol. 2019;20(12):1655-1669. [PMID: 31591063]</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Yang JCH, Camidge DR, Yang CT, et al. Safety, efficacy, and pharmacokinetics of almonertinib (HS-10296) in pretreated patients with EGFR-mutated advanced NSCLC: A multicenter, open-label, phase 1 trial. J Thorac Oncol. 2020;15(12):1907-1918. [PMID: 32916310]</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Yun J, Lee SH, Kim SY, et al. Antitumor Activity of Amivantamab (JNJ-61186372), an EGFR-MET Bispecific Antibody, in Diverse Models of EGFR Exon 20 Insertion-Driven NSCLC[J]. Cancer Discov. 2020, 10(8):1194-1209. [PMID: 32414908]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Abou-Alfa GK, Sahai V, Hollebecque A, et al. Pemigatinib for previously treated, locally advanced or metastatic cholangiocarcinoma: a multicentre, open-label, phase 2 study. Lancet Oncol. 2020;21(5):671-684. [PMID: 32203698]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Loriot Y, Necchi A, Park SH, et al. Erdafitinib in locally advanced or metastatic urothelial carcinoma. N Engl J Med. 2019;381(4):338-348. [PMID: 31340094]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Smit EF, Nakagawa K, Nagasaka M, et al. Trastuzumab deruxtecan (T-DXd; DS-8201) in patients with HER2-mutated metastatic non-small cell lung cancer (NSCLC): Interim results of DESTINY-Lung01. J Clin Oncol. 2020;38(suppl 15): abstr 9504.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Chung HC, et al. First-line pembrolizumab/placebo plus trastuzumab and chemotherapy in HER2-positive advanced gastric cancer: KEYNOTE-811. Future Oncol 2021 Feb;17(5):491-501. [PMID: 33167735]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"https://pubmed.ncbi.nlm.nih.gov/?term=Lee+HW&amp;cauthor_id=32636318"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Lee</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HW,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"https://pubmed.ncbi.nlm.nih.gov/?term=Sa+JK&amp;cauthor_id=32636318"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Sa</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JK, </w:t>
      </w:r>
      <w:r>
        <w:rPr>
          <w:rFonts w:hint="eastAsia" w:ascii="Times New Roman" w:hAnsi="Times New Roman" w:eastAsia="微软雅黑" w:cs="Times New Roman"/>
          <w:sz w:val="15"/>
          <w:szCs w:val="15"/>
          <w:lang w:eastAsia="zh-CN"/>
        </w:rPr>
        <w:fldChar w:fldCharType="begin"/>
      </w:r>
      <w:r>
        <w:rPr>
          <w:rFonts w:hint="eastAsia" w:ascii="Times New Roman" w:hAnsi="Times New Roman" w:eastAsia="微软雅黑" w:cs="Times New Roman"/>
          <w:sz w:val="15"/>
          <w:szCs w:val="15"/>
          <w:lang w:eastAsia="zh-CN"/>
        </w:rPr>
        <w:instrText xml:space="preserve"> HYPERLINK "https://pubmed.ncbi.nlm.nih.gov/?term=Gualberto+A&amp;cauthor_id=32636318" </w:instrText>
      </w:r>
      <w:r>
        <w:rPr>
          <w:rFonts w:hint="eastAsia" w:ascii="Times New Roman" w:hAnsi="Times New Roman" w:eastAsia="微软雅黑" w:cs="Times New Roman"/>
          <w:sz w:val="15"/>
          <w:szCs w:val="15"/>
          <w:lang w:eastAsia="zh-CN"/>
        </w:rPr>
        <w:fldChar w:fldCharType="separate"/>
      </w:r>
      <w:r>
        <w:rPr>
          <w:rFonts w:hint="eastAsia" w:ascii="Times New Roman" w:hAnsi="Times New Roman" w:eastAsia="微软雅黑" w:cs="Times New Roman"/>
          <w:sz w:val="15"/>
          <w:szCs w:val="15"/>
          <w:lang w:eastAsia="zh-CN"/>
        </w:rPr>
        <w:t>Gualberto</w:t>
      </w:r>
      <w:r>
        <w:rPr>
          <w:rFonts w:hint="eastAsia"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A, et al. A phase II trial of tipifarnib for patients with previously treated, metastatic urothelial carcinoma harboring HRAS mutations. Clin Cancer Res. 2020; 26(19): 5113-5119. [PMID: 32636318]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Fakih MG, Strickler JH, et al. KRAS G12C Inhibition with Sotorasib in Advanced Solid Tumors[J]. N Engl J Med. 2020, 24;383(13):1207-1217. [PMID: 32955176]</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Wolf J, Seto T, Han JY, Reguart N, et al. Capmatinib in MET exon 14-mutated or MET-amplified non-small-cell lung cancer. N Engl J Med. 2020;383(10):944-957. [PMID: 32877583]</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 xml:space="preserve">Lu S et al., Phase II study of savolitinib in patients with pulmonary sarcomatoid carcinoma and other types of non-small cell lung cancer harboring MET exon 14 skipping mutations. J Clin Oncol. 2020;38(suppl 15): abstr 9519. </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Clark JW, Weiss J, Ou SI, et al. Antitumor activity of crizotinib in lung cancers harboring a MET exon 14 alteration. Nat Med. 2020;26(1):47-51. [PMID: 31932802]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Paik PK, Felip E, Veillon R, et al. Tepotinib in non-small-cell lung cancer with MET exon 14 skipping mutations. N Engl J Med. 2020;383(10):931-943. [PMID: 32469185]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Doebele RC, Drilon A, Paz-Ares L, et al. Entrectinib in patients with advanced or metastatic NTRK fusion-positive solid tumours: integrated analysis of three phase 1-2 trials. Lancet Oncol. 2020;21(2):271-282. [PMID: 31838007]</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Hong DS, DuBois SG, Kummar S, et al. Larotrectinib in patients with TRK fusion-positive solid tumours: a pooled analysis of three phase 1/2 clinical trials. Lancet Oncol. 2020;21(4):531-540. [PMID: 32105622]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Jones RL, Serrano C, von Mehren M, et al. Avapritinib in unresectable or metastatic PDGFRA D842V-mutant gastrointestinal stromal tumours: Long-term efficacy and safety data from the NAVIGATOR phase I trial. Eur J Cancer. 2021;145:132-142. [PMID: 33465704]</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Bradford D, Larkins E, Mushti SL, et al. FDA approval summary: Selpercatinib for the treatment of lung and thyroid cancers with RET gene mutations or fusions. Clin Cancer Res. 2021;27(8):2130-2135. [PMID: 33239432]</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keepNext w:val="0"/>
        <w:keepLines w:val="0"/>
        <w:pageBreakBefore w:val="0"/>
        <w:widowControl/>
        <w:numPr>
          <w:ilvl w:val="0"/>
          <w:numId w:val="20"/>
        </w:numPr>
        <w:kinsoku/>
        <w:wordWrap/>
        <w:overflowPunct/>
        <w:topLinePunct w:val="0"/>
        <w:autoSpaceDE/>
        <w:autoSpaceDN/>
        <w:bidi w:val="0"/>
        <w:adjustRightInd w:val="0"/>
        <w:snapToGrid w:val="0"/>
        <w:spacing w:after="120" w:afterLines="5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rPr>
          <w:sz w:val="16"/>
          <w:szCs w:val="16"/>
        </w:rPr>
      </w:pPr>
      <w:r>
        <w:rPr>
          <w:sz w:val="16"/>
          <w:szCs w:val="16"/>
        </w:rPr>
        <w:br w:type="page"/>
      </w:r>
    </w:p>
    <w:p>
      <w:pPr>
        <w:pStyle w:val="3"/>
        <w:numPr>
          <w:ilvl w:val="255"/>
          <w:numId w:val="0"/>
        </w:numPr>
        <w:jc w:val="left"/>
        <w:rPr>
          <w:color w:val="31849B"/>
          <w:sz w:val="24"/>
          <w:szCs w:val="24"/>
          <w:highlight w:val="none"/>
          <w:lang w:eastAsia="zh-CN"/>
        </w:rPr>
      </w:pPr>
      <w:bookmarkStart w:id="14" w:name="_Toc18978"/>
      <w:r>
        <w:rPr>
          <w:rFonts w:hint="eastAsia"/>
          <w:color w:val="31849B"/>
          <w:sz w:val="24"/>
          <w:szCs w:val="24"/>
          <w:highlight w:val="none"/>
          <w:lang w:eastAsia="zh-CN"/>
        </w:rPr>
        <w:t>检测方法与局限性</w:t>
      </w:r>
      <w:bookmarkEnd w:id="14"/>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pPr>
        <w:numPr>
          <w:ilvl w:val="0"/>
          <w:numId w:val="0"/>
        </w:numPr>
        <w:ind w:leftChars="0"/>
        <w:rPr>
          <w:rFonts w:hint="eastAsia" w:eastAsia="微软雅黑"/>
          <w:sz w:val="16"/>
          <w:szCs w:val="16"/>
          <w:lang w:eastAsia="zh-CN"/>
        </w:rPr>
      </w:pPr>
      <w:r>
        <w:rPr>
          <w:rFonts w:hint="eastAsia" w:eastAsia="微软雅黑"/>
          <w:sz w:val="16"/>
          <w:szCs w:val="16"/>
          <w:lang w:eastAsia="zh-CN"/>
        </w:rPr>
        <w:drawing>
          <wp:anchor distT="0" distB="0" distL="114300" distR="114300" simplePos="0" relativeHeight="251663360" behindDoc="1" locked="0" layoutInCell="1" allowOverlap="1">
            <wp:simplePos x="0" y="0"/>
            <wp:positionH relativeFrom="column">
              <wp:posOffset>-12065</wp:posOffset>
            </wp:positionH>
            <wp:positionV relativeFrom="paragraph">
              <wp:posOffset>-855345</wp:posOffset>
            </wp:positionV>
            <wp:extent cx="7569835" cy="10678160"/>
            <wp:effectExtent l="0" t="0" r="4445" b="5080"/>
            <wp:wrapNone/>
            <wp:docPr id="4" name="图片 4" descr="2f6a5ac2e9f099ca6d5dabe9c34b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f6a5ac2e9f099ca6d5dabe9c34b830"/>
                    <pic:cNvPicPr>
                      <a:picLocks noChangeAspect="1"/>
                    </pic:cNvPicPr>
                  </pic:nvPicPr>
                  <pic:blipFill>
                    <a:blip r:embed="rId12"/>
                    <a:stretch>
                      <a:fillRect/>
                    </a:stretch>
                  </pic:blipFill>
                  <pic:spPr>
                    <a:xfrm>
                      <a:off x="0" y="0"/>
                      <a:ext cx="7569835" cy="10678160"/>
                    </a:xfrm>
                    <a:prstGeom prst="rect">
                      <a:avLst/>
                    </a:prstGeom>
                  </pic:spPr>
                </pic:pic>
              </a:graphicData>
            </a:graphic>
          </wp:anchor>
        </w:drawing>
      </w:r>
    </w:p>
    <w:sectPr>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color w:val="404040"/>
        <w:sz w:val="16"/>
        <w:szCs w:val="16"/>
      </w:rPr>
    </w:pPr>
    <w:r>
      <w:rPr>
        <w:sz w:val="16"/>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54749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54749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21.85pt;mso-position-horizontal:center;mso-position-horizontal-relative:margin;z-index:251661312;mso-width-relative:page;mso-height-relative:page;" filled="f" stroked="f" coordsize="21600,21600" o:gfxdata="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z0ZSt1AAAAAUBAAAPAAAAAAAAAAEAIAAAACIAAABkcnMvZG93bnJl&#10;di54bWxQSwECFAAUAAAACACHTuJAjhZshToCAABjBAAADgAAAAAAAAABACAAAAAjAQAAZHJzL2Uy&#10;b0RvYy54bWxQSwUGAAAAAAYABgBZAQAAzwUAAAAA&#10;">
              <v:fill on="f" focussize="0,0"/>
              <v:stroke on="f" weight="0.5pt"/>
              <v:imagedata o:title=""/>
              <o:lock v:ext="edit" aspectratio="f"/>
              <v:textbox inset="0mm,0mm,0mm,0mm" style="mso-fit-shape-to-text:t;">
                <w:txbxContent>
                  <w:p>
                    <w:pPr>
                      <w:pStyle w:val="10"/>
                      <w:jc w:val="center"/>
                      <w:rPr>
                        <w:sz w:val="16"/>
                        <w:szCs w:val="16"/>
                      </w:rP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 xml:space="preserve">共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rPr>
        <w:rFonts w:hint="eastAsia" w:ascii="宋体" w:hAnsi="宋体" w:eastAsia="宋体" w:cs="宋体"/>
        <w:sz w:val="24"/>
        <w:szCs w:val="24"/>
        <w:lang w:val="en-US" w:eastAsia="zh-CN"/>
      </w:rPr>
      <w:t xml:space="preserve">送检医院：广东省第二人民医院                         </w:t>
    </w:r>
    <w:r>
      <w:rPr>
        <w:rFonts w:hint="eastAsia" w:ascii="宋体" w:hAnsi="宋体" w:eastAsia="宋体" w:cs="宋体"/>
        <w:sz w:val="21"/>
        <w:szCs w:val="21"/>
        <w:lang w:val="en-US" w:eastAsia="zh-CN"/>
      </w:rPr>
      <w:t>技术支持：广州阳普医学检验实验室</w:t>
    </w:r>
  </w:p>
  <w:p>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p>
  <w:p>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8EB6D8D1"/>
    <w:multiLevelType w:val="singleLevel"/>
    <w:tmpl w:val="8EB6D8D1"/>
    <w:lvl w:ilvl="0" w:tentative="0">
      <w:start w:val="1"/>
      <w:numFmt w:val="decimal"/>
      <w:lvlText w:val="%1."/>
      <w:lvlJc w:val="left"/>
      <w:pPr>
        <w:ind w:left="425" w:hanging="425"/>
      </w:pPr>
      <w:rPr>
        <w:rFonts w:hint="default"/>
      </w:rPr>
    </w:lvl>
  </w:abstractNum>
  <w:abstractNum w:abstractNumId="2">
    <w:nsid w:val="9A75E113"/>
    <w:multiLevelType w:val="singleLevel"/>
    <w:tmpl w:val="9A75E113"/>
    <w:lvl w:ilvl="0" w:tentative="0">
      <w:start w:val="1"/>
      <w:numFmt w:val="chineseCounting"/>
      <w:suff w:val="space"/>
      <w:lvlText w:val="%1、"/>
      <w:lvlJc w:val="left"/>
      <w:rPr>
        <w:rFonts w:hint="eastAsia"/>
      </w:rPr>
    </w:lvl>
  </w:abstractNum>
  <w:abstractNum w:abstractNumId="3">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7">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FE6C8412"/>
    <w:multiLevelType w:val="singleLevel"/>
    <w:tmpl w:val="FE6C8412"/>
    <w:lvl w:ilvl="0" w:tentative="0">
      <w:start w:val="1"/>
      <w:numFmt w:val="decimal"/>
      <w:lvlText w:val="%1."/>
      <w:lvlJc w:val="left"/>
      <w:pPr>
        <w:ind w:left="425" w:hanging="425"/>
      </w:pPr>
      <w:rPr>
        <w:rFonts w:hint="default"/>
      </w:rPr>
    </w:lvl>
  </w:abstractNum>
  <w:abstractNum w:abstractNumId="9">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10">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29CAF6D"/>
    <w:multiLevelType w:val="multilevel"/>
    <w:tmpl w:val="129CAF6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3">
    <w:nsid w:val="219D0AF6"/>
    <w:multiLevelType w:val="singleLevel"/>
    <w:tmpl w:val="219D0AF6"/>
    <w:lvl w:ilvl="0" w:tentative="0">
      <w:start w:val="1"/>
      <w:numFmt w:val="decimal"/>
      <w:suff w:val="space"/>
      <w:lvlText w:val="%1."/>
      <w:lvlJc w:val="left"/>
    </w:lvl>
  </w:abstractNum>
  <w:abstractNum w:abstractNumId="14">
    <w:nsid w:val="281BFDA0"/>
    <w:multiLevelType w:val="multilevel"/>
    <w:tmpl w:val="281BFDA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6">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7">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7186B9DB"/>
    <w:multiLevelType w:val="multilevel"/>
    <w:tmpl w:val="7186B9DB"/>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6"/>
  </w:num>
  <w:num w:numId="2">
    <w:abstractNumId w:val="2"/>
  </w:num>
  <w:num w:numId="3">
    <w:abstractNumId w:val="4"/>
  </w:num>
  <w:num w:numId="4">
    <w:abstractNumId w:val="8"/>
  </w:num>
  <w:num w:numId="5">
    <w:abstractNumId w:val="5"/>
  </w:num>
  <w:num w:numId="6">
    <w:abstractNumId w:val="12"/>
  </w:num>
  <w:num w:numId="7">
    <w:abstractNumId w:val="15"/>
  </w:num>
  <w:num w:numId="8">
    <w:abstractNumId w:val="11"/>
  </w:num>
  <w:num w:numId="9">
    <w:abstractNumId w:val="16"/>
  </w:num>
  <w:num w:numId="10">
    <w:abstractNumId w:val="17"/>
  </w:num>
  <w:num w:numId="11">
    <w:abstractNumId w:val="19"/>
  </w:num>
  <w:num w:numId="12">
    <w:abstractNumId w:val="9"/>
  </w:num>
  <w:num w:numId="13">
    <w:abstractNumId w:val="0"/>
  </w:num>
  <w:num w:numId="14">
    <w:abstractNumId w:val="10"/>
  </w:num>
  <w:num w:numId="15">
    <w:abstractNumId w:val="7"/>
  </w:num>
  <w:num w:numId="16">
    <w:abstractNumId w:val="3"/>
  </w:num>
  <w:num w:numId="17">
    <w:abstractNumId w:val="14"/>
  </w:num>
  <w:num w:numId="18">
    <w:abstractNumId w:val="13"/>
  </w:num>
  <w:num w:numId="19">
    <w:abstractNumId w:val="18"/>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000000"/>
    <w:rsid w:val="000F45A2"/>
    <w:rsid w:val="00296BDC"/>
    <w:rsid w:val="007F1787"/>
    <w:rsid w:val="00F931CB"/>
    <w:rsid w:val="01522213"/>
    <w:rsid w:val="015E2ED8"/>
    <w:rsid w:val="01933F04"/>
    <w:rsid w:val="01D134FA"/>
    <w:rsid w:val="02210631"/>
    <w:rsid w:val="02F242E8"/>
    <w:rsid w:val="031059A9"/>
    <w:rsid w:val="03133E26"/>
    <w:rsid w:val="03766F95"/>
    <w:rsid w:val="03E17ACA"/>
    <w:rsid w:val="040858F8"/>
    <w:rsid w:val="04C156A8"/>
    <w:rsid w:val="079723FB"/>
    <w:rsid w:val="08A94456"/>
    <w:rsid w:val="09341784"/>
    <w:rsid w:val="0A376516"/>
    <w:rsid w:val="0A5F6C80"/>
    <w:rsid w:val="0AF125E1"/>
    <w:rsid w:val="0B2D7AF8"/>
    <w:rsid w:val="0C771024"/>
    <w:rsid w:val="0EA21E47"/>
    <w:rsid w:val="0EA60A7F"/>
    <w:rsid w:val="0F1A5F0A"/>
    <w:rsid w:val="10597D75"/>
    <w:rsid w:val="10B97633"/>
    <w:rsid w:val="12847BF6"/>
    <w:rsid w:val="12AA7B7B"/>
    <w:rsid w:val="13133CFF"/>
    <w:rsid w:val="135D4BEE"/>
    <w:rsid w:val="13693F23"/>
    <w:rsid w:val="13EC23C1"/>
    <w:rsid w:val="13FA16B8"/>
    <w:rsid w:val="141F2FA3"/>
    <w:rsid w:val="142D090E"/>
    <w:rsid w:val="14C12D51"/>
    <w:rsid w:val="15C42D02"/>
    <w:rsid w:val="162179EF"/>
    <w:rsid w:val="1658246F"/>
    <w:rsid w:val="16DB1A83"/>
    <w:rsid w:val="17086790"/>
    <w:rsid w:val="176C1391"/>
    <w:rsid w:val="17B06507"/>
    <w:rsid w:val="17D363F7"/>
    <w:rsid w:val="187160ED"/>
    <w:rsid w:val="18FB3186"/>
    <w:rsid w:val="198A6011"/>
    <w:rsid w:val="1ABD39A5"/>
    <w:rsid w:val="1AE35AA8"/>
    <w:rsid w:val="1B027E29"/>
    <w:rsid w:val="1D6C1D4D"/>
    <w:rsid w:val="1D731642"/>
    <w:rsid w:val="1DCC309C"/>
    <w:rsid w:val="1DD7174F"/>
    <w:rsid w:val="1DD776FA"/>
    <w:rsid w:val="1EE61E60"/>
    <w:rsid w:val="203064A8"/>
    <w:rsid w:val="208D1D32"/>
    <w:rsid w:val="21384884"/>
    <w:rsid w:val="21FA5A2E"/>
    <w:rsid w:val="22420B98"/>
    <w:rsid w:val="22A751D6"/>
    <w:rsid w:val="22E11609"/>
    <w:rsid w:val="23B40421"/>
    <w:rsid w:val="240068CC"/>
    <w:rsid w:val="24A77F65"/>
    <w:rsid w:val="25390CF2"/>
    <w:rsid w:val="26255304"/>
    <w:rsid w:val="263D7ED1"/>
    <w:rsid w:val="266142F4"/>
    <w:rsid w:val="26FC6074"/>
    <w:rsid w:val="27394413"/>
    <w:rsid w:val="27441EF5"/>
    <w:rsid w:val="27530864"/>
    <w:rsid w:val="27FC013E"/>
    <w:rsid w:val="29B11398"/>
    <w:rsid w:val="2A6E5730"/>
    <w:rsid w:val="2AEE6D7A"/>
    <w:rsid w:val="2BFB4B4C"/>
    <w:rsid w:val="2D850759"/>
    <w:rsid w:val="2E342143"/>
    <w:rsid w:val="2E9574DA"/>
    <w:rsid w:val="2EAF6576"/>
    <w:rsid w:val="2EBB0C28"/>
    <w:rsid w:val="2F0E1BCD"/>
    <w:rsid w:val="305257C5"/>
    <w:rsid w:val="30557BC6"/>
    <w:rsid w:val="307F643A"/>
    <w:rsid w:val="309335A5"/>
    <w:rsid w:val="31354B69"/>
    <w:rsid w:val="32052280"/>
    <w:rsid w:val="32725AE5"/>
    <w:rsid w:val="334E5D71"/>
    <w:rsid w:val="334F0B5E"/>
    <w:rsid w:val="33BA4571"/>
    <w:rsid w:val="34C80426"/>
    <w:rsid w:val="35D81270"/>
    <w:rsid w:val="35ED7EDD"/>
    <w:rsid w:val="36726B70"/>
    <w:rsid w:val="37677539"/>
    <w:rsid w:val="380D6333"/>
    <w:rsid w:val="38A220CA"/>
    <w:rsid w:val="39072D82"/>
    <w:rsid w:val="39186D3D"/>
    <w:rsid w:val="393B1EAF"/>
    <w:rsid w:val="3971469F"/>
    <w:rsid w:val="3A914FF9"/>
    <w:rsid w:val="3B3E385A"/>
    <w:rsid w:val="3B616481"/>
    <w:rsid w:val="3B802E42"/>
    <w:rsid w:val="3C954A8C"/>
    <w:rsid w:val="3D946D56"/>
    <w:rsid w:val="3DAE1A1E"/>
    <w:rsid w:val="3E201D96"/>
    <w:rsid w:val="3E3B313C"/>
    <w:rsid w:val="3EDE4022"/>
    <w:rsid w:val="3F7F4719"/>
    <w:rsid w:val="3FCC0881"/>
    <w:rsid w:val="3FD0746F"/>
    <w:rsid w:val="3FD958AF"/>
    <w:rsid w:val="41384DDD"/>
    <w:rsid w:val="41EF3869"/>
    <w:rsid w:val="424B3CDF"/>
    <w:rsid w:val="43AC7175"/>
    <w:rsid w:val="43E96868"/>
    <w:rsid w:val="44146E6E"/>
    <w:rsid w:val="45CA7611"/>
    <w:rsid w:val="46716667"/>
    <w:rsid w:val="46C25697"/>
    <w:rsid w:val="47061E9E"/>
    <w:rsid w:val="47680F28"/>
    <w:rsid w:val="47BC7221"/>
    <w:rsid w:val="48004A62"/>
    <w:rsid w:val="48D950E2"/>
    <w:rsid w:val="48E0298F"/>
    <w:rsid w:val="493F4F1F"/>
    <w:rsid w:val="495963C1"/>
    <w:rsid w:val="4A052EBC"/>
    <w:rsid w:val="4A264ABA"/>
    <w:rsid w:val="4A384869"/>
    <w:rsid w:val="4A653DAC"/>
    <w:rsid w:val="4A937CB5"/>
    <w:rsid w:val="4B7342A7"/>
    <w:rsid w:val="4D023B34"/>
    <w:rsid w:val="4E7D679D"/>
    <w:rsid w:val="4EA970ED"/>
    <w:rsid w:val="4F1704D1"/>
    <w:rsid w:val="522713AF"/>
    <w:rsid w:val="52296E4F"/>
    <w:rsid w:val="526C42D5"/>
    <w:rsid w:val="53271259"/>
    <w:rsid w:val="536929AC"/>
    <w:rsid w:val="536F17F8"/>
    <w:rsid w:val="54232CB1"/>
    <w:rsid w:val="545A732E"/>
    <w:rsid w:val="553B5C4C"/>
    <w:rsid w:val="55452810"/>
    <w:rsid w:val="55F20FE4"/>
    <w:rsid w:val="56143D1E"/>
    <w:rsid w:val="563D7228"/>
    <w:rsid w:val="56645777"/>
    <w:rsid w:val="56660A06"/>
    <w:rsid w:val="56D504FC"/>
    <w:rsid w:val="575F2828"/>
    <w:rsid w:val="57E33B0B"/>
    <w:rsid w:val="581240D8"/>
    <w:rsid w:val="58867B02"/>
    <w:rsid w:val="589E6D5E"/>
    <w:rsid w:val="594A4AE5"/>
    <w:rsid w:val="594D1546"/>
    <w:rsid w:val="598B0206"/>
    <w:rsid w:val="5A201865"/>
    <w:rsid w:val="5A9926C3"/>
    <w:rsid w:val="5AD57EED"/>
    <w:rsid w:val="5C9F2D5E"/>
    <w:rsid w:val="5CCC18B7"/>
    <w:rsid w:val="5EEF12AC"/>
    <w:rsid w:val="5F5079A7"/>
    <w:rsid w:val="609E18C5"/>
    <w:rsid w:val="60B1035F"/>
    <w:rsid w:val="60FA1254"/>
    <w:rsid w:val="6106237B"/>
    <w:rsid w:val="612956DC"/>
    <w:rsid w:val="613832CB"/>
    <w:rsid w:val="630E2DDB"/>
    <w:rsid w:val="633C51D7"/>
    <w:rsid w:val="643244FA"/>
    <w:rsid w:val="64482CC8"/>
    <w:rsid w:val="648D40BC"/>
    <w:rsid w:val="65023FED"/>
    <w:rsid w:val="651A76BB"/>
    <w:rsid w:val="6530465E"/>
    <w:rsid w:val="65890CF1"/>
    <w:rsid w:val="668B64F1"/>
    <w:rsid w:val="66A9039E"/>
    <w:rsid w:val="66A924B9"/>
    <w:rsid w:val="66B824D0"/>
    <w:rsid w:val="67386679"/>
    <w:rsid w:val="675D60DF"/>
    <w:rsid w:val="678F55BD"/>
    <w:rsid w:val="67E76C1B"/>
    <w:rsid w:val="681A7B2C"/>
    <w:rsid w:val="695A2A86"/>
    <w:rsid w:val="69CE790A"/>
    <w:rsid w:val="69DA7A0C"/>
    <w:rsid w:val="6A9B454D"/>
    <w:rsid w:val="6B40402D"/>
    <w:rsid w:val="6CD7423E"/>
    <w:rsid w:val="6CD97293"/>
    <w:rsid w:val="6DD51C26"/>
    <w:rsid w:val="6FAA158B"/>
    <w:rsid w:val="720535FB"/>
    <w:rsid w:val="729C5701"/>
    <w:rsid w:val="72D43589"/>
    <w:rsid w:val="739C3AEB"/>
    <w:rsid w:val="742C4E6F"/>
    <w:rsid w:val="74722963"/>
    <w:rsid w:val="74C57072"/>
    <w:rsid w:val="75351359"/>
    <w:rsid w:val="753F3F20"/>
    <w:rsid w:val="75B968DE"/>
    <w:rsid w:val="77D44E6A"/>
    <w:rsid w:val="78BE4504"/>
    <w:rsid w:val="798259F2"/>
    <w:rsid w:val="798F63DB"/>
    <w:rsid w:val="7A3727C0"/>
    <w:rsid w:val="7B560A24"/>
    <w:rsid w:val="7B82074B"/>
    <w:rsid w:val="7BDE7397"/>
    <w:rsid w:val="7C8D7D17"/>
    <w:rsid w:val="7CEA36A3"/>
    <w:rsid w:val="7E907CA2"/>
    <w:rsid w:val="7ED760F7"/>
    <w:rsid w:val="7EF667A6"/>
    <w:rsid w:val="7F1B3485"/>
    <w:rsid w:val="7F7511B7"/>
    <w:rsid w:val="7F8E2E8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6"/>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29"/>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1"/>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3"/>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8">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6">
    <w:name w:val="Table Grid"/>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7">
    <w:name w:val="Light Shading Accent 5"/>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19">
    <w:name w:val="Strong"/>
    <w:basedOn w:val="18"/>
    <w:autoRedefine/>
    <w:qFormat/>
    <w:uiPriority w:val="22"/>
    <w:rPr>
      <w:b/>
      <w:bCs/>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autoRedefine/>
    <w:unhideWhenUsed/>
    <w:qFormat/>
    <w:uiPriority w:val="99"/>
    <w:rPr>
      <w:sz w:val="21"/>
      <w:szCs w:val="21"/>
    </w:rPr>
  </w:style>
  <w:style w:type="character" w:customStyle="1" w:styleId="22">
    <w:name w:val="页眉 字符"/>
    <w:autoRedefine/>
    <w:qFormat/>
    <w:uiPriority w:val="99"/>
    <w:rPr>
      <w:sz w:val="18"/>
      <w:szCs w:val="18"/>
    </w:rPr>
  </w:style>
  <w:style w:type="character" w:customStyle="1" w:styleId="23">
    <w:name w:val="页脚 字符"/>
    <w:autoRedefine/>
    <w:qFormat/>
    <w:uiPriority w:val="99"/>
    <w:rPr>
      <w:sz w:val="18"/>
      <w:szCs w:val="18"/>
    </w:rPr>
  </w:style>
  <w:style w:type="character" w:customStyle="1" w:styleId="24">
    <w:name w:val="批注框文本 字符"/>
    <w:autoRedefine/>
    <w:semiHidden/>
    <w:qFormat/>
    <w:uiPriority w:val="99"/>
    <w:rPr>
      <w:sz w:val="18"/>
      <w:szCs w:val="18"/>
    </w:rPr>
  </w:style>
  <w:style w:type="paragraph" w:customStyle="1" w:styleId="25">
    <w:name w:val="副标题1"/>
    <w:basedOn w:val="1"/>
    <w:autoRedefine/>
    <w:qFormat/>
    <w:uiPriority w:val="0"/>
    <w:pPr>
      <w:spacing w:before="50" w:beforeLines="50" w:after="50" w:afterLines="50"/>
      <w:jc w:val="center"/>
    </w:pPr>
    <w:rPr>
      <w:b/>
      <w:color w:val="31849B"/>
      <w:sz w:val="28"/>
    </w:rPr>
  </w:style>
  <w:style w:type="character" w:customStyle="1" w:styleId="26">
    <w:name w:val="标题 1 字符"/>
    <w:link w:val="2"/>
    <w:autoRedefine/>
    <w:qFormat/>
    <w:uiPriority w:val="9"/>
    <w:rPr>
      <w:rFonts w:ascii="微软雅黑" w:hAnsi="微软雅黑" w:eastAsia="微软雅黑"/>
      <w:b/>
      <w:bCs/>
      <w:color w:val="31849B"/>
      <w:kern w:val="44"/>
      <w:sz w:val="24"/>
      <w:szCs w:val="44"/>
    </w:rPr>
  </w:style>
  <w:style w:type="character" w:customStyle="1" w:styleId="27">
    <w:name w:val="SubTitle 字符"/>
    <w:autoRedefine/>
    <w:qFormat/>
    <w:uiPriority w:val="0"/>
    <w:rPr>
      <w:rFonts w:ascii="微软雅黑" w:hAnsi="微软雅黑" w:eastAsia="微软雅黑"/>
      <w:b/>
      <w:color w:val="31849B"/>
      <w:sz w:val="28"/>
    </w:rPr>
  </w:style>
  <w:style w:type="paragraph" w:styleId="28">
    <w:name w:val="List Paragraph"/>
    <w:basedOn w:val="1"/>
    <w:autoRedefine/>
    <w:qFormat/>
    <w:uiPriority w:val="34"/>
    <w:pPr>
      <w:ind w:firstLine="420" w:firstLineChars="200"/>
    </w:pPr>
  </w:style>
  <w:style w:type="character" w:customStyle="1" w:styleId="29">
    <w:name w:val="标题 2 字符"/>
    <w:link w:val="3"/>
    <w:autoRedefine/>
    <w:qFormat/>
    <w:uiPriority w:val="9"/>
    <w:rPr>
      <w:rFonts w:ascii="微软雅黑" w:hAnsi="微软雅黑" w:eastAsia="微软雅黑"/>
      <w:b/>
      <w:bCs/>
      <w:color w:val="31849B"/>
      <w:kern w:val="2"/>
      <w:sz w:val="24"/>
      <w:szCs w:val="32"/>
    </w:rPr>
  </w:style>
  <w:style w:type="paragraph" w:customStyle="1" w:styleId="30">
    <w:name w:val="样式1"/>
    <w:basedOn w:val="7"/>
    <w:autoRedefine/>
    <w:qFormat/>
    <w:uiPriority w:val="0"/>
    <w:pPr>
      <w:spacing w:before="156" w:after="156"/>
    </w:pPr>
  </w:style>
  <w:style w:type="character" w:customStyle="1" w:styleId="31">
    <w:name w:val="标题 3 字符"/>
    <w:link w:val="4"/>
    <w:autoRedefine/>
    <w:qFormat/>
    <w:uiPriority w:val="9"/>
    <w:rPr>
      <w:rFonts w:ascii="微软雅黑" w:hAnsi="微软雅黑" w:eastAsia="微软雅黑"/>
      <w:b/>
      <w:bCs/>
      <w:color w:val="31849B"/>
      <w:sz w:val="22"/>
      <w:szCs w:val="32"/>
    </w:rPr>
  </w:style>
  <w:style w:type="character" w:customStyle="1" w:styleId="32">
    <w:name w:val="样式1 字符"/>
    <w:autoRedefine/>
    <w:qFormat/>
    <w:uiPriority w:val="0"/>
    <w:rPr>
      <w:rFonts w:ascii="微软雅黑" w:hAnsi="微软雅黑" w:eastAsia="微软雅黑" w:cs="Times New Roman"/>
      <w:b/>
      <w:bCs/>
      <w:color w:val="31849B"/>
      <w:sz w:val="22"/>
      <w:szCs w:val="32"/>
    </w:rPr>
  </w:style>
  <w:style w:type="character" w:customStyle="1" w:styleId="33">
    <w:name w:val="标题 4 字符"/>
    <w:link w:val="5"/>
    <w:autoRedefine/>
    <w:qFormat/>
    <w:uiPriority w:val="9"/>
    <w:rPr>
      <w:rFonts w:ascii="微软雅黑" w:hAnsi="微软雅黑" w:eastAsia="微软雅黑" w:cs="Times New Roman"/>
      <w:b/>
      <w:bCs/>
      <w:color w:val="31849B"/>
      <w:sz w:val="22"/>
      <w:szCs w:val="28"/>
    </w:rPr>
  </w:style>
  <w:style w:type="table" w:customStyle="1" w:styleId="34">
    <w:name w:val="浅色底纹 - 着色 5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5">
    <w:name w:val="浅色底纹 - 着色 53"/>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6">
    <w:name w:val="批注文字 字符"/>
    <w:autoRedefine/>
    <w:qFormat/>
    <w:uiPriority w:val="99"/>
    <w:rPr>
      <w:sz w:val="24"/>
      <w:szCs w:val="24"/>
    </w:rPr>
  </w:style>
  <w:style w:type="paragraph" w:styleId="37">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8">
    <w:name w:val="网格型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浅色底纹 - 强调文字颜色 5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0">
    <w:name w:val="网格表 1 浅色 - 着色 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1">
    <w:name w:val="浅色底纹 - 着色 52"/>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2">
    <w:name w:val="批注主题 字符"/>
    <w:basedOn w:val="36"/>
    <w:autoRedefine/>
    <w:semiHidden/>
    <w:qFormat/>
    <w:uiPriority w:val="99"/>
    <w:rPr>
      <w:rFonts w:ascii="微软雅黑" w:hAnsi="微软雅黑" w:eastAsia="微软雅黑"/>
      <w:b/>
      <w:bCs/>
      <w:color w:val="262626"/>
      <w:kern w:val="2"/>
      <w:sz w:val="24"/>
      <w:szCs w:val="22"/>
    </w:rPr>
  </w:style>
  <w:style w:type="paragraph" w:customStyle="1" w:styleId="43">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4">
    <w:name w:val="表格2"/>
    <w:basedOn w:val="15"/>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5">
    <w:name w:val="网格型2"/>
    <w:basedOn w:val="15"/>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浅色底纹 - 着色 511"/>
    <w:basedOn w:val="15"/>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7">
    <w:name w:val="浅色底纹 - 着色 54"/>
    <w:basedOn w:val="15"/>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8">
    <w:name w:val="浅色底纹 - 着色 531"/>
    <w:basedOn w:val="15"/>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网格型11"/>
    <w:basedOn w:val="15"/>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浅色底纹 - 强调文字颜色 511"/>
    <w:basedOn w:val="15"/>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1">
    <w:name w:val="网格表 1 浅色 - 着色 111"/>
    <w:basedOn w:val="15"/>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2">
    <w:name w:val="浅色底纹 - 着色 521"/>
    <w:basedOn w:val="15"/>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3">
    <w:name w:val="列表段落 字符"/>
    <w:basedOn w:val="18"/>
    <w:autoRedefine/>
    <w:qFormat/>
    <w:uiPriority w:val="34"/>
    <w:rPr>
      <w:rFonts w:ascii="微软雅黑" w:hAnsi="微软雅黑" w:eastAsia="微软雅黑"/>
      <w:color w:val="262626"/>
      <w:kern w:val="2"/>
      <w:szCs w:val="22"/>
    </w:rPr>
  </w:style>
  <w:style w:type="table" w:customStyle="1" w:styleId="54">
    <w:name w:val="奇偶条"/>
    <w:basedOn w:val="15"/>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5">
    <w:name w:val="列出段落1"/>
    <w:basedOn w:val="1"/>
    <w:autoRedefine/>
    <w:qFormat/>
    <w:uiPriority w:val="34"/>
    <w:pPr>
      <w:ind w:firstLine="420" w:firstLineChars="200"/>
    </w:pPr>
  </w:style>
  <w:style w:type="paragraph" w:customStyle="1" w:styleId="56">
    <w:name w:val="Table Paragraph"/>
    <w:basedOn w:val="1"/>
    <w:autoRedefine/>
    <w:qFormat/>
    <w:uiPriority w:val="1"/>
  </w:style>
  <w:style w:type="table" w:customStyle="1" w:styleId="57">
    <w:name w:val="Table Normal1"/>
    <w:autoRedefine/>
    <w:unhideWhenUsed/>
    <w:qFormat/>
    <w:uiPriority w:val="2"/>
    <w:tblPr>
      <w:tblCellMar>
        <w:top w:w="0" w:type="dxa"/>
        <w:left w:w="0" w:type="dxa"/>
        <w:bottom w:w="0" w:type="dxa"/>
        <w:right w:w="0" w:type="dxa"/>
      </w:tblCellMar>
    </w:tblPr>
  </w:style>
  <w:style w:type="paragraph" w:customStyle="1" w:styleId="58">
    <w:name w:val="List Paragraph1"/>
    <w:basedOn w:val="1"/>
    <w:autoRedefine/>
    <w:qFormat/>
    <w:uiPriority w:val="34"/>
    <w:rPr>
      <w:rFonts w:asciiTheme="minorHAnsi" w:hAnsiTheme="minorHAnsi" w:eastAsiaTheme="minorEastAsia" w:cstheme="minorBidi"/>
    </w:rPr>
  </w:style>
  <w:style w:type="character" w:customStyle="1" w:styleId="59">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60">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61">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63">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6.xml"/><Relationship Id="rId18" Type="http://schemas.openxmlformats.org/officeDocument/2006/relationships/customXml" Target="../customXml/item5.xml"/><Relationship Id="rId17" Type="http://schemas.openxmlformats.org/officeDocument/2006/relationships/customXml" Target="../customXml/item4.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30dbff-7d23-4f3f-8945-b22c712870b2}">
  <ds:schemaRefs/>
</ds:datastoreItem>
</file>

<file path=customXml/itemProps3.xml><?xml version="1.0" encoding="utf-8"?>
<ds:datastoreItem xmlns:ds="http://schemas.openxmlformats.org/officeDocument/2006/customXml" ds:itemID="{82825c24-1b70-4d0e-a282-2cf4617ceb25}">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bd807534-c03b-4eb0-a608-0c9c0cf1cedb}">
  <ds:schemaRefs/>
</ds:datastoreItem>
</file>

<file path=customXml/itemProps6.xml><?xml version="1.0" encoding="utf-8"?>
<ds:datastoreItem xmlns:ds="http://schemas.openxmlformats.org/officeDocument/2006/customXml" ds:itemID="{D9E68FF8-7140-42C3-A777-F9DF59379B8B}">
  <ds:schemaRefs/>
</ds:datastoreItem>
</file>

<file path=docProps/app.xml><?xml version="1.0" encoding="utf-8"?>
<Properties xmlns="http://schemas.openxmlformats.org/officeDocument/2006/extended-properties" xmlns:vt="http://schemas.openxmlformats.org/officeDocument/2006/docPropsVTypes">
  <Template>Normal.dotm</Template>
  <Pages>26</Pages>
  <Words>9432</Words>
  <Characters>36759</Characters>
  <Lines>502</Lines>
  <Paragraphs>141</Paragraphs>
  <TotalTime>0</TotalTime>
  <ScaleCrop>false</ScaleCrop>
  <LinksUpToDate>false</LinksUpToDate>
  <CharactersWithSpaces>41468</CharactersWithSpaces>
  <Application>WPS Office_12.1.0.16399_F1E327BC-269C-435d-A152-05C5408002CA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tassles-L</cp:lastModifiedBy>
  <cp:lastPrinted>2019-09-19T01:02:00Z</cp:lastPrinted>
  <dcterms:modified xsi:type="dcterms:W3CDTF">2024-03-11T06:37:28Z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64F8B3CFB2944962953CB0E81B1D166F</vt:lpwstr>
  </property>
</Properties>
</file>