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left"/>
        <w:rPr>
          <w:sz w:val="20"/>
          <w:lang w:eastAsia="zh-CN"/>
        </w:rPr>
      </w:pPr>
    </w:p>
    <w:p>
      <w:pPr>
        <w:jc w:val="center"/>
        <w:rPr>
          <w:rFonts w:hint="eastAsia" w:ascii="黑体" w:hAnsi="黑体" w:eastAsia="黑体" w:cs="黑体"/>
          <w:color w:val="548235" w:themeColor="accent6" w:themeShade="BF"/>
          <w:sz w:val="72"/>
          <w:szCs w:val="72"/>
          <w:lang w:val="en-US" w:eastAsia="zh-CN"/>
        </w:rPr>
      </w:pPr>
      <w:r>
        <w:rPr>
          <w:rFonts w:hint="eastAsia" w:ascii="黑体" w:hAnsi="黑体" w:eastAsia="黑体" w:cs="黑体"/>
          <w:color w:val="548235" w:themeColor="accent6" w:themeShade="BF"/>
          <w:sz w:val="72"/>
          <w:szCs w:val="72"/>
          <w:lang w:eastAsia="zh-CN"/>
        </w:rPr>
        <w:t>{% if PDInfo == undefined %}</w:t>
      </w:r>
      <w:r>
        <w:rPr>
          <w:rFonts w:hint="eastAsia" w:ascii="黑体" w:hAnsi="黑体" w:eastAsia="黑体" w:cs="黑体"/>
          <w:b w:val="0"/>
          <w:bCs w:val="0"/>
          <w:color w:val="548235" w:themeColor="accent6" w:themeShade="BF"/>
          <w:sz w:val="72"/>
          <w:szCs w:val="72"/>
          <w:highlight w:val="none"/>
          <w:lang w:val="en-US" w:eastAsia="zh-CN"/>
        </w:rPr>
        <w:t>消化道肿瘤50基因检测报告</w:t>
      </w:r>
      <w:r>
        <w:rPr>
          <w:rFonts w:hint="eastAsia" w:ascii="黑体" w:hAnsi="黑体" w:eastAsia="黑体" w:cs="黑体"/>
          <w:color w:val="548235" w:themeColor="accent6" w:themeShade="BF"/>
          <w:sz w:val="72"/>
          <w:szCs w:val="72"/>
          <w:lang w:eastAsia="zh-CN"/>
        </w:rPr>
        <w:t>{% else %}</w:t>
      </w:r>
      <w:r>
        <w:rPr>
          <w:rFonts w:hint="eastAsia" w:ascii="黑体" w:hAnsi="黑体" w:eastAsia="黑体" w:cs="黑体"/>
          <w:b w:val="0"/>
          <w:bCs w:val="0"/>
          <w:color w:val="548235" w:themeColor="accent6" w:themeShade="BF"/>
          <w:sz w:val="72"/>
          <w:szCs w:val="72"/>
          <w:highlight w:val="none"/>
          <w:lang w:val="en-US" w:eastAsia="zh-CN"/>
        </w:rPr>
        <w:t>消化道肿瘤50基因</w:t>
      </w:r>
      <w:r>
        <w:rPr>
          <w:rFonts w:hint="eastAsia" w:ascii="黑体" w:hAnsi="黑体" w:eastAsia="黑体" w:cs="黑体"/>
          <w:color w:val="548235" w:themeColor="accent6" w:themeShade="BF"/>
          <w:sz w:val="72"/>
          <w:szCs w:val="72"/>
          <w:lang w:val="en-US" w:eastAsia="zh-CN"/>
        </w:rPr>
        <w:t>+PD-L1</w:t>
      </w:r>
    </w:p>
    <w:p>
      <w:pPr>
        <w:jc w:val="center"/>
        <w:rPr>
          <w:rFonts w:hint="eastAsia" w:ascii="黑体" w:hAnsi="黑体" w:eastAsia="黑体" w:cs="黑体"/>
          <w:color w:val="548235" w:themeColor="accent6" w:themeShade="BF"/>
          <w:sz w:val="72"/>
          <w:szCs w:val="72"/>
          <w:lang w:eastAsia="zh-CN"/>
        </w:rPr>
      </w:pPr>
      <w:r>
        <w:rPr>
          <w:rFonts w:hint="eastAsia" w:ascii="黑体" w:hAnsi="黑体" w:eastAsia="黑体" w:cs="黑体"/>
          <w:color w:val="548235" w:themeColor="accent6" w:themeShade="BF"/>
          <w:sz w:val="72"/>
          <w:szCs w:val="72"/>
          <w:lang w:eastAsia="zh-CN"/>
        </w:rPr>
        <w:t>检测报告{% endif %}</w:t>
      </w:r>
    </w:p>
    <w:p>
      <w:pPr>
        <w:jc w:val="center"/>
        <w:rPr>
          <w:sz w:val="20"/>
          <w:lang w:eastAsia="zh-CN"/>
        </w:rPr>
      </w:pPr>
    </w:p>
    <w:tbl>
      <w:tblPr>
        <w:tblStyle w:val="17"/>
        <w:tblpPr w:leftFromText="181" w:rightFromText="181" w:vertAnchor="page" w:horzAnchor="page" w:tblpXSpec="center" w:tblpY="9072"/>
        <w:tblOverlap w:val="never"/>
        <w:tblW w:w="65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24"/>
        <w:gridCol w:w="44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4"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 托 人：</w:t>
            </w:r>
          </w:p>
        </w:tc>
        <w:tc>
          <w:tcPr>
            <w:tcW w:w="4471" w:type="dxa"/>
            <w:tcBorders>
              <w:top w:val="nil"/>
              <w:left w:val="nil"/>
              <w:bottom w:val="single" w:color="auto" w:sz="4" w:space="0"/>
              <w:right w:val="nil"/>
            </w:tcBorders>
            <w:vAlign w:val="bottom"/>
          </w:tcPr>
          <w:p>
            <w:pPr>
              <w:pStyle w:val="8"/>
              <w:jc w:val="center"/>
              <w:rPr>
                <w:rFonts w:ascii="黑体"/>
                <w:sz w:val="48"/>
                <w:lang w:eastAsia="zh-CN"/>
              </w:rPr>
            </w:pPr>
            <w:r>
              <w:rPr>
                <w:rFonts w:hint="eastAsia" w:ascii="微软雅黑" w:eastAsia="微软雅黑"/>
                <w:sz w:val="30"/>
                <w:lang w:eastAsia="zh-CN"/>
              </w:rPr>
              <w:t>{{ client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委托日期：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commission_date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7"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样本编号：</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subbarcode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8" w:hRule="atLeast"/>
          <w:jc w:val="center"/>
        </w:trPr>
        <w:tc>
          <w:tcPr>
            <w:tcW w:w="2124" w:type="dxa"/>
            <w:tcBorders>
              <w:top w:val="nil"/>
              <w:left w:val="nil"/>
              <w:bottom w:val="nil"/>
              <w:right w:val="nil"/>
            </w:tcBorders>
            <w:vAlign w:val="bottom"/>
          </w:tcPr>
          <w:p>
            <w:pPr>
              <w:pStyle w:val="8"/>
              <w:jc w:val="right"/>
              <w:rPr>
                <w:rFonts w:ascii="黑体"/>
                <w:sz w:val="48"/>
                <w:lang w:eastAsia="zh-CN"/>
              </w:rPr>
            </w:pPr>
            <w:r>
              <w:rPr>
                <w:rFonts w:hint="eastAsia" w:ascii="微软雅黑" w:eastAsia="微软雅黑"/>
                <w:sz w:val="30"/>
                <w:lang w:eastAsia="zh-CN"/>
              </w:rPr>
              <w:t>报告日期：</w:t>
            </w:r>
          </w:p>
        </w:tc>
        <w:tc>
          <w:tcPr>
            <w:tcW w:w="4471" w:type="dxa"/>
            <w:tcBorders>
              <w:top w:val="single" w:color="auto" w:sz="4" w:space="0"/>
              <w:left w:val="nil"/>
              <w:bottom w:val="single" w:color="auto" w:sz="4" w:space="0"/>
              <w:right w:val="nil"/>
            </w:tcBorders>
            <w:vAlign w:val="bottom"/>
          </w:tcPr>
          <w:p>
            <w:pPr>
              <w:pStyle w:val="8"/>
              <w:jc w:val="center"/>
              <w:rPr>
                <w:rFonts w:hint="default" w:ascii="Times New Roman" w:hAnsi="Times New Roman" w:cs="Times New Roman"/>
                <w:sz w:val="48"/>
                <w:lang w:eastAsia="zh-CN"/>
              </w:rPr>
            </w:pPr>
            <w:r>
              <w:rPr>
                <w:rFonts w:hint="default" w:ascii="Times New Roman" w:hAnsi="Times New Roman" w:eastAsia="微软雅黑" w:cs="Times New Roman"/>
                <w:sz w:val="30"/>
                <w:lang w:eastAsia="zh-CN"/>
              </w:rPr>
              <w:t>{{ reportdate }}</w:t>
            </w:r>
          </w:p>
        </w:tc>
      </w:tr>
    </w:tbl>
    <w:p>
      <w:pPr>
        <w:jc w:val="left"/>
        <w:rPr>
          <w:sz w:val="20"/>
          <w:lang w:eastAsia="zh-CN"/>
        </w:rPr>
        <w:sectPr>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0" w:charSpace="0"/>
        </w:sectPr>
      </w:pPr>
      <w:r>
        <w:rPr>
          <w:lang w:eastAsia="zh-CN"/>
        </w:rPr>
        <mc:AlternateContent>
          <mc:Choice Requires="wps">
            <w:drawing>
              <wp:anchor distT="0" distB="0" distL="114300" distR="114300" simplePos="0" relativeHeight="251660288" behindDoc="0" locked="0" layoutInCell="1" allowOverlap="1">
                <wp:simplePos x="0" y="0"/>
                <wp:positionH relativeFrom="column">
                  <wp:posOffset>511175</wp:posOffset>
                </wp:positionH>
                <wp:positionV relativeFrom="paragraph">
                  <wp:posOffset>7711440</wp:posOffset>
                </wp:positionV>
                <wp:extent cx="6581775" cy="2200910"/>
                <wp:effectExtent l="0" t="0" r="0" b="0"/>
                <wp:wrapNone/>
                <wp:docPr id="2" name="文本框 2"/>
                <wp:cNvGraphicFramePr/>
                <a:graphic xmlns:a="http://schemas.openxmlformats.org/drawingml/2006/main">
                  <a:graphicData uri="http://schemas.microsoft.com/office/word/2010/wordprocessingShape">
                    <wps:wsp>
                      <wps:cNvSpPr txBox="1"/>
                      <wps:spPr>
                        <a:xfrm>
                          <a:off x="0" y="0"/>
                          <a:ext cx="6581775" cy="22009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rPr>
                                <w:rFonts w:hint="eastAsia"/>
                                <w:lang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5pt;margin-top:607.2pt;height:173.3pt;width:518.25pt;z-index:251660288;mso-width-relative:page;mso-height-relative:page;" filled="f" stroked="f" coordsize="21600,21600" o:gfxdata="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bvWtLN0AAAANAQAADwAAAAAAAAABACAAAAAi&#10;AAAAZHJzL2Rvd25yZXYueG1sUEsBAhQAFAAAAAgAh07iQMIVBcQ+AgAAZwQAAA4AAAAAAAAAAQAg&#10;AAAALAEAAGRycy9lMm9Eb2MueG1sUEsFBgAAAAAGAAYAWQEAANwFAAAAAA==&#10;">
                <v:fill on="f" focussize="0,0"/>
                <v:stroke on="f" weight="0.5pt"/>
                <v:imagedata o:title=""/>
                <o:lock v:ext="edit" aspectratio="f"/>
                <v:textbox>
                  <w:txbxContent>
                    <w:p>
                      <w:pPr>
                        <w:rPr>
                          <w:rFonts w:hint="eastAsia"/>
                          <w:lang w:eastAsia="zh-CN"/>
                        </w:rPr>
                      </w:pPr>
                    </w:p>
                  </w:txbxContent>
                </v:textbox>
              </v:shape>
            </w:pict>
          </mc:Fallback>
        </mc:AlternateConten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cs="Times New Roman"/>
          <w:b/>
          <w:color w:val="62B541"/>
          <w:sz w:val="56"/>
          <w:szCs w:val="56"/>
          <w:lang w:eastAsia="zh-CN"/>
          <w14:shadow w14:blurRad="38100" w14:dist="19050" w14:dir="2700000" w14:sx="100000" w14:sy="100000" w14:kx="0" w14:ky="0" w14:algn="tl">
            <w14:schemeClr w14:val="dk1">
              <w14:alpha w14:val="60000"/>
            </w14:schemeClr>
          </w14:shadow>
          <w14:props3d w14:extrusionH="0" w14:contourW="0" w14:prstMaterial="clear"/>
        </w:rPr>
      </w:pPr>
      <w:r>
        <w:rPr>
          <w:rFonts w:hint="eastAsia" w:ascii="Times New Roman" w:hAnsi="Times New Roman" w:eastAsia="微软雅黑" w:cs="Times New Roman"/>
          <w:b/>
          <w:color w:val="62B541"/>
          <w:sz w:val="56"/>
          <w:szCs w:val="56"/>
          <w:lang w:val="en-US" w:eastAsia="zh-CN"/>
          <w14:shadow w14:blurRad="38100" w14:dist="19050" w14:dir="2700000" w14:sx="100000" w14:sy="100000" w14:kx="0" w14:ky="0" w14:algn="tl">
            <w14:schemeClr w14:val="dk1">
              <w14:alpha w14:val="60000"/>
            </w14:schemeClr>
          </w14:shadow>
          <w14:props3d w14:extrusionH="0" w14:contourW="0" w14:prstMaterial="clear"/>
        </w:rPr>
        <w:t>目录</w:t>
      </w:r>
    </w:p>
    <w:p>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ascii="Times New Roman" w:hAnsi="Times New Roman" w:eastAsia="微软雅黑"/>
          <w:sz w:val="36"/>
          <w:szCs w:val="36"/>
          <w:lang w:val="en-US" w:eastAsia="zh-CN"/>
        </w:rPr>
      </w:pPr>
      <w:r>
        <w:rPr>
          <w:rFonts w:hint="eastAsia" w:ascii="Times New Roman" w:hAnsi="Times New Roman" w:eastAsia="微软雅黑"/>
          <w:sz w:val="36"/>
          <w:szCs w:val="36"/>
          <w:lang w:val="en-US" w:eastAsia="zh-CN"/>
        </w:rPr>
        <w:t>Content</w:t>
      </w:r>
    </w:p>
    <w:sdt>
      <w:sdtPr>
        <w:rPr>
          <w:rFonts w:ascii="宋体" w:hAnsi="宋体" w:eastAsia="宋体" w:cs="宋体"/>
          <w:sz w:val="21"/>
          <w:szCs w:val="22"/>
          <w:lang w:val="en-US" w:eastAsia="en-US" w:bidi="ar-SA"/>
        </w:rPr>
        <w:id w:val="147457489"/>
        <w15:color w:val="DBDBDB"/>
        <w:docPartObj>
          <w:docPartGallery w:val="Table of Contents"/>
          <w:docPartUnique/>
        </w:docPartObj>
      </w:sdtPr>
      <w:sdtEndPr>
        <w:rPr>
          <w:rFonts w:ascii="宋体" w:hAnsi="宋体" w:eastAsia="宋体" w:cs="宋体"/>
          <w:b/>
          <w:sz w:val="22"/>
          <w:szCs w:val="21"/>
          <w:lang w:val="en-US" w:eastAsia="zh-CN" w:bidi="ar-SA"/>
        </w:rPr>
      </w:sdtEndPr>
      <w:sdtContent>
        <w:p>
          <w:pPr>
            <w:spacing w:before="0" w:beforeLines="0" w:after="0" w:afterLines="0" w:line="240" w:lineRule="auto"/>
            <w:ind w:left="0" w:leftChars="0" w:right="0" w:rightChars="0" w:firstLine="0" w:firstLineChars="0"/>
            <w:jc w:val="center"/>
          </w:pP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fldChar w:fldCharType="begin"/>
          </w:r>
          <w:r>
            <w:instrText xml:space="preserve">TOC \o "1-2" \h \u </w:instrText>
          </w:r>
          <w:r>
            <w:fldChar w:fldCharType="separate"/>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_Toc22678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样本信息</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_Toc22678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_Toc23717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检测项目</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_Toc23717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_Toc22023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检测结果总览</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_Toc22023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_Toc17124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检测结果小结</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_Toc17124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_Toc29743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 if importantTargetedDiseaseName == ‘泛癌种’%}重要靶向用药{%else%}{% if importantTargetedDiseaseName == ‘肺癌’%}肺癌{% elif importantTargetedDiseaseName == ‘结直肠癌’ %}结直肠癌{% elif importantTargetedDiseaseName == ‘乳腺癌’ %}乳腺癌{% endif %}精准诊疗{% endif %}相关基因结果汇总</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_Toc29743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_Toc12242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default" w:ascii="Times New Roman" w:hAnsi="Times New Roman" w:eastAsia="微软雅黑" w:cs="微软雅黑"/>
              <w:b/>
              <w:bCs/>
              <w:color w:val="62B541"/>
              <w:sz w:val="32"/>
              <w:szCs w:val="32"/>
              <w:lang w:eastAsia="zh-CN"/>
            </w:rPr>
            <w:t>检测结果及用药提示</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_Toc12242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_Toc10974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体细胞变异分级提示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_Toc10974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_Toc19349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_Toc19349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2531 not in diseaseIdList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_Toc27368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本癌种FDA/NMPA获批的其他可选靶向药物</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_Toc27368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_Toc26103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免疫药物用药提示</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_Toc26103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10</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{%if PDInfo != undefined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_Toc4455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PD-L1检测结果</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_Toc4455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_Toc559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基因检测结果解析</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_Toc559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14</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24"/>
              <w:szCs w:val="24"/>
              <w:lang w:eastAsia="zh-CN"/>
            </w:rPr>
            <w:t>{%if BodyDrugDrugDetectionStr or unknownVarAnalysisStr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_Toc15297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体细胞变异结果解析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_Toc15297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%}{%if geneticCancerRiskInfo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_Toc31679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胚系变异结果解析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_Toc31679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_Toc1112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免疫检测结果解析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_Toc1112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19</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if gastrointestinalStromalTumor == True %}</w:t>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_Toc9407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化疗药物检测解析</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_Toc9407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21</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t>{% endif %}</w:t>
          </w:r>
        </w:p>
        <w:p>
          <w:pPr>
            <w:pStyle w:val="13"/>
            <w:tabs>
              <w:tab w:val="right" w:leader="dot" w:pos="9870"/>
            </w:tabs>
            <w:rPr>
              <w:rStyle w:val="20"/>
              <w:rFonts w:hint="eastAsia" w:ascii="Times New Roman" w:hAnsi="Times New Roman" w:eastAsia="微软雅黑" w:cs="微软雅黑"/>
              <w:b/>
              <w:bCs/>
              <w:color w:val="62B541"/>
              <w:sz w:val="32"/>
              <w:szCs w:val="32"/>
              <w:lang w:eastAsia="zh-CN"/>
            </w:rPr>
          </w:pP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HYPERLINK \l _Toc6433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附录</w:t>
          </w:r>
          <w:r>
            <w:rPr>
              <w:rStyle w:val="20"/>
              <w:rFonts w:hint="eastAsia" w:ascii="Times New Roman" w:hAnsi="Times New Roman" w:eastAsia="微软雅黑" w:cs="微软雅黑"/>
              <w:b/>
              <w:bCs/>
              <w:color w:val="62B541"/>
              <w:sz w:val="32"/>
              <w:szCs w:val="32"/>
              <w:lang w:eastAsia="zh-CN"/>
            </w:rPr>
            <w:tab/>
          </w:r>
          <w:r>
            <w:rPr>
              <w:rStyle w:val="20"/>
              <w:rFonts w:hint="eastAsia" w:ascii="Times New Roman" w:hAnsi="Times New Roman" w:eastAsia="微软雅黑" w:cs="微软雅黑"/>
              <w:b/>
              <w:bCs/>
              <w:color w:val="62B541"/>
              <w:sz w:val="32"/>
              <w:szCs w:val="32"/>
              <w:lang w:eastAsia="zh-CN"/>
            </w:rPr>
            <w:fldChar w:fldCharType="begin"/>
          </w:r>
          <w:r>
            <w:rPr>
              <w:rStyle w:val="20"/>
              <w:rFonts w:hint="eastAsia" w:ascii="Times New Roman" w:hAnsi="Times New Roman" w:eastAsia="微软雅黑" w:cs="微软雅黑"/>
              <w:b/>
              <w:bCs/>
              <w:color w:val="62B541"/>
              <w:sz w:val="32"/>
              <w:szCs w:val="32"/>
              <w:lang w:eastAsia="zh-CN"/>
            </w:rPr>
            <w:instrText xml:space="preserve"> PAGEREF _Toc6433 \h </w:instrText>
          </w:r>
          <w:r>
            <w:rPr>
              <w:rStyle w:val="20"/>
              <w:rFonts w:hint="eastAsia" w:ascii="Times New Roman" w:hAnsi="Times New Roman" w:eastAsia="微软雅黑" w:cs="微软雅黑"/>
              <w:b/>
              <w:bCs/>
              <w:color w:val="62B541"/>
              <w:sz w:val="32"/>
              <w:szCs w:val="32"/>
              <w:lang w:eastAsia="zh-CN"/>
            </w:rPr>
            <w:fldChar w:fldCharType="separate"/>
          </w:r>
          <w:r>
            <w:rPr>
              <w:rStyle w:val="20"/>
              <w:rFonts w:hint="eastAsia" w:ascii="Times New Roman" w:hAnsi="Times New Roman" w:eastAsia="微软雅黑" w:cs="微软雅黑"/>
              <w:b/>
              <w:bCs/>
              <w:color w:val="62B541"/>
              <w:sz w:val="32"/>
              <w:szCs w:val="32"/>
              <w:lang w:eastAsia="zh-CN"/>
            </w:rPr>
            <w:t>23</w:t>
          </w:r>
          <w:r>
            <w:rPr>
              <w:rStyle w:val="20"/>
              <w:rFonts w:hint="eastAsia" w:ascii="Times New Roman" w:hAnsi="Times New Roman" w:eastAsia="微软雅黑" w:cs="微软雅黑"/>
              <w:b/>
              <w:bCs/>
              <w:color w:val="62B541"/>
              <w:sz w:val="32"/>
              <w:szCs w:val="32"/>
              <w:lang w:eastAsia="zh-CN"/>
            </w:rPr>
            <w:fldChar w:fldCharType="end"/>
          </w:r>
          <w:r>
            <w:rPr>
              <w:rStyle w:val="20"/>
              <w:rFonts w:hint="eastAsia" w:ascii="Times New Roman" w:hAnsi="Times New Roman" w:eastAsia="微软雅黑" w:cs="微软雅黑"/>
              <w:b/>
              <w:bCs/>
              <w:color w:val="62B541"/>
              <w:sz w:val="32"/>
              <w:szCs w:val="32"/>
              <w:lang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_Toc28330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样本质控情况</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_Toc28330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23</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_Toc31670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常见靶向药物相关基因检测列表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_Toc31670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24</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_Toc31372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检测基因列表</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_Toc31372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25</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color w:val="auto"/>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_Toc24393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检测方法与局限性</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_Toc24393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26</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pStyle w:val="14"/>
            <w:tabs>
              <w:tab w:val="right" w:leader="dot" w:pos="9870"/>
            </w:tabs>
            <w:ind w:left="440"/>
            <w:rPr>
              <w:rFonts w:hint="eastAsia" w:ascii="Times New Roman" w:hAnsi="Times New Roman" w:eastAsia="微软雅黑" w:cs="Times New Roman"/>
              <w:sz w:val="28"/>
              <w:szCs w:val="28"/>
              <w:lang w:val="en-US" w:eastAsia="zh-CN"/>
            </w:rPr>
          </w:pP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HYPERLINK \l _Toc31458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参考文献</w:t>
          </w:r>
          <w:r>
            <w:rPr>
              <w:rFonts w:hint="eastAsia" w:ascii="Times New Roman" w:hAnsi="Times New Roman" w:eastAsia="微软雅黑" w:cs="Times New Roman"/>
              <w:color w:val="auto"/>
              <w:sz w:val="28"/>
              <w:szCs w:val="28"/>
              <w:lang w:val="en-US" w:eastAsia="zh-CN"/>
            </w:rPr>
            <w:tab/>
          </w:r>
          <w:r>
            <w:rPr>
              <w:rFonts w:hint="eastAsia" w:ascii="Times New Roman" w:hAnsi="Times New Roman" w:eastAsia="微软雅黑" w:cs="Times New Roman"/>
              <w:color w:val="auto"/>
              <w:sz w:val="28"/>
              <w:szCs w:val="28"/>
              <w:lang w:val="en-US" w:eastAsia="zh-CN"/>
            </w:rPr>
            <w:fldChar w:fldCharType="begin"/>
          </w:r>
          <w:r>
            <w:rPr>
              <w:rFonts w:hint="eastAsia" w:ascii="Times New Roman" w:hAnsi="Times New Roman" w:eastAsia="微软雅黑" w:cs="Times New Roman"/>
              <w:color w:val="auto"/>
              <w:sz w:val="28"/>
              <w:szCs w:val="28"/>
              <w:lang w:val="en-US" w:eastAsia="zh-CN"/>
            </w:rPr>
            <w:instrText xml:space="preserve"> PAGEREF _Toc31458 \h </w:instrText>
          </w:r>
          <w:r>
            <w:rPr>
              <w:rFonts w:hint="eastAsia" w:ascii="Times New Roman" w:hAnsi="Times New Roman" w:eastAsia="微软雅黑" w:cs="Times New Roman"/>
              <w:color w:val="auto"/>
              <w:sz w:val="28"/>
              <w:szCs w:val="28"/>
              <w:lang w:val="en-US" w:eastAsia="zh-CN"/>
            </w:rPr>
            <w:fldChar w:fldCharType="separate"/>
          </w:r>
          <w:r>
            <w:rPr>
              <w:rFonts w:hint="eastAsia" w:ascii="Times New Roman" w:hAnsi="Times New Roman" w:eastAsia="微软雅黑" w:cs="Times New Roman"/>
              <w:color w:val="auto"/>
              <w:sz w:val="28"/>
              <w:szCs w:val="28"/>
              <w:lang w:val="en-US" w:eastAsia="zh-CN"/>
            </w:rPr>
            <w:t>27</w:t>
          </w:r>
          <w:r>
            <w:rPr>
              <w:rFonts w:hint="eastAsia" w:ascii="Times New Roman" w:hAnsi="Times New Roman" w:eastAsia="微软雅黑" w:cs="Times New Roman"/>
              <w:color w:val="auto"/>
              <w:sz w:val="28"/>
              <w:szCs w:val="28"/>
              <w:lang w:val="en-US" w:eastAsia="zh-CN"/>
            </w:rPr>
            <w:fldChar w:fldCharType="end"/>
          </w:r>
          <w:r>
            <w:rPr>
              <w:rFonts w:hint="eastAsia" w:ascii="Times New Roman" w:hAnsi="Times New Roman" w:eastAsia="微软雅黑" w:cs="Times New Roman"/>
              <w:color w:val="auto"/>
              <w:sz w:val="28"/>
              <w:szCs w:val="28"/>
              <w:lang w:val="en-US" w:eastAsia="zh-CN"/>
            </w:rPr>
            <w:fldChar w:fldCharType="end"/>
          </w:r>
        </w:p>
        <w:p>
          <w:pPr>
            <w:spacing w:before="0" w:beforeLines="0" w:after="0" w:afterLines="0" w:line="240" w:lineRule="auto"/>
            <w:ind w:left="0" w:leftChars="0" w:right="0" w:rightChars="0" w:firstLine="0" w:firstLineChars="0"/>
            <w:jc w:val="center"/>
            <w:rPr>
              <w:sz w:val="21"/>
              <w:szCs w:val="21"/>
              <w:lang w:eastAsia="zh-CN"/>
            </w:rPr>
          </w:pPr>
          <w:r>
            <w:fldChar w:fldCharType="end"/>
          </w:r>
        </w:p>
      </w:sdtContent>
    </w:sdt>
    <w:p>
      <w:pPr>
        <w:spacing w:before="0" w:beforeLines="0" w:after="0" w:afterLines="0" w:line="240" w:lineRule="auto"/>
        <w:ind w:left="0" w:leftChars="0" w:right="0" w:rightChars="0" w:firstLine="0" w:firstLineChars="0"/>
        <w:jc w:val="both"/>
        <w:rPr>
          <w:sz w:val="21"/>
          <w:szCs w:val="21"/>
          <w:lang w:eastAsia="zh-CN"/>
        </w:rPr>
        <w:sectPr>
          <w:headerReference r:id="rId3" w:type="default"/>
          <w:footerReference r:id="rId4"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299" w:charSpace="0"/>
        </w:sectPr>
      </w:pPr>
    </w:p>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0" w:name="_Toc32444"/>
      <w:bookmarkStart w:id="1" w:name="_Toc21009_WPSOffice_Level1"/>
      <w:bookmarkStart w:id="2" w:name="_Toc30143_WPSOffice_Level1"/>
      <w:bookmarkStart w:id="3" w:name="_Toc13806"/>
      <w:bookmarkStart w:id="4" w:name="_Toc19852"/>
      <w:bookmarkStart w:id="5" w:name="_Toc32054"/>
      <w:bookmarkStart w:id="6" w:name="_Toc21669"/>
      <w:bookmarkStart w:id="7" w:name="_Toc5989"/>
      <w:bookmarkStart w:id="8" w:name="_Toc24397"/>
      <w:bookmarkStart w:id="9" w:name="_Toc22678"/>
      <w:bookmarkStart w:id="10" w:name="_Toc26900"/>
      <w:bookmarkStart w:id="11" w:name="_Toc24178_WPSOffice_Level1"/>
      <w:bookmarkStart w:id="12" w:name="_Toc10446"/>
      <w:bookmarkStart w:id="13" w:name="_Toc27500"/>
      <w:r>
        <w:rPr>
          <w:color w:val="62B541"/>
          <w:sz w:val="32"/>
          <w14:shadow w14:blurRad="50800" w14:dist="38100" w14:dir="10800000" w14:sx="100000" w14:sy="100000" w14:kx="0" w14:ky="0" w14:algn="r">
            <w14:srgbClr w14:val="62B541">
              <w14:alpha w14:val="60000"/>
            </w14:srgbClr>
          </w14:shadow>
        </w:rPr>
        <w:t>样本信息</w:t>
      </w:r>
      <w:bookmarkEnd w:id="0"/>
      <w:bookmarkEnd w:id="1"/>
      <w:bookmarkEnd w:id="2"/>
      <w:bookmarkEnd w:id="3"/>
      <w:bookmarkEnd w:id="4"/>
      <w:bookmarkEnd w:id="5"/>
      <w:bookmarkEnd w:id="6"/>
      <w:bookmarkEnd w:id="7"/>
      <w:bookmarkEnd w:id="8"/>
      <w:bookmarkEnd w:id="9"/>
      <w:bookmarkEnd w:id="10"/>
      <w:bookmarkEnd w:id="11"/>
      <w:bookmarkEnd w:id="12"/>
      <w:bookmarkEnd w:id="13"/>
    </w:p>
    <w:tbl>
      <w:tblPr>
        <w:tblStyle w:val="16"/>
        <w:tblpPr w:leftFromText="180" w:rightFromText="180" w:vertAnchor="text" w:horzAnchor="margin" w:tblpXSpec="center" w:tblpY="11"/>
        <w:tblW w:w="9870" w:type="dxa"/>
        <w:jc w:val="center"/>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3231"/>
        <w:gridCol w:w="3323"/>
        <w:gridCol w:w="3316"/>
      </w:tblGrid>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姓名：</w:t>
            </w:r>
            <w:r>
              <w:rPr>
                <w:rFonts w:hint="eastAsia" w:ascii="Times New Roman" w:hAnsi="Times New Roman" w:eastAsia="微软雅黑" w:cs="Times New Roman"/>
                <w:bCs/>
                <w:color w:val="000000"/>
                <w:sz w:val="21"/>
                <w:szCs w:val="21"/>
                <w:lang w:eastAsia="zh-CN"/>
              </w:rPr>
              <w:t>{{ client }}</w:t>
            </w:r>
          </w:p>
        </w:tc>
        <w:tc>
          <w:tcPr>
            <w:tcW w:w="3323"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送检医院：</w:t>
            </w:r>
            <w:r>
              <w:rPr>
                <w:rFonts w:hint="eastAsia" w:ascii="Times New Roman" w:hAnsi="Times New Roman" w:eastAsia="微软雅黑" w:cs="Times New Roman"/>
                <w:bCs/>
                <w:color w:val="000000"/>
                <w:sz w:val="21"/>
                <w:szCs w:val="21"/>
                <w:lang w:eastAsia="zh-CN"/>
              </w:rPr>
              <w:t>{{ hospital }}</w:t>
            </w:r>
          </w:p>
        </w:tc>
        <w:tc>
          <w:tcPr>
            <w:tcW w:w="3316" w:type="dxa"/>
            <w:tcBorders>
              <w:top w:val="single" w:color="62BC41" w:sz="24" w:space="0"/>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样本条码：</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性别：</w:t>
            </w:r>
            <w:r>
              <w:rPr>
                <w:rFonts w:hint="eastAsia" w:ascii="Times New Roman" w:hAnsi="Times New Roman" w:eastAsia="微软雅黑" w:cs="Times New Roman"/>
                <w:bCs/>
                <w:color w:val="000000"/>
                <w:sz w:val="21"/>
                <w:szCs w:val="21"/>
                <w:lang w:eastAsia="zh-CN"/>
              </w:rPr>
              <w:t>{{ sex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送检科室：</w:t>
            </w:r>
            <w:r>
              <w:rPr>
                <w:rFonts w:hint="eastAsia" w:ascii="Times New Roman" w:hAnsi="Times New Roman" w:eastAsia="微软雅黑" w:cs="Times New Roman"/>
                <w:color w:val="000000"/>
                <w:sz w:val="21"/>
                <w:szCs w:val="21"/>
                <w:lang w:eastAsia="zh-CN"/>
              </w:rPr>
              <w:t>{{ locationname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样本编号：</w:t>
            </w:r>
            <w:r>
              <w:rPr>
                <w:rFonts w:hint="eastAsia" w:ascii="Times New Roman" w:hAnsi="Times New Roman" w:eastAsia="微软雅黑" w:cs="Times New Roman"/>
                <w:bCs/>
                <w:color w:val="000000"/>
                <w:sz w:val="21"/>
                <w:szCs w:val="21"/>
                <w:lang w:eastAsia="zh-CN"/>
              </w:rPr>
              <w:t>{{ subbarcode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年龄：</w:t>
            </w:r>
            <w:r>
              <w:rPr>
                <w:rFonts w:hint="eastAsia" w:ascii="Times New Roman" w:hAnsi="Times New Roman" w:eastAsia="微软雅黑" w:cs="Times New Roman"/>
                <w:bCs/>
                <w:color w:val="000000"/>
                <w:sz w:val="21"/>
                <w:szCs w:val="21"/>
                <w:lang w:eastAsia="zh-CN"/>
              </w:rPr>
              <w:t>{{ age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送检医生：</w:t>
            </w:r>
            <w:r>
              <w:rPr>
                <w:rFonts w:hint="eastAsia" w:ascii="Times New Roman" w:hAnsi="Times New Roman" w:eastAsia="微软雅黑" w:cs="Times New Roman"/>
                <w:color w:val="000000"/>
                <w:sz w:val="21"/>
                <w:szCs w:val="21"/>
                <w:lang w:eastAsia="zh-CN"/>
              </w:rPr>
              <w:t>{{ doctorname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门诊/住院号：</w:t>
            </w:r>
            <w:r>
              <w:rPr>
                <w:rFonts w:hint="eastAsia" w:ascii="Times New Roman" w:hAnsi="Times New Roman" w:eastAsia="微软雅黑" w:cs="Times New Roman"/>
                <w:bCs/>
                <w:color w:val="000000"/>
                <w:sz w:val="21"/>
                <w:szCs w:val="21"/>
                <w:lang w:eastAsia="zh-CN"/>
              </w:rPr>
              <w:t>{{ room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联系电话：</w:t>
            </w:r>
            <w:r>
              <w:rPr>
                <w:rFonts w:hint="eastAsia" w:ascii="Times New Roman" w:hAnsi="Times New Roman" w:eastAsia="微软雅黑" w:cs="Times New Roman"/>
                <w:bCs/>
                <w:color w:val="000000"/>
                <w:sz w:val="21"/>
                <w:szCs w:val="21"/>
                <w:lang w:eastAsia="zh-CN"/>
              </w:rPr>
              <w:t>{{ patient_phone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标本类型：</w:t>
            </w:r>
            <w:r>
              <w:rPr>
                <w:rFonts w:hint="eastAsia" w:ascii="Times New Roman" w:hAnsi="Times New Roman" w:eastAsia="微软雅黑" w:cs="Times New Roman"/>
                <w:color w:val="000000"/>
                <w:sz w:val="21"/>
                <w:szCs w:val="21"/>
                <w:lang w:eastAsia="zh-CN"/>
              </w:rPr>
              <w:t>{{ specimentype }}</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送检时间：</w:t>
            </w:r>
            <w:r>
              <w:rPr>
                <w:rFonts w:hint="eastAsia" w:ascii="Times New Roman" w:hAnsi="Times New Roman" w:eastAsia="微软雅黑" w:cs="Times New Roman"/>
                <w:bCs/>
                <w:color w:val="000000"/>
                <w:sz w:val="21"/>
                <w:szCs w:val="21"/>
                <w:lang w:eastAsia="zh-CN"/>
              </w:rPr>
              <w:t>{{ commission_date }}</w:t>
            </w:r>
          </w:p>
        </w:tc>
      </w:tr>
      <w:tr>
        <w:tblPrEx>
          <w:tblBorders>
            <w:top w:val="single" w:color="5A9D46" w:sz="2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jc w:val="center"/>
        </w:trPr>
        <w:tc>
          <w:tcPr>
            <w:tcW w:w="3231"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临床诊断：</w:t>
            </w:r>
            <w:r>
              <w:rPr>
                <w:rFonts w:hint="eastAsia" w:ascii="Times New Roman" w:hAnsi="Times New Roman" w:eastAsia="微软雅黑" w:cs="Times New Roman"/>
                <w:bCs/>
                <w:color w:val="000000"/>
                <w:sz w:val="21"/>
                <w:szCs w:val="21"/>
                <w:lang w:eastAsia="zh-CN"/>
              </w:rPr>
              <w:t>{{ diseaseName }}</w:t>
            </w:r>
          </w:p>
        </w:tc>
        <w:tc>
          <w:tcPr>
            <w:tcW w:w="3323" w:type="dxa"/>
            <w:tcBorders>
              <w:tl2br w:val="nil"/>
              <w:tr2bl w:val="nil"/>
            </w:tcBorders>
            <w:shd w:val="clear" w:color="auto" w:fill="auto"/>
            <w:vAlign w:val="center"/>
          </w:tcPr>
          <w:p>
            <w:pPr>
              <w:jc w:val="both"/>
              <w:rPr>
                <w:rFonts w:ascii="Times New Roman" w:hAnsi="Times New Roman" w:eastAsia="微软雅黑" w:cs="Times New Roman"/>
                <w:color w:val="000000"/>
                <w:sz w:val="21"/>
                <w:szCs w:val="21"/>
                <w:lang w:eastAsia="zh-CN"/>
              </w:rPr>
            </w:pPr>
            <w:r>
              <w:rPr>
                <w:rFonts w:ascii="Times New Roman" w:hAnsi="Times New Roman" w:eastAsia="微软雅黑" w:cs="Times New Roman"/>
                <w:color w:val="000000"/>
                <w:sz w:val="21"/>
                <w:szCs w:val="21"/>
                <w:lang w:eastAsia="zh-CN"/>
              </w:rPr>
              <w:t>订单编号：</w:t>
            </w:r>
            <w:r>
              <w:rPr>
                <w:rFonts w:ascii="Times New Roman" w:hAnsi="Times New Roman" w:eastAsia="微软雅黑" w:cs="Times New Roman"/>
                <w:bCs/>
                <w:color w:val="000000"/>
                <w:sz w:val="21"/>
                <w:szCs w:val="21"/>
                <w:lang w:eastAsia="zh-CN"/>
              </w:rPr>
              <w:t>-</w:t>
            </w:r>
          </w:p>
        </w:tc>
        <w:tc>
          <w:tcPr>
            <w:tcW w:w="3316" w:type="dxa"/>
            <w:tcBorders>
              <w:tl2br w:val="nil"/>
              <w:tr2bl w:val="nil"/>
            </w:tcBorders>
            <w:shd w:val="clear" w:color="auto" w:fill="auto"/>
            <w:vAlign w:val="center"/>
          </w:tcPr>
          <w:p>
            <w:pPr>
              <w:jc w:val="both"/>
              <w:rPr>
                <w:rFonts w:ascii="Times New Roman" w:hAnsi="Times New Roman" w:eastAsia="微软雅黑" w:cs="Times New Roman"/>
                <w:bCs/>
                <w:color w:val="000000"/>
                <w:sz w:val="21"/>
                <w:szCs w:val="21"/>
                <w:lang w:eastAsia="zh-CN"/>
              </w:rPr>
            </w:pPr>
            <w:r>
              <w:rPr>
                <w:rFonts w:ascii="Times New Roman" w:hAnsi="Times New Roman" w:eastAsia="微软雅黑" w:cs="Times New Roman"/>
                <w:bCs/>
                <w:color w:val="000000"/>
                <w:sz w:val="21"/>
                <w:szCs w:val="21"/>
                <w:lang w:eastAsia="zh-CN"/>
              </w:rPr>
              <w:t>接收时间：</w:t>
            </w:r>
            <w:r>
              <w:rPr>
                <w:rFonts w:hint="eastAsia" w:ascii="Times New Roman" w:hAnsi="Times New Roman" w:eastAsia="微软雅黑" w:cs="Times New Roman"/>
                <w:bCs/>
                <w:color w:val="000000"/>
                <w:sz w:val="21"/>
                <w:szCs w:val="21"/>
                <w:lang w:eastAsia="zh-CN"/>
              </w:rPr>
              <w:t>{{ receiveddate }}</w:t>
            </w:r>
          </w:p>
        </w:tc>
      </w:tr>
    </w:tbl>
    <w:p>
      <w:pPr>
        <w:rPr>
          <w:rFonts w:ascii="Times New Roman" w:hAnsi="Times New Roman" w:eastAsia="微软雅黑" w:cs="Times New Roman"/>
          <w:b/>
          <w:color w:val="00B050"/>
          <w:sz w:val="28"/>
          <w:szCs w:val="28"/>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14" w:name="_Toc21331"/>
      <w:bookmarkStart w:id="15" w:name="_Toc29711"/>
      <w:bookmarkStart w:id="16" w:name="_Toc8623"/>
      <w:bookmarkStart w:id="17" w:name="_Toc7021_WPSOffice_Level1"/>
      <w:bookmarkStart w:id="18" w:name="_Toc11015_WPSOffice_Level1"/>
      <w:bookmarkStart w:id="19" w:name="_Toc10518"/>
      <w:bookmarkStart w:id="20" w:name="_Toc17451"/>
      <w:bookmarkStart w:id="21" w:name="_Toc18062_WPSOffice_Level1"/>
      <w:bookmarkStart w:id="22" w:name="_Toc23717"/>
      <w:bookmarkStart w:id="23" w:name="_Toc11465"/>
      <w:bookmarkStart w:id="24" w:name="_Toc19594"/>
      <w:bookmarkStart w:id="25" w:name="_Toc13931"/>
      <w:bookmarkStart w:id="26" w:name="_Toc6047"/>
      <w:bookmarkStart w:id="27" w:name="_Toc3823"/>
      <w:r>
        <w:rPr>
          <w:rFonts w:ascii="Times New Roman" w:hAnsi="Times New Roman"/>
          <w:color w:val="62B541"/>
          <w:sz w:val="32"/>
          <w14:shadow w14:blurRad="50800" w14:dist="38100" w14:dir="10800000" w14:sx="100000" w14:sy="100000" w14:kx="0" w14:ky="0" w14:algn="r">
            <w14:srgbClr w14:val="62B541">
              <w14:alpha w14:val="60000"/>
            </w14:srgbClr>
          </w14:shadow>
        </w:rPr>
        <w:t>检测项目</w:t>
      </w:r>
      <w:bookmarkEnd w:id="14"/>
      <w:bookmarkEnd w:id="15"/>
      <w:bookmarkEnd w:id="16"/>
      <w:bookmarkEnd w:id="17"/>
      <w:bookmarkEnd w:id="18"/>
      <w:bookmarkEnd w:id="19"/>
      <w:bookmarkEnd w:id="20"/>
      <w:bookmarkEnd w:id="21"/>
      <w:bookmarkEnd w:id="22"/>
      <w:bookmarkEnd w:id="23"/>
      <w:bookmarkEnd w:id="24"/>
      <w:bookmarkEnd w:id="25"/>
      <w:bookmarkEnd w:id="26"/>
    </w:p>
    <w:p>
      <w:pPr>
        <w:spacing w:line="276" w:lineRule="auto"/>
        <w:ind w:firstLine="420" w:firstLineChars="200"/>
        <w:jc w:val="both"/>
        <w:rPr>
          <w:rFonts w:hint="eastAsia" w:ascii="Times New Roman" w:hAnsi="Times New Roman" w:eastAsia="微软雅黑" w:cs="Times New Roman"/>
          <w:bCs/>
          <w:sz w:val="21"/>
          <w:szCs w:val="21"/>
          <w:lang w:eastAsia="zh-CN"/>
        </w:rPr>
      </w:pPr>
      <w:bookmarkStart w:id="28" w:name="_Toc534807930"/>
      <w:r>
        <w:rPr>
          <w:rFonts w:hint="eastAsia" w:ascii="Times New Roman" w:hAnsi="Times New Roman" w:eastAsia="微软雅黑" w:cs="Times New Roman"/>
          <w:bCs/>
          <w:sz w:val="21"/>
          <w:szCs w:val="21"/>
          <w:lang w:eastAsia="zh-CN"/>
        </w:rPr>
        <w:t>本产品基于NGS技术，对50个消化道肿瘤易感基因进行高通量测序。检测突变形式为点突变（SNV）、小片段插入缺失（INDEL）、拷贝数变异（CNV）以及融合（FUSION）。</w:t>
      </w:r>
      <w:r>
        <w:rPr>
          <w:rFonts w:hint="eastAsia" w:ascii="Times New Roman" w:hAnsi="Times New Roman" w:eastAsia="微软雅黑" w:cs="Times New Roman"/>
          <w:sz w:val="21"/>
          <w:szCs w:val="21"/>
          <w:lang w:eastAsia="zh-CN"/>
        </w:rPr>
        <w:t xml:space="preserve">{% if </w:t>
      </w:r>
      <w:r>
        <w:rPr>
          <w:rFonts w:ascii="Times New Roman" w:hAnsi="Times New Roman" w:eastAsia="微软雅黑" w:cs="Times New Roman"/>
          <w:sz w:val="21"/>
          <w:szCs w:val="21"/>
          <w:lang w:eastAsia="zh-CN"/>
        </w:rPr>
        <w:t>PDInfo</w:t>
      </w:r>
      <w:r>
        <w:rPr>
          <w:rFonts w:hint="eastAsia" w:ascii="Times New Roman" w:hAnsi="Times New Roman" w:eastAsia="微软雅黑" w:cs="Times New Roman"/>
          <w:sz w:val="21"/>
          <w:szCs w:val="21"/>
          <w:lang w:eastAsia="zh-CN"/>
        </w:rPr>
        <w:t xml:space="preserve"> != </w:t>
      </w:r>
      <w:r>
        <w:rPr>
          <w:rFonts w:ascii="Times New Roman" w:hAnsi="Times New Roman" w:eastAsia="微软雅黑" w:cs="Times New Roman"/>
          <w:sz w:val="21"/>
          <w:szCs w:val="21"/>
          <w:lang w:eastAsia="zh-CN"/>
        </w:rPr>
        <w:t>undefined</w:t>
      </w:r>
      <w:r>
        <w:rPr>
          <w:rFonts w:hint="eastAsia" w:ascii="Times New Roman" w:hAnsi="Times New Roman" w:eastAsia="微软雅黑" w:cs="Times New Roman"/>
          <w:sz w:val="21"/>
          <w:szCs w:val="21"/>
          <w:lang w:eastAsia="zh-CN"/>
        </w:rPr>
        <w:t xml:space="preserve"> %}</w:t>
      </w:r>
      <w:r>
        <w:rPr>
          <w:rFonts w:hint="eastAsia" w:ascii="Times New Roman" w:hAnsi="Times New Roman" w:eastAsia="微软雅黑" w:cs="Times New Roman"/>
          <w:bCs/>
          <w:sz w:val="21"/>
          <w:szCs w:val="21"/>
          <w:lang w:eastAsia="zh-CN"/>
        </w:rPr>
        <w:t>通过免疫组化检测PD-L1表达。</w:t>
      </w:r>
      <w:r>
        <w:rPr>
          <w:rFonts w:hint="eastAsia" w:ascii="Times New Roman" w:hAnsi="Times New Roman" w:eastAsia="微软雅黑" w:cs="Times New Roman"/>
          <w:sz w:val="21"/>
          <w:szCs w:val="21"/>
          <w:lang w:eastAsia="zh-CN"/>
        </w:rPr>
        <w:t>{% endif %}</w:t>
      </w:r>
    </w:p>
    <w:p>
      <w:pPr>
        <w:spacing w:line="276" w:lineRule="auto"/>
        <w:ind w:firstLine="420" w:firstLineChars="200"/>
        <w:jc w:val="both"/>
        <w:rPr>
          <w:rFonts w:hint="eastAsia" w:ascii="Times New Roman" w:hAnsi="Times New Roman" w:eastAsia="微软雅黑" w:cs="Times New Roman"/>
          <w:bCs/>
          <w:sz w:val="21"/>
          <w:szCs w:val="21"/>
          <w:lang w:eastAsia="zh-CN"/>
        </w:rPr>
      </w:pPr>
      <w:r>
        <w:rPr>
          <w:rFonts w:hint="eastAsia" w:ascii="Times New Roman" w:hAnsi="Times New Roman" w:eastAsia="微软雅黑" w:cs="Times New Roman"/>
          <w:bCs/>
          <w:sz w:val="21"/>
          <w:szCs w:val="21"/>
          <w:lang w:eastAsia="zh-CN"/>
        </w:rPr>
        <w:t>本报告分析基因变异与靶向药物、免疫药物{%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%}和遗传风险的相关性，给出靶向药物（FDA/NMPA批准药物、临床试验药物等）{% if gastrointestinalStromalTumor == True %}</w:t>
      </w:r>
      <w:r>
        <w:rPr>
          <w:rFonts w:ascii="Times New Roman" w:hAnsi="Times New Roman" w:eastAsia="微软雅黑" w:cs="Times New Roman"/>
          <w:bCs/>
          <w:sz w:val="21"/>
          <w:szCs w:val="21"/>
          <w:lang w:eastAsia="zh-CN"/>
        </w:rPr>
        <w:t>、化疗药物</w:t>
      </w:r>
      <w:r>
        <w:rPr>
          <w:rFonts w:hint="eastAsia" w:ascii="Times New Roman" w:hAnsi="Times New Roman" w:eastAsia="微软雅黑" w:cs="Times New Roman"/>
          <w:bCs/>
          <w:sz w:val="21"/>
          <w:szCs w:val="21"/>
          <w:lang w:eastAsia="zh-CN"/>
        </w:rPr>
        <w:t>{% endif %}的用药提示信息，从而为临床制定治疗方案提供参考信息。</w:t>
      </w:r>
    </w:p>
    <w:p>
      <w:pPr>
        <w:spacing w:line="276" w:lineRule="auto"/>
        <w:ind w:firstLine="420" w:firstLineChars="200"/>
        <w:jc w:val="both"/>
        <w:rPr>
          <w:rFonts w:ascii="Times New Roman" w:hAnsi="Times New Roman" w:eastAsia="微软雅黑" w:cs="Times New Roman"/>
          <w:b/>
          <w:color w:val="00B050"/>
          <w:sz w:val="28"/>
          <w:szCs w:val="28"/>
          <w:lang w:eastAsia="zh-CN"/>
        </w:rPr>
      </w:pPr>
      <w:r>
        <w:rPr>
          <w:rFonts w:hint="eastAsia" w:ascii="Times New Roman" w:hAnsi="Times New Roman" w:eastAsia="微软雅黑" w:cs="Times New Roman"/>
          <w:bCs/>
          <w:sz w:val="21"/>
          <w:szCs w:val="21"/>
          <w:lang w:eastAsia="zh-CN"/>
        </w:rPr>
        <w:t>注：检测基因列表见附录。</w:t>
      </w:r>
    </w:p>
    <w:p>
      <w:pPr>
        <w:spacing w:line="276" w:lineRule="auto"/>
        <w:ind w:firstLine="420" w:firstLineChars="200"/>
        <w:jc w:val="both"/>
        <w:rPr>
          <w:rFonts w:ascii="Times New Roman" w:hAnsi="Times New Roman" w:eastAsia="微软雅黑" w:cs="Times New Roman"/>
          <w:bCs/>
          <w:sz w:val="21"/>
          <w:szCs w:val="21"/>
          <w:lang w:eastAsia="zh-CN"/>
        </w:rPr>
      </w:pPr>
    </w:p>
    <w:p>
      <w:pPr>
        <w:pStyle w:val="2"/>
        <w:numPr>
          <w:ilvl w:val="-1"/>
          <w:numId w:val="0"/>
        </w:numPr>
        <w:ind w:left="0" w:firstLine="0"/>
        <w:jc w:val="left"/>
        <w:rPr>
          <w:rFonts w:ascii="Times New Roman" w:hAnsi="Times New Roman"/>
          <w:color w:val="62B541"/>
          <w:sz w:val="32"/>
          <w14:shadow w14:blurRad="50800" w14:dist="38100" w14:dir="10800000" w14:sx="100000" w14:sy="100000" w14:kx="0" w14:ky="0" w14:algn="r">
            <w14:srgbClr w14:val="62B541">
              <w14:alpha w14:val="60000"/>
            </w14:srgbClr>
          </w14:shadow>
        </w:rPr>
      </w:pPr>
      <w:bookmarkStart w:id="29" w:name="_Toc16576"/>
      <w:bookmarkStart w:id="30" w:name="_Toc22023"/>
      <w:bookmarkStart w:id="31" w:name="_Toc149837253"/>
      <w:bookmarkStart w:id="32" w:name="_Toc3931"/>
      <w:bookmarkStart w:id="33" w:name="_Toc19606"/>
      <w:bookmarkStart w:id="34" w:name="_Toc23296"/>
      <w:bookmarkStart w:id="35" w:name="_Toc30444"/>
      <w:r>
        <w:rPr>
          <w:rFonts w:hint="eastAsia" w:ascii="Times New Roman" w:hAnsi="Times New Roman"/>
          <w:color w:val="62B541"/>
          <w:sz w:val="32"/>
          <w14:shadow w14:blurRad="50800" w14:dist="38100" w14:dir="10800000" w14:sx="100000" w14:sy="100000" w14:kx="0" w14:ky="0" w14:algn="r">
            <w14:srgbClr w14:val="62B541">
              <w14:alpha w14:val="60000"/>
            </w14:srgbClr>
          </w14:shadow>
        </w:rPr>
        <w:t>检测结果</w:t>
      </w:r>
      <w:bookmarkEnd w:id="29"/>
      <w:r>
        <w:rPr>
          <w:rFonts w:hint="eastAsia" w:ascii="Times New Roman" w:hAnsi="Times New Roman"/>
          <w:color w:val="62B541"/>
          <w:sz w:val="32"/>
          <w14:shadow w14:blurRad="50800" w14:dist="38100" w14:dir="10800000" w14:sx="100000" w14:sy="100000" w14:kx="0" w14:ky="0" w14:algn="r">
            <w14:srgbClr w14:val="62B541">
              <w14:alpha w14:val="60000"/>
            </w14:srgbClr>
          </w14:shadow>
        </w:rPr>
        <w:t>总览</w:t>
      </w:r>
      <w:bookmarkEnd w:id="30"/>
      <w:bookmarkEnd w:id="31"/>
    </w:p>
    <w:bookmarkEnd w:id="32"/>
    <w:bookmarkEnd w:id="33"/>
    <w:bookmarkEnd w:id="34"/>
    <w:bookmarkEnd w:id="35"/>
    <w:p>
      <w:pPr>
        <w:pStyle w:val="3"/>
        <w:keepNext w:val="0"/>
        <w:keepLines w:val="0"/>
        <w:pageBreakBefore w:val="0"/>
        <w:widowControl w:val="0"/>
        <w:numPr>
          <w:ilvl w:val="255"/>
          <w:numId w:val="0"/>
        </w:numPr>
        <w:kinsoku/>
        <w:wordWrap/>
        <w:overflowPunct/>
        <w:topLinePunct w:val="0"/>
        <w:autoSpaceDE/>
        <w:autoSpaceDN/>
        <w:bidi w:val="0"/>
        <w:adjustRightInd/>
        <w:snapToGrid/>
        <w:spacing w:line="240" w:lineRule="auto"/>
        <w:jc w:val="left"/>
        <w:textAlignment w:val="auto"/>
        <w:rPr>
          <w:rFonts w:hint="eastAsia"/>
          <w:color w:val="auto"/>
          <w:sz w:val="30"/>
          <w:lang w:eastAsia="zh-CN"/>
        </w:rPr>
      </w:pPr>
      <w:bookmarkStart w:id="36" w:name="_Toc17124"/>
      <w:bookmarkStart w:id="37" w:name="_Toc149837254"/>
      <w:bookmarkStart w:id="38" w:name="_Toc8729"/>
      <w:bookmarkStart w:id="39" w:name="_Toc17077"/>
      <w:bookmarkStart w:id="40" w:name="_Toc9370"/>
      <w:bookmarkStart w:id="41" w:name="_Toc2051"/>
      <w:r>
        <w:rPr>
          <w:rFonts w:hint="eastAsia"/>
          <w:color w:val="auto"/>
          <w:sz w:val="30"/>
          <w:lang w:eastAsia="zh-CN"/>
        </w:rPr>
        <w:t>检测结果小结</w:t>
      </w:r>
      <w:bookmarkEnd w:id="36"/>
      <w:bookmarkEnd w:id="37"/>
      <w:bookmarkEnd w:id="38"/>
      <w:bookmarkEnd w:id="39"/>
      <w:bookmarkEnd w:id="40"/>
      <w:bookmarkEnd w:id="41"/>
    </w:p>
    <w:tbl>
      <w:tblPr>
        <w:tblStyle w:val="16"/>
        <w:tblpPr w:leftFromText="181" w:rightFromText="181" w:vertAnchor="text" w:horzAnchor="page" w:tblpX="1033" w:tblpY="1"/>
        <w:tblOverlap w:val="never"/>
        <w:tblW w:w="9852" w:type="dxa"/>
        <w:tblInd w:w="0"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712"/>
        <w:gridCol w:w="2829"/>
        <w:gridCol w:w="531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op w:val="nil"/>
              <w:bottom w:val="nil"/>
              <w:right w:val="single" w:color="FFFFFF" w:sz="18" w:space="0"/>
            </w:tcBorders>
            <w:shd w:val="clear" w:color="auto" w:fill="62BC41"/>
            <w:vAlign w:val="center"/>
          </w:tcPr>
          <w:p>
            <w:pPr>
              <w:jc w:val="center"/>
              <w:rPr>
                <w:rFonts w:ascii="微软雅黑" w:eastAsia="微软雅黑"/>
                <w:b/>
                <w:color w:val="FFFFFF" w:themeColor="background1"/>
                <w:sz w:val="21"/>
                <w14:textFill>
                  <w14:solidFill>
                    <w14:schemeClr w14:val="bg1"/>
                  </w14:solidFill>
                </w14:textFill>
              </w:rPr>
            </w:pPr>
            <w:r>
              <w:rPr>
                <w:rFonts w:hint="eastAsia" w:cs="黑体"/>
                <w:b/>
                <w:bCs/>
                <w:color w:val="FFFFFF" w:themeColor="background1"/>
                <w:sz w:val="28"/>
                <w:szCs w:val="36"/>
                <w:lang w:eastAsia="zh-CN"/>
                <w14:textFill>
                  <w14:solidFill>
                    <w14:schemeClr w14:val="bg1"/>
                  </w14:solidFill>
                </w14:textFill>
              </w:rPr>
              <w:br w:type="page"/>
            </w:r>
            <w:r>
              <w:rPr>
                <w:rFonts w:hint="eastAsia" w:ascii="微软雅黑" w:eastAsia="微软雅黑"/>
                <w:b/>
                <w:color w:val="FFFFFF" w:themeColor="background1"/>
                <w:sz w:val="21"/>
                <w14:textFill>
                  <w14:solidFill>
                    <w14:schemeClr w14:val="bg1"/>
                  </w14:solidFill>
                </w14:textFill>
              </w:rPr>
              <w:t>检测类型</w:t>
            </w:r>
          </w:p>
        </w:tc>
        <w:tc>
          <w:tcPr>
            <w:tcW w:w="5311" w:type="dxa"/>
            <w:tcBorders>
              <w:top w:val="nil"/>
              <w:left w:val="single" w:color="FFFFFF" w:sz="18" w:space="0"/>
              <w:bottom w:val="nil"/>
            </w:tcBorders>
            <w:shd w:val="clear" w:color="auto" w:fill="62BC41"/>
            <w:vAlign w:val="center"/>
          </w:tcPr>
          <w:p>
            <w:pPr>
              <w:jc w:val="center"/>
              <w:rPr>
                <w:rFonts w:ascii="微软雅黑" w:eastAsia="微软雅黑"/>
                <w:b/>
                <w:color w:val="FFFFFF" w:themeColor="background1"/>
                <w14:textFill>
                  <w14:solidFill>
                    <w14:schemeClr w14:val="bg1"/>
                  </w14:solidFill>
                </w14:textFill>
              </w:rPr>
            </w:pPr>
            <w:r>
              <w:rPr>
                <w:rFonts w:ascii="Times New Roman" w:hAnsi="Times New Roman" w:eastAsia="微软雅黑" w:cs="黑体"/>
                <w:b/>
                <w:color w:val="FFFFFF" w:themeColor="background1"/>
                <w:sz w:val="21"/>
                <w14:textFill>
                  <w14:solidFill>
                    <w14:schemeClr w14:val="bg1"/>
                  </w14:solidFill>
                </w14:textFill>
              </w:rPr>
              <w:t>检测结果</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8" w:hRule="atLeast"/>
        </w:trPr>
        <w:tc>
          <w:tcPr>
            <w:tcW w:w="4541" w:type="dxa"/>
            <w:gridSpan w:val="2"/>
            <w:tcBorders>
              <w:top w:val="nil"/>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靶向用药指导</w:t>
            </w:r>
          </w:p>
        </w:tc>
        <w:tc>
          <w:tcPr>
            <w:tcW w:w="5311" w:type="dxa"/>
            <w:tcBorders>
              <w:top w:val="nil"/>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个体细胞突变，其中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rPr>
              <w:t>；</w:t>
            </w:r>
          </w:p>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{{summaryOfRresults.crDrugList}}</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embryonalDrugStr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restart"/>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免疫治疗相关标志物检测</w:t>
            </w:r>
          </w:p>
        </w:tc>
        <w:tc>
          <w:tcPr>
            <w:tcW w:w="2829" w:type="dxa"/>
            <w:tcBorders>
              <w:tl2br w:val="nil"/>
              <w:tr2bl w:val="nil"/>
            </w:tcBorders>
            <w:shd w:val="clear" w:color="auto" w:fill="auto"/>
            <w:vAlign w:val="center"/>
          </w:tcPr>
          <w:p>
            <w:pPr>
              <w:spacing w:before="77"/>
              <w:ind w:left="119"/>
              <w:rPr>
                <w:rFonts w:ascii="Times New Roman" w:hAnsi="Times New Roman" w:eastAsia="微软雅黑" w:cs="Times New Roman"/>
                <w:b/>
                <w:bCs/>
                <w:sz w:val="21"/>
                <w:szCs w:val="21"/>
                <w:lang w:eastAsia="zh-CN"/>
              </w:rPr>
            </w:pPr>
            <w:r>
              <w:rPr>
                <w:rFonts w:ascii="Times New Roman" w:hAnsi="Times New Roman" w:eastAsia="微软雅黑" w:cs="黑体"/>
                <w:b/>
                <w:bCs/>
                <w:sz w:val="21"/>
                <w:lang w:eastAsia="zh-CN"/>
              </w:rPr>
              <w:t>微卫星不稳定性（MSI）</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错配修复（MMR）基因</w:t>
            </w:r>
          </w:p>
        </w:tc>
        <w:tc>
          <w:tcPr>
            <w:tcW w:w="5311" w:type="dxa"/>
            <w:tcBorders>
              <w:tl2br w:val="nil"/>
              <w:tr2bl w:val="nil"/>
            </w:tcBorders>
            <w:shd w:val="clear" w:color="auto" w:fill="auto"/>
            <w:vAlign w:val="center"/>
          </w:tcPr>
          <w:p>
            <w:pPr>
              <w:pStyle w:val="22"/>
              <w:spacing w:before="100" w:line="187" w:lineRule="auto"/>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Times New Roman"/>
                <w:sz w:val="21"/>
                <w:szCs w:val="21"/>
                <w:lang w:eastAsia="zh-CN"/>
              </w:rPr>
              <w:t>{{</w:t>
            </w:r>
            <w:r>
              <w:rPr>
                <w:rFonts w:hint="eastAsia" w:ascii="Times New Roman" w:hAnsi="Times New Roman" w:eastAsia="微软雅黑" w:cs="黑体"/>
                <w:sz w:val="21"/>
                <w:lang w:eastAsia="zh-CN"/>
              </w:rPr>
              <w:t>summaryOfRresults.</w:t>
            </w:r>
            <w:r>
              <w:rPr>
                <w:rFonts w:hint="eastAsia" w:ascii="Times New Roman" w:hAnsi="Times New Roman" w:eastAsia="微软雅黑" w:cs="Times New Roman"/>
                <w:sz w:val="21"/>
                <w:szCs w:val="21"/>
                <w:lang w:eastAsia="zh-CN"/>
              </w:rPr>
              <w:t>dMMRinfoSize}}</w:t>
            </w:r>
            <w:r>
              <w:rPr>
                <w:rFonts w:ascii="Times New Roman" w:hAnsi="Times New Roman" w:eastAsia="微软雅黑" w:cs="Times New Roman"/>
                <w:sz w:val="21"/>
                <w:szCs w:val="21"/>
                <w:lang w:eastAsia="zh-CN"/>
              </w:rPr>
              <w:t>个MMR</w:t>
            </w:r>
            <w:r>
              <w:rPr>
                <w:rFonts w:hint="eastAsia" w:ascii="Times New Roman" w:hAnsi="Times New Roman" w:eastAsia="微软雅黑" w:cs="Times New Roman"/>
                <w:sz w:val="21"/>
                <w:szCs w:val="21"/>
                <w:lang w:eastAsia="zh-CN"/>
              </w:rPr>
              <w:t>基因失活</w:t>
            </w:r>
            <w:r>
              <w:rPr>
                <w:rFonts w:ascii="Times New Roman" w:hAnsi="Times New Roman" w:eastAsia="微软雅黑" w:cs="Times New Roman"/>
                <w:sz w:val="21"/>
                <w:szCs w:val="21"/>
                <w:lang w:eastAsia="zh-CN"/>
              </w:rPr>
              <w:t>突变</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66"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PDInfo != undefined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2829" w:type="dxa"/>
            <w:tcBorders>
              <w:tl2br w:val="nil"/>
              <w:tr2bl w:val="nil"/>
            </w:tcBorders>
            <w:shd w:val="clear" w:color="auto" w:fill="auto"/>
            <w:vAlign w:val="center"/>
          </w:tcPr>
          <w:p>
            <w:pPr>
              <w:ind w:left="119"/>
              <w:rPr>
                <w:rFonts w:ascii="Times New Roman" w:hAnsi="Times New Roman" w:eastAsia="微软雅黑" w:cs="Times New Roman"/>
                <w:b/>
                <w:bCs/>
                <w:sz w:val="21"/>
                <w:szCs w:val="21"/>
                <w:highlight w:val="yellow"/>
                <w:lang w:eastAsia="zh-CN"/>
              </w:rPr>
            </w:pPr>
            <w:r>
              <w:rPr>
                <w:rFonts w:ascii="Times New Roman" w:hAnsi="Times New Roman" w:eastAsia="微软雅黑" w:cs="Times New Roman"/>
                <w:b/>
                <w:bCs/>
                <w:sz w:val="21"/>
                <w:szCs w:val="21"/>
              </w:rPr>
              <w:t>PD-L1蛋白表达水平</w:t>
            </w:r>
          </w:p>
        </w:tc>
        <w:tc>
          <w:tcPr>
            <w:tcW w:w="5311" w:type="dxa"/>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使用{{</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Detect_antibody</w:t>
            </w:r>
            <w:r>
              <w:rPr>
                <w:rFonts w:hint="eastAsia" w:ascii="Times New Roman" w:hAnsi="Times New Roman" w:eastAsia="微软雅黑" w:cs="Times New Roman"/>
                <w:sz w:val="21"/>
                <w:szCs w:val="21"/>
                <w:lang w:eastAsia="zh-CN"/>
              </w:rPr>
              <w:t xml:space="preserve"> }}抗体；T</w:t>
            </w:r>
            <w:r>
              <w:rPr>
                <w:rFonts w:ascii="Times New Roman" w:hAnsi="Times New Roman" w:eastAsia="微软雅黑" w:cs="Times New Roman"/>
                <w:sz w:val="21"/>
                <w:szCs w:val="21"/>
                <w:lang w:eastAsia="zh-CN"/>
              </w:rPr>
              <w:t>PS</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.TPS }}，</w:t>
            </w:r>
            <w:r>
              <w:rPr>
                <w:rFonts w:ascii="Times New Roman" w:hAnsi="Times New Roman" w:eastAsia="微软雅黑" w:cs="Times New Roman"/>
                <w:sz w:val="21"/>
                <w:szCs w:val="21"/>
                <w:lang w:eastAsia="zh-CN"/>
              </w:rPr>
              <w:t xml:space="preserve"> CPS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 xml:space="preserve"> PDInfo</w:t>
            </w:r>
            <w:r>
              <w:rPr>
                <w:rFonts w:hint="eastAsia" w:ascii="Times New Roman" w:hAnsi="Times New Roman" w:eastAsia="微软雅黑" w:cs="Times New Roman"/>
                <w:sz w:val="21"/>
                <w:szCs w:val="21"/>
                <w:lang w:eastAsia="zh-CN"/>
              </w:rPr>
              <w:t>.CPS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89" w:hRule="atLeast"/>
        </w:trPr>
        <w:tc>
          <w:tcPr>
            <w:tcW w:w="1712" w:type="dxa"/>
            <w:vMerge w:val="continue"/>
            <w:tcBorders>
              <w:tl2br w:val="nil"/>
              <w:tr2bl w:val="nil"/>
            </w:tcBorders>
            <w:shd w:val="clear" w:color="auto" w:fill="auto"/>
            <w:vAlign w:val="center"/>
          </w:tcPr>
          <w:p>
            <w:pPr>
              <w:ind w:left="119"/>
              <w:rPr>
                <w:rFonts w:ascii="Times New Roman" w:hAnsi="Times New Roman" w:eastAsia="微软雅黑" w:cs="Times New Roman"/>
                <w:b/>
                <w:bCs/>
                <w:sz w:val="21"/>
                <w:szCs w:val="21"/>
                <w:lang w:eastAsia="zh-CN"/>
              </w:rPr>
            </w:pPr>
          </w:p>
        </w:tc>
        <w:tc>
          <w:tcPr>
            <w:tcW w:w="8140" w:type="dxa"/>
            <w:gridSpan w:val="2"/>
            <w:tcBorders>
              <w:tl2br w:val="nil"/>
              <w:tr2bl w:val="nil"/>
            </w:tcBorders>
            <w:shd w:val="clear" w:color="auto" w:fill="auto"/>
            <w:vAlign w:val="center"/>
          </w:tcPr>
          <w:p>
            <w:pPr>
              <w:pStyle w:val="22"/>
              <w:ind w:left="118"/>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rPr>
            </w:pPr>
            <w:r>
              <w:rPr>
                <w:rFonts w:ascii="Times New Roman" w:hAnsi="Times New Roman" w:eastAsia="微软雅黑" w:cs="Times New Roman"/>
                <w:b/>
                <w:bCs/>
                <w:sz w:val="21"/>
                <w:szCs w:val="21"/>
              </w:rPr>
              <w:t>肿瘤遗传风险检测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summaryOfRresults.crCheckLineStrYF1280Size }}</w:t>
            </w:r>
            <w:r>
              <w:rPr>
                <w:rFonts w:ascii="Times New Roman" w:hAnsi="Times New Roman" w:eastAsia="微软雅黑" w:cs="Times New Roman"/>
                <w:sz w:val="21"/>
                <w:szCs w:val="21"/>
                <w:lang w:eastAsia="zh-CN"/>
              </w:rPr>
              <w:t>个胚系突变，其中</w:t>
            </w:r>
            <w:r>
              <w:rPr>
                <w:rFonts w:hint="eastAsia" w:ascii="Times New Roman" w:hAnsi="Times New Roman" w:eastAsia="微软雅黑" w:cs="黑体"/>
                <w:sz w:val="21"/>
                <w:lang w:eastAsia="zh-CN"/>
              </w:rPr>
              <w:t>{{summaryOfRresults.hasPathogenicityCount}}</w:t>
            </w:r>
            <w:r>
              <w:rPr>
                <w:rFonts w:ascii="Times New Roman" w:hAnsi="Times New Roman" w:eastAsia="微软雅黑" w:cs="Times New Roman"/>
                <w:sz w:val="21"/>
                <w:szCs w:val="21"/>
                <w:lang w:eastAsia="zh-CN"/>
              </w:rPr>
              <w:t>个为致病</w:t>
            </w:r>
            <w:r>
              <w:rPr>
                <w:rFonts w:hint="eastAsia" w:ascii="Times New Roman" w:hAnsi="Times New Roman" w:eastAsia="微软雅黑" w:cs="Times New Roman"/>
                <w:sz w:val="21"/>
                <w:szCs w:val="21"/>
                <w:lang w:eastAsia="zh-CN"/>
              </w:rPr>
              <w:t>/可能</w:t>
            </w:r>
            <w:r>
              <w:rPr>
                <w:rFonts w:ascii="Times New Roman" w:hAnsi="Times New Roman" w:eastAsia="微软雅黑" w:cs="Times New Roman"/>
                <w:sz w:val="21"/>
                <w:szCs w:val="21"/>
                <w:lang w:eastAsia="zh-CN"/>
              </w:rPr>
              <w:t>致病</w:t>
            </w:r>
            <w:r>
              <w:rPr>
                <w:rFonts w:hint="eastAsia" w:ascii="Times New Roman" w:hAnsi="Times New Roman" w:eastAsia="微软雅黑" w:cs="Times New Roman"/>
                <w:sz w:val="21"/>
                <w:szCs w:val="21"/>
                <w:lang w:eastAsia="zh-CN"/>
              </w:rPr>
              <w:t>性</w:t>
            </w:r>
            <w:r>
              <w:rPr>
                <w:rFonts w:ascii="Times New Roman" w:hAnsi="Times New Roman" w:eastAsia="微软雅黑" w:cs="Times New Roman"/>
                <w:sz w:val="21"/>
                <w:szCs w:val="21"/>
                <w:lang w:eastAsia="zh-CN"/>
              </w:rPr>
              <w:t>突变</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crCheckDrugStr</w:t>
            </w:r>
            <w:r>
              <w:rPr>
                <w:rFonts w:hint="eastAsia" w:ascii="Times New Roman" w:hAnsi="Times New Roman" w:eastAsia="微软雅黑" w:cs="Times New Roman"/>
                <w:sz w:val="21"/>
                <w:szCs w:val="21"/>
                <w:lang w:eastAsia="zh-CN" w:bidi="ar"/>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{%tr if gastrointestinalStromalTumor == True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b/>
                <w:bCs/>
                <w:sz w:val="21"/>
                <w:szCs w:val="21"/>
                <w:lang w:eastAsia="zh-CN"/>
              </w:rPr>
            </w:pPr>
            <w:r>
              <w:rPr>
                <w:rFonts w:ascii="Times New Roman" w:hAnsi="Times New Roman" w:eastAsia="微软雅黑" w:cs="Times New Roman"/>
                <w:b/>
                <w:bCs/>
                <w:sz w:val="21"/>
                <w:szCs w:val="21"/>
                <w:lang w:eastAsia="zh-CN"/>
              </w:rPr>
              <w:t>化疗药物检测</w:t>
            </w:r>
          </w:p>
        </w:tc>
        <w:tc>
          <w:tcPr>
            <w:tcW w:w="5311" w:type="dxa"/>
            <w:tcBorders>
              <w:tl2br w:val="nil"/>
              <w:tr2bl w:val="nil"/>
            </w:tcBorders>
            <w:shd w:val="clear" w:color="auto" w:fill="auto"/>
          </w:tcPr>
          <w:p>
            <w:pPr>
              <w:pStyle w:val="22"/>
              <w:spacing w:before="77"/>
              <w:ind w:left="119" w:right="119"/>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详见</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化疗药物检测解析</w:t>
            </w:r>
            <w:r>
              <w:rPr>
                <w:rFonts w:hint="eastAsia" w:ascii="微软雅黑" w:hAnsi="微软雅黑" w:eastAsia="微软雅黑" w:cs="微软雅黑"/>
                <w:sz w:val="21"/>
                <w:szCs w:val="21"/>
                <w:lang w:eastAsia="zh-CN"/>
              </w:rPr>
              <w:t>”</w:t>
            </w:r>
            <w:r>
              <w:rPr>
                <w:rFonts w:ascii="Times New Roman" w:hAnsi="Times New Roman" w:eastAsia="微软雅黑" w:cs="Times New Roman"/>
                <w:sz w:val="21"/>
                <w:szCs w:val="21"/>
                <w:lang w:eastAsia="zh-CN"/>
              </w:rPr>
              <w:t>部分</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9852" w:type="dxa"/>
            <w:gridSpan w:val="3"/>
            <w:tcBorders>
              <w:tl2br w:val="nil"/>
              <w:tr2bl w:val="nil"/>
            </w:tcBorders>
            <w:shd w:val="clear" w:color="auto" w:fill="auto"/>
            <w:vAlign w:val="center"/>
          </w:tcPr>
          <w:p>
            <w:pPr>
              <w:pStyle w:val="22"/>
              <w:spacing w:before="77"/>
              <w:ind w:left="119" w:right="119"/>
              <w:rPr>
                <w:rFonts w:ascii="Times New Roman" w:hAnsi="Times New Roman" w:eastAsia="微软雅黑" w:cs="Times New Roman"/>
                <w:sz w:val="21"/>
                <w:szCs w:val="21"/>
                <w:lang w:eastAsia="zh-CN"/>
              </w:rPr>
            </w:pPr>
            <w:r>
              <w:rPr>
                <w:rFonts w:hint="eastAsia" w:ascii="Times New Roman" w:hAnsi="Times New Roman" w:eastAsia="微软雅黑" w:cs="黑体"/>
                <w:b/>
                <w:bCs/>
                <w:sz w:val="21"/>
                <w:lang w:eastAsia="zh-CN"/>
              </w:rPr>
              <w:t>{%tr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90" w:hRule="atLeast"/>
        </w:trPr>
        <w:tc>
          <w:tcPr>
            <w:tcW w:w="4541" w:type="dxa"/>
            <w:gridSpan w:val="2"/>
            <w:tcBorders>
              <w:tl2br w:val="nil"/>
              <w:tr2bl w:val="nil"/>
            </w:tcBorders>
            <w:shd w:val="clear" w:color="auto" w:fill="auto"/>
            <w:vAlign w:val="center"/>
          </w:tcPr>
          <w:p>
            <w:pPr>
              <w:pStyle w:val="22"/>
              <w:ind w:left="119"/>
              <w:rPr>
                <w:rFonts w:ascii="Times New Roman" w:hAnsi="Times New Roman" w:eastAsia="微软雅黑" w:cs="Times New Roman"/>
                <w:sz w:val="21"/>
                <w:szCs w:val="21"/>
              </w:rPr>
            </w:pPr>
            <w:r>
              <w:rPr>
                <w:rFonts w:ascii="Times New Roman" w:hAnsi="Times New Roman" w:eastAsia="微软雅黑" w:cs="Times New Roman"/>
                <w:b/>
                <w:bCs/>
                <w:sz w:val="21"/>
                <w:szCs w:val="21"/>
              </w:rPr>
              <w:t>样品总体质量评估</w:t>
            </w:r>
          </w:p>
        </w:tc>
        <w:tc>
          <w:tcPr>
            <w:tcW w:w="5311" w:type="dxa"/>
            <w:tcBorders>
              <w:tl2br w:val="nil"/>
              <w:tr2bl w:val="nil"/>
            </w:tcBorders>
            <w:shd w:val="clear" w:color="auto" w:fill="auto"/>
            <w:vAlign w:val="center"/>
          </w:tcPr>
          <w:p>
            <w:pPr>
              <w:pStyle w:val="22"/>
              <w:ind w:left="119" w:right="119"/>
              <w:jc w:val="both"/>
              <w:rPr>
                <w:rFonts w:ascii="Times New Roman" w:hAnsi="Times New Roman" w:eastAsia="微软雅黑" w:cs="Times New Roman"/>
                <w:sz w:val="21"/>
                <w:szCs w:val="21"/>
                <w:lang w:eastAsia="zh-CN"/>
              </w:rPr>
            </w:pPr>
            <w:r>
              <w:rPr>
                <w:rFonts w:hint="eastAsia" w:ascii="Times New Roman" w:hAnsi="Times New Roman" w:eastAsia="微软雅黑" w:cs="黑体"/>
                <w:sz w:val="21"/>
                <w:lang w:eastAsia="zh-CN"/>
              </w:rPr>
              <w:t xml:space="preserve">{{ </w:t>
            </w:r>
            <w:r>
              <w:rPr>
                <w:rFonts w:ascii="Times New Roman" w:hAnsi="Times New Roman" w:eastAsia="微软雅黑" w:cs="黑体"/>
                <w:sz w:val="21"/>
                <w:lang w:eastAsia="zh-CN"/>
              </w:rPr>
              <w:t>overall_quality_assessment</w:t>
            </w:r>
            <w:r>
              <w:rPr>
                <w:rFonts w:hint="eastAsia" w:ascii="Times New Roman" w:hAnsi="Times New Roman" w:eastAsia="微软雅黑" w:cs="黑体"/>
                <w:sz w:val="21"/>
                <w:lang w:eastAsia="zh-CN"/>
              </w:rPr>
              <w:t xml:space="preserve"> }}</w:t>
            </w:r>
          </w:p>
        </w:tc>
      </w:tr>
    </w:tbl>
    <w:p>
      <w:pPr>
        <w:ind w:firstLine="220" w:firstLineChars="122"/>
        <w:rPr>
          <w:rFonts w:ascii="微软雅黑" w:hAnsi="微软雅黑" w:eastAsia="微软雅黑" w:cs="微软雅黑"/>
          <w:b/>
          <w:bCs/>
          <w:sz w:val="18"/>
          <w:szCs w:val="18"/>
          <w:lang w:eastAsia="zh-CN" w:bidi="ar"/>
        </w:rPr>
      </w:pPr>
      <w:r>
        <w:rPr>
          <w:rFonts w:hint="eastAsia" w:ascii="微软雅黑" w:hAnsi="微软雅黑" w:eastAsia="微软雅黑" w:cs="微软雅黑"/>
          <w:b/>
          <w:bCs/>
          <w:sz w:val="18"/>
          <w:szCs w:val="18"/>
          <w:lang w:val="en-US" w:eastAsia="zh-CN" w:bidi="ar"/>
        </w:rPr>
        <w:t>注</w:t>
      </w:r>
      <w:r>
        <w:rPr>
          <w:rFonts w:hint="eastAsia" w:ascii="微软雅黑" w:hAnsi="微软雅黑" w:eastAsia="微软雅黑" w:cs="微软雅黑"/>
          <w:b/>
          <w:bCs/>
          <w:sz w:val="18"/>
          <w:szCs w:val="18"/>
          <w:lang w:eastAsia="zh-CN" w:bidi="ar"/>
        </w:rPr>
        <w:t>：</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pPr>
        <w:numPr>
          <w:ilvl w:val="0"/>
          <w:numId w:val="6"/>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pPr>
        <w:numPr>
          <w:ilvl w:val="0"/>
          <w:numId w:val="6"/>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本报告只对本次采集样本负责，如有疑问，请在7个工作日内与我们联系。</w:t>
      </w:r>
    </w:p>
    <w:p>
      <w:pPr>
        <w:rPr>
          <w:rFonts w:ascii="Times New Roman" w:hAnsi="Times New Roman" w:eastAsia="微软雅黑" w:cs="黑体"/>
          <w:b/>
          <w:bCs/>
          <w:color w:val="00B050"/>
          <w:sz w:val="28"/>
          <w:szCs w:val="36"/>
          <w:lang w:eastAsia="zh-CN"/>
        </w:rPr>
      </w:pPr>
      <w:r>
        <w:rPr>
          <w:rFonts w:ascii="Times New Roman" w:hAnsi="Times New Roman" w:eastAsia="微软雅黑" w:cs="黑体"/>
          <w:b/>
          <w:bCs/>
          <w:color w:val="00B050"/>
          <w:sz w:val="28"/>
          <w:szCs w:val="36"/>
          <w:lang w:eastAsia="zh-CN"/>
        </w:rPr>
        <w:br w:type="page"/>
      </w:r>
    </w:p>
    <w:p>
      <w:pPr>
        <w:pStyle w:val="3"/>
        <w:numPr>
          <w:ilvl w:val="255"/>
          <w:numId w:val="0"/>
        </w:numPr>
        <w:jc w:val="left"/>
        <w:rPr>
          <w:color w:val="auto"/>
          <w:sz w:val="30"/>
          <w:lang w:eastAsia="zh-CN"/>
        </w:rPr>
      </w:pPr>
      <w:bookmarkStart w:id="42" w:name="_Toc21059"/>
      <w:bookmarkStart w:id="43" w:name="_Toc149837255"/>
      <w:bookmarkStart w:id="44" w:name="_Toc13449"/>
      <w:bookmarkStart w:id="45" w:name="_Toc17772"/>
      <w:bookmarkStart w:id="46" w:name="_Toc25032"/>
      <w:bookmarkStart w:id="47" w:name="_Toc29743"/>
      <w:bookmarkStart w:id="48" w:name="_Toc19184"/>
      <w:bookmarkStart w:id="49" w:name="_Toc2781"/>
      <w:bookmarkStart w:id="50" w:name="_Toc20136_WPSOffice_Level1"/>
      <w:bookmarkStart w:id="51" w:name="_Toc19898_WPSOffice_Level1"/>
      <w:bookmarkStart w:id="52" w:name="_Toc12381"/>
      <w:bookmarkStart w:id="53" w:name="_Toc14062"/>
      <w:bookmarkStart w:id="54" w:name="_Toc22132"/>
      <w:bookmarkStart w:id="55" w:name="_Toc284"/>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泛癌种</w:t>
      </w:r>
      <w:r>
        <w:rPr>
          <w:color w:val="auto"/>
          <w:sz w:val="30"/>
          <w:lang w:eastAsia="zh-CN"/>
        </w:rPr>
        <w:t>’</w:t>
      </w:r>
      <w:r>
        <w:rPr>
          <w:rFonts w:hint="eastAsia"/>
          <w:color w:val="auto"/>
          <w:sz w:val="30"/>
          <w:lang w:eastAsia="zh-CN"/>
        </w:rPr>
        <w:t>%}重要靶向用药</w:t>
      </w:r>
      <w:bookmarkEnd w:id="42"/>
      <w:r>
        <w:rPr>
          <w:color w:val="auto"/>
          <w:sz w:val="30"/>
          <w:lang w:eastAsia="zh-CN"/>
        </w:rPr>
        <w:t>{%else%}</w:t>
      </w:r>
      <w:r>
        <w:rPr>
          <w:rFonts w:hint="eastAsia"/>
          <w:color w:val="auto"/>
          <w:sz w:val="30"/>
          <w:lang w:eastAsia="zh-CN"/>
        </w:rPr>
        <w:t xml:space="preserve">{% if importantTargetedDiseaseName == </w:t>
      </w:r>
      <w:r>
        <w:rPr>
          <w:color w:val="auto"/>
          <w:sz w:val="30"/>
          <w:lang w:eastAsia="zh-CN"/>
        </w:rPr>
        <w:t>‘</w:t>
      </w:r>
      <w:r>
        <w:rPr>
          <w:rFonts w:hint="eastAsia"/>
          <w:color w:val="auto"/>
          <w:sz w:val="30"/>
          <w:lang w:eastAsia="zh-CN"/>
        </w:rPr>
        <w:t>肺癌</w:t>
      </w:r>
      <w:r>
        <w:rPr>
          <w:color w:val="auto"/>
          <w:sz w:val="30"/>
          <w:lang w:eastAsia="zh-CN"/>
        </w:rPr>
        <w:t>’</w:t>
      </w:r>
      <w:r>
        <w:rPr>
          <w:rFonts w:hint="eastAsia"/>
          <w:color w:val="auto"/>
          <w:sz w:val="30"/>
          <w:lang w:eastAsia="zh-CN"/>
        </w:rPr>
        <w:t xml:space="preserve">%}肺癌{% elif importantTargetedDiseaseName == </w:t>
      </w:r>
      <w:r>
        <w:rPr>
          <w:color w:val="auto"/>
          <w:sz w:val="30"/>
          <w:lang w:eastAsia="zh-CN"/>
        </w:rPr>
        <w:t>‘</w:t>
      </w:r>
      <w:r>
        <w:rPr>
          <w:rFonts w:hint="eastAsia"/>
          <w:color w:val="auto"/>
          <w:sz w:val="30"/>
          <w:lang w:eastAsia="zh-CN"/>
        </w:rPr>
        <w:t>结直肠癌</w:t>
      </w:r>
      <w:r>
        <w:rPr>
          <w:color w:val="auto"/>
          <w:sz w:val="30"/>
          <w:lang w:eastAsia="zh-CN"/>
        </w:rPr>
        <w:t>’</w:t>
      </w:r>
      <w:r>
        <w:rPr>
          <w:rFonts w:hint="eastAsia"/>
          <w:color w:val="auto"/>
          <w:sz w:val="30"/>
          <w:lang w:eastAsia="zh-CN"/>
        </w:rPr>
        <w:t xml:space="preserve"> %}结直肠癌{% elif importantTargetedDiseaseName == </w:t>
      </w:r>
      <w:r>
        <w:rPr>
          <w:color w:val="auto"/>
          <w:sz w:val="30"/>
          <w:lang w:eastAsia="zh-CN"/>
        </w:rPr>
        <w:t>‘</w:t>
      </w:r>
      <w:r>
        <w:rPr>
          <w:rFonts w:hint="eastAsia"/>
          <w:color w:val="auto"/>
          <w:sz w:val="30"/>
          <w:lang w:eastAsia="zh-CN"/>
        </w:rPr>
        <w:t>乳腺癌</w:t>
      </w:r>
      <w:r>
        <w:rPr>
          <w:color w:val="auto"/>
          <w:sz w:val="30"/>
          <w:lang w:eastAsia="zh-CN"/>
        </w:rPr>
        <w:t>’</w:t>
      </w:r>
      <w:r>
        <w:rPr>
          <w:rFonts w:hint="eastAsia"/>
          <w:color w:val="auto"/>
          <w:sz w:val="30"/>
          <w:lang w:eastAsia="zh-CN"/>
        </w:rPr>
        <w:t xml:space="preserve"> %}乳腺癌{% endif %}精准诊疗{% endif %}相关基因结果汇总</w:t>
      </w:r>
      <w:bookmarkEnd w:id="43"/>
      <w:bookmarkEnd w:id="44"/>
      <w:bookmarkEnd w:id="45"/>
      <w:bookmarkEnd w:id="46"/>
      <w:bookmarkEnd w:id="47"/>
    </w:p>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if readsFlag == False %}</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3953"/>
        <w:gridCol w:w="204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398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2056"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3981"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2056"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{%else%}</w:t>
      </w:r>
    </w:p>
    <w:tbl>
      <w:tblPr>
        <w:tblStyle w:val="16"/>
        <w:tblW w:w="9859" w:type="dxa"/>
        <w:tblInd w:w="96"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004"/>
        <w:gridCol w:w="1859"/>
        <w:gridCol w:w="2656"/>
        <w:gridCol w:w="3340"/>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2017" w:type="dxa"/>
            <w:tcBorders>
              <w:top w:val="nil"/>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基因</w:t>
            </w:r>
          </w:p>
        </w:tc>
        <w:tc>
          <w:tcPr>
            <w:tcW w:w="1871"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变异类型</w:t>
            </w:r>
          </w:p>
        </w:tc>
        <w:tc>
          <w:tcPr>
            <w:tcW w:w="2674" w:type="dxa"/>
            <w:tcBorders>
              <w:top w:val="nil"/>
              <w:left w:val="single" w:color="FFFFFF" w:sz="18" w:space="0"/>
              <w:bottom w:val="nil"/>
              <w:right w:val="single" w:color="FFFFFF" w:sz="18" w:space="0"/>
            </w:tcBorders>
            <w:shd w:val="clear" w:color="auto" w:fill="61BB41"/>
            <w:vAlign w:val="center"/>
          </w:tcPr>
          <w:p>
            <w:pPr>
              <w:widowControl/>
              <w:jc w:val="center"/>
              <w:textAlignment w:val="center"/>
              <w:rPr>
                <w:rFonts w:ascii="微软雅黑" w:hAnsi="微软雅黑" w:eastAsia="微软雅黑" w:cs="微软雅黑"/>
                <w:b/>
                <w:bCs/>
                <w:color w:val="FFFFFF"/>
                <w:sz w:val="21"/>
                <w:szCs w:val="21"/>
              </w:rPr>
            </w:pPr>
            <w:r>
              <w:rPr>
                <w:rFonts w:hint="eastAsia" w:ascii="微软雅黑" w:hAnsi="微软雅黑" w:eastAsia="微软雅黑" w:cs="微软雅黑"/>
                <w:b/>
                <w:bCs/>
                <w:color w:val="FFFFFF"/>
                <w:sz w:val="21"/>
                <w:szCs w:val="21"/>
                <w:lang w:eastAsia="zh-CN" w:bidi="ar"/>
              </w:rPr>
              <w:t>检测结果</w:t>
            </w:r>
          </w:p>
        </w:tc>
        <w:tc>
          <w:tcPr>
            <w:tcW w:w="3363" w:type="dxa"/>
            <w:tcBorders>
              <w:top w:val="nil"/>
              <w:left w:val="single" w:color="FFFFFF" w:sz="18" w:space="0"/>
              <w:bottom w:val="nil"/>
            </w:tcBorders>
            <w:shd w:val="clear" w:color="auto" w:fill="61BB41"/>
            <w:vAlign w:val="center"/>
          </w:tcPr>
          <w:p>
            <w:pPr>
              <w:widowControl/>
              <w:jc w:val="center"/>
              <w:textAlignment w:val="center"/>
              <w:rPr>
                <w:rFonts w:ascii="微软雅黑" w:hAnsi="微软雅黑" w:eastAsia="微软雅黑" w:cs="微软雅黑"/>
                <w:b/>
                <w:bCs/>
                <w:color w:val="FFFFFF"/>
                <w:sz w:val="21"/>
                <w:szCs w:val="21"/>
                <w:lang w:eastAsia="zh-CN"/>
              </w:rPr>
            </w:pPr>
            <w:r>
              <w:rPr>
                <w:rFonts w:hint="eastAsia" w:ascii="微软雅黑" w:hAnsi="微软雅黑" w:eastAsia="微软雅黑" w:cs="微软雅黑"/>
                <w:b/>
                <w:bCs/>
                <w:color w:val="FFFFFF"/>
                <w:sz w:val="21"/>
                <w:szCs w:val="21"/>
                <w:lang w:val="en-US" w:eastAsia="zh-CN" w:bidi="ar"/>
              </w:rPr>
              <w:t>变异</w:t>
            </w:r>
            <w:r>
              <w:rPr>
                <w:rFonts w:hint="eastAsia" w:ascii="微软雅黑" w:hAnsi="微软雅黑" w:eastAsia="微软雅黑" w:cs="微软雅黑"/>
                <w:b/>
                <w:bCs/>
                <w:color w:val="FFFFFF"/>
                <w:sz w:val="21"/>
                <w:szCs w:val="21"/>
                <w:lang w:eastAsia="zh-CN" w:bidi="ar"/>
              </w:rPr>
              <w:t>丰度/拷贝数/融合reads数</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tcBorders>
              <w:top w:val="nil"/>
              <w:bottom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for it in importantTargetedGeneFilter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2017"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it.gene }}</w:t>
            </w:r>
          </w:p>
        </w:tc>
        <w:tc>
          <w:tcPr>
            <w:tcW w:w="1871" w:type="dxa"/>
            <w:tcBorders>
              <w:top w:val="single" w:color="A4A4A4" w:sz="4" w:space="0"/>
            </w:tcBorders>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 it.info }}</w:t>
            </w:r>
          </w:p>
        </w:tc>
        <w:tc>
          <w:tcPr>
            <w:tcW w:w="2674"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it.ori_variantList == [] %}未检测到与用药相关突变{%else%}{% for i in it.ori_variantList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widowControl/>
              <w:jc w:val="center"/>
              <w:textAlignment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c>
          <w:tcPr>
            <w:tcW w:w="3363" w:type="dxa"/>
            <w:tcBorders>
              <w:top w:val="single" w:color="A4A4A4" w:sz="4" w:space="0"/>
            </w:tcBorders>
            <w:shd w:val="clear" w:color="auto" w:fill="auto"/>
            <w:vAlign w:val="center"/>
          </w:tcPr>
          <w:p>
            <w:pPr>
              <w:widowControl/>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if it.mutFreqList == [] %}-{%else%}{% for i in it.mutFreqList %}{%if loop.last%}</w:t>
            </w:r>
            <w:r>
              <w:rPr>
                <w:rFonts w:hint="eastAsia" w:ascii="Times New Roman" w:hAnsi="Times New Roman" w:eastAsia="微软雅黑" w:cs="Times New Roman"/>
                <w:color w:val="FF0000"/>
                <w:sz w:val="21"/>
                <w:szCs w:val="21"/>
                <w:lang w:eastAsia="zh-CN"/>
              </w:rPr>
              <w:t>{{ i }}</w:t>
            </w:r>
            <w:r>
              <w:rPr>
                <w:rFonts w:hint="eastAsia" w:ascii="Times New Roman" w:hAnsi="Times New Roman" w:eastAsia="微软雅黑" w:cs="Times New Roman"/>
                <w:sz w:val="21"/>
                <w:szCs w:val="21"/>
                <w:lang w:eastAsia="zh-CN"/>
              </w:rPr>
              <w:t>{%else%}</w:t>
            </w:r>
            <w:r>
              <w:rPr>
                <w:rFonts w:hint="eastAsia" w:ascii="Times New Roman" w:hAnsi="Times New Roman" w:eastAsia="微软雅黑" w:cs="Times New Roman"/>
                <w:color w:val="FF0000"/>
                <w:sz w:val="21"/>
                <w:szCs w:val="21"/>
                <w:lang w:eastAsia="zh-CN"/>
              </w:rPr>
              <w:t>{{ i }}</w:t>
            </w:r>
          </w:p>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{%endif%}{% endfor%}{%endif%}</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97" w:hRule="atLeast"/>
        </w:trPr>
        <w:tc>
          <w:tcPr>
            <w:tcW w:w="9925" w:type="dxa"/>
            <w:gridSpan w:val="4"/>
            <w:shd w:val="clear" w:color="auto" w:fill="auto"/>
            <w:noWrap/>
            <w:vAlign w:val="center"/>
          </w:tcPr>
          <w:p>
            <w:pPr>
              <w:jc w:val="center"/>
              <w:rPr>
                <w:rFonts w:ascii="微软雅黑" w:hAnsi="微软雅黑" w:eastAsia="微软雅黑" w:cs="微软雅黑"/>
                <w:color w:val="000000"/>
                <w:sz w:val="21"/>
                <w:szCs w:val="21"/>
              </w:rPr>
            </w:pPr>
            <w:r>
              <w:rPr>
                <w:rFonts w:hint="eastAsia" w:ascii="Times New Roman" w:hAnsi="Times New Roman" w:eastAsia="微软雅黑" w:cs="Times New Roman"/>
                <w:sz w:val="21"/>
                <w:szCs w:val="21"/>
                <w:lang w:eastAsia="zh-CN"/>
              </w:rPr>
              <w:t>{%tr endfor %}</w:t>
            </w:r>
          </w:p>
        </w:tc>
      </w:tr>
    </w:tbl>
    <w:p>
      <w:pPr>
        <w:rPr>
          <w:rFonts w:ascii="Times New Roman" w:hAnsi="Times New Roman" w:eastAsia="微软雅黑" w:cs="Times New Roman"/>
          <w:b/>
          <w:bCs/>
          <w:sz w:val="18"/>
          <w:szCs w:val="18"/>
          <w:lang w:eastAsia="zh-CN"/>
        </w:rPr>
      </w:pPr>
      <w:r>
        <w:rPr>
          <w:rFonts w:hint="eastAsia" w:ascii="Times New Roman" w:hAnsi="Times New Roman" w:eastAsia="微软雅黑" w:cs="Times New Roman"/>
          <w:sz w:val="18"/>
          <w:szCs w:val="18"/>
          <w:lang w:eastAsia="zh-CN"/>
        </w:rPr>
        <w:t>{%endif%}</w:t>
      </w:r>
      <w:r>
        <w:rPr>
          <w:rFonts w:ascii="Times New Roman" w:hAnsi="Times New Roman" w:eastAsia="微软雅黑" w:cs="Times New Roman"/>
          <w:b/>
          <w:bCs/>
          <w:sz w:val="18"/>
          <w:szCs w:val="18"/>
          <w:lang w:eastAsia="zh-CN"/>
        </w:rPr>
        <w:t>注：</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szCs w:val="18"/>
          <w:lang w:eastAsia="zh-CN"/>
        </w:rPr>
        <w:t xml:space="preserve">上表仅列出了FDA批准/NMPA批准/NCCN指南{%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%}/专家共识{% endif %}推荐的{%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泛癌种</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lang w:eastAsia="zh-CN"/>
        </w:rPr>
        <w:t>用于指导靶向用药的相关基因突变。</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xml:space="preserve">与{% 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%}肺癌{%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结直肠癌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%}结直肠癌{% elif importantTargetedDiseaseName == </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乳腺癌</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%}乳腺癌{% endif %}精准诊疗密切相关的基因突变。{% endif %}</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变异详情，可查看基因变异检测结果及解析。</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以上基因的检测范围涵盖但不限于上表中列出的变异类型。</w:t>
      </w:r>
    </w:p>
    <w:p>
      <w:pPr>
        <w:keepNext w:val="0"/>
        <w:keepLines w:val="0"/>
        <w:pageBreakBefore w:val="0"/>
        <w:widowControl w:val="0"/>
        <w:numPr>
          <w:ilvl w:val="0"/>
          <w:numId w:val="7"/>
        </w:numPr>
        <w:kinsoku/>
        <w:wordWrap/>
        <w:overflowPunct/>
        <w:topLinePunct w:val="0"/>
        <w:autoSpaceDE/>
        <w:autoSpaceDN/>
        <w:bidi w:val="0"/>
        <w:adjustRightInd/>
        <w:snapToGrid/>
        <w:spacing w:line="216" w:lineRule="auto"/>
        <w:textAlignment w:val="auto"/>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"-"表示本次检测未发现相关变异。</w:t>
      </w:r>
    </w:p>
    <w:p>
      <w:pPr>
        <w:rPr>
          <w:color w:val="62B541"/>
          <w:sz w:val="32"/>
          <w:lang w:eastAsia="zh-CN"/>
          <w14:shadow w14:blurRad="50800" w14:dist="38100" w14:dir="10800000" w14:sx="100000" w14:sy="100000" w14:kx="0" w14:ky="0" w14:algn="r">
            <w14:srgbClr w14:val="62B541">
              <w14:alpha w14:val="60000"/>
            </w14:srgbClr>
          </w14:shadow>
        </w:rPr>
      </w:pPr>
      <w:r>
        <w:rPr>
          <w:color w:val="62B541"/>
          <w:sz w:val="32"/>
          <w:lang w:eastAsia="zh-CN"/>
          <w14:shadow w14:blurRad="50800" w14:dist="38100" w14:dir="10800000" w14:sx="100000" w14:sy="100000" w14:kx="0" w14:ky="0" w14:algn="r">
            <w14:srgbClr w14:val="62B541">
              <w14:alpha w14:val="60000"/>
            </w14:srgbClr>
          </w14:shadow>
        </w:rPr>
        <w:br w:type="page"/>
      </w:r>
    </w:p>
    <w:p>
      <w:pPr>
        <w:pStyle w:val="2"/>
        <w:numPr>
          <w:ilvl w:val="0"/>
          <w:numId w:val="0"/>
        </w:numPr>
        <w:jc w:val="both"/>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pPr>
      <w:bookmarkStart w:id="56" w:name="_Toc18888"/>
      <w:bookmarkStart w:id="57" w:name="_Toc21165"/>
      <w:bookmarkStart w:id="58" w:name="_Toc30667"/>
      <w:bookmarkStart w:id="59" w:name="_Toc8575"/>
      <w:bookmarkStart w:id="60" w:name="_Toc12242"/>
      <w:r>
        <w:rPr>
          <w:rStyle w:val="36"/>
          <w:rFonts w:hint="default" w:ascii="Times New Roman" w:hAnsi="Times New Roman"/>
          <w:b/>
          <w:bCs/>
          <w:color w:val="62B541"/>
          <w:sz w:val="32"/>
          <w:szCs w:val="40"/>
          <w14:shadow w14:blurRad="50800" w14:dist="38100" w14:dir="10800000" w14:sx="100000" w14:sy="100000" w14:kx="0" w14:ky="0" w14:algn="r">
            <w14:srgbClr w14:val="62B541">
              <w14:alpha w14:val="60000"/>
            </w14:srgbClr>
          </w14:shadow>
        </w:rPr>
        <w:t>检测结果及用药提示</w:t>
      </w:r>
      <w:bookmarkEnd w:id="28"/>
      <w:bookmarkEnd w:id="48"/>
      <w:bookmarkEnd w:id="49"/>
      <w:bookmarkEnd w:id="50"/>
      <w:bookmarkEnd w:id="51"/>
      <w:bookmarkEnd w:id="52"/>
      <w:bookmarkEnd w:id="53"/>
      <w:bookmarkEnd w:id="54"/>
      <w:bookmarkEnd w:id="55"/>
      <w:bookmarkEnd w:id="56"/>
      <w:bookmarkEnd w:id="57"/>
      <w:bookmarkEnd w:id="58"/>
      <w:bookmarkEnd w:id="59"/>
      <w:bookmarkEnd w:id="60"/>
    </w:p>
    <w:p>
      <w:pPr>
        <w:pStyle w:val="3"/>
        <w:numPr>
          <w:ilvl w:val="255"/>
          <w:numId w:val="0"/>
        </w:numPr>
        <w:jc w:val="left"/>
        <w:rPr>
          <w:rFonts w:hint="eastAsia"/>
          <w:color w:val="auto"/>
          <w:sz w:val="30"/>
          <w:lang w:eastAsia="zh-CN"/>
        </w:rPr>
      </w:pPr>
      <w:bookmarkStart w:id="61" w:name="_Toc3870"/>
      <w:bookmarkStart w:id="62" w:name="_Toc23889"/>
      <w:bookmarkStart w:id="63" w:name="_Toc32492"/>
      <w:bookmarkStart w:id="64" w:name="_Toc9615"/>
      <w:bookmarkStart w:id="65" w:name="_Toc10974"/>
      <w:bookmarkStart w:id="66" w:name="_Toc149837258"/>
      <w:r>
        <w:rPr>
          <w:rFonts w:hint="eastAsia"/>
          <w:color w:val="auto"/>
          <w:sz w:val="30"/>
          <w:lang w:eastAsia="zh-CN"/>
        </w:rPr>
        <w:t>体细胞变异分级提示</w:t>
      </w:r>
      <w:bookmarkEnd w:id="61"/>
      <w:bookmarkEnd w:id="62"/>
      <w:bookmarkEnd w:id="63"/>
      <w:bookmarkEnd w:id="64"/>
      <w:bookmarkEnd w:id="65"/>
      <w:bookmarkEnd w:id="66"/>
    </w:p>
    <w:p>
      <w:pPr>
        <w:spacing w:after="240"/>
        <w:ind w:firstLine="420" w:firstLineChars="200"/>
        <w:rPr>
          <w:rFonts w:ascii="Times New Roman" w:hAnsi="Times New Roman" w:eastAsia="微软雅黑" w:cs="Times New Roman"/>
          <w:b/>
          <w:color w:val="000000" w:themeColor="text1"/>
          <w:sz w:val="24"/>
          <w:szCs w:val="24"/>
          <w:lang w:eastAsia="zh-CN"/>
          <w14:textFill>
            <w14:solidFill>
              <w14:schemeClr w14:val="tx1"/>
            </w14:solidFill>
          </w14:textFill>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}}个体细胞突变，其中{{summaryOfRresults.somaticDrugCount}}个与靶向药物相关。{%if BodyDrugDrugDetectionStr or unknownVarAnalysisStr %}</w:t>
      </w:r>
      <w:r>
        <w:rPr>
          <w:rFonts w:ascii="Times New Roman" w:hAnsi="Times New Roman" w:eastAsia="微软雅黑" w:cs="Times New Roman"/>
          <w:b/>
          <w:color w:val="000000" w:themeColor="text1"/>
          <w:sz w:val="21"/>
          <w:szCs w:val="21"/>
          <w:lang w:eastAsia="zh-CN"/>
          <w14:textFill>
            <w14:solidFill>
              <w14:schemeClr w14:val="tx1"/>
            </w14:solidFill>
          </w14:textFill>
        </w:rPr>
        <w:t>具体信息详见</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1"/>
          <w:szCs w:val="21"/>
          <w:lang w:eastAsia="zh-CN"/>
          <w14:textFill>
            <w14:solidFill>
              <w14:schemeClr w14:val="tx1"/>
            </w14:solidFill>
          </w14:textFill>
        </w:rPr>
        <w:t>基因检测结果解析</w:t>
      </w:r>
      <w:r>
        <w:rPr>
          <w:rFonts w:hint="eastAsia" w:ascii="微软雅黑" w:hAnsi="微软雅黑" w:eastAsia="微软雅黑" w:cs="微软雅黑"/>
          <w:b/>
          <w:color w:val="000000" w:themeColor="text1"/>
          <w:sz w:val="21"/>
          <w:szCs w:val="21"/>
          <w:lang w:eastAsia="zh-CN"/>
          <w14:textFill>
            <w14:solidFill>
              <w14:schemeClr w14:val="tx1"/>
            </w14:solidFill>
          </w14:textFill>
        </w:rPr>
        <w:t>”</w:t>
      </w:r>
      <w:r>
        <w:rPr>
          <w:rFonts w:ascii="Times New Roman" w:hAnsi="Times New Roman" w:eastAsia="微软雅黑" w:cs="Times New Roman"/>
          <w:b/>
          <w:color w:val="000000" w:themeColor="text1"/>
          <w:sz w:val="24"/>
          <w:szCs w:val="24"/>
          <w:lang w:eastAsia="zh-CN"/>
          <w14:textFill>
            <w14:solidFill>
              <w14:schemeClr w14:val="tx1"/>
            </w14:solidFill>
          </w14:textFill>
        </w:rPr>
        <w:t>。</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 endif %}</w:t>
      </w:r>
    </w:p>
    <w:tbl>
      <w:tblPr>
        <w:tblStyle w:val="23"/>
        <w:tblW w:w="5096"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904"/>
        <w:gridCol w:w="1077"/>
        <w:gridCol w:w="1529"/>
        <w:gridCol w:w="964"/>
        <w:gridCol w:w="1077"/>
        <w:gridCol w:w="2252"/>
        <w:gridCol w:w="2258"/>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449"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变异分类</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75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47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35" w:type="pct"/>
            <w:tcBorders>
              <w:top w:val="nil"/>
              <w:left w:val="single" w:color="FFFFFF" w:sz="18" w:space="0"/>
              <w:bottom w:val="nil"/>
              <w:right w:val="single" w:color="FFFFFF" w:sz="18" w:space="0"/>
            </w:tcBorders>
            <w:shd w:val="clear" w:color="auto" w:fill="62B541"/>
            <w:vAlign w:val="center"/>
          </w:tcPr>
          <w:p>
            <w:pPr>
              <w:pStyle w:val="22"/>
              <w:jc w:val="cente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eastAsia="zh-CN" w:bidi="ar"/>
              </w:rPr>
              <w:t>变异丰度</w:t>
            </w: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拷贝数{% if readsFlag == </w:t>
            </w: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True</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 xml:space="preserve"> %}</w:t>
            </w:r>
          </w:p>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微软雅黑" w:hAnsi="微软雅黑" w:eastAsia="微软雅黑" w:cs="微软雅黑"/>
                <w:b/>
                <w:bCs/>
                <w:color w:val="FFFFFF"/>
                <w:sz w:val="21"/>
                <w:szCs w:val="21"/>
                <w:lang w:val="en-US" w:eastAsia="zh-CN" w:bidi="ar"/>
              </w:rPr>
              <w:t>/</w:t>
            </w: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reads数{%endif%}</w:t>
            </w:r>
          </w:p>
        </w:tc>
        <w:tc>
          <w:tcPr>
            <w:tcW w:w="1119"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22"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7" w:hRule="atLeast"/>
          <w:jc w:val="center"/>
        </w:trPr>
        <w:tc>
          <w:tcPr>
            <w:tcW w:w="5000" w:type="pct"/>
            <w:gridSpan w:val="7"/>
            <w:tcBorders>
              <w:top w:val="nil"/>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025"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90"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4"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29"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74" w:hRule="atLeast"/>
          <w:jc w:val="center"/>
        </w:trPr>
        <w:tc>
          <w:tcPr>
            <w:tcW w:w="5000" w:type="pct"/>
            <w:gridSpan w:val="7"/>
            <w:tcBorders>
              <w:top w:val="single" w:color="A4A4A4" w:themeColor="background1" w:themeShade="A5" w:sz="4" w:space="0"/>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04" w:hRule="atLeast"/>
          <w:jc w:val="center"/>
        </w:trPr>
        <w:tc>
          <w:tcPr>
            <w:tcW w:w="449" w:type="pct"/>
            <w:tcBorders>
              <w:top w:val="nil"/>
              <w:left w:val="nil"/>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tcBorders>
              <w:top w:val="nil"/>
              <w:left w:val="single" w:color="A4A4A4" w:themeColor="background1" w:themeShade="A5" w:sz="4" w:space="0"/>
              <w:bottom w:val="single" w:color="A4A4A4" w:themeColor="background1" w:themeShade="A5" w:sz="4" w:space="0"/>
              <w:right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tcBorders>
              <w:top w:val="nil"/>
              <w:left w:val="single" w:color="A4A4A4" w:themeColor="background1" w:themeShade="A5" w:sz="4" w:space="0"/>
              <w:bottom w:val="single" w:color="A4A4A4" w:themeColor="background1" w:themeShade="A5" w:sz="4" w:space="0"/>
              <w:right w:val="nil"/>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52" w:hRule="atLeast"/>
          <w:jc w:val="center"/>
        </w:trPr>
        <w:tc>
          <w:tcPr>
            <w:tcW w:w="5000" w:type="pct"/>
            <w:gridSpan w:val="7"/>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w:t>
      </w:r>
      <w:r>
        <w:rPr>
          <w:rFonts w:hint="eastAsia" w:ascii="Times New Roman" w:hAnsi="Times New Roman" w:eastAsia="微软雅黑" w:cs="Times New Roman"/>
          <w:bCs/>
          <w:lang w:val="en-US" w:eastAsia="zh-CN"/>
        </w:rPr>
        <w:t>本机构</w:t>
      </w:r>
      <w:r>
        <w:rPr>
          <w:rFonts w:hint="eastAsia" w:ascii="Times New Roman" w:hAnsi="Times New Roman" w:eastAsia="微软雅黑" w:cs="Times New Roman"/>
          <w:bCs/>
          <w:lang w:eastAsia="zh-CN"/>
        </w:rPr>
        <w:t>内部数据库，同时参考NCCN指南、OncoKB [PMID: 28890946]等公共数据库内容，该数据仅供临床医生参考。随着数据库不断完善以及临床数据的更新，变异分级可能发生变化。</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lang w:eastAsia="zh-CN"/>
        </w:rPr>
        <w:t>）</w:t>
      </w:r>
      <w:r>
        <w:rPr>
          <w:rFonts w:hint="eastAsia" w:ascii="Times New Roman" w:hAnsi="Times New Roman" w:eastAsia="微软雅黑" w:cs="Times New Roman"/>
          <w:bCs/>
          <w:lang w:eastAsia="zh-CN"/>
        </w:rPr>
        <w:t>。</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val="en-US" w:eastAsia="zh-CN"/>
        </w:rPr>
        <w:t>变异</w:t>
      </w:r>
      <w:r>
        <w:rPr>
          <w:rFonts w:hint="eastAsia" w:ascii="Times New Roman" w:hAnsi="Times New Roman" w:eastAsia="微软雅黑" w:cs="Times New Roman"/>
          <w:bCs/>
          <w:lang w:eastAsia="zh-CN"/>
        </w:rPr>
        <w:t>丰度：在某位点产生突变的等位基因在该位点全部等位基因中所占比率。</w:t>
      </w:r>
    </w:p>
    <w:p>
      <w:pPr>
        <w:pStyle w:val="8"/>
        <w:numPr>
          <w:ilvl w:val="0"/>
          <w:numId w:val="8"/>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lang w:eastAsia="zh-CN"/>
        </w:rPr>
        <w:t xml:space="preserve">{% if readsFlag == </w:t>
      </w:r>
      <w:r>
        <w:rPr>
          <w:rFonts w:hint="eastAsia" w:ascii="Times New Roman" w:hAnsi="Times New Roman" w:eastAsia="微软雅黑" w:cs="Times New Roman"/>
          <w:lang w:val="en-US" w:eastAsia="zh-CN"/>
        </w:rPr>
        <w:t>True</w:t>
      </w:r>
      <w:r>
        <w:rPr>
          <w:rFonts w:hint="eastAsia" w:ascii="Times New Roman" w:hAnsi="Times New Roman" w:eastAsia="微软雅黑" w:cs="Times New Roman"/>
          <w:lang w:eastAsia="zh-CN"/>
        </w:rPr>
        <w:t xml:space="preserve">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reads数：RNA层面检测到的支持融合基因的片段数。</w:t>
      </w:r>
      <w:r>
        <w:rPr>
          <w:rFonts w:hint="eastAsia" w:ascii="Times New Roman" w:hAnsi="Times New Roman" w:eastAsia="微软雅黑" w:cs="Times New Roman"/>
          <w:lang w:eastAsia="zh-CN"/>
        </w:rPr>
        <w:t>{% endif %}</w:t>
      </w:r>
    </w:p>
    <w:p>
      <w:pPr>
        <w:pStyle w:val="8"/>
        <w:numPr>
          <w:ilvl w:val="0"/>
          <w:numId w:val="8"/>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w:t>
      </w:r>
      <w:r>
        <w:rPr>
          <w:rFonts w:hint="eastAsia" w:ascii="Times New Roman" w:hAnsi="Times New Roman" w:eastAsia="微软雅黑" w:cs="Times New Roman"/>
          <w:bCs/>
          <w:lang w:val="en-US" w:eastAsia="zh-CN"/>
        </w:rPr>
        <w:t>蛋白质</w:t>
      </w:r>
      <w:r>
        <w:rPr>
          <w:rFonts w:hint="eastAsia" w:ascii="Times New Roman" w:hAnsi="Times New Roman" w:eastAsia="微软雅黑" w:cs="Times New Roman"/>
          <w:bCs/>
          <w:lang w:eastAsia="zh-CN"/>
        </w:rPr>
        <w:t>。在DNA水平对某一突变位点的描述方式包括：碱基位点，正常碱基，“&gt;”符号，突变碱基。</w:t>
      </w:r>
      <w:r>
        <w:rPr>
          <w:rFonts w:hint="eastAsia" w:ascii="Times New Roman" w:hAnsi="Times New Roman" w:eastAsia="微软雅黑" w:cs="Times New Roman"/>
          <w:lang w:eastAsia="zh-CN"/>
        </w:rPr>
        <w:t>{% if complex == True %}</w:t>
      </w:r>
    </w:p>
    <w:p>
      <w:pPr>
        <w:pStyle w:val="8"/>
        <w:numPr>
          <w:ilvl w:val="0"/>
          <w:numId w:val="8"/>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pPr>
        <w:numPr>
          <w:ilvl w:val="0"/>
          <w:numId w:val="9"/>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pPr>
        <w:pStyle w:val="3"/>
        <w:numPr>
          <w:ilvl w:val="255"/>
          <w:numId w:val="0"/>
        </w:numPr>
        <w:jc w:val="left"/>
        <w:rPr>
          <w:rFonts w:hint="eastAsia"/>
          <w:color w:val="auto"/>
          <w:sz w:val="30"/>
          <w:lang w:eastAsia="zh-CN"/>
        </w:rPr>
      </w:pPr>
      <w:bookmarkStart w:id="67" w:name="_Toc149837259"/>
      <w:bookmarkStart w:id="68" w:name="_Toc30027"/>
      <w:bookmarkStart w:id="69" w:name="_Toc19349"/>
      <w:bookmarkStart w:id="70" w:name="_Toc31764"/>
      <w:bookmarkStart w:id="71" w:name="_Toc942"/>
      <w:bookmarkStart w:id="72" w:name="_Toc10321"/>
      <w:bookmarkStart w:id="73" w:name="_Toc17526"/>
      <w:bookmarkStart w:id="74" w:name="_Toc25737"/>
      <w:bookmarkStart w:id="75" w:name="_Toc6221_WPSOffice_Level2"/>
      <w:bookmarkStart w:id="76" w:name="_Toc4339"/>
      <w:bookmarkStart w:id="77" w:name="_Toc7551_WPSOffice_Level2"/>
      <w:r>
        <w:rPr>
          <w:rFonts w:hint="eastAsia"/>
          <w:color w:val="auto"/>
          <w:sz w:val="30"/>
          <w:lang w:eastAsia="zh-CN"/>
        </w:rPr>
        <w:t>胚系变异结果提示</w:t>
      </w:r>
      <w:bookmarkEnd w:id="67"/>
      <w:bookmarkEnd w:id="68"/>
      <w:bookmarkEnd w:id="69"/>
      <w:bookmarkEnd w:id="70"/>
      <w:bookmarkEnd w:id="71"/>
      <w:bookmarkEnd w:id="72"/>
    </w:p>
    <w:p>
      <w:pPr>
        <w:spacing w:before="120" w:beforeLines="50" w:after="192" w:afterLines="80"/>
        <w:rPr>
          <w:rFonts w:hint="eastAsia" w:ascii="Times New Roman" w:hAnsi="Times New Roman" w:eastAsia="微软雅黑" w:cs="Times New Roman"/>
          <w:b/>
          <w:sz w:val="24"/>
          <w:szCs w:val="24"/>
          <w:lang w:eastAsia="zh-CN"/>
        </w:rPr>
      </w:pPr>
      <w:bookmarkStart w:id="78" w:name="_Toc25934"/>
      <w:bookmarkStart w:id="79" w:name="_Toc9620"/>
      <w:bookmarkStart w:id="80" w:name="_Toc344"/>
      <w:bookmarkStart w:id="81" w:name="_Toc25716"/>
      <w:r>
        <w:rPr>
          <w:rFonts w:hint="eastAsia" w:ascii="Times New Roman" w:hAnsi="Times New Roman" w:eastAsia="微软雅黑" w:cs="Times New Roman"/>
          <w:b/>
          <w:sz w:val="24"/>
          <w:szCs w:val="24"/>
          <w:lang w:eastAsia="zh-CN"/>
        </w:rPr>
        <w:t>肿瘤遗传风险检测</w:t>
      </w:r>
      <w:bookmarkEnd w:id="78"/>
      <w:bookmarkEnd w:id="79"/>
      <w:bookmarkEnd w:id="80"/>
      <w:bookmarkEnd w:id="81"/>
    </w:p>
    <w:p>
      <w:pPr>
        <w:spacing w:before="240" w:beforeLines="100" w:after="240"/>
        <w:ind w:firstLine="420" w:firstLineChars="200"/>
        <w:rPr>
          <w:rFonts w:ascii="Times New Roman" w:hAnsi="Times New Roman" w:eastAsia="微软雅黑" w:cs="黑体"/>
          <w:b/>
          <w:bCs/>
          <w:sz w:val="21"/>
          <w:szCs w:val="21"/>
          <w:highlight w:val="yellow"/>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本次样本共检出{{summaryOfRresults.crCheckLineStrYF1280Size}}个胚系突变，其中{{summaryOfRresults.hasPathogenicityCount}}个为致病/可能致病性突变，其中{{summaryOfRresults.crDrugList}}个与靶向药物相关。{%if geneticCancerRiskInfo %}具体信息见“基因检测结果解析”。{% endif %}如果您有家族遗传史，可联系我们做进一步的检测。</w:t>
      </w:r>
    </w:p>
    <w:tbl>
      <w:tblPr>
        <w:tblStyle w:val="23"/>
        <w:tblW w:w="9844"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55"/>
        <w:gridCol w:w="825"/>
        <w:gridCol w:w="825"/>
        <w:gridCol w:w="1146"/>
        <w:gridCol w:w="1056"/>
        <w:gridCol w:w="1140"/>
        <w:gridCol w:w="1140"/>
        <w:gridCol w:w="930"/>
        <w:gridCol w:w="1527"/>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exact"/>
          <w:jc w:val="center"/>
        </w:trPr>
        <w:tc>
          <w:tcPr>
            <w:tcW w:w="1255" w:type="dxa"/>
            <w:tcBorders>
              <w:top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lang w:eastAsia="zh-CN"/>
                <w14:textFill>
                  <w14:solidFill>
                    <w14:schemeClr w14:val="bg1"/>
                  </w14:solidFill>
                </w14:textFill>
              </w:rPr>
              <w:t>突变</w:t>
            </w:r>
            <w:r>
              <w:rPr>
                <w:rFonts w:ascii="Times New Roman" w:hAnsi="Times New Roman" w:eastAsia="微软雅黑" w:cs="Times New Roman"/>
                <w:b/>
                <w:bCs/>
                <w:color w:val="FFFFFF" w:themeColor="background1"/>
                <w:sz w:val="21"/>
                <w:szCs w:val="21"/>
                <w14:textFill>
                  <w14:solidFill>
                    <w14:schemeClr w14:val="bg1"/>
                  </w14:solidFill>
                </w14:textFill>
              </w:rPr>
              <w:t>基因</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染色体</w:t>
            </w:r>
          </w:p>
        </w:tc>
        <w:tc>
          <w:tcPr>
            <w:tcW w:w="825"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区域</w:t>
            </w:r>
          </w:p>
        </w:tc>
        <w:tc>
          <w:tcPr>
            <w:tcW w:w="114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核苷酸</w:t>
            </w:r>
          </w:p>
        </w:tc>
        <w:tc>
          <w:tcPr>
            <w:tcW w:w="1056"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氨基酸</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bCs/>
                <w:color w:val="FFFFFF" w:themeColor="background1"/>
                <w:spacing w:val="-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突变类型</w:t>
            </w:r>
          </w:p>
        </w:tc>
        <w:tc>
          <w:tcPr>
            <w:tcW w:w="114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杂合</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w:t>
            </w:r>
            <w:r>
              <w:rPr>
                <w:rFonts w:ascii="Times New Roman" w:hAnsi="Times New Roman" w:eastAsia="微软雅黑" w:cs="Times New Roman"/>
                <w:b/>
                <w:bCs/>
                <w:color w:val="FFFFFF" w:themeColor="background1"/>
                <w:spacing w:val="-1"/>
                <w:sz w:val="21"/>
                <w:szCs w:val="21"/>
                <w14:textFill>
                  <w14:solidFill>
                    <w14:schemeClr w14:val="bg1"/>
                  </w14:solidFill>
                </w14:textFill>
              </w:rPr>
              <w:t>纯合</w:t>
            </w:r>
          </w:p>
        </w:tc>
        <w:tc>
          <w:tcPr>
            <w:tcW w:w="930" w:type="dxa"/>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千人频率</w:t>
            </w:r>
          </w:p>
        </w:tc>
        <w:tc>
          <w:tcPr>
            <w:tcW w:w="1527" w:type="dxa"/>
            <w:tcBorders>
              <w:top w:val="nil"/>
              <w:left w:val="single" w:color="FFFFFF" w:sz="18" w:space="0"/>
              <w:bottom w:val="nil"/>
            </w:tcBorders>
            <w:shd w:val="clear" w:color="auto" w:fill="62B541"/>
            <w:vAlign w:val="center"/>
          </w:tcPr>
          <w:p>
            <w:pPr>
              <w:pStyle w:val="22"/>
              <w:spacing w:before="24" w:beforeLines="10"/>
              <w:jc w:val="center"/>
              <w:rPr>
                <w:rFonts w:ascii="Times New Roman" w:hAnsi="Times New Roman" w:eastAsia="微软雅黑" w:cs="Times New Roman"/>
                <w:color w:val="FFFFFF" w:themeColor="background1"/>
                <w:sz w:val="21"/>
                <w:szCs w:val="21"/>
                <w14:textFill>
                  <w14:solidFill>
                    <w14:schemeClr w14:val="bg1"/>
                  </w14:solidFill>
                </w14:textFill>
              </w:rPr>
            </w:pPr>
            <w:r>
              <w:rPr>
                <w:rFonts w:ascii="Times New Roman" w:hAnsi="Times New Roman" w:eastAsia="微软雅黑" w:cs="Times New Roman"/>
                <w:b/>
                <w:bCs/>
                <w:color w:val="FFFFFF" w:themeColor="background1"/>
                <w:sz w:val="21"/>
                <w:szCs w:val="21"/>
                <w14:textFill>
                  <w14:solidFill>
                    <w14:schemeClr w14:val="bg1"/>
                  </w14:solidFill>
                </w14:textFill>
              </w:rPr>
              <w:t>临床意义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crCheckLineStrYF1280 != []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cr in crCheckLineStrYF1280 %}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b/>
                <w:bCs/>
                <w:sz w:val="21"/>
                <w:szCs w:val="21"/>
                <w:lang w:eastAsia="zh-CN"/>
              </w:rPr>
            </w:pPr>
            <w:r>
              <w:rPr>
                <w:rFonts w:hint="eastAsia" w:ascii="Times New Roman" w:hAnsi="Times New Roman" w:eastAsia="微软雅黑" w:cs="Times New Roman"/>
                <w:b/>
                <w:bCs/>
                <w:sz w:val="21"/>
                <w:szCs w:val="21"/>
                <w:lang w:eastAsia="zh-CN"/>
              </w:rPr>
              <w:t>{{ cr.Gene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cr.Chr }}</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w:t>
            </w:r>
            <w:r>
              <w:rPr>
                <w:rFonts w:ascii="Times New Roman" w:hAnsi="Times New Roman" w:eastAsia="微软雅黑" w:cs="Times New Roman"/>
                <w:sz w:val="21"/>
                <w:szCs w:val="21"/>
                <w:lang w:eastAsia="zh-CN"/>
              </w:rPr>
              <w:t>exon</w:t>
            </w:r>
            <w:r>
              <w:rPr>
                <w:rFonts w:hint="eastAsia" w:ascii="Times New Roman" w:hAnsi="Times New Roman" w:eastAsia="微软雅黑" w:cs="Times New Roman"/>
                <w:sz w:val="21"/>
                <w:szCs w:val="21"/>
                <w:lang w:eastAsia="zh-CN"/>
              </w:rPr>
              <w:t xml:space="preserve"> }}</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cr.cHGVS }}</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cr.pHGVS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cr.ExonicFunc }}</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cr.Zygosity }}</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cr.c1000g2015aug_all }}</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cr.Clinical_significance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tcBorders>
              <w:bottom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125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825"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056"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4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930"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527" w:type="dxa"/>
            <w:tcBorders>
              <w:top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jc w:val="center"/>
        </w:trPr>
        <w:tc>
          <w:tcPr>
            <w:tcW w:w="9844" w:type="dxa"/>
            <w:gridSpan w:val="9"/>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Times New Roman"/>
          <w:sz w:val="24"/>
          <w:szCs w:val="24"/>
          <w:lang w:eastAsia="zh-CN"/>
        </w:rPr>
      </w:pPr>
    </w:p>
    <w:p>
      <w:pPr>
        <w:spacing w:before="120" w:beforeLines="50" w:after="192" w:afterLines="80"/>
        <w:rPr>
          <w:rFonts w:ascii="Times New Roman" w:hAnsi="Times New Roman" w:eastAsia="微软雅黑" w:cs="黑体"/>
          <w:b/>
          <w:bCs/>
          <w:sz w:val="24"/>
          <w:szCs w:val="24"/>
          <w:lang w:eastAsia="zh-CN"/>
        </w:rPr>
      </w:pPr>
      <w:r>
        <w:rPr>
          <w:rFonts w:hint="eastAsia" w:ascii="Times New Roman" w:hAnsi="Times New Roman" w:eastAsia="微软雅黑" w:cs="Times New Roman"/>
          <w:b/>
          <w:sz w:val="24"/>
          <w:szCs w:val="24"/>
          <w:lang w:eastAsia="zh-CN"/>
        </w:rPr>
        <w:t>胚系变异用药提示</w:t>
      </w:r>
    </w:p>
    <w:tbl>
      <w:tblPr>
        <w:tblStyle w:val="23"/>
        <w:tblW w:w="5035" w:type="pct"/>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1285"/>
        <w:gridCol w:w="1779"/>
        <w:gridCol w:w="1292"/>
        <w:gridCol w:w="1076"/>
        <w:gridCol w:w="2252"/>
        <w:gridCol w:w="2256"/>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646" w:type="pct"/>
            <w:tcBorders>
              <w:top w:val="nil"/>
              <w:left w:val="nil"/>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突变基因</w:t>
            </w:r>
          </w:p>
        </w:tc>
        <w:tc>
          <w:tcPr>
            <w:tcW w:w="895"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检测结果</w:t>
            </w:r>
          </w:p>
        </w:tc>
        <w:tc>
          <w:tcPr>
            <w:tcW w:w="650"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c>
          <w:tcPr>
            <w:tcW w:w="541"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bCs/>
                <w:color w:val="FFFFFF" w:themeColor="background1"/>
                <w:spacing w:val="-1"/>
                <w:sz w:val="21"/>
                <w:szCs w:val="21"/>
                <w14:textFill>
                  <w14:solidFill>
                    <w14:schemeClr w14:val="bg1"/>
                  </w14:solidFill>
                </w14:textFill>
              </w:rPr>
              <w:t>杂</w:t>
            </w:r>
            <w:r>
              <w:rPr>
                <w:rFonts w:hint="eastAsia" w:ascii="微软雅黑" w:hAnsi="微软雅黑" w:eastAsia="微软雅黑" w:cs="微软雅黑"/>
                <w:b/>
                <w:bCs/>
                <w:color w:val="FFFFFF" w:themeColor="background1"/>
                <w:spacing w:val="-1"/>
                <w:sz w:val="21"/>
                <w:szCs w:val="21"/>
                <w14:textFill>
                  <w14:solidFill>
                    <w14:schemeClr w14:val="bg1"/>
                  </w14:solidFill>
                </w14:textFill>
              </w:rPr>
              <w:t>合/纯</w:t>
            </w:r>
            <w:r>
              <w:rPr>
                <w:rFonts w:ascii="Times New Roman" w:hAnsi="Times New Roman" w:eastAsia="微软雅黑" w:cs="Times New Roman"/>
                <w:b/>
                <w:bCs/>
                <w:color w:val="FFFFFF" w:themeColor="background1"/>
                <w:spacing w:val="-1"/>
                <w:sz w:val="21"/>
                <w:szCs w:val="21"/>
                <w14:textFill>
                  <w14:solidFill>
                    <w14:schemeClr w14:val="bg1"/>
                  </w14:solidFill>
                </w14:textFill>
              </w:rPr>
              <w:t>合</w:t>
            </w:r>
          </w:p>
        </w:tc>
        <w:tc>
          <w:tcPr>
            <w:tcW w:w="1133" w:type="pct"/>
            <w:tcBorders>
              <w:top w:val="nil"/>
              <w:left w:val="single" w:color="FFFFFF" w:sz="18" w:space="0"/>
              <w:bottom w:val="nil"/>
              <w:right w:val="single" w:color="FFFFFF" w:sz="18" w:space="0"/>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可能获益药物</w:t>
            </w:r>
          </w:p>
        </w:tc>
        <w:tc>
          <w:tcPr>
            <w:tcW w:w="1133" w:type="pct"/>
            <w:tcBorders>
              <w:top w:val="nil"/>
              <w:left w:val="single" w:color="FFFFFF" w:sz="18" w:space="0"/>
              <w:bottom w:val="nil"/>
              <w:right w:val="nil"/>
            </w:tcBorders>
            <w:shd w:val="clear" w:color="auto" w:fill="62B5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可能耐药药物</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embryonalDrugTipLineStr != []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3" w:hRule="atLeast"/>
          <w:jc w:val="center"/>
        </w:trPr>
        <w:tc>
          <w:tcPr>
            <w:tcW w:w="5000" w:type="pct"/>
            <w:gridSpan w:val="6"/>
            <w:tcBorders>
              <w:top w:val="nil"/>
              <w:left w:val="nil"/>
              <w:bottom w:val="nil"/>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embryonalDrugTipLineStr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1438" w:hRule="atLeast"/>
          <w:jc w:val="center"/>
        </w:trPr>
        <w:tc>
          <w:tcPr>
            <w:tcW w:w="1286" w:type="dxa"/>
            <w:tcBorders>
              <w:top w:val="nil"/>
              <w:left w:val="nil"/>
              <w:bottom w:val="single" w:color="A4A4A4" w:themeColor="background1" w:themeShade="A5" w:sz="4" w:space="0"/>
            </w:tcBorders>
            <w:shd w:val="clear" w:color="auto" w:fill="auto"/>
            <w:vAlign w:val="center"/>
          </w:tcPr>
          <w:p>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1780" w:type="dxa"/>
            <w:tcBorders>
              <w:top w:val="nil"/>
              <w:bottom w:val="single" w:color="A4A4A4" w:themeColor="background1" w:themeShade="A5" w:sz="4" w:space="0"/>
            </w:tcBorders>
            <w:shd w:val="clear" w:color="auto" w:fill="auto"/>
            <w:vAlign w:val="center"/>
          </w:tcPr>
          <w:p>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650"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41" w:type="pct"/>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rPr>
            </w:pPr>
            <w:r>
              <w:rPr>
                <w:rFonts w:hint="eastAsia" w:ascii="Times New Roman" w:hAnsi="Times New Roman" w:eastAsia="微软雅黑" w:cs="Times New Roman"/>
                <w:sz w:val="21"/>
                <w:szCs w:val="21"/>
                <w:lang w:eastAsia="zh-CN"/>
              </w:rPr>
              <w:t>{{ tip.mutFreq }}</w:t>
            </w:r>
          </w:p>
        </w:tc>
        <w:tc>
          <w:tcPr>
            <w:tcW w:w="2253" w:type="dxa"/>
            <w:tcBorders>
              <w:top w:val="nil"/>
              <w:bottom w:val="single" w:color="A4A4A4" w:themeColor="background1" w:themeShade="A5" w:sz="4" w:space="0"/>
            </w:tcBorders>
            <w:shd w:val="clear" w:color="auto" w:fill="auto"/>
            <w:vAlign w:val="center"/>
          </w:tcPr>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2253" w:type="dxa"/>
            <w:tcBorders>
              <w:top w:val="nil"/>
              <w:bottom w:val="single" w:color="A4A4A4" w:themeColor="background1" w:themeShade="A5" w:sz="4" w:space="0"/>
              <w:right w:val="nil"/>
            </w:tcBorders>
            <w:shd w:val="clear" w:color="auto" w:fill="auto"/>
            <w:vAlign w:val="center"/>
          </w:tcPr>
          <w:p>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5000" w:type="pct"/>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b/>
                <w:bCs/>
                <w:sz w:val="21"/>
                <w:szCs w:val="21"/>
                <w:lang w:eastAsia="zh-CN"/>
              </w:rPr>
              <w:t>本次检测未发现靶药相关致病性及可能致病性胚系突变</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769" w:hRule="atLeast"/>
          <w:jc w:val="center"/>
        </w:trPr>
        <w:tc>
          <w:tcPr>
            <w:tcW w:w="9942" w:type="dxa"/>
            <w:gridSpan w:val="6"/>
            <w:tcBorders>
              <w:top w:val="single" w:color="A4A4A4" w:themeColor="background1" w:themeShade="A5" w:sz="4" w:space="0"/>
              <w:left w:val="nil"/>
              <w:bottom w:val="single" w:color="A4A4A4" w:themeColor="background1" w:themeShade="A5" w:sz="4" w:space="0"/>
              <w:right w:val="nil"/>
            </w:tcBorders>
            <w:shd w:val="clear" w:color="auto" w:fill="auto"/>
            <w:vAlign w:val="center"/>
          </w:tcPr>
          <w:p>
            <w:pPr>
              <w:spacing w:before="2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pPr>
        <w:rPr>
          <w:rFonts w:ascii="Times New Roman" w:hAnsi="Times New Roman" w:eastAsia="微软雅黑" w:cs="黑体"/>
          <w:b/>
          <w:bCs/>
          <w:sz w:val="24"/>
          <w:szCs w:val="24"/>
          <w:highlight w:val="yellow"/>
          <w:lang w:eastAsia="zh-CN"/>
        </w:rPr>
      </w:pPr>
    </w:p>
    <w:p>
      <w:pPr>
        <w:spacing w:before="47"/>
        <w:rPr>
          <w:rFonts w:ascii="Times New Roman" w:hAnsi="Times New Roman" w:eastAsia="微软雅黑" w:cs="Times New Roman"/>
          <w:b/>
          <w:bCs/>
          <w:sz w:val="18"/>
          <w:szCs w:val="18"/>
          <w:lang w:eastAsia="zh-CN"/>
        </w:rPr>
      </w:pPr>
      <w:r>
        <w:rPr>
          <w:rFonts w:ascii="Times New Roman" w:hAnsi="Times New Roman" w:eastAsia="微软雅黑" w:cs="Times New Roman"/>
          <w:b/>
          <w:bCs/>
          <w:sz w:val="18"/>
          <w:szCs w:val="18"/>
          <w:lang w:eastAsia="zh-CN"/>
        </w:rPr>
        <w:t>注：</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本报告只给出千人频率均在2%以下的胚系非同义突变。</w:t>
      </w:r>
    </w:p>
    <w:p>
      <w:pPr>
        <w:pStyle w:val="24"/>
        <w:numPr>
          <w:ilvl w:val="0"/>
          <w:numId w:val="10"/>
        </w:numPr>
        <w:spacing w:before="47"/>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根据美国医学遗传医师学会（ACMG）指导意见，个体携带的变异，分为5个大类：</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致病性变异：有大量证据表明这种变异是高风险的致病性变异。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可能致病性变异：有一些证据表明这种变异是高风险的致病性变异。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val="zh-CN" w:eastAsia="zh-CN"/>
        </w:rPr>
        <w:t>不确定性变异：没有足够的证据，将变异分类到其他四类中。</w:t>
      </w:r>
    </w:p>
    <w:p>
      <w:pPr>
        <w:ind w:firstLine="360" w:firstLineChars="200"/>
        <w:rPr>
          <w:rFonts w:ascii="Times New Roman" w:hAnsi="Times New Roman" w:eastAsia="微软雅黑" w:cs="Times New Roman"/>
          <w:sz w:val="18"/>
          <w:szCs w:val="18"/>
          <w:lang w:val="zh-CN"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可能良性</w:t>
      </w:r>
      <w:r>
        <w:rPr>
          <w:rFonts w:ascii="Times New Roman" w:hAnsi="Times New Roman" w:eastAsia="微软雅黑" w:cs="Times New Roman"/>
          <w:sz w:val="18"/>
          <w:szCs w:val="18"/>
          <w:lang w:val="zh-CN" w:eastAsia="zh-CN"/>
        </w:rPr>
        <w:t>变异：有一些证据表明这种变异不是高风险的致病变异。</w:t>
      </w:r>
    </w:p>
    <w:p>
      <w:pPr>
        <w:ind w:firstLine="360" w:firstLineChars="200"/>
        <w:rPr>
          <w:rFonts w:ascii="Times New Roman" w:hAnsi="Times New Roman" w:eastAsia="微软雅黑" w:cs="Times New Roman"/>
          <w:sz w:val="18"/>
          <w:szCs w:val="18"/>
          <w:lang w:eastAsia="zh-CN"/>
        </w:rPr>
      </w:pPr>
      <w:r>
        <w:rPr>
          <w:rFonts w:hint="eastAsia" w:ascii="微软雅黑" w:hAnsi="微软雅黑" w:eastAsia="微软雅黑" w:cs="微软雅黑"/>
          <w:sz w:val="18"/>
          <w:szCs w:val="18"/>
          <w:lang w:val="zh-CN" w:eastAsia="zh-CN"/>
        </w:rPr>
        <w:t>●</w:t>
      </w:r>
      <w:r>
        <w:rPr>
          <w:rFonts w:ascii="Times New Roman" w:hAnsi="Times New Roman" w:eastAsia="微软雅黑" w:cs="Times New Roman"/>
          <w:sz w:val="18"/>
          <w:szCs w:val="18"/>
          <w:lang w:eastAsia="zh-CN"/>
        </w:rPr>
        <w:t>良性</w:t>
      </w:r>
      <w:r>
        <w:rPr>
          <w:rFonts w:ascii="Times New Roman" w:hAnsi="Times New Roman" w:eastAsia="微软雅黑" w:cs="Times New Roman"/>
          <w:sz w:val="18"/>
          <w:szCs w:val="18"/>
          <w:lang w:val="zh-CN" w:eastAsia="zh-CN"/>
        </w:rPr>
        <w:t>变异：有大量证据表明这种变异不是高风险的致病变异。</w:t>
      </w:r>
    </w:p>
    <w:p>
      <w:pPr>
        <w:numPr>
          <w:ilvl w:val="0"/>
          <w:numId w:val="10"/>
        </w:num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基因变异临床意义等级来源于ACMG指南及Clinvar等公共数据库，随着相关指南、数据库不断完善以及临床数据的更新，变异分级可能发生变化。</w:t>
      </w:r>
    </w:p>
    <w:p>
      <w:pPr>
        <w:numPr>
          <w:ilvl w:val="0"/>
          <w:numId w:val="10"/>
        </w:numP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良性变异和可能良性变异不在报告中展示。</w:t>
      </w:r>
    </w:p>
    <w:p>
      <w:pPr>
        <w:rPr>
          <w:rFonts w:ascii="Times New Roman" w:hAnsi="Times New Roman" w:eastAsia="微软雅黑" w:cs="黑体"/>
          <w:b/>
          <w:bCs/>
          <w:sz w:val="30"/>
          <w:szCs w:val="30"/>
          <w:lang w:eastAsia="zh-CN"/>
        </w:rPr>
      </w:pPr>
      <w:r>
        <w:rPr>
          <w:rFonts w:hint="eastAsia" w:ascii="Times New Roman" w:hAnsi="Times New Roman" w:eastAsia="微软雅黑" w:cs="黑体"/>
          <w:b/>
          <w:bCs/>
          <w:sz w:val="30"/>
          <w:szCs w:val="30"/>
          <w:lang w:eastAsia="zh-CN"/>
        </w:rPr>
        <w:br w:type="page"/>
      </w:r>
      <w:r>
        <w:rPr>
          <w:rFonts w:hint="eastAsia" w:ascii="Times New Roman" w:hAnsi="Times New Roman" w:eastAsia="微软雅黑" w:cs="Times New Roman"/>
          <w:sz w:val="24"/>
          <w:szCs w:val="24"/>
          <w:lang w:eastAsia="zh-CN"/>
        </w:rPr>
        <w:t xml:space="preserve">{%if </w:t>
      </w:r>
      <w:r>
        <w:rPr>
          <w:rFonts w:hint="default" w:ascii="Times New Roman" w:hAnsi="Times New Roman" w:eastAsia="微软雅黑" w:cs="Times New Roman"/>
          <w:sz w:val="24"/>
          <w:szCs w:val="24"/>
          <w:lang w:val="en-US" w:eastAsia="zh-CN"/>
        </w:rPr>
        <w:t>2531</w:t>
      </w:r>
      <w:r>
        <w:rPr>
          <w:rFonts w:hint="eastAsia" w:ascii="Times New Roman" w:hAnsi="Times New Roman" w:eastAsia="微软雅黑" w:cs="Times New Roman"/>
          <w:sz w:val="24"/>
          <w:szCs w:val="24"/>
          <w:lang w:val="en-US" w:eastAsia="zh-CN"/>
        </w:rPr>
        <w:t xml:space="preserve"> not in </w:t>
      </w:r>
      <w:r>
        <w:rPr>
          <w:rFonts w:hint="eastAsia" w:ascii="Times New Roman" w:hAnsi="Times New Roman" w:eastAsia="微软雅黑" w:cs="Times New Roman"/>
          <w:sz w:val="24"/>
          <w:szCs w:val="24"/>
          <w:lang w:eastAsia="zh-CN"/>
        </w:rPr>
        <w:t>diseaseIdList %}</w:t>
      </w:r>
    </w:p>
    <w:p>
      <w:pPr>
        <w:pStyle w:val="3"/>
        <w:numPr>
          <w:ilvl w:val="255"/>
          <w:numId w:val="0"/>
        </w:numPr>
        <w:jc w:val="left"/>
        <w:rPr>
          <w:rFonts w:hint="eastAsia"/>
          <w:color w:val="auto"/>
          <w:sz w:val="30"/>
          <w:lang w:eastAsia="zh-CN"/>
        </w:rPr>
      </w:pPr>
      <w:bookmarkStart w:id="82" w:name="_Toc6241"/>
      <w:bookmarkStart w:id="83" w:name="_Toc149837260"/>
      <w:bookmarkStart w:id="84" w:name="_Toc15206"/>
      <w:bookmarkStart w:id="85" w:name="_Toc23479"/>
      <w:bookmarkStart w:id="86" w:name="_Toc27368"/>
      <w:bookmarkStart w:id="87" w:name="_Toc2919"/>
      <w:r>
        <w:rPr>
          <w:rFonts w:hint="eastAsia"/>
          <w:color w:val="auto"/>
          <w:sz w:val="30"/>
          <w:lang w:eastAsia="zh-CN"/>
        </w:rPr>
        <w:t>本癌种FDA/NMPA获批的其他可选靶向药物</w:t>
      </w:r>
      <w:bookmarkEnd w:id="82"/>
      <w:bookmarkEnd w:id="83"/>
      <w:bookmarkEnd w:id="84"/>
      <w:bookmarkEnd w:id="85"/>
      <w:bookmarkEnd w:id="86"/>
      <w:bookmarkEnd w:id="87"/>
    </w:p>
    <w:tbl>
      <w:tblPr>
        <w:tblStyle w:val="17"/>
        <w:tblW w:w="9937"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1210"/>
        <w:gridCol w:w="1210"/>
        <w:gridCol w:w="6124"/>
        <w:gridCol w:w="1393"/>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1210" w:type="dxa"/>
            <w:tcBorders>
              <w:top w:val="nil"/>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癌种</w:t>
            </w:r>
          </w:p>
        </w:tc>
        <w:tc>
          <w:tcPr>
            <w:tcW w:w="1210"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药物</w:t>
            </w:r>
          </w:p>
        </w:tc>
        <w:tc>
          <w:tcPr>
            <w:tcW w:w="6124" w:type="dxa"/>
            <w:tcBorders>
              <w:top w:val="nil"/>
              <w:left w:val="single" w:color="FFFFFF" w:sz="18" w:space="0"/>
              <w:bottom w:val="nil"/>
              <w:right w:val="single" w:color="FFFFFF" w:sz="18" w:space="0"/>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获批适应症</w:t>
            </w:r>
          </w:p>
        </w:tc>
        <w:tc>
          <w:tcPr>
            <w:tcW w:w="1393" w:type="dxa"/>
            <w:tcBorders>
              <w:top w:val="nil"/>
              <w:left w:val="single" w:color="FFFFFF" w:sz="18" w:space="0"/>
              <w:bottom w:val="nil"/>
            </w:tcBorders>
            <w:shd w:val="clear" w:color="auto" w:fill="62BC41"/>
            <w:vAlign w:val="center"/>
          </w:tcPr>
          <w:p>
            <w:pPr>
              <w:pStyle w:val="22"/>
              <w:jc w:val="center"/>
              <w:rPr>
                <w:rFonts w:ascii="Times New Roman" w:hAnsi="Times New Roman" w:eastAsia="微软雅黑" w:cs="Times New Roman"/>
                <w:b/>
                <w:color w:val="FFFFFF" w:themeColor="background1"/>
                <w:sz w:val="21"/>
                <w:szCs w:val="21"/>
                <w14:textFill>
                  <w14:solidFill>
                    <w14:schemeClr w14:val="bg1"/>
                  </w14:solidFill>
                </w14:textFill>
              </w:rPr>
            </w:pPr>
            <w:r>
              <w:rPr>
                <w:rFonts w:ascii="Times New Roman" w:hAnsi="Times New Roman" w:eastAsia="微软雅黑" w:cs="Times New Roman"/>
                <w:b/>
                <w:color w:val="FFFFFF" w:themeColor="background1"/>
                <w:sz w:val="21"/>
                <w:szCs w:val="21"/>
                <w14:textFill>
                  <w14:solidFill>
                    <w14:schemeClr w14:val="bg1"/>
                  </w14:solidFill>
                </w14:textFill>
              </w:rPr>
              <w:t>获批机构</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add in approvedDrugData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add.disease }}</w:t>
            </w:r>
          </w:p>
        </w:tc>
        <w:tc>
          <w:tcPr>
            <w:tcW w:w="1210"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add.drug }}</w:t>
            </w:r>
          </w:p>
        </w:tc>
        <w:tc>
          <w:tcPr>
            <w:tcW w:w="6124" w:type="dxa"/>
            <w:vAlign w:val="center"/>
          </w:tcPr>
          <w:p>
            <w:pPr>
              <w:widowControl/>
              <w:snapToGrid w:val="0"/>
              <w:jc w:val="left"/>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add.indication }}</w:t>
            </w:r>
          </w:p>
        </w:tc>
        <w:tc>
          <w:tcPr>
            <w:tcW w:w="1393" w:type="dxa"/>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add.institution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jc w:val="center"/>
        </w:trPr>
        <w:tc>
          <w:tcPr>
            <w:tcW w:w="9937" w:type="dxa"/>
            <w:gridSpan w:val="4"/>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bl>
    <w:p>
      <w:pPr>
        <w:rPr>
          <w:sz w:val="30"/>
          <w:lang w:eastAsia="zh-CN"/>
        </w:rPr>
      </w:pPr>
      <w:r>
        <w:rPr>
          <w:rFonts w:hint="eastAsia"/>
          <w:sz w:val="30"/>
          <w:lang w:eastAsia="zh-CN"/>
        </w:rPr>
        <w:br w:type="page"/>
      </w:r>
      <w:r>
        <w:rPr>
          <w:rFonts w:hint="default" w:ascii="Times New Roman" w:hAnsi="Times New Roman" w:eastAsia="微软雅黑" w:cs="Times New Roman"/>
          <w:sz w:val="24"/>
          <w:szCs w:val="24"/>
          <w:lang w:eastAsia="zh-CN"/>
        </w:rPr>
        <w:t>{% endif %}</w:t>
      </w:r>
    </w:p>
    <w:bookmarkEnd w:id="73"/>
    <w:bookmarkEnd w:id="74"/>
    <w:bookmarkEnd w:id="75"/>
    <w:bookmarkEnd w:id="76"/>
    <w:bookmarkEnd w:id="77"/>
    <w:p>
      <w:pPr>
        <w:pStyle w:val="3"/>
        <w:numPr>
          <w:ilvl w:val="255"/>
          <w:numId w:val="0"/>
        </w:numPr>
        <w:jc w:val="left"/>
        <w:rPr>
          <w:rFonts w:hint="eastAsia"/>
          <w:color w:val="auto"/>
          <w:sz w:val="30"/>
          <w:lang w:eastAsia="zh-CN"/>
        </w:rPr>
      </w:pPr>
      <w:bookmarkStart w:id="88" w:name="_Toc18340"/>
      <w:bookmarkStart w:id="89" w:name="_Toc6736"/>
      <w:bookmarkStart w:id="90" w:name="_Toc29555"/>
      <w:bookmarkStart w:id="91" w:name="_Toc26103"/>
      <w:bookmarkStart w:id="92" w:name="_Toc22671"/>
      <w:bookmarkStart w:id="93" w:name="_Toc149837261"/>
      <w:bookmarkStart w:id="94" w:name="_Toc24038"/>
      <w:bookmarkStart w:id="95" w:name="_Hlk516758315"/>
      <w:bookmarkStart w:id="96" w:name="_Toc13489_WPSOffice_Level2"/>
      <w:bookmarkStart w:id="97" w:name="_Toc19810"/>
      <w:bookmarkStart w:id="98" w:name="_Toc19898_WPSOffice_Level2"/>
      <w:bookmarkStart w:id="99" w:name="_Toc10743"/>
      <w:r>
        <w:rPr>
          <w:rFonts w:hint="eastAsia"/>
          <w:color w:val="auto"/>
          <w:sz w:val="30"/>
          <w:lang w:eastAsia="zh-CN"/>
        </w:rPr>
        <w:t>免疫药物用药提示</w:t>
      </w:r>
      <w:bookmarkEnd w:id="88"/>
      <w:bookmarkEnd w:id="89"/>
      <w:bookmarkEnd w:id="90"/>
      <w:bookmarkEnd w:id="91"/>
      <w:bookmarkEnd w:id="92"/>
      <w:bookmarkEnd w:id="93"/>
      <w:bookmarkStart w:id="100" w:name="_Toc5824_WPSOffice_Level3"/>
    </w:p>
    <w:p>
      <w:pPr>
        <w:spacing w:before="120" w:beforeLines="50" w:after="192" w:afterLines="80"/>
        <w:outlineLvl w:val="9"/>
        <w:rPr>
          <w:rFonts w:ascii="Times New Roman" w:hAnsi="Times New Roman" w:eastAsia="微软雅黑" w:cs="Times New Roman"/>
          <w:b/>
          <w:sz w:val="24"/>
          <w:szCs w:val="24"/>
          <w:lang w:eastAsia="zh-CN"/>
        </w:rPr>
      </w:pPr>
      <w:bookmarkStart w:id="101" w:name="_Toc2577"/>
      <w:bookmarkStart w:id="102" w:name="_Toc3816"/>
      <w:bookmarkStart w:id="103" w:name="_Toc10994"/>
      <w:bookmarkStart w:id="104" w:name="_Toc24055"/>
      <w:r>
        <w:rPr>
          <w:rFonts w:hint="eastAsia" w:ascii="Times New Roman" w:hAnsi="Times New Roman" w:eastAsia="微软雅黑" w:cs="Times New Roman"/>
          <w:b/>
          <w:sz w:val="24"/>
          <w:szCs w:val="24"/>
          <w:lang w:eastAsia="zh-CN"/>
        </w:rPr>
        <w:t>免疫用药</w:t>
      </w:r>
      <w:r>
        <w:rPr>
          <w:rFonts w:ascii="Times New Roman" w:hAnsi="Times New Roman" w:eastAsia="微软雅黑" w:cs="Times New Roman"/>
          <w:b/>
          <w:sz w:val="24"/>
          <w:szCs w:val="24"/>
          <w:lang w:eastAsia="zh-CN"/>
        </w:rPr>
        <w:t>检测结果</w:t>
      </w:r>
      <w:bookmarkEnd w:id="101"/>
      <w:bookmarkEnd w:id="102"/>
      <w:bookmarkEnd w:id="103"/>
      <w:bookmarkEnd w:id="104"/>
    </w:p>
    <w:tbl>
      <w:tblPr>
        <w:tblStyle w:val="16"/>
        <w:tblW w:w="9938" w:type="dxa"/>
        <w:tblInd w:w="98" w:type="dxa"/>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1434"/>
        <w:gridCol w:w="2436"/>
        <w:gridCol w:w="2623"/>
        <w:gridCol w:w="3445"/>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trPr>
        <w:tc>
          <w:tcPr>
            <w:tcW w:w="3870" w:type="dxa"/>
            <w:gridSpan w:val="2"/>
            <w:tcBorders>
              <w:top w:val="nil"/>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lang w:eastAsia="zh-CN"/>
              </w:rPr>
            </w:pPr>
            <w:r>
              <w:rPr>
                <w:rFonts w:hint="eastAsia" w:ascii="Times New Roman" w:hAnsi="Times New Roman" w:eastAsia="微软雅黑" w:cs="Times New Roman"/>
                <w:b/>
                <w:bCs/>
                <w:color w:val="FFFFFF"/>
                <w:sz w:val="21"/>
                <w:szCs w:val="21"/>
                <w:lang w:eastAsia="zh-CN"/>
              </w:rPr>
              <w:t>检出指标/基因</w:t>
            </w:r>
          </w:p>
        </w:tc>
        <w:tc>
          <w:tcPr>
            <w:tcW w:w="2623" w:type="dxa"/>
            <w:tcBorders>
              <w:top w:val="nil"/>
              <w:left w:val="single" w:color="FFFFFF" w:sz="18" w:space="0"/>
              <w:bottom w:val="nil"/>
              <w:right w:val="single" w:color="FFFFFF" w:sz="18" w:space="0"/>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检测结果</w:t>
            </w:r>
          </w:p>
        </w:tc>
        <w:tc>
          <w:tcPr>
            <w:tcW w:w="3445" w:type="dxa"/>
            <w:tcBorders>
              <w:top w:val="nil"/>
              <w:left w:val="single" w:color="FFFFFF" w:sz="18" w:space="0"/>
              <w:bottom w:val="nil"/>
            </w:tcBorders>
            <w:shd w:val="clear" w:color="auto" w:fill="62B541"/>
            <w:vAlign w:val="center"/>
          </w:tcPr>
          <w:p>
            <w:pPr>
              <w:widowControl/>
              <w:snapToGrid w:val="0"/>
              <w:jc w:val="center"/>
              <w:textAlignment w:val="center"/>
              <w:rPr>
                <w:rFonts w:ascii="Times New Roman" w:hAnsi="Times New Roman" w:eastAsia="微软雅黑" w:cs="Times New Roman"/>
                <w:b/>
                <w:bCs/>
                <w:color w:val="FFFFFF"/>
                <w:sz w:val="21"/>
                <w:szCs w:val="21"/>
              </w:rPr>
            </w:pPr>
            <w:r>
              <w:rPr>
                <w:rStyle w:val="45"/>
                <w:rFonts w:hint="default" w:ascii="Times New Roman" w:hAnsi="Times New Roman" w:cs="Times New Roman"/>
                <w:lang w:eastAsia="zh-CN" w:bidi="ar"/>
              </w:rPr>
              <w:t>检测意义</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1134" w:hRule="atLeast"/>
        </w:trPr>
        <w:tc>
          <w:tcPr>
            <w:tcW w:w="3870" w:type="dxa"/>
            <w:gridSpan w:val="2"/>
            <w:shd w:val="clear" w:color="auto" w:fill="auto"/>
            <w:vAlign w:val="center"/>
          </w:tcPr>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微卫星不稳定（</w:t>
            </w:r>
            <w:r>
              <w:rPr>
                <w:rStyle w:val="46"/>
                <w:rFonts w:eastAsia="微软雅黑"/>
                <w:lang w:eastAsia="zh-CN" w:bidi="ar"/>
              </w:rPr>
              <w:t>MSI</w:t>
            </w:r>
            <w:r>
              <w:rPr>
                <w:rStyle w:val="48"/>
                <w:rFonts w:hint="default" w:ascii="Times New Roman" w:hAnsi="Times New Roman" w:cs="Times New Roman"/>
                <w:lang w:eastAsia="zh-CN" w:bidi="ar"/>
              </w:rPr>
              <w:t>）</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445" w:type="dxa"/>
            <w:shd w:val="clear" w:color="auto" w:fill="auto"/>
            <w:vAlign w:val="center"/>
          </w:tcPr>
          <w:p>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47"/>
                <w:rFonts w:hint="default" w:ascii="Times New Roman" w:hAnsi="Times New Roman" w:cs="Times New Roman"/>
                <w:lang w:eastAsia="zh-CN" w:bidi="ar"/>
              </w:rPr>
              <w:t>微卫星不稳定型（</w:t>
            </w:r>
            <w:r>
              <w:rPr>
                <w:rStyle w:val="49"/>
                <w:rFonts w:eastAsia="微软雅黑"/>
                <w:lang w:eastAsia="zh-CN" w:bidi="ar"/>
              </w:rPr>
              <w:t>MSI-H</w:t>
            </w:r>
            <w:r>
              <w:rPr>
                <w:rStyle w:val="47"/>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restart"/>
            <w:shd w:val="clear" w:color="auto" w:fill="auto"/>
            <w:vAlign w:val="center"/>
          </w:tcPr>
          <w:p>
            <w:pPr>
              <w:widowControl/>
              <w:snapToGrid w:val="0"/>
              <w:jc w:val="center"/>
              <w:textAlignment w:val="center"/>
              <w:rPr>
                <w:rStyle w:val="48"/>
                <w:rFonts w:hint="default" w:ascii="Times New Roman" w:hAnsi="Times New Roman" w:cs="Times New Roman"/>
                <w:lang w:eastAsia="zh-CN" w:bidi="ar"/>
              </w:rPr>
            </w:pPr>
            <w:r>
              <w:rPr>
                <w:rStyle w:val="48"/>
                <w:rFonts w:hint="default" w:ascii="Times New Roman" w:hAnsi="Times New Roman" w:cs="Times New Roman"/>
                <w:lang w:eastAsia="zh-CN" w:bidi="ar"/>
              </w:rPr>
              <w:t>错配修复（</w:t>
            </w:r>
            <w:r>
              <w:rPr>
                <w:rStyle w:val="46"/>
                <w:rFonts w:eastAsia="微软雅黑"/>
                <w:lang w:eastAsia="zh-CN" w:bidi="ar"/>
              </w:rPr>
              <w:t>MMR</w:t>
            </w:r>
            <w:r>
              <w:rPr>
                <w:rStyle w:val="48"/>
                <w:rFonts w:hint="default" w:ascii="Times New Roman" w:hAnsi="Times New Roman" w:cs="Times New Roman"/>
                <w:lang w:eastAsia="zh-CN" w:bidi="ar"/>
              </w:rPr>
              <w:t>）</w:t>
            </w:r>
          </w:p>
          <w:p>
            <w:pPr>
              <w:widowControl/>
              <w:snapToGrid w:val="0"/>
              <w:jc w:val="center"/>
              <w:textAlignment w:val="center"/>
              <w:rPr>
                <w:rFonts w:ascii="Times New Roman" w:hAnsi="Times New Roman" w:eastAsia="微软雅黑" w:cs="Times New Roman"/>
                <w:b/>
                <w:bCs/>
                <w:color w:val="000000"/>
                <w:sz w:val="21"/>
                <w:szCs w:val="21"/>
                <w:lang w:eastAsia="zh-CN"/>
              </w:rPr>
            </w:pPr>
            <w:r>
              <w:rPr>
                <w:rStyle w:val="48"/>
                <w:rFonts w:hint="default" w:ascii="Times New Roman" w:hAnsi="Times New Roman" w:cs="Times New Roman"/>
                <w:lang w:eastAsia="zh-CN" w:bidi="ar"/>
              </w:rPr>
              <w:t>基因</w:t>
            </w: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MLH1</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dmmr.dmmrMLH1 %}{%if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restart"/>
            <w:shd w:val="clear" w:color="auto" w:fill="auto"/>
            <w:vAlign w:val="center"/>
          </w:tcPr>
          <w:p>
            <w:pPr>
              <w:snapToGrid w:val="0"/>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dmmr.detectionSignificance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w:t>
            </w:r>
            <w:r>
              <w:rPr>
                <w:rFonts w:hint="eastAsia" w:ascii="Times New Roman" w:hAnsi="Times New Roman" w:eastAsia="微软雅黑" w:cs="Times New Roman"/>
                <w:sz w:val="21"/>
                <w:szCs w:val="21"/>
                <w:lang w:eastAsia="zh-CN"/>
              </w:rPr>
              <w:t>2 %}{%if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MSH6</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dmmr.dmmrM</w:t>
            </w:r>
            <w:r>
              <w:rPr>
                <w:rStyle w:val="49"/>
                <w:rFonts w:eastAsia="微软雅黑"/>
                <w:color w:val="auto"/>
                <w:lang w:eastAsia="zh-CN" w:bidi="ar"/>
              </w:rPr>
              <w:t>SH6</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trPr>
        <w:tc>
          <w:tcPr>
            <w:tcW w:w="1434" w:type="dxa"/>
            <w:vMerge w:val="continue"/>
            <w:shd w:val="clear" w:color="auto" w:fill="auto"/>
            <w:vAlign w:val="center"/>
          </w:tcPr>
          <w:p>
            <w:pPr>
              <w:snapToGrid w:val="0"/>
              <w:jc w:val="center"/>
              <w:rPr>
                <w:rFonts w:ascii="Times New Roman" w:hAnsi="Times New Roman" w:eastAsia="微软雅黑" w:cs="Times New Roman"/>
                <w:b/>
                <w:bCs/>
                <w:color w:val="000000"/>
                <w:sz w:val="21"/>
                <w:szCs w:val="21"/>
              </w:rPr>
            </w:pPr>
          </w:p>
        </w:tc>
        <w:tc>
          <w:tcPr>
            <w:tcW w:w="2436" w:type="dxa"/>
            <w:shd w:val="clear" w:color="auto" w:fill="auto"/>
            <w:vAlign w:val="center"/>
          </w:tcPr>
          <w:p>
            <w:pPr>
              <w:widowControl/>
              <w:snapToGrid w:val="0"/>
              <w:textAlignment w:val="center"/>
              <w:rPr>
                <w:rFonts w:ascii="Times New Roman" w:hAnsi="Times New Roman" w:eastAsia="微软雅黑" w:cs="Times New Roman"/>
                <w:color w:val="000000"/>
                <w:sz w:val="21"/>
                <w:szCs w:val="21"/>
              </w:rPr>
            </w:pPr>
            <w:r>
              <w:rPr>
                <w:rStyle w:val="49"/>
                <w:rFonts w:eastAsia="微软雅黑"/>
                <w:lang w:eastAsia="zh-CN" w:bidi="ar"/>
              </w:rPr>
              <w:t>PMS2</w:t>
            </w:r>
            <w:r>
              <w:rPr>
                <w:rStyle w:val="49"/>
                <w:rFonts w:hint="eastAsia" w:eastAsia="微软雅黑"/>
                <w:lang w:eastAsia="zh-CN" w:bidi="ar"/>
              </w:rPr>
              <w:t>失活突变</w:t>
            </w:r>
          </w:p>
        </w:tc>
        <w:tc>
          <w:tcPr>
            <w:tcW w:w="2623" w:type="dxa"/>
            <w:shd w:val="clear" w:color="auto" w:fill="auto"/>
            <w:vAlign w:val="center"/>
          </w:tcPr>
          <w:p>
            <w:pPr>
              <w:widowControl/>
              <w:snapToGrid w:val="0"/>
              <w:jc w:val="center"/>
              <w:textAlignment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{%for i in dmmr.dmmr</w:t>
            </w:r>
            <w:r>
              <w:rPr>
                <w:rStyle w:val="49"/>
                <w:rFonts w:eastAsia="微软雅黑"/>
                <w:color w:val="auto"/>
                <w:lang w:eastAsia="zh-CN" w:bidi="ar"/>
              </w:rPr>
              <w:t>PMS2</w:t>
            </w:r>
            <w:r>
              <w:rPr>
                <w:rFonts w:hint="eastAsia" w:ascii="Times New Roman" w:hAnsi="Times New Roman" w:eastAsia="微软雅黑" w:cs="Times New Roman"/>
                <w:sz w:val="21"/>
                <w:szCs w:val="21"/>
                <w:lang w:eastAsia="zh-CN"/>
              </w:rPr>
              <w:t xml:space="preserve"> %}{%if loop.last%}{{ i }}{%else%}{{ i }}</w:t>
            </w:r>
          </w:p>
          <w:p>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{%endif%}{% endfor %}</w:t>
            </w:r>
          </w:p>
        </w:tc>
        <w:tc>
          <w:tcPr>
            <w:tcW w:w="3445" w:type="dxa"/>
            <w:vMerge w:val="continue"/>
            <w:shd w:val="clear" w:color="auto" w:fill="auto"/>
            <w:vAlign w:val="center"/>
          </w:tcPr>
          <w:p>
            <w:pPr>
              <w:snapToGrid w:val="0"/>
              <w:jc w:val="both"/>
              <w:rPr>
                <w:rFonts w:ascii="Times New Roman" w:hAnsi="Times New Roman" w:eastAsia="微软雅黑" w:cs="Times New Roman"/>
                <w:color w:val="000000"/>
                <w:sz w:val="21"/>
                <w:szCs w:val="21"/>
              </w:rPr>
            </w:pPr>
          </w:p>
        </w:tc>
      </w:tr>
    </w:tbl>
    <w:p>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pPr>
        <w:pStyle w:val="8"/>
        <w:numPr>
          <w:ilvl w:val="0"/>
          <w:numId w:val="11"/>
        </w:numPr>
        <w:rPr>
          <w:rFonts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“-”表示本次检测未发现相关变异。</w:t>
      </w:r>
    </w:p>
    <w:bookmarkEnd w:id="100"/>
    <w:p>
      <w:pPr>
        <w:rPr>
          <w:sz w:val="30"/>
          <w:lang w:eastAsia="zh-CN"/>
        </w:rPr>
      </w:pPr>
      <w:r>
        <w:rPr>
          <w:rFonts w:hint="eastAsia"/>
          <w:sz w:val="30"/>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 xml:space="preserve"> != </w:t>
      </w:r>
      <w:r>
        <w:rPr>
          <w:rFonts w:ascii="Times New Roman" w:hAnsi="Times New Roman" w:eastAsia="微软雅黑" w:cs="Times New Roman"/>
          <w:sz w:val="24"/>
          <w:szCs w:val="24"/>
          <w:lang w:eastAsia="zh-CN"/>
        </w:rPr>
        <w:t>undefined</w:t>
      </w:r>
      <w:r>
        <w:rPr>
          <w:rFonts w:hint="eastAsia" w:ascii="Times New Roman" w:hAnsi="Times New Roman" w:eastAsia="微软雅黑" w:cs="Times New Roman"/>
          <w:sz w:val="24"/>
          <w:szCs w:val="24"/>
          <w:lang w:eastAsia="zh-CN"/>
        </w:rPr>
        <w:t xml:space="preserve"> %}</w:t>
      </w:r>
    </w:p>
    <w:p>
      <w:pPr>
        <w:pStyle w:val="3"/>
        <w:numPr>
          <w:ilvl w:val="255"/>
          <w:numId w:val="0"/>
        </w:numPr>
        <w:jc w:val="left"/>
        <w:rPr>
          <w:rFonts w:hint="eastAsia"/>
          <w:color w:val="auto"/>
          <w:sz w:val="30"/>
          <w:lang w:eastAsia="zh-CN"/>
        </w:rPr>
      </w:pPr>
      <w:bookmarkStart w:id="105" w:name="_Toc1361"/>
      <w:bookmarkStart w:id="106" w:name="_Toc10223"/>
      <w:bookmarkStart w:id="107" w:name="_Toc149837262"/>
      <w:bookmarkStart w:id="108" w:name="_Toc9691"/>
      <w:bookmarkStart w:id="109" w:name="_Toc19763"/>
      <w:bookmarkStart w:id="110" w:name="_Toc106719764"/>
      <w:bookmarkStart w:id="111" w:name="_Toc819"/>
      <w:bookmarkStart w:id="112" w:name="_Toc20034"/>
      <w:bookmarkStart w:id="113" w:name="_Toc4455"/>
      <w:r>
        <w:rPr>
          <w:rFonts w:hint="eastAsia"/>
          <w:color w:val="auto"/>
          <w:sz w:val="30"/>
          <w:lang w:eastAsia="zh-CN"/>
        </w:rPr>
        <w:t>PD-L1检测结果</w:t>
      </w:r>
      <w:bookmarkEnd w:id="105"/>
      <w:bookmarkEnd w:id="106"/>
      <w:bookmarkEnd w:id="107"/>
      <w:bookmarkEnd w:id="108"/>
      <w:bookmarkEnd w:id="109"/>
      <w:bookmarkEnd w:id="110"/>
      <w:bookmarkEnd w:id="111"/>
      <w:bookmarkEnd w:id="112"/>
      <w:bookmarkEnd w:id="113"/>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组织切片质控：</w:t>
      </w:r>
    </w:p>
    <w:tbl>
      <w:tblPr>
        <w:tblStyle w:val="17"/>
        <w:tblW w:w="10206" w:type="dxa"/>
        <w:jc w:val="center"/>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autofit"/>
        <w:tblCellMar>
          <w:top w:w="0" w:type="dxa"/>
          <w:left w:w="108" w:type="dxa"/>
          <w:bottom w:w="0" w:type="dxa"/>
          <w:right w:w="108" w:type="dxa"/>
        </w:tblCellMar>
      </w:tblPr>
      <w:tblGrid>
        <w:gridCol w:w="3431"/>
        <w:gridCol w:w="6775"/>
      </w:tblGrid>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3431" w:type="dxa"/>
            <w:tcBorders>
              <w:top w:val="single" w:color="A4A4A4" w:sz="4" w:space="0"/>
              <w:left w:val="nil"/>
              <w:bottom w:val="single" w:color="A4A4A4" w:sz="4" w:space="0"/>
              <w:right w:val="single" w:color="A4A4A4" w:sz="4" w:space="0"/>
              <w:tl2br w:val="nil"/>
              <w:tr2bl w:val="nil"/>
            </w:tcBorders>
            <w:vAlign w:val="center"/>
          </w:tcPr>
          <w:p>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op w:val="single" w:color="A4A4A4" w:sz="4" w:space="0"/>
              <w:left w:val="single" w:color="A4A4A4" w:sz="4" w:space="0"/>
              <w:bottom w:val="single" w:color="A4A4A4" w:sz="4" w:space="0"/>
              <w:right w:val="nil"/>
              <w:tl2br w:val="nil"/>
              <w:tr2bl w:val="nil"/>
            </w:tcBorders>
            <w:vAlign w:val="center"/>
          </w:tcPr>
          <w:p>
            <w:pPr>
              <w:pStyle w:val="42"/>
            </w:pPr>
            <w:r>
              <w:rPr>
                <w:rFonts w:hint="eastAsia"/>
              </w:rPr>
              <w:t>{{</w:t>
            </w:r>
            <w:r>
              <w:t xml:space="preserve"> PDInfo</w:t>
            </w:r>
            <w:r>
              <w:rPr>
                <w:rFonts w:hint="eastAsia"/>
              </w:rPr>
              <w:t>.</w:t>
            </w:r>
            <w:r>
              <w:t>Tumor_cell_count</w:t>
            </w:r>
            <w:r>
              <w:rPr>
                <w:rFonts w:hint="eastAsia"/>
              </w:rPr>
              <w:t xml:space="preserve"> }}</w:t>
            </w:r>
          </w:p>
        </w:tc>
      </w:tr>
      <w:tr>
        <w:tblPrEx>
          <w:tblBorders>
            <w:top w:val="single" w:color="7E7E7E" w:themeColor="background1" w:themeShade="7F" w:sz="12"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jc w:val="center"/>
        </w:trPr>
        <w:tc>
          <w:tcPr>
            <w:tcW w:w="10206" w:type="dxa"/>
            <w:gridSpan w:val="2"/>
            <w:tcBorders>
              <w:top w:val="single" w:color="A4A4A4" w:sz="4" w:space="0"/>
              <w:left w:val="nil"/>
              <w:bottom w:val="single" w:color="A4A4A4" w:sz="4" w:space="0"/>
              <w:right w:val="nil"/>
              <w:tl2br w:val="nil"/>
              <w:tr2bl w:val="nil"/>
            </w:tcBorders>
          </w:tcPr>
          <w:p>
            <w:pPr>
              <w:pStyle w:val="43"/>
            </w:pPr>
            <w:r>
              <w:t>镜下描述：</w:t>
            </w:r>
            <w:r>
              <w:rPr>
                <w:rFonts w:hint="eastAsia"/>
              </w:rPr>
              <w:t>{{</w:t>
            </w:r>
            <w:r>
              <w:t xml:space="preserve"> PDInfo</w:t>
            </w:r>
            <w:r>
              <w:rPr>
                <w:rFonts w:hint="eastAsia"/>
              </w:rPr>
              <w:t>.</w:t>
            </w:r>
            <w:r>
              <w:t>Seen_microscopically</w:t>
            </w:r>
            <w:r>
              <w:rPr>
                <w:rFonts w:hint="eastAsia"/>
              </w:rPr>
              <w:t xml:space="preserve"> }}</w:t>
            </w:r>
          </w:p>
        </w:tc>
      </w:tr>
    </w:tbl>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检测结果：</w:t>
      </w:r>
    </w:p>
    <w:tbl>
      <w:tblPr>
        <w:tblStyle w:val="16"/>
        <w:tblW w:w="10204" w:type="dxa"/>
        <w:jc w:val="center"/>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Layout w:type="fixed"/>
        <w:tblCellMar>
          <w:top w:w="0" w:type="dxa"/>
          <w:left w:w="108" w:type="dxa"/>
          <w:bottom w:w="0" w:type="dxa"/>
          <w:right w:w="108" w:type="dxa"/>
        </w:tblCellMar>
      </w:tblPr>
      <w:tblGrid>
        <w:gridCol w:w="2194"/>
        <w:gridCol w:w="2127"/>
        <w:gridCol w:w="2190"/>
        <w:gridCol w:w="3693"/>
      </w:tblGrid>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388" w:hRule="exact"/>
          <w:jc w:val="center"/>
        </w:trPr>
        <w:tc>
          <w:tcPr>
            <w:tcW w:w="2194" w:type="dxa"/>
            <w:tcBorders>
              <w:top w:val="nil"/>
              <w:left w:val="nil"/>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检测项目</w:t>
            </w:r>
          </w:p>
        </w:tc>
        <w:tc>
          <w:tcPr>
            <w:tcW w:w="2127" w:type="dxa"/>
            <w:tcBorders>
              <w:top w:val="nil"/>
              <w:left w:val="single" w:color="FFFFFF" w:sz="18" w:space="0"/>
              <w:bottom w:val="nil"/>
              <w:right w:val="single" w:color="FFFFFF" w:sz="18" w:space="0"/>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检测方法</w:t>
            </w:r>
          </w:p>
        </w:tc>
        <w:tc>
          <w:tcPr>
            <w:tcW w:w="2190" w:type="dxa"/>
            <w:tcBorders>
              <w:top w:val="nil"/>
              <w:left w:val="single" w:color="FFFFFF" w:sz="18" w:space="0"/>
              <w:bottom w:val="nil"/>
              <w:right w:val="single" w:color="FFFFFF" w:sz="18" w:space="0"/>
              <w:tl2br w:val="nil"/>
              <w:tr2bl w:val="nil"/>
            </w:tcBorders>
            <w:shd w:val="clear" w:color="auto" w:fill="62B541"/>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检测抗体</w:t>
            </w:r>
          </w:p>
        </w:tc>
        <w:tc>
          <w:tcPr>
            <w:tcW w:w="3693" w:type="dxa"/>
            <w:tcBorders>
              <w:top w:val="nil"/>
              <w:left w:val="single" w:color="FFFFFF" w:sz="18" w:space="0"/>
              <w:bottom w:val="nil"/>
              <w:right w:val="nil"/>
              <w:tl2br w:val="nil"/>
              <w:tr2bl w:val="nil"/>
            </w:tcBorders>
            <w:shd w:val="clear" w:color="auto" w:fill="62B541"/>
            <w:vAlign w:val="center"/>
          </w:tcPr>
          <w:p>
            <w:pPr>
              <w:jc w:val="center"/>
              <w:rPr>
                <w:rFonts w:ascii="Times New Roman" w:hAnsi="Times New Roman" w:eastAsia="微软雅黑" w:cs="Times New Roman"/>
                <w:b/>
                <w:bCs/>
                <w:color w:val="FFFFFF" w:themeColor="background1"/>
                <w:sz w:val="21"/>
                <w:szCs w:val="21"/>
                <w14:textFill>
                  <w14:solidFill>
                    <w14:schemeClr w14:val="bg1"/>
                  </w14:solidFill>
                </w14:textFill>
              </w:rPr>
            </w:pPr>
            <w:r>
              <w:rPr>
                <w:rFonts w:hint="eastAsia" w:ascii="Times New Roman" w:hAnsi="Times New Roman" w:eastAsia="微软雅黑" w:cs="Times New Roman"/>
                <w:b/>
                <w:bCs/>
                <w:color w:val="FFFFFF" w:themeColor="background1"/>
                <w:sz w:val="21"/>
                <w:szCs w:val="21"/>
                <w14:textFill>
                  <w14:solidFill>
                    <w14:schemeClr w14:val="bg1"/>
                  </w14:solidFill>
                </w14:textFill>
              </w:rPr>
              <w:t>检测结果</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8" w:hRule="atLeast"/>
          <w:jc w:val="center"/>
        </w:trPr>
        <w:tc>
          <w:tcPr>
            <w:tcW w:w="2194" w:type="dxa"/>
            <w:vMerge w:val="restart"/>
            <w:tcBorders>
              <w:top w:val="nil"/>
              <w:left w:val="nil"/>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op w:val="nil"/>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op w:val="nil"/>
              <w:left w:val="single" w:color="A4A4A4" w:sz="4" w:space="0"/>
              <w:bottom w:val="single" w:color="A4A4A4" w:sz="4" w:space="0"/>
              <w:right w:val="nil"/>
              <w:tl2br w:val="nil"/>
              <w:tr2bl w:val="nil"/>
            </w:tcBorders>
            <w:vAlign w:val="center"/>
          </w:tcPr>
          <w:p>
            <w:pPr>
              <w:pStyle w:val="44"/>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tblPrEx>
          <w:tblBorders>
            <w:top w:val="none" w:color="auto" w:sz="0" w:space="0"/>
            <w:left w:val="none" w:color="auto" w:sz="0" w:space="0"/>
            <w:bottom w:val="single" w:color="7E7E7E" w:themeColor="background1" w:themeShade="7F" w:sz="12" w:space="0"/>
            <w:right w:val="none" w:color="auto" w:sz="0" w:space="0"/>
            <w:insideH w:val="dotted" w:color="033F86" w:sz="4" w:space="0"/>
            <w:insideV w:val="dotted" w:color="033F86" w:sz="4" w:space="0"/>
          </w:tblBorders>
          <w:tblCellMar>
            <w:top w:w="0" w:type="dxa"/>
            <w:left w:w="108" w:type="dxa"/>
            <w:bottom w:w="0" w:type="dxa"/>
            <w:right w:w="108" w:type="dxa"/>
          </w:tblCellMar>
        </w:tblPrEx>
        <w:trPr>
          <w:trHeight w:val="217" w:hRule="atLeast"/>
          <w:jc w:val="center"/>
        </w:trPr>
        <w:tc>
          <w:tcPr>
            <w:tcW w:w="2194" w:type="dxa"/>
            <w:vMerge w:val="continue"/>
            <w:tcBorders>
              <w:top w:val="single" w:color="A4A4A4" w:sz="4" w:space="0"/>
              <w:left w:val="nil"/>
              <w:bottom w:val="single" w:color="A4A4A4" w:sz="4" w:space="0"/>
              <w:right w:val="single" w:color="A4A4A4" w:sz="4" w:space="0"/>
              <w:tl2br w:val="nil"/>
              <w:tr2bl w:val="nil"/>
            </w:tcBorders>
            <w:vAlign w:val="center"/>
          </w:tcPr>
          <w:p>
            <w:pPr>
              <w:spacing w:line="276" w:lineRule="auto"/>
              <w:jc w:val="center"/>
              <w:rPr>
                <w:rFonts w:ascii="微软雅黑" w:hAnsi="微软雅黑" w:eastAsia="微软雅黑" w:cs="微软雅黑"/>
                <w:color w:val="000000"/>
                <w:sz w:val="18"/>
                <w:szCs w:val="18"/>
              </w:rPr>
            </w:pPr>
          </w:p>
        </w:tc>
        <w:tc>
          <w:tcPr>
            <w:tcW w:w="2127"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2190" w:type="dxa"/>
            <w:vMerge w:val="continue"/>
            <w:tcBorders>
              <w:top w:val="single" w:color="A4A4A4" w:sz="4" w:space="0"/>
              <w:left w:val="single" w:color="A4A4A4" w:sz="4" w:space="0"/>
              <w:bottom w:val="single" w:color="A4A4A4" w:sz="4" w:space="0"/>
              <w:right w:val="single" w:color="A4A4A4" w:sz="4" w:space="0"/>
              <w:tl2br w:val="nil"/>
              <w:tr2bl w:val="nil"/>
            </w:tcBorders>
            <w:vAlign w:val="center"/>
          </w:tcPr>
          <w:p>
            <w:pPr>
              <w:spacing w:line="276" w:lineRule="auto"/>
              <w:jc w:val="center"/>
              <w:rPr>
                <w:rFonts w:ascii="Times New Roman" w:hAnsi="Times New Roman" w:eastAsia="微软雅黑" w:cs="Times New Roman"/>
                <w:sz w:val="18"/>
                <w:szCs w:val="18"/>
              </w:rPr>
            </w:pPr>
          </w:p>
        </w:tc>
        <w:tc>
          <w:tcPr>
            <w:tcW w:w="3693" w:type="dxa"/>
            <w:tcBorders>
              <w:top w:val="single" w:color="A4A4A4" w:sz="4" w:space="0"/>
              <w:left w:val="single" w:color="A4A4A4" w:sz="4" w:space="0"/>
              <w:bottom w:val="single" w:color="A4A4A4" w:sz="4" w:space="0"/>
              <w:right w:val="nil"/>
              <w:tl2br w:val="nil"/>
              <w:tr2bl w:val="nil"/>
            </w:tcBorders>
            <w:vAlign w:val="center"/>
          </w:tcPr>
          <w:p>
            <w:pPr>
              <w:pStyle w:val="44"/>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pPr>
        <w:spacing w:line="276" w:lineRule="auto"/>
        <w:ind w:right="449" w:rightChars="204"/>
        <w:rPr>
          <w:rFonts w:ascii="微软雅黑" w:hAnsi="微软雅黑" w:eastAsia="微软雅黑" w:cs="微软雅黑"/>
          <w:b/>
          <w:color w:val="000000"/>
          <w:sz w:val="18"/>
          <w:szCs w:val="18"/>
        </w:rPr>
      </w:pPr>
    </w:p>
    <w:p>
      <w:pPr>
        <w:ind w:firstLine="240" w:firstLineChars="100"/>
        <w:rPr>
          <w:rFonts w:ascii="Times New Roman" w:hAnsi="Times New Roman" w:eastAsia="微软雅黑" w:cs="黑体"/>
          <w:b/>
          <w:bCs/>
          <w:color w:val="033F86"/>
          <w:sz w:val="24"/>
          <w:szCs w:val="30"/>
          <w:lang w:eastAsia="zh-CN"/>
        </w:rPr>
      </w:pPr>
      <w:r>
        <w:rPr>
          <w:rFonts w:ascii="Times New Roman" w:hAnsi="Times New Roman" w:eastAsia="微软雅黑" w:cs="黑体"/>
          <w:b/>
          <w:bCs/>
          <w:color w:val="62B541"/>
          <w:sz w:val="24"/>
          <w:szCs w:val="30"/>
          <w:lang w:eastAsia="zh-CN"/>
        </w:rPr>
        <w:t>检测图谱</w:t>
      </w:r>
      <w:r>
        <w:rPr>
          <w:rFonts w:hint="eastAsia" w:ascii="Times New Roman" w:hAnsi="Times New Roman" w:eastAsia="微软雅黑" w:cs="黑体"/>
          <w:b/>
          <w:bCs/>
          <w:color w:val="62B541"/>
          <w:sz w:val="24"/>
          <w:szCs w:val="30"/>
          <w:lang w:eastAsia="zh-CN"/>
        </w:rPr>
        <w:t>：</w:t>
      </w:r>
      <w:r>
        <w:rPr>
          <w:rFonts w:ascii="Times New Roman" w:hAnsi="Times New Roman" w:eastAsia="微软雅黑" w:cs="黑体"/>
          <w:b/>
          <w:bCs/>
          <w:color w:val="033F86"/>
          <w:sz w:val="24"/>
          <w:szCs w:val="30"/>
          <w:lang w:eastAsia="zh-CN"/>
        </w:rPr>
        <w:t xml:space="preserve"> </w:t>
      </w:r>
    </w:p>
    <w:p>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1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17"/>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255"/>
        <w:gridCol w:w="4318"/>
        <w:gridCol w:w="1392"/>
        <w:gridCol w:w="7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pPr>
              <w:spacing w:line="276" w:lineRule="auto"/>
              <w:jc w:val="left"/>
              <w:rPr>
                <w:rFonts w:ascii="Times New Roman" w:hAnsi="Times New Roman" w:eastAsia="微软雅黑" w:cs="Times New Roman"/>
                <w:sz w:val="18"/>
                <w:szCs w:val="18"/>
                <w:shd w:val="clear" w:color="auto" w:fill="FFFFFF"/>
                <w:lang w:eastAsia="zh-CN"/>
              </w:rPr>
            </w:pPr>
          </w:p>
        </w:tc>
      </w:tr>
    </w:tbl>
    <w:p>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pPr>
        <w:spacing w:line="276" w:lineRule="auto"/>
        <w:ind w:left="172" w:leftChars="78" w:right="449" w:rightChars="204" w:firstLine="248"/>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eastAsia="zh-CN"/>
        </w:rPr>
        <w:t>.pdInfoTable != [] %}</w:t>
      </w:r>
    </w:p>
    <w:p>
      <w:pPr>
        <w:ind w:firstLine="240" w:firstLineChars="100"/>
        <w:rPr>
          <w:rFonts w:ascii="Times New Roman" w:hAnsi="Times New Roman" w:eastAsia="微软雅黑" w:cs="黑体"/>
          <w:b/>
          <w:bCs/>
          <w:color w:val="62B541"/>
          <w:sz w:val="24"/>
          <w:szCs w:val="30"/>
          <w:lang w:eastAsia="zh-CN"/>
        </w:rPr>
      </w:pPr>
      <w:r>
        <w:rPr>
          <w:rFonts w:hint="eastAsia" w:ascii="Times New Roman" w:hAnsi="Times New Roman" w:eastAsia="微软雅黑" w:cs="黑体"/>
          <w:b/>
          <w:bCs/>
          <w:color w:val="62B541"/>
          <w:sz w:val="24"/>
          <w:szCs w:val="30"/>
          <w:lang w:eastAsia="zh-CN"/>
        </w:rPr>
        <w:t>PD-L1表达阳性阈值：</w:t>
      </w:r>
    </w:p>
    <w:tbl>
      <w:tblPr>
        <w:tblStyle w:val="16"/>
        <w:tblW w:w="0" w:type="auto"/>
        <w:tblInd w:w="119" w:type="dxa"/>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Layout w:type="fixed"/>
        <w:tblCellMar>
          <w:top w:w="0" w:type="dxa"/>
          <w:left w:w="0" w:type="dxa"/>
          <w:bottom w:w="0" w:type="dxa"/>
          <w:right w:w="0" w:type="dxa"/>
        </w:tblCellMar>
      </w:tblPr>
      <w:tblGrid>
        <w:gridCol w:w="2043"/>
        <w:gridCol w:w="2093"/>
        <w:gridCol w:w="5504"/>
      </w:tblGrid>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510" w:hRule="atLeast"/>
        </w:trPr>
        <w:tc>
          <w:tcPr>
            <w:tcW w:w="2043" w:type="dxa"/>
            <w:tcBorders>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癌种</w:t>
            </w:r>
          </w:p>
        </w:tc>
        <w:tc>
          <w:tcPr>
            <w:tcW w:w="2093" w:type="dxa"/>
            <w:tcBorders>
              <w:left w:val="single" w:color="FFFFFF" w:themeColor="background1" w:sz="18" w:space="0"/>
              <w:bottom w:val="nil"/>
              <w:right w:val="single" w:color="FFFFFF" w:themeColor="background1" w:sz="18" w:space="0"/>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ascii="微软雅黑" w:hAnsi="微软雅黑" w:eastAsia="微软雅黑" w:cs="微软雅黑"/>
                <w:b/>
                <w:color w:val="FFFFFF"/>
                <w:lang w:val="zh-CN" w:eastAsia="zh-CN" w:bidi="zh-CN"/>
              </w:rPr>
              <w:t>判读标准</w:t>
            </w:r>
          </w:p>
        </w:tc>
        <w:tc>
          <w:tcPr>
            <w:tcW w:w="5504" w:type="dxa"/>
            <w:tcBorders>
              <w:left w:val="single" w:color="FFFFFF" w:themeColor="background1" w:sz="18" w:space="0"/>
              <w:bottom w:val="nil"/>
            </w:tcBorders>
            <w:shd w:val="clear" w:color="auto" w:fill="62B541"/>
            <w:vAlign w:val="center"/>
          </w:tcPr>
          <w:p>
            <w:pPr>
              <w:pStyle w:val="22"/>
              <w:keepNext w:val="0"/>
              <w:keepLines w:val="0"/>
              <w:pageBreakBefore w:val="0"/>
              <w:widowControl w:val="0"/>
              <w:kinsoku/>
              <w:wordWrap/>
              <w:overflowPunct/>
              <w:topLinePunct w:val="0"/>
              <w:autoSpaceDE w:val="0"/>
              <w:autoSpaceDN w:val="0"/>
              <w:bidi w:val="0"/>
              <w:adjustRightInd w:val="0"/>
              <w:snapToGrid w:val="0"/>
              <w:ind w:right="0"/>
              <w:jc w:val="center"/>
              <w:textAlignment w:val="auto"/>
              <w:rPr>
                <w:rFonts w:ascii="微软雅黑" w:hAnsi="微软雅黑" w:eastAsia="微软雅黑" w:cs="微软雅黑"/>
                <w:b/>
                <w:color w:val="FFFFFF"/>
                <w:lang w:val="zh-CN" w:eastAsia="zh-CN" w:bidi="zh-CN"/>
              </w:rPr>
            </w:pPr>
            <w:r>
              <w:rPr>
                <w:rFonts w:hint="eastAsia" w:ascii="微软雅黑" w:hAnsi="微软雅黑" w:eastAsia="微软雅黑" w:cs="微软雅黑"/>
                <w:b/>
                <w:color w:val="FFFFFF"/>
                <w:lang w:val="zh-CN" w:eastAsia="zh-CN" w:bidi="zh-CN"/>
              </w:rPr>
              <w:t>临床意义</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nil"/>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for pd in PDInfo.pdInfoTable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2043" w:type="dxa"/>
            <w:tcBorders>
              <w:top w:val="single" w:color="A4A4A4" w:themeColor="background1" w:themeShade="A5" w:sz="4" w:space="0"/>
              <w:left w:val="nil"/>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.disease_name }}</w:t>
            </w:r>
          </w:p>
        </w:tc>
        <w:tc>
          <w:tcPr>
            <w:tcW w:w="2093" w:type="dxa"/>
            <w:tcBorders>
              <w:top w:val="single" w:color="A4A4A4" w:themeColor="background1" w:themeShade="A5" w:sz="4" w:space="0"/>
              <w:left w:val="single" w:color="A4A4A4" w:themeColor="background1" w:themeShade="A5" w:sz="4" w:space="0"/>
              <w:bottom w:val="single" w:color="A4A4A4" w:themeColor="background1" w:themeShade="A5" w:sz="4" w:space="0"/>
              <w:right w:val="single" w:color="A4A4A4" w:themeColor="background1" w:themeShade="A5" w:sz="4" w:space="0"/>
            </w:tcBorders>
            <w:vAlign w:val="center"/>
          </w:tcPr>
          <w:p>
            <w:pPr>
              <w:pStyle w:val="22"/>
              <w:autoSpaceDE w:val="0"/>
              <w:autoSpaceDN w:val="0"/>
              <w:ind w:right="165"/>
              <w:jc w:val="center"/>
              <w:rPr>
                <w:rFonts w:ascii="微软雅黑" w:hAnsi="微软雅黑" w:eastAsia="微软雅黑" w:cs="微软雅黑"/>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.interpretive_standard }}</w:t>
            </w:r>
          </w:p>
        </w:tc>
        <w:tc>
          <w:tcPr>
            <w:tcW w:w="5504" w:type="dxa"/>
            <w:tcBorders>
              <w:top w:val="single" w:color="A4A4A4" w:themeColor="background1" w:themeShade="A5" w:sz="4" w:space="0"/>
              <w:left w:val="single" w:color="A4A4A4" w:themeColor="background1" w:themeShade="A5" w:sz="4" w:space="0"/>
              <w:bottom w:val="single" w:color="A4A4A4" w:themeColor="background1" w:themeShade="A5" w:sz="4" w:space="0"/>
              <w:right w:val="nil"/>
            </w:tcBorders>
            <w:vAlign w:val="center"/>
          </w:tcPr>
          <w:p>
            <w:pPr>
              <w:pStyle w:val="22"/>
              <w:keepNext w:val="0"/>
              <w:keepLines w:val="0"/>
              <w:pageBreakBefore w:val="0"/>
              <w:widowControl w:val="0"/>
              <w:kinsoku/>
              <w:wordWrap/>
              <w:overflowPunct/>
              <w:topLinePunct w:val="0"/>
              <w:autoSpaceDE w:val="0"/>
              <w:autoSpaceDN w:val="0"/>
              <w:bidi w:val="0"/>
              <w:adjustRightInd/>
              <w:snapToGrid/>
              <w:spacing w:before="1"/>
              <w:ind w:left="88" w:leftChars="40" w:right="113"/>
              <w:textAlignment w:val="auto"/>
              <w:rPr>
                <w:rFonts w:ascii="微软雅黑" w:hAnsi="微软雅黑" w:eastAsia="微软雅黑" w:cs="微软雅黑"/>
                <w:sz w:val="18"/>
                <w:szCs w:val="18"/>
                <w:lang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eastAsia="zh-CN"/>
              </w:rPr>
              <w:t>pd.</w:t>
            </w:r>
            <w:r>
              <w:rPr>
                <w:rFonts w:hint="eastAsia" w:ascii="微软雅黑" w:hAnsi="微软雅黑" w:eastAsia="微软雅黑" w:cs="微软雅黑"/>
                <w:sz w:val="18"/>
                <w:szCs w:val="18"/>
                <w:vertAlign w:val="superscript"/>
              </w:rPr>
              <w:t>superscript }}</w:t>
            </w:r>
          </w:p>
        </w:tc>
      </w:tr>
      <w:tr>
        <w:tblPrEx>
          <w:tblBorders>
            <w:top w:val="single" w:color="62B541" w:sz="4" w:space="0"/>
            <w:left w:val="single" w:color="62B541" w:sz="4" w:space="0"/>
            <w:bottom w:val="single" w:color="62B541" w:sz="4" w:space="0"/>
            <w:right w:val="single" w:color="62B541" w:sz="4" w:space="0"/>
            <w:insideH w:val="single" w:color="62B541" w:sz="4" w:space="0"/>
            <w:insideV w:val="single" w:color="62B541" w:sz="4" w:space="0"/>
          </w:tblBorders>
          <w:tblCellMar>
            <w:top w:w="0" w:type="dxa"/>
            <w:left w:w="0" w:type="dxa"/>
            <w:bottom w:w="0" w:type="dxa"/>
            <w:right w:w="0" w:type="dxa"/>
          </w:tblCellMar>
        </w:tblPrEx>
        <w:trPr>
          <w:trHeight w:val="0" w:hRule="atLeast"/>
        </w:trPr>
        <w:tc>
          <w:tcPr>
            <w:tcW w:w="9640" w:type="dxa"/>
            <w:gridSpan w:val="3"/>
            <w:tcBorders>
              <w:top w:val="single" w:color="A4A4A4" w:themeColor="background1" w:themeShade="A5" w:sz="4" w:space="0"/>
              <w:left w:val="nil"/>
              <w:bottom w:val="single" w:color="A4A4A4" w:themeColor="background1" w:themeShade="A5" w:sz="4" w:space="0"/>
              <w:right w:val="nil"/>
            </w:tcBorders>
            <w:vAlign w:val="center"/>
          </w:tcPr>
          <w:p>
            <w:pPr>
              <w:pStyle w:val="22"/>
              <w:autoSpaceDE w:val="0"/>
              <w:autoSpaceDN w:val="0"/>
              <w:spacing w:before="1"/>
              <w:ind w:right="115"/>
              <w:jc w:val="center"/>
              <w:rPr>
                <w:rFonts w:ascii="微软雅黑" w:hAnsi="微软雅黑" w:eastAsia="微软雅黑" w:cs="微软雅黑"/>
                <w:sz w:val="18"/>
                <w:szCs w:val="18"/>
                <w:lang w:eastAsia="zh-CN" w:bidi="zh-CN"/>
              </w:rPr>
            </w:pPr>
            <w:r>
              <w:rPr>
                <w:rFonts w:hint="eastAsia" w:ascii="Times New Roman" w:hAnsi="Times New Roman" w:eastAsia="微软雅黑" w:cs="Times New Roman"/>
                <w:bCs/>
                <w:sz w:val="18"/>
                <w:szCs w:val="18"/>
                <w:lang w:eastAsia="zh-CN"/>
              </w:rPr>
              <w:t>{%tr endfor %}</w:t>
            </w:r>
          </w:p>
        </w:tc>
      </w:tr>
    </w:tbl>
    <w:p>
      <w:pPr>
        <w:pStyle w:val="8"/>
        <w:spacing w:before="18"/>
        <w:rPr>
          <w:b/>
          <w:sz w:val="6"/>
        </w:rPr>
      </w:pPr>
    </w:p>
    <w:p>
      <w:pPr>
        <w:widowControl/>
        <w:ind w:firstLine="180" w:firstLineChars="100"/>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Cs/>
          <w:sz w:val="18"/>
          <w:szCs w:val="18"/>
          <w:lang w:eastAsia="zh-CN"/>
        </w:rPr>
        <w:t>PDInfo.superscript_remark == True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sz w:val="18"/>
          <w:szCs w:val="18"/>
          <w:lang w:bidi="zh-CN"/>
        </w:rPr>
        <w:t>[1]实体肿瘤</w:t>
      </w:r>
      <w:r>
        <w:rPr>
          <w:rFonts w:ascii="Times New Roman" w:hAnsi="Times New Roman" w:eastAsia="微软雅黑" w:cs="Times New Roman"/>
          <w:sz w:val="18"/>
          <w:szCs w:val="18"/>
          <w:lang w:bidi="zh-CN"/>
        </w:rPr>
        <w:t>PD-L1</w:t>
      </w:r>
      <w:r>
        <w:rPr>
          <w:rFonts w:hint="eastAsia" w:ascii="微软雅黑" w:hAnsi="微软雅黑" w:eastAsia="微软雅黑" w:cs="微软雅黑"/>
          <w:sz w:val="18"/>
          <w:szCs w:val="18"/>
          <w:lang w:bidi="zh-CN"/>
        </w:rPr>
        <w:t>免疫组织化学检测专家共识（</w:t>
      </w:r>
      <w:r>
        <w:rPr>
          <w:rFonts w:ascii="Times New Roman" w:hAnsi="Times New Roman" w:eastAsia="微软雅黑" w:cs="Times New Roman"/>
          <w:sz w:val="18"/>
          <w:szCs w:val="18"/>
          <w:lang w:bidi="zh-CN"/>
        </w:rPr>
        <w:t>2021</w:t>
      </w:r>
      <w:r>
        <w:rPr>
          <w:rFonts w:hint="eastAsia" w:ascii="微软雅黑" w:hAnsi="微软雅黑" w:eastAsia="微软雅黑" w:cs="微软雅黑"/>
          <w:sz w:val="18"/>
          <w:szCs w:val="18"/>
          <w:lang w:bidi="zh-CN"/>
        </w:rPr>
        <w:t>版）</w:t>
      </w:r>
      <w:r>
        <w:rPr>
          <w:rFonts w:hint="eastAsia" w:ascii="Times New Roman" w:hAnsi="Times New Roman" w:eastAsia="微软雅黑" w:cs="Times New Roman"/>
          <w:bCs/>
          <w:sz w:val="18"/>
          <w:szCs w:val="18"/>
          <w:lang w:eastAsia="zh-CN"/>
        </w:rPr>
        <w:t>{% endif %}</w:t>
      </w:r>
    </w:p>
    <w:p>
      <w:pPr>
        <w:widowControl/>
        <w:ind w:firstLine="180" w:firstLineChars="100"/>
        <w:rPr>
          <w:rFonts w:hint="eastAsia" w:ascii="Times New Roman" w:hAnsi="Times New Roman" w:eastAsia="微软雅黑" w:cs="Times New Roman"/>
          <w:bCs/>
          <w:sz w:val="18"/>
          <w:szCs w:val="18"/>
          <w:lang w:eastAsia="zh-CN"/>
        </w:rPr>
      </w:pPr>
      <w:r>
        <w:rPr>
          <w:rFonts w:hint="default" w:ascii="Times New Roman" w:hAnsi="Times New Roman" w:eastAsia="微软雅黑" w:cs="Times New Roman"/>
          <w:b/>
          <w:bCs/>
          <w:kern w:val="0"/>
          <w:sz w:val="18"/>
          <w:szCs w:val="18"/>
          <w:lang w:val="en-US" w:bidi="zh-CN"/>
        </w:rPr>
        <w:t>注：</w:t>
      </w:r>
      <w:r>
        <w:rPr>
          <w:rFonts w:hint="default" w:ascii="Times New Roman" w:hAnsi="Times New Roman" w:eastAsia="微软雅黑" w:cs="Times New Roman"/>
          <w:b w:val="0"/>
          <w:bCs w:val="0"/>
          <w:kern w:val="0"/>
          <w:sz w:val="18"/>
          <w:szCs w:val="18"/>
          <w:lang w:val="en-US" w:bidi="zh-CN"/>
        </w:rPr>
        <w:t>NMPA</w:t>
      </w:r>
      <w:r>
        <w:rPr>
          <w:rFonts w:hint="default"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bidi="zh-CN"/>
        </w:rPr>
        <w:t>国家药品监督管理局；FDA</w:t>
      </w:r>
      <w:r>
        <w:rPr>
          <w:rFonts w:hint="default" w:ascii="Times New Roman" w:hAnsi="Times New Roman" w:eastAsia="微软雅黑" w:cs="Times New Roman"/>
          <w:b w:val="0"/>
          <w:bCs w:val="0"/>
          <w:kern w:val="0"/>
          <w:sz w:val="18"/>
          <w:szCs w:val="18"/>
          <w:lang w:val="en-US" w:eastAsia="zh-CN" w:bidi="zh-CN"/>
        </w:rPr>
        <w:t>：美国食品药品管理局</w:t>
      </w:r>
      <w:r>
        <w:rPr>
          <w:rFonts w:hint="eastAsia" w:ascii="Times New Roman" w:hAnsi="Times New Roman" w:eastAsia="微软雅黑" w:cs="Times New Roman"/>
          <w:b w:val="0"/>
          <w:bCs w:val="0"/>
          <w:kern w:val="0"/>
          <w:sz w:val="18"/>
          <w:szCs w:val="18"/>
          <w:lang w:val="en-US" w:eastAsia="zh-CN" w:bidi="zh-CN"/>
        </w:rPr>
        <w:t>。</w:t>
      </w:r>
      <w:r>
        <w:rPr>
          <w:rFonts w:hint="default" w:ascii="Times New Roman" w:hAnsi="Times New Roman" w:eastAsia="微软雅黑" w:cs="Times New Roman"/>
          <w:b w:val="0"/>
          <w:bCs w:val="0"/>
          <w:kern w:val="0"/>
          <w:sz w:val="18"/>
          <w:szCs w:val="18"/>
          <w:lang w:val="en-US" w:eastAsia="zh-CN" w:bidi="zh-CN"/>
        </w:rPr>
        <w:t>信息来源：FDA/NMPA官网、药企官网发布信息。</w:t>
      </w:r>
    </w:p>
    <w:p>
      <w:pPr>
        <w:rPr>
          <w:rFonts w:ascii="Times New Roman" w:hAnsi="Times New Roman" w:eastAsia="微软雅黑" w:cs="Times New Roman"/>
          <w:b/>
          <w:color w:val="00B050"/>
          <w:sz w:val="24"/>
          <w:szCs w:val="24"/>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r>
        <w:rPr>
          <w:rFonts w:hint="eastAsia" w:ascii="Times New Roman" w:hAnsi="Times New Roman" w:eastAsia="微软雅黑" w:cs="Times New Roman"/>
          <w:bCs/>
          <w:sz w:val="24"/>
          <w:szCs w:val="24"/>
          <w:lang w:eastAsia="zh-CN"/>
        </w:rPr>
        <w:t>{% for ia in immuneAll %}</w:t>
      </w:r>
    </w:p>
    <w:tbl>
      <w:tblPr>
        <w:tblStyle w:val="16"/>
        <w:tblW w:w="9864" w:type="dxa"/>
        <w:jc w:val="center"/>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Layout w:type="fixed"/>
        <w:tblCellMar>
          <w:top w:w="0" w:type="dxa"/>
          <w:left w:w="0" w:type="dxa"/>
          <w:bottom w:w="0" w:type="dxa"/>
          <w:right w:w="0" w:type="dxa"/>
        </w:tblCellMar>
      </w:tblPr>
      <w:tblGrid>
        <w:gridCol w:w="3471"/>
        <w:gridCol w:w="3332"/>
        <w:gridCol w:w="3061"/>
      </w:tblGrid>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63" w:hRule="atLeast"/>
          <w:jc w:val="center"/>
        </w:trPr>
        <w:tc>
          <w:tcPr>
            <w:tcW w:w="347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for immune in ia.immuneList %}</w:t>
            </w:r>
          </w:p>
        </w:tc>
        <w:tc>
          <w:tcPr>
            <w:tcW w:w="3332"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b/>
                <w:color w:val="FFFFFF"/>
                <w:lang w:eastAsia="zh-CN"/>
              </w:rPr>
              <w:t>{% hm %}</w:t>
            </w:r>
            <w:r>
              <w:rPr>
                <w:rFonts w:ascii="Times New Roman" w:hAnsi="Times New Roman" w:eastAsia="微软雅黑" w:cs="Times New Roman"/>
                <w:b/>
                <w:color w:val="FFFFFF"/>
                <w:lang w:eastAsia="zh-CN"/>
              </w:rPr>
              <w:t>目前各癌种已批准的免疫治疗药物</w:t>
            </w:r>
          </w:p>
        </w:tc>
        <w:tc>
          <w:tcPr>
            <w:tcW w:w="3061" w:type="dxa"/>
            <w:tcBorders>
              <w:tl2br w:val="nil"/>
              <w:tr2bl w:val="nil"/>
            </w:tcBorders>
            <w:shd w:val="clear" w:color="auto" w:fill="62BC41"/>
            <w:vAlign w:val="center"/>
          </w:tcPr>
          <w:p>
            <w:pPr>
              <w:spacing w:line="240" w:lineRule="exact"/>
              <w:ind w:left="9"/>
              <w:jc w:val="center"/>
              <w:rPr>
                <w:rFonts w:ascii="Times New Roman" w:hAnsi="Times New Roman" w:eastAsia="微软雅黑" w:cs="Times New Roman"/>
                <w:b/>
                <w:color w:val="FFFFFF"/>
                <w:lang w:eastAsia="zh-CN"/>
              </w:rPr>
            </w:pPr>
            <w:r>
              <w:rPr>
                <w:rFonts w:hint="eastAsia" w:ascii="Times New Roman" w:hAnsi="Times New Roman" w:eastAsia="微软雅黑" w:cs="Times New Roman"/>
                <w:sz w:val="18"/>
                <w:szCs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for key in ia.immuneTableKey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lang w:eastAsia="zh-CN"/>
              </w:rPr>
              <w:t>{%tr if key == ‘desc1’ or key == ‘desc2’ or key == ‘desc3’ or key == ‘desc4’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347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for immune in ia.immuneList %}</w:t>
            </w:r>
          </w:p>
        </w:tc>
        <w:tc>
          <w:tcPr>
            <w:tcW w:w="3332"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 for i in immune[key] | nl() %}{%if loop.last%}{{ i }}{%else%}{{ i }}</w:t>
            </w:r>
          </w:p>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{%endif%}{% endfor%}</w:t>
            </w:r>
          </w:p>
        </w:tc>
        <w:tc>
          <w:tcPr>
            <w:tcW w:w="3061" w:type="dxa"/>
            <w:tcBorders>
              <w:tl2br w:val="nil"/>
              <w:tr2bl w:val="nil"/>
            </w:tcBorders>
            <w:shd w:val="clear" w:color="auto" w:fill="62BC41"/>
            <w:vAlign w:val="center"/>
          </w:tcPr>
          <w:p>
            <w:pPr>
              <w:spacing w:line="240" w:lineRule="exact"/>
              <w:ind w:left="8"/>
              <w:jc w:val="center"/>
              <w:rPr>
                <w:rFonts w:ascii="Times New Roman" w:hAnsi="Times New Roman" w:eastAsia="微软雅黑" w:cs="Times New Roman"/>
                <w:b/>
                <w:color w:val="FFFFFF"/>
                <w:sz w:val="18"/>
                <w:lang w:eastAsia="zh-CN"/>
              </w:rPr>
            </w:pPr>
            <w:r>
              <w:rPr>
                <w:rFonts w:hint="eastAsia" w:ascii="Times New Roman" w:hAnsi="Times New Roman" w:eastAsia="微软雅黑" w:cs="Times New Roman"/>
                <w:b/>
                <w:color w:val="FFFFFF"/>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41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else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347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for imm</w:t>
            </w:r>
            <w:r>
              <w:rPr>
                <w:rFonts w:hint="eastAsia" w:ascii="Times New Roman" w:hAnsi="Times New Roman" w:eastAsia="微软雅黑" w:cs="Times New Roman"/>
                <w:sz w:val="18"/>
                <w:szCs w:val="18"/>
                <w:lang w:eastAsia="zh-CN"/>
              </w:rPr>
              <w:t xml:space="preserve">une in ia.immuneList </w:t>
            </w:r>
            <w:r>
              <w:rPr>
                <w:rFonts w:hint="eastAsia" w:ascii="Times New Roman" w:hAnsi="Times New Roman" w:eastAsia="微软雅黑" w:cs="Times New Roman"/>
                <w:sz w:val="18"/>
                <w:lang w:eastAsia="zh-CN"/>
              </w:rPr>
              <w:t>%}</w:t>
            </w:r>
          </w:p>
        </w:tc>
        <w:tc>
          <w:tcPr>
            <w:tcW w:w="3332"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 for i in immune[key] | nl() %}{%if loop.last%}{{ i }}{%else%}{{ i }}</w:t>
            </w:r>
          </w:p>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{%endif%}{% endfor%}</w:t>
            </w:r>
          </w:p>
        </w:tc>
        <w:tc>
          <w:tcPr>
            <w:tcW w:w="3061" w:type="dxa"/>
            <w:tcBorders>
              <w:tl2br w:val="nil"/>
              <w:tr2bl w:val="nil"/>
            </w:tcBorders>
            <w:shd w:val="clear" w:color="auto" w:fill="auto"/>
            <w:vAlign w:val="center"/>
          </w:tcPr>
          <w:p>
            <w:pPr>
              <w:spacing w:line="240" w:lineRule="exact"/>
              <w:ind w:left="82" w:right="74"/>
              <w:jc w:val="center"/>
              <w:rPr>
                <w:rFonts w:ascii="Times New Roman" w:hAnsi="Times New Roman" w:eastAsia="微软雅黑" w:cs="Times New Roman"/>
                <w:sz w:val="18"/>
                <w:lang w:eastAsia="zh-CN"/>
              </w:rPr>
            </w:pPr>
            <w:r>
              <w:rPr>
                <w:rFonts w:hint="eastAsia" w:ascii="Times New Roman" w:hAnsi="Times New Roman" w:eastAsia="微软雅黑" w:cs="Times New Roman"/>
                <w:sz w:val="18"/>
                <w:lang w:eastAsia="zh-CN"/>
              </w:rPr>
              <w:t>{%tc endfor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endif %}</w:t>
            </w:r>
          </w:p>
        </w:tc>
      </w:tr>
      <w:tr>
        <w:tblPrEx>
          <w:tblBorders>
            <w:top w:val="dotted" w:color="A5A5A5" w:themeColor="accent3" w:sz="4" w:space="0"/>
            <w:left w:val="dotted" w:color="A5A5A5" w:themeColor="accent3" w:sz="4" w:space="0"/>
            <w:bottom w:val="dotted" w:color="A5A5A5" w:themeColor="accent3" w:sz="4" w:space="0"/>
            <w:right w:val="dotted" w:color="A5A5A5" w:themeColor="accent3" w:sz="4" w:space="0"/>
            <w:insideH w:val="dotted" w:color="A5A5A5" w:themeColor="accent3" w:sz="4" w:space="0"/>
            <w:insideV w:val="dotted" w:color="A5A5A5" w:themeColor="accent3" w:sz="4" w:space="0"/>
          </w:tblBorders>
          <w:tblCellMar>
            <w:top w:w="0" w:type="dxa"/>
            <w:left w:w="0" w:type="dxa"/>
            <w:bottom w:w="0" w:type="dxa"/>
            <w:right w:w="0" w:type="dxa"/>
          </w:tblCellMar>
        </w:tblPrEx>
        <w:trPr>
          <w:trHeight w:val="349" w:hRule="atLeast"/>
          <w:jc w:val="center"/>
        </w:trPr>
        <w:tc>
          <w:tcPr>
            <w:tcW w:w="9864" w:type="dxa"/>
            <w:gridSpan w:val="3"/>
            <w:tcBorders>
              <w:tl2br w:val="nil"/>
              <w:tr2bl w:val="nil"/>
            </w:tcBorders>
            <w:shd w:val="clear" w:color="auto" w:fill="auto"/>
            <w:vAlign w:val="center"/>
          </w:tcPr>
          <w:p>
            <w:pPr>
              <w:spacing w:line="240" w:lineRule="exact"/>
              <w:ind w:left="8"/>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{%tr endfor %}</w:t>
            </w:r>
          </w:p>
        </w:tc>
      </w:tr>
    </w:tbl>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注：</w:t>
      </w:r>
      <w:r>
        <w:rPr>
          <w:rFonts w:hint="eastAsia" w:ascii="Times New Roman" w:hAnsi="Times New Roman" w:eastAsia="微软雅黑" w:cs="Times New Roman"/>
          <w:sz w:val="18"/>
          <w:szCs w:val="18"/>
          <w:lang w:eastAsia="zh-CN"/>
        </w:rPr>
        <w:t>表中已获批药物包括单药获批药物和联药获批药物。信息来源：FDA/NMPA官网、药企官网发布信息</w:t>
      </w:r>
      <w:r>
        <w:rPr>
          <w:rFonts w:ascii="Times New Roman" w:hAnsi="Times New Roman" w:eastAsia="微软雅黑" w:cs="Times New Roman"/>
          <w:sz w:val="18"/>
          <w:szCs w:val="18"/>
          <w:lang w:eastAsia="zh-CN"/>
        </w:rPr>
        <w:t>。</w:t>
      </w:r>
    </w:p>
    <w:p>
      <w:pP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br w:type="page"/>
      </w:r>
      <w:r>
        <w:rPr>
          <w:rFonts w:hint="eastAsia" w:ascii="Times New Roman" w:hAnsi="Times New Roman" w:eastAsia="微软雅黑" w:cs="Times New Roman"/>
          <w:sz w:val="24"/>
          <w:szCs w:val="24"/>
          <w:lang w:eastAsia="zh-CN"/>
        </w:rPr>
        <w:t>{% endfor %}</w:t>
      </w:r>
    </w:p>
    <w:bookmarkEnd w:id="94"/>
    <w:bookmarkEnd w:id="95"/>
    <w:bookmarkEnd w:id="96"/>
    <w:bookmarkEnd w:id="97"/>
    <w:bookmarkEnd w:id="98"/>
    <w:bookmarkEnd w:id="99"/>
    <w:p>
      <w:pPr>
        <w:pStyle w:val="2"/>
        <w:numPr>
          <w:ilvl w:val="255"/>
          <w:numId w:val="0"/>
        </w:numPr>
        <w:jc w:val="left"/>
        <w:rPr>
          <w:color w:val="62B541"/>
          <w:sz w:val="32"/>
          <w14:shadow w14:blurRad="50800" w14:dist="38100" w14:dir="10800000" w14:sx="100000" w14:sy="100000" w14:kx="0" w14:ky="0" w14:algn="r">
            <w14:srgbClr w14:val="62B541">
              <w14:alpha w14:val="60000"/>
            </w14:srgbClr>
          </w14:shadow>
        </w:rPr>
      </w:pPr>
      <w:bookmarkStart w:id="114" w:name="_Toc19689"/>
      <w:bookmarkStart w:id="115" w:name="_Toc180"/>
      <w:bookmarkStart w:id="116" w:name="_Toc4331_WPSOffice_Level1"/>
      <w:bookmarkStart w:id="117" w:name="_Toc23846_WPSOffice_Level1"/>
      <w:bookmarkStart w:id="118" w:name="_Toc23903"/>
      <w:bookmarkStart w:id="119" w:name="_Toc20088"/>
      <w:bookmarkStart w:id="120" w:name="_Toc13212"/>
      <w:bookmarkStart w:id="121" w:name="_Toc25727"/>
      <w:bookmarkStart w:id="122" w:name="_Toc8726"/>
      <w:bookmarkStart w:id="123" w:name="_Toc149837263"/>
      <w:bookmarkStart w:id="124" w:name="_Toc559"/>
      <w:bookmarkStart w:id="125" w:name="_Toc32443_WPSOffice_Level1"/>
      <w:r>
        <w:rPr>
          <w:color w:val="62B541"/>
          <w:sz w:val="32"/>
          <w14:shadow w14:blurRad="50800" w14:dist="38100" w14:dir="10800000" w14:sx="100000" w14:sy="100000" w14:kx="0" w14:ky="0" w14:algn="r">
            <w14:srgbClr w14:val="62B541">
              <w14:alpha w14:val="60000"/>
            </w14:srgbClr>
          </w14:shadow>
        </w:rPr>
        <w:t>基因检测结果解析</w:t>
      </w:r>
      <w:bookmarkEnd w:id="114"/>
      <w:bookmarkEnd w:id="115"/>
      <w:bookmarkEnd w:id="116"/>
      <w:bookmarkEnd w:id="117"/>
      <w:bookmarkEnd w:id="118"/>
      <w:bookmarkEnd w:id="119"/>
      <w:bookmarkEnd w:id="120"/>
      <w:bookmarkEnd w:id="121"/>
      <w:bookmarkEnd w:id="122"/>
      <w:bookmarkEnd w:id="123"/>
      <w:bookmarkEnd w:id="124"/>
      <w:bookmarkEnd w:id="125"/>
    </w:p>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BodyDrugDrugDetectionStr or unknownVarAnalysisStr %}</w:t>
      </w:r>
    </w:p>
    <w:p>
      <w:pPr>
        <w:pStyle w:val="3"/>
        <w:numPr>
          <w:ilvl w:val="255"/>
          <w:numId w:val="0"/>
        </w:numPr>
        <w:jc w:val="left"/>
        <w:rPr>
          <w:rFonts w:hint="eastAsia"/>
          <w:color w:val="auto"/>
          <w:sz w:val="30"/>
          <w:lang w:eastAsia="zh-CN"/>
        </w:rPr>
      </w:pPr>
      <w:bookmarkStart w:id="126" w:name="_Toc32443_WPSOffice_Level2"/>
      <w:bookmarkStart w:id="127" w:name="_Toc23606"/>
      <w:bookmarkStart w:id="128" w:name="_Toc4331_WPSOffice_Level2"/>
      <w:bookmarkStart w:id="129" w:name="_Toc32302"/>
      <w:bookmarkStart w:id="130" w:name="_Toc15297"/>
      <w:bookmarkStart w:id="131" w:name="_Toc19553"/>
      <w:bookmarkStart w:id="132" w:name="_Toc4743"/>
      <w:bookmarkStart w:id="133" w:name="_Toc149837264"/>
      <w:bookmarkStart w:id="134" w:name="_Toc20503"/>
      <w:bookmarkStart w:id="135" w:name="_Toc26395"/>
      <w:r>
        <w:rPr>
          <w:rFonts w:hint="eastAsia"/>
          <w:color w:val="auto"/>
          <w:sz w:val="30"/>
          <w:lang w:eastAsia="zh-CN"/>
        </w:rPr>
        <w:t>体细胞变异结果解析</w:t>
      </w:r>
      <w:bookmarkEnd w:id="126"/>
      <w:bookmarkEnd w:id="127"/>
      <w:bookmarkEnd w:id="128"/>
      <w:bookmarkEnd w:id="129"/>
      <w:bookmarkEnd w:id="130"/>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BodyDrugNoComplexStr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bookmarkEnd w:id="131"/>
      <w:bookmarkEnd w:id="132"/>
      <w:bookmarkEnd w:id="133"/>
      <w:bookmarkEnd w:id="134"/>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pStyle w:val="27"/>
        <w:rPr>
          <w:color w:val="auto"/>
        </w:rPr>
      </w:pPr>
      <w:r>
        <w:rPr>
          <w:rFonts w:hint="eastAsia"/>
          <w:color w:val="auto"/>
        </w:rPr>
        <w:t>{% endif %}{% endfor %}{% for vus in unknownVarAnalysisStr %}</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vus.gene}}</w:t>
      </w:r>
    </w:p>
    <w:tbl>
      <w:tblPr>
        <w:tblStyle w:val="16"/>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nil"/>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single" w:color="FFFFFF" w:sz="18" w:space="0"/>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single" w:color="FFFFFF" w:sz="18" w:space="0"/>
              <w:left w:val="nil"/>
              <w:bottom w:val="nil"/>
              <w:right w:val="nil"/>
            </w:tcBorders>
            <w:shd w:val="clear" w:color="auto" w:fill="62B541"/>
            <w:vAlign w:val="center"/>
          </w:tcPr>
          <w:p>
            <w:pPr>
              <w:keepNext/>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基因说明</w:t>
            </w:r>
          </w:p>
        </w:tc>
        <w:tc>
          <w:tcPr>
            <w:tcW w:w="8027" w:type="dxa"/>
            <w:tcBorders>
              <w:top w:val="single" w:color="A4A4A4" w:sz="4" w:space="0"/>
              <w:left w:val="nil"/>
              <w:bottom w:val="single" w:color="A4A4A4" w:sz="4" w:space="0"/>
              <w:right w:val="nil"/>
            </w:tcBorders>
            <w:vAlign w:val="center"/>
          </w:tcPr>
          <w:p>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tdd.comutation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rFonts w:ascii="Times New Roman" w:hAnsi="Times New Roman" w:eastAsia="微软雅黑" w:cs="Times New Roman"/>
          <w:sz w:val="20"/>
          <w:szCs w:val="18"/>
          <w:lang w:eastAsia="zh-CN"/>
        </w:rPr>
        <w:br w:type="page"/>
      </w:r>
      <w:r>
        <w:rPr>
          <w:rFonts w:hint="eastAsia" w:ascii="Times New Roman" w:hAnsi="Times New Roman" w:eastAsia="微软雅黑" w:cs="Times New Roman"/>
          <w:b/>
          <w:sz w:val="24"/>
          <w:szCs w:val="24"/>
          <w:lang w:eastAsia="zh-CN"/>
        </w:rPr>
        <w:t>{% endif %}{%if geneticCancerRiskInfo %}</w:t>
      </w:r>
    </w:p>
    <w:p>
      <w:pPr>
        <w:pStyle w:val="3"/>
        <w:numPr>
          <w:ilvl w:val="255"/>
          <w:numId w:val="0"/>
        </w:numPr>
        <w:jc w:val="left"/>
        <w:rPr>
          <w:rFonts w:hint="eastAsia"/>
          <w:color w:val="auto"/>
          <w:sz w:val="30"/>
          <w:lang w:eastAsia="zh-CN"/>
        </w:rPr>
      </w:pPr>
      <w:bookmarkStart w:id="136" w:name="_Toc31679"/>
      <w:bookmarkStart w:id="137" w:name="_Toc149837265"/>
      <w:bookmarkStart w:id="138" w:name="_Toc21619"/>
      <w:bookmarkStart w:id="139" w:name="_Toc24702"/>
      <w:bookmarkStart w:id="140" w:name="_Toc26974"/>
      <w:r>
        <w:rPr>
          <w:rFonts w:hint="eastAsia"/>
          <w:color w:val="auto"/>
          <w:sz w:val="30"/>
          <w:lang w:eastAsia="zh-CN"/>
        </w:rPr>
        <w:t>胚系变异结果解析</w:t>
      </w:r>
      <w:bookmarkEnd w:id="136"/>
    </w:p>
    <w:p>
      <w:pPr>
        <w:rPr>
          <w:rFonts w:hint="eastAsia"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for tdd in geneticCancerRiskInfo %}</w:t>
      </w:r>
      <w:bookmarkEnd w:id="137"/>
      <w:bookmarkEnd w:id="138"/>
      <w:bookmarkEnd w:id="139"/>
      <w:bookmarkEnd w:id="140"/>
    </w:p>
    <w:p>
      <w:pPr>
        <w:keepNext/>
        <w:spacing w:before="120" w:beforeLines="50" w:after="120" w:afterLines="50"/>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tdd.gene }}</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nil"/>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突变形式</w:t>
            </w:r>
          </w:p>
        </w:tc>
        <w:tc>
          <w:tcPr>
            <w:tcW w:w="8247" w:type="dxa"/>
            <w:tcBorders>
              <w:top w:val="single" w:color="BFBFBF"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single" w:color="FFFFFF" w:themeColor="background1" w:sz="18" w:space="0"/>
              <w:left w:val="nil"/>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 tdd.mutFreqType }}</w:t>
            </w:r>
          </w:p>
        </w:tc>
        <w:tc>
          <w:tcPr>
            <w:tcW w:w="8247" w:type="dxa"/>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sz w:val="18"/>
                <w:szCs w:val="18"/>
                <w:lang w:eastAsia="zh-CN"/>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潜在获益药物</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single" w:color="FFFFFF" w:themeColor="background1" w:sz="18" w:space="0"/>
              <w:left w:val="nil"/>
              <w:bottom w:val="single" w:color="FFFFFF" w:themeColor="background1" w:sz="18" w:space="0"/>
              <w:right w:val="single" w:color="FFFFFF" w:themeColor="background1" w:sz="18" w:space="0"/>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single" w:color="FFFFFF" w:themeColor="background1" w:sz="18" w:space="0"/>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潜在耐药信息</w:t>
            </w: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A级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B级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C级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left w:val="nil"/>
              <w:bottom w:val="single" w:color="FFFFFF" w:themeColor="background1" w:sz="18" w:space="0"/>
              <w:right w:val="single" w:color="FFFFFF" w:themeColor="background1"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p>
        </w:tc>
        <w:tc>
          <w:tcPr>
            <w:tcW w:w="1191" w:type="dxa"/>
            <w:tcBorders>
              <w:top w:val="single" w:color="FFFFFF" w:themeColor="background1" w:sz="18" w:space="0"/>
              <w:left w:val="single" w:color="FFFFFF" w:themeColor="background1" w:sz="18" w:space="0"/>
              <w:bottom w:val="single" w:color="FFFFFF" w:themeColor="background1" w:sz="18" w:space="0"/>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D</w:t>
            </w:r>
            <w:r>
              <w:rPr>
                <w:rFonts w:ascii="Times New Roman" w:hAnsi="Times New Roman" w:eastAsia="微软雅黑" w:cs="Times New Roman"/>
                <w:b/>
                <w:color w:val="FFFFFF" w:themeColor="background1"/>
                <w:sz w:val="18"/>
                <w:szCs w:val="18"/>
                <w:lang w:eastAsia="zh-CN"/>
                <w14:textFill>
                  <w14:solidFill>
                    <w14:schemeClr w14:val="bg1"/>
                  </w14:solidFill>
                </w14:textFill>
              </w:rPr>
              <w:t>级</w:t>
            </w:r>
          </w:p>
        </w:tc>
        <w:tc>
          <w:tcPr>
            <w:tcW w:w="8247" w:type="dxa"/>
            <w:tcBorders>
              <w:top w:val="single" w:color="A4A4A4" w:sz="4" w:space="0"/>
              <w:left w:val="nil"/>
              <w:bottom w:val="single" w:color="A4A4A4" w:sz="4" w:space="0"/>
              <w:right w:val="nil"/>
            </w:tcBorders>
            <w:shd w:val="clear" w:color="auto" w:fill="auto"/>
            <w:vAlign w:val="center"/>
          </w:tcPr>
          <w:p>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single" w:color="FFFFFF" w:themeColor="background1" w:sz="18" w:space="0"/>
              <w:left w:val="nil"/>
              <w:right w:val="nil"/>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基因突变相关说明</w:t>
            </w:r>
          </w:p>
        </w:tc>
        <w:tc>
          <w:tcPr>
            <w:tcW w:w="8247" w:type="dxa"/>
            <w:tcBorders>
              <w:top w:val="single" w:color="A4A4A4" w:sz="4" w:space="0"/>
              <w:left w:val="nil"/>
              <w:bottom w:val="single" w:color="A4A4A4" w:sz="4" w:space="0"/>
              <w:right w:val="nil"/>
            </w:tcBorders>
            <w:vAlign w:val="center"/>
          </w:tcPr>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'变异解析</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pPr>
        <w:keepNext/>
        <w:spacing w:before="26"/>
        <w:rPr>
          <w:rFonts w:ascii="Times New Roman" w:hAnsi="Times New Roman" w:eastAsia="微软雅黑" w:cs="Times New Roman"/>
          <w:b/>
          <w:sz w:val="24"/>
          <w:lang w:eastAsia="zh-CN"/>
        </w:rPr>
      </w:pPr>
      <w:r>
        <w:rPr>
          <w:rFonts w:ascii="Times New Roman" w:hAnsi="Times New Roman" w:eastAsia="微软雅黑" w:cs="Times New Roman"/>
          <w:b/>
          <w:sz w:val="24"/>
          <w:lang w:eastAsia="zh-CN"/>
        </w:rPr>
        <w:t>潜在受益药物研究信息：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32"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95"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61"/>
        <w:gridCol w:w="566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nil"/>
              <w:left w:val="nil"/>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药物名称</w:t>
            </w:r>
          </w:p>
        </w:tc>
        <w:tc>
          <w:tcPr>
            <w:tcW w:w="1417"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相关疾病</w:t>
            </w:r>
          </w:p>
        </w:tc>
        <w:tc>
          <w:tcPr>
            <w:tcW w:w="1261" w:type="dxa"/>
            <w:tcBorders>
              <w:top w:val="nil"/>
              <w:left w:val="single" w:color="FFFFFF" w:sz="18" w:space="0"/>
              <w:bottom w:val="nil"/>
              <w:right w:val="single" w:color="FFFFFF" w:sz="18" w:space="0"/>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证据</w:t>
            </w:r>
            <w:r>
              <w:rPr>
                <w:rFonts w:hint="eastAsia" w:ascii="Times New Roman" w:hAnsi="Times New Roman" w:eastAsia="微软雅黑" w:cs="Times New Roman"/>
                <w:b/>
                <w:color w:val="FFFFFF" w:themeColor="background1"/>
                <w:sz w:val="18"/>
                <w:szCs w:val="18"/>
                <w:lang w:eastAsia="zh-CN"/>
                <w14:textFill>
                  <w14:solidFill>
                    <w14:schemeClr w14:val="bg1"/>
                  </w14:solidFill>
                </w14:textFill>
              </w:rPr>
              <w:t>等级</w:t>
            </w:r>
          </w:p>
        </w:tc>
        <w:tc>
          <w:tcPr>
            <w:tcW w:w="5666" w:type="dxa"/>
            <w:tcBorders>
              <w:top w:val="nil"/>
              <w:left w:val="single" w:color="FFFFFF" w:sz="18" w:space="0"/>
              <w:bottom w:val="nil"/>
              <w:right w:val="nil"/>
            </w:tcBorders>
            <w:shd w:val="clear" w:color="auto" w:fill="62B541"/>
            <w:vAlign w:val="center"/>
          </w:tcPr>
          <w:p>
            <w:pPr>
              <w:keepNext/>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循证医学信息</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nil"/>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single" w:color="A4A4A4" w:sz="4" w:space="0"/>
              <w:left w:val="nil"/>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op w:val="single" w:color="A4A4A4" w:sz="4" w:space="0"/>
              <w:left w:val="single" w:color="A4A4A4" w:sz="4" w:space="0"/>
              <w:bottom w:val="single" w:color="A4A4A4" w:sz="4" w:space="0"/>
              <w:right w:val="nil"/>
            </w:tcBorders>
            <w:vAlign w:val="center"/>
          </w:tcPr>
          <w:p>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single" w:color="A4A4A4" w:sz="4" w:space="0"/>
              <w:left w:val="nil"/>
              <w:bottom w:val="single" w:color="A4A4A4" w:sz="4" w:space="0"/>
              <w:right w:val="nil"/>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tdd.clinicalTrialInformationStr!= [] %}</w:t>
      </w:r>
    </w:p>
    <w:p>
      <w:pPr>
        <w:keepNext/>
        <w:spacing w:before="26"/>
        <w:rPr>
          <w:rFonts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临床试验信息</w:t>
      </w:r>
    </w:p>
    <w:tbl>
      <w:tblPr>
        <w:tblStyle w:val="16"/>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645"/>
        <w:gridCol w:w="3884"/>
        <w:gridCol w:w="1246"/>
        <w:gridCol w:w="1035"/>
        <w:gridCol w:w="1204"/>
        <w:gridCol w:w="856"/>
      </w:tblGrid>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20" w:hRule="atLeast"/>
          <w:jc w:val="center"/>
        </w:trPr>
        <w:tc>
          <w:tcPr>
            <w:tcW w:w="1645" w:type="dxa"/>
            <w:tcBorders>
              <w:top w:val="nil"/>
              <w:left w:val="nil"/>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ID</w:t>
            </w:r>
          </w:p>
        </w:tc>
        <w:tc>
          <w:tcPr>
            <w:tcW w:w="3884"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临床试验名称</w:t>
            </w:r>
          </w:p>
        </w:tc>
        <w:tc>
          <w:tcPr>
            <w:tcW w:w="1246"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肿瘤类型</w:t>
            </w:r>
          </w:p>
        </w:tc>
        <w:tc>
          <w:tcPr>
            <w:tcW w:w="1035" w:type="dxa"/>
            <w:tcBorders>
              <w:top w:val="nil"/>
              <w:left w:val="single" w:color="FFFFFF" w:sz="18" w:space="0"/>
              <w:bottom w:val="nil"/>
              <w:right w:val="single" w:color="FFFFFF" w:sz="18" w:space="0"/>
            </w:tcBorders>
            <w:shd w:val="clear" w:color="auto" w:fill="62B5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阶段</w:t>
            </w:r>
          </w:p>
        </w:tc>
        <w:tc>
          <w:tcPr>
            <w:tcW w:w="1204" w:type="dxa"/>
            <w:tcBorders>
              <w:top w:val="nil"/>
              <w:left w:val="single" w:color="FFFFFF" w:sz="18" w:space="0"/>
              <w:bottom w:val="nil"/>
              <w:right w:val="single" w:color="FFFFFF" w:sz="18" w:space="0"/>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药物</w:t>
            </w:r>
          </w:p>
        </w:tc>
        <w:tc>
          <w:tcPr>
            <w:tcW w:w="856" w:type="dxa"/>
            <w:tcBorders>
              <w:top w:val="nil"/>
              <w:left w:val="single" w:color="FFFFFF" w:sz="18" w:space="0"/>
              <w:bottom w:val="nil"/>
              <w:right w:val="nil"/>
            </w:tcBorders>
            <w:shd w:val="clear" w:color="auto" w:fill="62BC41"/>
            <w:vAlign w:val="center"/>
          </w:tcPr>
          <w:p>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b/>
                <w:color w:val="FFFFFF" w:themeColor="background1"/>
                <w:sz w:val="18"/>
                <w:szCs w:val="18"/>
                <w:lang w:eastAsia="zh-CN"/>
                <w14:textFill>
                  <w14:solidFill>
                    <w14:schemeClr w14:val="bg1"/>
                  </w14:solidFill>
                </w14:textFill>
              </w:rPr>
              <w:t>地点</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nil"/>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for cti in tdd.clinicalTrialInformationStr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45" w:type="dxa"/>
            <w:tcBorders>
              <w:top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cti.clinical_trial_id }}</w:t>
            </w:r>
          </w:p>
        </w:tc>
        <w:tc>
          <w:tcPr>
            <w:tcW w:w="3884" w:type="dxa"/>
            <w:tcBorders>
              <w:top w:val="single" w:color="A4A4A4" w:sz="4" w:space="0"/>
              <w:left w:val="single" w:color="A4A4A4" w:sz="4" w:space="0"/>
              <w:bottom w:val="single" w:color="A4A4A4" w:sz="4" w:space="0"/>
              <w:right w:val="single" w:color="A4A4A4" w:sz="4" w:space="0"/>
            </w:tcBorders>
            <w:vAlign w:val="center"/>
          </w:tcPr>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cti.title_chinese }}</w:t>
            </w:r>
          </w:p>
        </w:tc>
        <w:tc>
          <w:tcPr>
            <w:tcW w:w="1246"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cti.condition_chinese }}</w:t>
            </w:r>
          </w:p>
        </w:tc>
        <w:tc>
          <w:tcPr>
            <w:tcW w:w="1035" w:type="dxa"/>
            <w:tcBorders>
              <w:top w:val="single" w:color="A4A4A4" w:sz="4" w:space="0"/>
              <w:left w:val="single" w:color="A4A4A4" w:sz="4" w:space="0"/>
              <w:bottom w:val="single" w:color="A4A4A4" w:sz="4" w:space="0"/>
              <w:right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cti.phase }}</w:t>
            </w:r>
          </w:p>
        </w:tc>
        <w:tc>
          <w:tcPr>
            <w:tcW w:w="1204" w:type="dxa"/>
            <w:tcBorders>
              <w:top w:val="single" w:color="A4A4A4" w:sz="4" w:space="0"/>
              <w:left w:val="single" w:color="A4A4A4" w:sz="4" w:space="0"/>
              <w:bottom w:val="single" w:color="A4A4A4" w:sz="4" w:space="0"/>
              <w:right w:val="single" w:color="A4A4A4" w:sz="4" w:space="0"/>
            </w:tcBorders>
            <w:vAlign w:val="center"/>
          </w:tcPr>
          <w:p>
            <w:pPr>
              <w:spacing w:before="1" w:line="249" w:lineRule="auto"/>
              <w:ind w:right="131"/>
              <w:jc w:val="center"/>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d in </w:t>
            </w:r>
            <w:r>
              <w:rPr>
                <w:rFonts w:hint="eastAsia" w:ascii="Times New Roman" w:hAnsi="Times New Roman" w:eastAsia="微软雅黑" w:cs="Times New Roman"/>
                <w:bCs/>
                <w:sz w:val="18"/>
                <w:szCs w:val="18"/>
                <w:lang w:eastAsia="zh-CN"/>
              </w:rPr>
              <w:t>cti.drug_name_chinese</w:t>
            </w:r>
            <w:r>
              <w:rPr>
                <w:rFonts w:hint="eastAsia" w:ascii="Times New Roman" w:hAnsi="Times New Roman" w:eastAsia="微软雅黑" w:cs="Times New Roman"/>
                <w:sz w:val="18"/>
                <w:szCs w:val="18"/>
                <w:lang w:eastAsia="zh-CN"/>
              </w:rPr>
              <w:t xml:space="preserve"> %}{%if loop.last%}{{ d.name }}{%else%}{{ d.name }}</w:t>
            </w:r>
          </w:p>
          <w:p>
            <w:pPr>
              <w:keepNex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sz w:val="18"/>
                <w:szCs w:val="18"/>
                <w:lang w:eastAsia="zh-CN"/>
              </w:rPr>
              <w:t>{%endif%}{% endfor %}</w:t>
            </w:r>
          </w:p>
        </w:tc>
        <w:tc>
          <w:tcPr>
            <w:tcW w:w="856" w:type="dxa"/>
            <w:tcBorders>
              <w:top w:val="single" w:color="A4A4A4" w:sz="4" w:space="0"/>
              <w:left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cti.location_chinese }}</w:t>
            </w:r>
          </w:p>
        </w:tc>
      </w:tr>
      <w:tr>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9870" w:type="dxa"/>
            <w:gridSpan w:val="6"/>
            <w:tcBorders>
              <w:top w:val="single" w:color="A4A4A4" w:sz="4" w:space="0"/>
              <w:bottom w:val="single" w:color="A4A4A4" w:sz="4" w:space="0"/>
            </w:tcBorders>
            <w:vAlign w:val="center"/>
          </w:tcPr>
          <w:p>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endfor %}</w:t>
            </w:r>
          </w:p>
        </w:tc>
      </w:tr>
    </w:tbl>
    <w:p>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 endfor %}</w:t>
      </w:r>
      <w:r>
        <w:rPr>
          <w:sz w:val="16"/>
        </w:rPr>
        <w:br w:type="page"/>
      </w:r>
      <w:r>
        <w:rPr>
          <w:rFonts w:hint="eastAsia" w:ascii="Times New Roman" w:hAnsi="Times New Roman" w:eastAsia="微软雅黑" w:cs="Times New Roman"/>
          <w:b/>
          <w:sz w:val="24"/>
          <w:szCs w:val="24"/>
          <w:lang w:eastAsia="zh-CN"/>
        </w:rPr>
        <w:t>{% endif %}</w:t>
      </w:r>
    </w:p>
    <w:p>
      <w:pPr>
        <w:pStyle w:val="3"/>
        <w:numPr>
          <w:ilvl w:val="255"/>
          <w:numId w:val="0"/>
        </w:numPr>
        <w:jc w:val="left"/>
        <w:rPr>
          <w:rFonts w:hint="eastAsia"/>
          <w:color w:val="auto"/>
          <w:sz w:val="30"/>
          <w:lang w:eastAsia="zh-CN"/>
        </w:rPr>
      </w:pPr>
      <w:bookmarkStart w:id="141" w:name="_Toc29529"/>
      <w:bookmarkStart w:id="142" w:name="_Toc25346"/>
      <w:bookmarkStart w:id="143" w:name="_Toc1112"/>
      <w:bookmarkStart w:id="144" w:name="_Toc30672"/>
      <w:bookmarkStart w:id="145" w:name="_Toc23389"/>
      <w:bookmarkStart w:id="146" w:name="_Toc149837266"/>
      <w:r>
        <w:rPr>
          <w:rFonts w:hint="eastAsia"/>
          <w:color w:val="auto"/>
          <w:sz w:val="30"/>
          <w:lang w:eastAsia="zh-CN"/>
        </w:rPr>
        <w:t>免疫检测结果解析</w:t>
      </w:r>
      <w:bookmarkEnd w:id="141"/>
      <w:bookmarkEnd w:id="142"/>
      <w:bookmarkEnd w:id="143"/>
      <w:bookmarkEnd w:id="144"/>
      <w:bookmarkEnd w:id="145"/>
      <w:bookmarkEnd w:id="146"/>
    </w:p>
    <w:p>
      <w:pPr>
        <w:spacing w:before="29"/>
        <w:rPr>
          <w:rFonts w:hint="eastAsia" w:ascii="Times New Roman" w:hAnsi="Times New Roman" w:eastAsia="微软雅黑" w:cs="Times New Roman"/>
          <w:b/>
          <w:sz w:val="24"/>
          <w:szCs w:val="24"/>
          <w:lang w:eastAsia="zh-CN"/>
        </w:rPr>
      </w:pPr>
      <w:bookmarkStart w:id="147" w:name="_Toc23518"/>
      <w:bookmarkStart w:id="148" w:name="_Toc20674"/>
      <w:bookmarkStart w:id="149" w:name="_Toc26651"/>
      <w:bookmarkStart w:id="150" w:name="_Toc13456"/>
      <w:bookmarkStart w:id="151" w:name="_Toc11562_WPSOffice_Level3"/>
      <w:r>
        <w:rPr>
          <w:rFonts w:hint="eastAsia" w:ascii="Times New Roman" w:hAnsi="Times New Roman" w:eastAsia="微软雅黑" w:cs="Times New Roman"/>
          <w:b/>
          <w:sz w:val="24"/>
          <w:szCs w:val="24"/>
          <w:lang w:eastAsia="zh-CN"/>
        </w:rPr>
        <w:t>微卫星不稳定（MSI）检测结果解析</w:t>
      </w:r>
      <w:bookmarkEnd w:id="147"/>
      <w:bookmarkEnd w:id="148"/>
      <w:bookmarkEnd w:id="149"/>
      <w:bookmarkEnd w:id="150"/>
    </w:p>
    <w:tbl>
      <w:tblPr>
        <w:tblStyle w:val="16"/>
        <w:tblW w:w="9779" w:type="dxa"/>
        <w:jc w:val="center"/>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5485"/>
        <w:gridCol w:w="4294"/>
      </w:tblGrid>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nil"/>
              <w:right w:val="single" w:color="FFFFFF" w:sz="18" w:space="0"/>
            </w:tcBorders>
            <w:shd w:val="clear" w:color="auto" w:fill="62BC41"/>
            <w:vAlign w:val="center"/>
          </w:tcPr>
          <w:p>
            <w:pPr>
              <w:spacing w:before="26"/>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bookmarkStart w:id="252" w:name="_GoBack" w:colFirst="0" w:colLast="1"/>
            <w:r>
              <w:rPr>
                <w:rFonts w:ascii="Times New Roman" w:hAnsi="Times New Roman" w:eastAsia="微软雅黑" w:cs="Times New Roman"/>
                <w:b/>
                <w:color w:val="FFFFFF" w:themeColor="background1"/>
                <w:sz w:val="21"/>
                <w:szCs w:val="21"/>
                <w:lang w:eastAsia="zh-CN"/>
                <w14:textFill>
                  <w14:solidFill>
                    <w14:schemeClr w14:val="bg1"/>
                  </w14:solidFill>
                </w14:textFill>
              </w:rPr>
              <w:t>检测项目</w:t>
            </w:r>
          </w:p>
        </w:tc>
        <w:tc>
          <w:tcPr>
            <w:tcW w:w="4214"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454" w:hRule="atLeast"/>
          <w:jc w:val="center"/>
        </w:trPr>
        <w:tc>
          <w:tcPr>
            <w:tcW w:w="5383"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ascii="Times New Roman" w:hAnsi="Times New Roman" w:eastAsia="微软雅黑" w:cs="Times New Roman"/>
                <w:b/>
                <w:bCs/>
                <w:sz w:val="21"/>
                <w:szCs w:val="21"/>
                <w:lang w:eastAsia="zh-CN"/>
              </w:rPr>
              <w:t>微卫星不稳定（microsatellite</w:t>
            </w:r>
            <w:r>
              <w:rPr>
                <w:rFonts w:hint="eastAsia" w:ascii="Times New Roman" w:hAnsi="Times New Roman" w:eastAsia="微软雅黑" w:cs="Times New Roman"/>
                <w:b/>
                <w:bCs/>
                <w:sz w:val="21"/>
                <w:szCs w:val="21"/>
                <w:lang w:eastAsia="zh-CN"/>
              </w:rPr>
              <w:t xml:space="preserve"> </w:t>
            </w:r>
            <w:r>
              <w:rPr>
                <w:rFonts w:ascii="Times New Roman" w:hAnsi="Times New Roman" w:eastAsia="微软雅黑" w:cs="Times New Roman"/>
                <w:b/>
                <w:bCs/>
                <w:sz w:val="21"/>
                <w:szCs w:val="21"/>
                <w:lang w:eastAsia="zh-CN"/>
              </w:rPr>
              <w:t>instability</w:t>
            </w:r>
            <w:r>
              <w:rPr>
                <w:rFonts w:hint="eastAsia" w:ascii="Times New Roman" w:hAnsi="Times New Roman" w:eastAsia="微软雅黑" w:cs="Times New Roman"/>
                <w:b/>
                <w:bCs/>
                <w:sz w:val="21"/>
                <w:szCs w:val="21"/>
                <w:lang w:eastAsia="zh-CN"/>
              </w:rPr>
              <w:t>，</w:t>
            </w:r>
            <w:r>
              <w:rPr>
                <w:rFonts w:ascii="Times New Roman" w:hAnsi="Times New Roman" w:eastAsia="微软雅黑" w:cs="Times New Roman"/>
                <w:b/>
                <w:bCs/>
                <w:sz w:val="21"/>
                <w:szCs w:val="21"/>
                <w:lang w:eastAsia="zh-CN"/>
              </w:rPr>
              <w:t>MSI）</w:t>
            </w:r>
          </w:p>
        </w:tc>
        <w:tc>
          <w:tcPr>
            <w:tcW w:w="4214" w:type="dxa"/>
            <w:tcBorders>
              <w:top w:val="nil"/>
              <w:bottom w:val="single" w:color="A4A4A4" w:themeColor="background1" w:themeShade="A5"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summaryOfRresults.</w:t>
            </w:r>
            <w:r>
              <w:rPr>
                <w:rFonts w:hint="eastAsia" w:ascii="Times New Roman" w:hAnsi="Times New Roman" w:eastAsia="微软雅黑" w:cs="黑体"/>
                <w:sz w:val="21"/>
                <w:lang w:eastAsia="zh-CN"/>
              </w:rPr>
              <w:t>msi_status_state</w:t>
            </w:r>
            <w:r>
              <w:rPr>
                <w:rFonts w:hint="eastAsia" w:ascii="Times New Roman" w:hAnsi="Times New Roman" w:eastAsia="微软雅黑" w:cs="Times New Roman"/>
                <w:sz w:val="21"/>
                <w:szCs w:val="21"/>
                <w:lang w:eastAsia="zh-CN"/>
              </w:rPr>
              <w:t xml:space="preserve"> }}</w:t>
            </w:r>
          </w:p>
        </w:tc>
      </w:tr>
      <w:bookmarkEnd w:id="252"/>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227" w:hRule="atLeast"/>
          <w:jc w:val="center"/>
        </w:trPr>
        <w:tc>
          <w:tcPr>
            <w:tcW w:w="5383"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4214" w:type="dxa"/>
            <w:tcBorders>
              <w:top w:val="single" w:color="A4A4A4" w:themeColor="background1" w:themeShade="A5" w:sz="4" w:space="0"/>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sz w:val="21"/>
                <w:szCs w:val="21"/>
                <w:lang w:eastAsia="zh-CN"/>
              </w:rPr>
            </w:pPr>
          </w:p>
        </w:tc>
      </w:tr>
      <w:tr>
        <w:tblPrEx>
          <w:tblBorders>
            <w:top w:val="single" w:color="00B050"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90" w:hRule="atLeast"/>
          <w:jc w:val="center"/>
        </w:trPr>
        <w:tc>
          <w:tcPr>
            <w:tcW w:w="9597" w:type="dxa"/>
            <w:gridSpan w:val="2"/>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微卫星不稳定（MSI）是由于在DNA复制时插入或缺失突变引起的微卫星序列长度改变的现象。</w:t>
            </w:r>
            <w:r>
              <w:rPr>
                <w:rFonts w:hint="eastAsia" w:ascii="Times New Roman" w:hAnsi="Times New Roman" w:eastAsia="微软雅黑" w:cs="Times New Roman"/>
                <w:sz w:val="18"/>
                <w:shd w:val="clear" w:color="auto" w:fill="FFFFFF"/>
                <w:lang w:eastAsia="zh-CN"/>
              </w:rPr>
              <w:t>MSI结果</w:t>
            </w:r>
            <w:r>
              <w:rPr>
                <w:rFonts w:ascii="Times New Roman" w:hAnsi="Times New Roman" w:eastAsia="微软雅黑" w:cs="Times New Roman"/>
                <w:sz w:val="18"/>
                <w:shd w:val="clear" w:color="auto" w:fill="FFFFFF"/>
                <w:lang w:eastAsia="zh-CN"/>
              </w:rPr>
              <w:t>可以分为微卫星稳定型（MSS）、微卫星不稳定型（MSI-H）。MSI-H型结直肠癌、胃癌、子宫内膜癌、胆管癌及胰腺癌等患者可能从免疫治疗PD-1抑制剂类药物中获益。</w:t>
            </w:r>
          </w:p>
          <w:p>
            <w:pPr>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FDA批准伊匹木单抗与纳武利尤单抗联用治疗在氟嘧啶、奥沙利铂和伊立替康治疗后有进展且微卫星不稳定性高（MSI-H）或错配修复缺陷（dMMR）的转移性结直肠癌成人和12岁及以上儿童患者。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FDA批准帕博利珠单抗用于患有不可切除或转移性，微卫星不稳定性高（MSI-H）或错配修复缺陷的实体瘤成年和儿童患者，这些患者在既往治疗后病情进展，并且没有令人满意的替代治疗方案选择。</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1、用于患有不可切除或转移性，微卫星不稳定性高（MSI-H）或错配修复缺陷的结直肠癌成年和儿童患者，并且这些患者在氟嘧啶，奥沙利铂和伊立替康治疗后疾病进展；2、一线治疗不可切除或转移性微卫星不稳定性高（MSI-H）或错配修复缺陷（dMMR）结直肠癌患者。NMPA批准帕博利珠单抗单药用于KRAS、NRAS和BRAF基因均为野生型、不可切除或转移性高微卫星不稳定性（MSI-H）或错配修复基因缺陷型（dMMR）结直肠癌（CRC）患者的一线治疗。</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FDA批准帕博利珠单抗单药用于治疗既往在任何情况下接受系统治疗后疾病进展、不适合根治性手术或放疗、经FDA批准的试验确定MSI-H或dMMR的晚期子宫内膜癌患者。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FDA批准纳武利尤单抗单药用于具有MSI-H或者dMMR特征，并已经接受过氟尿嘧啶、奥沙利铂、伊利替康治疗后疾病进展的成年或者儿童（12岁以上）转移性结直肠癌患者。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MPA批准恩沃利单抗用于不可切除或转移性微卫星高度不稳定（MSI-H）或错配修复基因缺陷型（dMMR）的成人晚期实体瘤患者的治疗，包括既往经过氟尿嘧啶类、奥沙利铂和伊立替康治疗后出现疾病进展的晚期结直肠癌患者以及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替雷利珠单抗</w:t>
            </w:r>
            <w:r>
              <w:rPr>
                <w:rFonts w:ascii="Times New Roman" w:hAnsi="Times New Roman" w:eastAsia="微软雅黑" w:cs="Times New Roman"/>
                <w:sz w:val="18"/>
                <w:shd w:val="clear" w:color="auto" w:fill="FFFFFF"/>
                <w:lang w:eastAsia="zh-CN"/>
              </w:rPr>
              <w:t>用于治疗不可切除或转移性微卫星高度不稳定型（MSI-H）或错配修复基因缺陷型</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dMMR</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的成人晚期实体瘤患者，包括既往接受过氟尿嘧啶类、奥沙利铂和伊立替康治疗后出现疾病进展的晚期结直肠癌患者；既往治疗后出现疾病进展且无满意替代治疗方案的其他晚期实体瘤患者。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N</w:t>
            </w:r>
            <w:r>
              <w:rPr>
                <w:rFonts w:ascii="Times New Roman" w:hAnsi="Times New Roman" w:eastAsia="微软雅黑" w:cs="Times New Roman"/>
                <w:sz w:val="18"/>
                <w:shd w:val="clear" w:color="auto" w:fill="FFFFFF"/>
                <w:lang w:eastAsia="zh-CN"/>
              </w:rPr>
              <w:t>MPA批准</w:t>
            </w:r>
            <w:r>
              <w:rPr>
                <w:rFonts w:hint="eastAsia" w:ascii="Times New Roman" w:hAnsi="Times New Roman" w:eastAsia="微软雅黑" w:cs="Times New Roman"/>
                <w:sz w:val="18"/>
                <w:shd w:val="clear" w:color="auto" w:fill="FFFFFF"/>
                <w:lang w:eastAsia="zh-CN"/>
              </w:rPr>
              <w:t>特普利单抗</w:t>
            </w:r>
            <w:r>
              <w:rPr>
                <w:rFonts w:ascii="Times New Roman" w:hAnsi="Times New Roman" w:eastAsia="微软雅黑" w:cs="Times New Roman"/>
                <w:sz w:val="18"/>
                <w:shd w:val="clear" w:color="auto" w:fill="FFFFFF"/>
                <w:lang w:eastAsia="zh-CN"/>
              </w:rPr>
              <w:t>用于不可切除或转移性的高度微卫星不稳定型（MSI-H）或错配修复缺陷型（dMMR）的晚期实体瘤患者，包括既往经过氟尿嘧啶类、奥沙利铂和伊立替康治疗后出现疾病进展的晚期结直肠癌患者；既往至少一线治疗后出现疾病进展且无满意替代治疗方案的其他晚期实体瘤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NMPA批准</w:t>
            </w:r>
            <w:r>
              <w:rPr>
                <w:rFonts w:hint="eastAsia" w:ascii="Times New Roman" w:hAnsi="Times New Roman" w:eastAsia="微软雅黑" w:cs="Times New Roman"/>
                <w:sz w:val="18"/>
                <w:shd w:val="clear" w:color="auto" w:fill="FFFFFF"/>
                <w:lang w:eastAsia="zh-CN"/>
              </w:rPr>
              <w:t>斯鲁利单抗</w:t>
            </w:r>
            <w:r>
              <w:rPr>
                <w:rFonts w:ascii="Times New Roman" w:hAnsi="Times New Roman" w:eastAsia="微软雅黑" w:cs="Times New Roman"/>
                <w:sz w:val="18"/>
                <w:shd w:val="clear" w:color="auto" w:fill="FFFFFF"/>
                <w:lang w:eastAsia="zh-CN"/>
              </w:rPr>
              <w:t>用于不可切除或转移性微卫星高度不稳定</w:t>
            </w:r>
            <w:r>
              <w:rPr>
                <w:rFonts w:hint="eastAsia" w:ascii="Times New Roman" w:hAnsi="Times New Roman" w:eastAsia="微软雅黑" w:cs="Times New Roman"/>
                <w:sz w:val="18"/>
                <w:shd w:val="clear" w:color="auto" w:fill="FFFFFF"/>
                <w:lang w:eastAsia="zh-CN"/>
              </w:rPr>
              <w:t>（</w:t>
            </w:r>
            <w:r>
              <w:rPr>
                <w:rFonts w:ascii="Times New Roman" w:hAnsi="Times New Roman" w:eastAsia="微软雅黑" w:cs="Times New Roman"/>
                <w:sz w:val="18"/>
                <w:shd w:val="clear" w:color="auto" w:fill="FFFFFF"/>
                <w:lang w:eastAsia="zh-CN"/>
              </w:rPr>
              <w:t>MSI-</w:t>
            </w:r>
            <w:r>
              <w:rPr>
                <w:rFonts w:hint="eastAsia" w:ascii="Times New Roman" w:hAnsi="Times New Roman" w:eastAsia="微软雅黑" w:cs="Times New Roman"/>
                <w:sz w:val="18"/>
                <w:shd w:val="clear" w:color="auto" w:fill="FFFFFF"/>
                <w:lang w:eastAsia="zh-CN"/>
              </w:rPr>
              <w:t>H）</w:t>
            </w:r>
            <w:r>
              <w:rPr>
                <w:rFonts w:ascii="Times New Roman" w:hAnsi="Times New Roman" w:eastAsia="微软雅黑" w:cs="Times New Roman"/>
                <w:sz w:val="18"/>
                <w:shd w:val="clear" w:color="auto" w:fill="FFFFFF"/>
                <w:lang w:eastAsia="zh-CN"/>
              </w:rPr>
              <w:t>成人晚期实体瘤患者，包括既往经过氟尿嘧啶类、奥沙利铂和伊立替康治疗后出现疾病进展的晚期结直肠癌患者；既往至少二线治疗后出现疾病进展且无满意替代治疗方案晚期胃癌患者；既往至少一线治疗后出现疾病进展且无满意替代治疗方案其他晚期实体瘤</w:t>
            </w:r>
            <w:r>
              <w:rPr>
                <w:rFonts w:hint="eastAsia" w:ascii="Times New Roman" w:hAnsi="Times New Roman" w:eastAsia="微软雅黑" w:cs="Times New Roman"/>
                <w:sz w:val="18"/>
                <w:shd w:val="clear" w:color="auto" w:fill="FFFFFF"/>
                <w:lang w:eastAsia="zh-CN"/>
              </w:rPr>
              <w:t>患者。</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Dostarlimab：1、用于具有错配修复缺陷（dMMR）的复发性或晚期子宫内膜癌成人患者，这些患者在接受含铂化疗期间或之后病情进展且不适合治疗性手术或放射治疗；2、联合卡铂和紫杉醇，随后单药物用于错配修复缺陷（dMMR）或微卫星高度不稳定性（MSI-H）成人原发性晚期或复发性子宫内膜癌。</w:t>
            </w:r>
          </w:p>
          <w:p>
            <w:pPr>
              <w:numPr>
                <w:ilvl w:val="0"/>
                <w:numId w:val="12"/>
              </w:numPr>
              <w:rPr>
                <w:rFonts w:ascii="Times New Roman" w:hAnsi="Times New Roman" w:eastAsia="微软雅黑" w:cs="Times New Roman"/>
                <w:sz w:val="18"/>
                <w:shd w:val="clear" w:color="auto" w:fill="FFFFFF"/>
                <w:lang w:eastAsia="zh-CN"/>
              </w:rPr>
            </w:pPr>
            <w:r>
              <w:rPr>
                <w:rFonts w:ascii="Times New Roman" w:hAnsi="Times New Roman" w:eastAsia="微软雅黑" w:cs="Times New Roman"/>
                <w:sz w:val="18"/>
                <w:shd w:val="clear" w:color="auto" w:fill="FFFFFF"/>
                <w:lang w:eastAsia="zh-CN"/>
              </w:rPr>
              <w:t>FDA批准</w:t>
            </w:r>
            <w:r>
              <w:rPr>
                <w:rFonts w:hint="eastAsia" w:ascii="Times New Roman" w:hAnsi="Times New Roman" w:eastAsia="微软雅黑" w:cs="Times New Roman"/>
                <w:sz w:val="18"/>
                <w:shd w:val="clear" w:color="auto" w:fill="FFFFFF"/>
                <w:lang w:eastAsia="zh-CN"/>
              </w:rPr>
              <w:t>帕博利珠单抗</w:t>
            </w:r>
            <w:r>
              <w:rPr>
                <w:rFonts w:ascii="Times New Roman" w:hAnsi="Times New Roman" w:eastAsia="微软雅黑" w:cs="Times New Roman"/>
                <w:sz w:val="18"/>
                <w:shd w:val="clear" w:color="auto" w:fill="FFFFFF"/>
                <w:lang w:eastAsia="zh-CN"/>
              </w:rPr>
              <w:t>联合仑伐替尼用于治疗既往在任何情况下接受系统治疗后疾病进展、不适合根治性手术或放疗、经检测证实不是微卫星高不稳定性（MSI-H）或不是错配修复缺陷（dMMR）的晚期子宫内膜癌（EC）患者。</w:t>
            </w:r>
          </w:p>
          <w:p>
            <w:pPr>
              <w:rPr>
                <w:rFonts w:ascii="Times New Roman" w:hAnsi="Times New Roman" w:eastAsia="微软雅黑" w:cs="Times New Roman"/>
                <w:b/>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3"/>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本次检测使用NGS技术结合生物信息学算法，基于内部验证数据，通过微卫星位点的长度分布评估判断MSI状态。</w:t>
            </w:r>
          </w:p>
          <w:p>
            <w:pPr>
              <w:numPr>
                <w:ilvl w:val="0"/>
                <w:numId w:val="13"/>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血液MSI值预测免疫检查点抑制剂治疗疗效处于临床研究阶段，证据尚不充分，报告仅供临床参考。</w:t>
            </w:r>
          </w:p>
        </w:tc>
      </w:tr>
      <w:bookmarkEnd w:id="151"/>
    </w:tbl>
    <w:p>
      <w:pPr>
        <w:widowControl/>
        <w:rPr>
          <w:rFonts w:ascii="Times New Roman" w:hAnsi="Times New Roman" w:eastAsia="微软雅黑" w:cs="Times New Roman"/>
          <w:b/>
          <w:bCs/>
          <w:color w:val="0070C0"/>
          <w:sz w:val="28"/>
          <w:szCs w:val="28"/>
          <w:lang w:eastAsia="zh-CN"/>
        </w:rPr>
      </w:pPr>
      <w:r>
        <w:rPr>
          <w:rFonts w:ascii="Times New Roman" w:hAnsi="Times New Roman" w:eastAsia="微软雅黑" w:cs="Times New Roman"/>
          <w:b/>
          <w:bCs/>
          <w:color w:val="0070C0"/>
          <w:sz w:val="28"/>
          <w:szCs w:val="28"/>
          <w:lang w:eastAsia="zh-CN"/>
        </w:rPr>
        <w:br w:type="page"/>
      </w:r>
    </w:p>
    <w:p>
      <w:pPr>
        <w:spacing w:before="29"/>
        <w:rPr>
          <w:rFonts w:ascii="Times New Roman" w:hAnsi="Times New Roman" w:eastAsia="微软雅黑" w:cs="Times New Roman"/>
          <w:b/>
          <w:sz w:val="24"/>
          <w:szCs w:val="24"/>
          <w:lang w:eastAsia="zh-CN"/>
        </w:rPr>
      </w:pPr>
      <w:bookmarkStart w:id="152" w:name="_Toc7307_WPSOffice_Level3"/>
      <w:r>
        <w:rPr>
          <w:rFonts w:hint="eastAsia" w:ascii="Times New Roman" w:hAnsi="Times New Roman" w:eastAsia="微软雅黑" w:cs="Times New Roman"/>
          <w:b/>
          <w:sz w:val="24"/>
          <w:szCs w:val="24"/>
          <w:lang w:eastAsia="zh-CN"/>
        </w:rPr>
        <w:t>错配修复（MMR）相关基因检测结果</w:t>
      </w:r>
    </w:p>
    <w:bookmarkEnd w:id="152"/>
    <w:tbl>
      <w:tblPr>
        <w:tblStyle w:val="16"/>
        <w:tblW w:w="9779"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08" w:type="dxa"/>
          <w:bottom w:w="0" w:type="dxa"/>
          <w:right w:w="108" w:type="dxa"/>
        </w:tblCellMar>
      </w:tblPr>
      <w:tblGrid>
        <w:gridCol w:w="2182"/>
        <w:gridCol w:w="3117"/>
        <w:gridCol w:w="1849"/>
        <w:gridCol w:w="2631"/>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基因名称</w:t>
            </w:r>
          </w:p>
        </w:tc>
        <w:tc>
          <w:tcPr>
            <w:tcW w:w="3117"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检测结果</w:t>
            </w:r>
          </w:p>
        </w:tc>
        <w:tc>
          <w:tcPr>
            <w:tcW w:w="1849" w:type="dxa"/>
            <w:tcBorders>
              <w:top w:val="nil"/>
              <w:left w:val="single" w:color="FFFFFF" w:sz="18" w:space="0"/>
              <w:bottom w:val="nil"/>
              <w:right w:val="single" w:color="FFFFFF" w:sz="18" w:space="0"/>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szCs w:val="21"/>
                <w:lang w:val="en-US" w:eastAsia="zh-CN"/>
                <w14:textFill>
                  <w14:solidFill>
                    <w14:schemeClr w14:val="bg1"/>
                  </w14:solidFill>
                </w14:textFill>
              </w:rPr>
              <w:t>变异</w:t>
            </w:r>
            <w:r>
              <w:rPr>
                <w:rFonts w:ascii="Times New Roman" w:hAnsi="Times New Roman" w:eastAsia="微软雅黑" w:cs="Times New Roman"/>
                <w:b/>
                <w:color w:val="FFFFFF" w:themeColor="background1"/>
                <w:sz w:val="21"/>
                <w:szCs w:val="21"/>
                <w:lang w:eastAsia="zh-CN"/>
                <w14:textFill>
                  <w14:solidFill>
                    <w14:schemeClr w14:val="bg1"/>
                  </w14:solidFill>
                </w14:textFill>
              </w:rPr>
              <w:t>丰度</w:t>
            </w:r>
          </w:p>
        </w:tc>
        <w:tc>
          <w:tcPr>
            <w:tcW w:w="2631" w:type="dxa"/>
            <w:tcBorders>
              <w:top w:val="nil"/>
              <w:left w:val="single" w:color="FFFFFF" w:sz="18" w:space="0"/>
              <w:bottom w:val="nil"/>
            </w:tcBorders>
            <w:shd w:val="clear" w:color="auto" w:fill="62BC41"/>
            <w:vAlign w:val="center"/>
          </w:tcPr>
          <w:p>
            <w:pPr>
              <w:spacing w:before="13" w:line="252" w:lineRule="auto"/>
              <w:ind w:right="174"/>
              <w:jc w:val="center"/>
              <w:rPr>
                <w:rFonts w:ascii="Times New Roman" w:hAnsi="Times New Roman" w:eastAsia="微软雅黑" w:cs="Times New Roman"/>
                <w:b/>
                <w:color w:val="FFFFFF" w:themeColor="background1"/>
                <w:sz w:val="21"/>
                <w:szCs w:val="21"/>
                <w:lang w:eastAsia="zh-CN"/>
                <w14:textFill>
                  <w14:solidFill>
                    <w14:schemeClr w14:val="bg1"/>
                  </w14:solidFill>
                </w14:textFill>
              </w:rPr>
            </w:pPr>
            <w:r>
              <w:rPr>
                <w:rFonts w:ascii="Times New Roman" w:hAnsi="Times New Roman" w:eastAsia="微软雅黑" w:cs="Times New Roman"/>
                <w:b/>
                <w:color w:val="FFFFFF" w:themeColor="background1"/>
                <w:sz w:val="21"/>
                <w:szCs w:val="21"/>
                <w:lang w:eastAsia="zh-CN"/>
                <w14:textFill>
                  <w14:solidFill>
                    <w14:schemeClr w14:val="bg1"/>
                  </w14:solidFill>
                </w14:textFill>
              </w:rPr>
              <w:t>突变类型</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for dmmr in dMMRinfo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2182" w:type="dxa"/>
            <w:tcBorders>
              <w:top w:val="nil"/>
            </w:tcBorders>
            <w:shd w:val="clear" w:color="auto" w:fill="auto"/>
            <w:vAlign w:val="center"/>
          </w:tcPr>
          <w:p>
            <w:pPr>
              <w:spacing w:before="13" w:line="252" w:lineRule="auto"/>
              <w:ind w:right="174"/>
              <w:jc w:val="center"/>
              <w:rPr>
                <w:b/>
                <w:bCs/>
              </w:rPr>
            </w:pPr>
            <w:r>
              <w:rPr>
                <w:rFonts w:hint="eastAsia" w:ascii="Times New Roman" w:hAnsi="Times New Roman" w:eastAsia="微软雅黑" w:cs="Times New Roman"/>
                <w:b/>
                <w:bCs/>
                <w:sz w:val="21"/>
                <w:szCs w:val="21"/>
                <w:lang w:eastAsia="zh-CN"/>
              </w:rPr>
              <w:t>{{ dmmr.gene }}</w:t>
            </w:r>
          </w:p>
        </w:tc>
        <w:tc>
          <w:tcPr>
            <w:tcW w:w="3117" w:type="dxa"/>
            <w:tcBorders>
              <w:top w:val="nil"/>
            </w:tcBorders>
            <w:shd w:val="clear" w:color="auto" w:fill="auto"/>
            <w:vAlign w:val="center"/>
          </w:tcPr>
          <w:p>
            <w:pPr>
              <w:spacing w:before="13" w:line="252" w:lineRule="auto"/>
              <w:ind w:right="174"/>
              <w:jc w:val="center"/>
              <w:rPr>
                <w:lang w:eastAsia="zh-CN"/>
              </w:rPr>
            </w:pPr>
            <w:r>
              <w:rPr>
                <w:rFonts w:hint="eastAsia" w:ascii="Times New Roman" w:hAnsi="Times New Roman" w:eastAsia="微软雅黑" w:cs="Times New Roman"/>
                <w:sz w:val="21"/>
                <w:szCs w:val="21"/>
                <w:lang w:eastAsia="zh-CN"/>
              </w:rPr>
              <w:t>{{ dmmr.ori_variant}}</w:t>
            </w:r>
          </w:p>
        </w:tc>
        <w:tc>
          <w:tcPr>
            <w:tcW w:w="1849"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dmmr.mutFreq}}</w:t>
            </w:r>
          </w:p>
        </w:tc>
        <w:tc>
          <w:tcPr>
            <w:tcW w:w="2631" w:type="dxa"/>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 dmmr.mut_type}}</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510" w:hRule="atLeast"/>
          <w:jc w:val="center"/>
        </w:trPr>
        <w:tc>
          <w:tcPr>
            <w:tcW w:w="9779" w:type="dxa"/>
            <w:gridSpan w:val="4"/>
            <w:tcBorders>
              <w:top w:val="nil"/>
            </w:tcBorders>
            <w:shd w:val="clear" w:color="auto" w:fill="auto"/>
            <w:vAlign w:val="center"/>
          </w:tcPr>
          <w:p>
            <w:pPr>
              <w:spacing w:before="13" w:line="252" w:lineRule="auto"/>
              <w:ind w:right="174"/>
              <w:jc w:val="center"/>
              <w:rPr>
                <w:highlight w:val="yellow"/>
                <w:lang w:eastAsia="zh-CN"/>
              </w:rPr>
            </w:pPr>
            <w:r>
              <w:rPr>
                <w:rFonts w:hint="eastAsia" w:ascii="Times New Roman" w:hAnsi="Times New Roman" w:eastAsia="微软雅黑" w:cs="Times New Roman"/>
                <w:sz w:val="21"/>
                <w:szCs w:val="21"/>
                <w:lang w:eastAsia="zh-CN"/>
              </w:rPr>
              <w:t>{%tr endfor %}</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348" w:hRule="atLeast"/>
          <w:jc w:val="center"/>
        </w:trPr>
        <w:tc>
          <w:tcPr>
            <w:tcW w:w="2182"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3117"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1849"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c>
          <w:tcPr>
            <w:tcW w:w="2631" w:type="dxa"/>
            <w:tcBorders>
              <w:top w:val="nil"/>
              <w:left w:val="single" w:color="FFFFFF" w:sz="4" w:space="0"/>
              <w:bottom w:val="nil"/>
              <w:right w:val="single" w:color="FFFFFF" w:sz="4" w:space="0"/>
            </w:tcBorders>
            <w:shd w:val="clear" w:color="auto" w:fill="auto"/>
            <w:vAlign w:val="center"/>
          </w:tcPr>
          <w:p>
            <w:pPr>
              <w:spacing w:before="13" w:line="252" w:lineRule="auto"/>
              <w:ind w:right="174"/>
              <w:jc w:val="center"/>
              <w:rPr>
                <w:rFonts w:ascii="Times New Roman" w:hAnsi="Times New Roman" w:eastAsia="微软雅黑" w:cs="Times New Roman"/>
                <w:b/>
                <w:bCs/>
                <w:sz w:val="21"/>
                <w:szCs w:val="21"/>
                <w:lang w:eastAsia="zh-CN"/>
              </w:rPr>
            </w:pP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08" w:type="dxa"/>
            <w:bottom w:w="0" w:type="dxa"/>
            <w:right w:w="108" w:type="dxa"/>
          </w:tblCellMar>
        </w:tblPrEx>
        <w:trPr>
          <w:trHeight w:val="642" w:hRule="atLeast"/>
          <w:jc w:val="center"/>
        </w:trPr>
        <w:tc>
          <w:tcPr>
            <w:tcW w:w="9779" w:type="dxa"/>
            <w:gridSpan w:val="4"/>
            <w:tcBorders>
              <w:top w:val="nil"/>
              <w:bottom w:val="nil"/>
            </w:tcBorders>
            <w:shd w:val="clear" w:color="auto" w:fill="auto"/>
            <w:vAlign w:val="center"/>
          </w:tcPr>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指标解析：</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MLH1、MSH2、MSH6和PMS2胚系突变常导致林奇综合征，结直肠癌、胃癌、子宫内膜癌等多种癌症的风险增高。同时，多项回顾性研究表明，MMR基因的体细胞突变同样可以造成dMMR/MSI-H，与散发性结直肠癌和子宫内膜癌发生相关[PMID: 24333619; PMID: 25194673]。</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临床意义：</w:t>
            </w:r>
          </w:p>
          <w:p>
            <w:pPr>
              <w:ind w:firstLine="360" w:firstLineChars="200"/>
              <w:rPr>
                <w:rFonts w:ascii="Times New Roman" w:hAnsi="Times New Roman" w:eastAsia="微软雅黑" w:cs="Times New Roman"/>
                <w:sz w:val="18"/>
                <w:shd w:val="clear" w:color="auto" w:fill="FFFFFF"/>
                <w:lang w:eastAsia="zh-CN"/>
              </w:rPr>
            </w:pPr>
            <w:r>
              <w:rPr>
                <w:rFonts w:hint="eastAsia" w:ascii="Times New Roman" w:hAnsi="Times New Roman" w:eastAsia="微软雅黑" w:cs="Times New Roman"/>
                <w:sz w:val="18"/>
                <w:shd w:val="clear" w:color="auto" w:fill="FFFFFF"/>
                <w:lang w:eastAsia="zh-CN"/>
              </w:rPr>
              <w:t>一项临床研究表明，帕博利珠单抗用于dMMR/MSI-H的结直肠癌患者的客观缓解率（ORR）为36%，非结直肠癌患者的ORR为46%[FDAReferenceID: 4389012]。基于该研究，FDA已批准帕博利珠单抗用于dMMR/MSI-H的治疗进展后没有合适的替代治疗方案的儿童或者成年实体瘤患者的治疗；或者氟尿嘧啶、奥沙利铂和伊立替康治疗后进展的结直肠癌患者的治疗。CheckMate142的临床研究结果显示，纳武利尤单抗用于dMMR/MSI-H的结直肠癌患者的ORR为28%，包括1例完全缓解和14例部分缓解[PMID: 28734759]。基于该研究，FDA已批准纳武利尤单抗用于dMMR/MSI-H的氟尿嘧啶、奥沙利铂和伊立替康为基础治疗进展后的成人和儿童（12岁及以上）的晚期结直肠癌患者。检测MMR有助于：辅助临床评判MSI-H发生的原因；辅助临床判断受检者是否患有林奇综合症（LynchSyndrome，LS）；预测肿瘤患者能否从抗PD-1中获益。</w:t>
            </w:r>
          </w:p>
          <w:p>
            <w:pPr>
              <w:ind w:firstLine="360" w:firstLineChars="200"/>
              <w:rPr>
                <w:rFonts w:ascii="Times New Roman" w:hAnsi="Times New Roman" w:eastAsia="微软雅黑" w:cs="Times New Roman"/>
                <w:sz w:val="18"/>
                <w:shd w:val="clear" w:color="auto" w:fill="FFFFFF"/>
                <w:lang w:eastAsia="zh-CN"/>
              </w:rPr>
            </w:pPr>
          </w:p>
          <w:p>
            <w:pPr>
              <w:rPr>
                <w:rFonts w:ascii="Times New Roman" w:hAnsi="Times New Roman" w:eastAsia="微软雅黑" w:cs="Times New Roman"/>
                <w:b/>
                <w:sz w:val="18"/>
                <w:shd w:val="clear" w:color="auto" w:fill="FFFFFF"/>
              </w:rPr>
            </w:pPr>
            <w:r>
              <w:rPr>
                <w:rFonts w:ascii="Times New Roman" w:hAnsi="Times New Roman" w:eastAsia="微软雅黑" w:cs="Times New Roman"/>
                <w:b/>
                <w:sz w:val="18"/>
                <w:shd w:val="clear" w:color="auto" w:fill="FFFFFF"/>
              </w:rPr>
              <w:t>注：</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错配修复（MMR）基因突变会导致错配修复缺陷（dMMR）；如果没有发生基因突变，则为正常（pMMR）。</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本次检测仅限于基因水平突变检测，未进行IHC表达检测，仅供参考。</w:t>
            </w:r>
          </w:p>
          <w:p>
            <w:pPr>
              <w:numPr>
                <w:ilvl w:val="0"/>
                <w:numId w:val="14"/>
              </w:numP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MMR基因检测体系/胚系突变。</w:t>
            </w:r>
          </w:p>
          <w:p>
            <w:pPr>
              <w:numPr>
                <w:ilvl w:val="0"/>
                <w:numId w:val="14"/>
              </w:numPr>
              <w:rPr>
                <w:rFonts w:ascii="Times New Roman" w:hAnsi="Times New Roman" w:eastAsia="微软雅黑" w:cs="Times New Roman"/>
                <w:sz w:val="21"/>
                <w:szCs w:val="21"/>
                <w:lang w:eastAsia="zh-CN"/>
              </w:rPr>
            </w:pPr>
            <w:r>
              <w:rPr>
                <w:rFonts w:hint="eastAsia" w:ascii="Times New Roman" w:hAnsi="Times New Roman" w:eastAsia="微软雅黑" w:cs="Times New Roman"/>
                <w:sz w:val="18"/>
                <w:szCs w:val="18"/>
                <w:shd w:val="clear" w:color="auto" w:fill="FFFFFF"/>
                <w:lang w:eastAsia="zh-CN"/>
              </w:rPr>
              <w:t>“-”表示本次检测未发现相关变异。</w:t>
            </w:r>
          </w:p>
        </w:tc>
      </w:tr>
    </w:tbl>
    <w:p>
      <w:pPr>
        <w:rPr>
          <w:rFonts w:ascii="微软雅黑" w:hAnsi="微软雅黑" w:eastAsia="微软雅黑" w:cs="微软雅黑"/>
          <w:sz w:val="18"/>
          <w:szCs w:val="18"/>
          <w:shd w:val="clear" w:color="auto" w:fill="FFFFFF"/>
          <w:lang w:eastAsia="zh-CN" w:bidi="ar"/>
        </w:rPr>
      </w:pPr>
      <w:r>
        <w:rPr>
          <w:rFonts w:ascii="微软雅黑" w:hAnsi="微软雅黑" w:eastAsia="微软雅黑" w:cs="微软雅黑"/>
          <w:sz w:val="18"/>
          <w:szCs w:val="18"/>
          <w:shd w:val="clear" w:color="auto" w:fill="FFFFFF"/>
          <w:lang w:eastAsia="zh-CN" w:bidi="ar"/>
        </w:rPr>
        <w:br w:type="page"/>
      </w:r>
    </w:p>
    <w:bookmarkEnd w:id="135"/>
    <w:p>
      <w:pPr>
        <w:pStyle w:val="27"/>
        <w:rPr>
          <w:color w:val="000000" w:themeColor="text1"/>
          <w14:textFill>
            <w14:solidFill>
              <w14:schemeClr w14:val="tx1"/>
            </w14:solidFill>
          </w14:textFill>
        </w:rPr>
      </w:pPr>
      <w:r>
        <w:rPr>
          <w:rFonts w:hint="eastAsia"/>
          <w:color w:val="000000" w:themeColor="text1"/>
          <w14:textFill>
            <w14:solidFill>
              <w14:schemeClr w14:val="tx1"/>
            </w14:solidFill>
          </w14:textFill>
        </w:rPr>
        <w:t>{% if gastrointestinalStromalTumor == True %}</w:t>
      </w:r>
    </w:p>
    <w:p>
      <w:pPr>
        <w:pStyle w:val="3"/>
        <w:numPr>
          <w:ilvl w:val="255"/>
          <w:numId w:val="0"/>
        </w:numPr>
        <w:jc w:val="left"/>
        <w:rPr>
          <w:rFonts w:hint="eastAsia"/>
          <w:color w:val="auto"/>
          <w:sz w:val="30"/>
          <w:lang w:eastAsia="zh-CN"/>
        </w:rPr>
      </w:pPr>
      <w:bookmarkStart w:id="153" w:name="_Toc26867"/>
      <w:bookmarkStart w:id="154" w:name="_Toc21764_WPSOffice_Level2"/>
      <w:bookmarkStart w:id="155" w:name="_Toc14132"/>
      <w:bookmarkStart w:id="156" w:name="_Toc9407"/>
      <w:bookmarkStart w:id="157" w:name="_Toc1707_WPSOffice_Level2"/>
      <w:bookmarkStart w:id="158" w:name="_Toc15667"/>
      <w:bookmarkStart w:id="159" w:name="_Toc23905"/>
      <w:bookmarkStart w:id="160" w:name="_Toc26649"/>
      <w:bookmarkStart w:id="161" w:name="_Toc16347"/>
      <w:bookmarkStart w:id="162" w:name="_Toc31701"/>
      <w:bookmarkStart w:id="163" w:name="_Toc149837267"/>
      <w:r>
        <w:rPr>
          <w:rFonts w:hint="eastAsia"/>
          <w:color w:val="auto"/>
          <w:sz w:val="30"/>
          <w:lang w:eastAsia="zh-CN"/>
        </w:rPr>
        <w:t>化疗药物检测解析</w:t>
      </w:r>
      <w:bookmarkEnd w:id="153"/>
      <w:bookmarkEnd w:id="154"/>
      <w:bookmarkEnd w:id="155"/>
      <w:bookmarkEnd w:id="156"/>
      <w:bookmarkEnd w:id="157"/>
      <w:bookmarkEnd w:id="158"/>
      <w:bookmarkEnd w:id="159"/>
      <w:bookmarkEnd w:id="160"/>
      <w:bookmarkEnd w:id="161"/>
      <w:bookmarkEnd w:id="162"/>
      <w:bookmarkEnd w:id="163"/>
    </w:p>
    <w:p>
      <w:pPr>
        <w:bidi w:val="0"/>
        <w:rPr>
          <w:rFonts w:hint="eastAsia" w:ascii="微软雅黑" w:hAnsi="微软雅黑" w:eastAsia="微软雅黑" w:cs="微软雅黑"/>
          <w:b/>
          <w:bCs/>
          <w:sz w:val="24"/>
          <w:szCs w:val="24"/>
          <w:lang w:eastAsia="zh-CN"/>
        </w:rPr>
      </w:pPr>
      <w:bookmarkStart w:id="164" w:name="_Toc31814"/>
      <w:bookmarkStart w:id="165" w:name="_Toc6126"/>
      <w:bookmarkStart w:id="166" w:name="_Toc20864"/>
      <w:bookmarkStart w:id="167" w:name="_Toc2694"/>
      <w:r>
        <w:rPr>
          <w:rFonts w:hint="eastAsia" w:ascii="微软雅黑" w:hAnsi="微软雅黑" w:eastAsia="微软雅黑" w:cs="微软雅黑"/>
          <w:b/>
          <w:bCs/>
          <w:sz w:val="24"/>
          <w:szCs w:val="24"/>
          <w:lang w:eastAsia="zh-CN"/>
        </w:rPr>
        <w:t>化疗药物用药提示</w:t>
      </w:r>
      <w:bookmarkEnd w:id="164"/>
      <w:bookmarkEnd w:id="165"/>
      <w:bookmarkEnd w:id="166"/>
      <w:bookmarkEnd w:id="167"/>
    </w:p>
    <w:tbl>
      <w:tblPr>
        <w:tblStyle w:val="17"/>
        <w:tblW w:w="987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99"/>
        <w:gridCol w:w="837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restart"/>
            <w:tcBorders>
              <w:top w:val="nil"/>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本癌种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color w:val="4F4F4F"/>
                <w:sz w:val="18"/>
                <w:szCs w:val="18"/>
                <w:lang w:eastAsia="zh-CN" w:bidi="ar"/>
              </w:rPr>
            </w:pPr>
            <w:r>
              <w:rPr>
                <w:rFonts w:hint="eastAsia" w:ascii="Times New Roman" w:hAnsi="Times New Roman" w:eastAsia="微软雅黑" w:cs="Times New Roman"/>
                <w:bCs/>
                <w:sz w:val="18"/>
                <w:szCs w:val="18"/>
                <w:lang w:eastAsia="zh-CN"/>
              </w:rPr>
              <w:t>{{ chemoSummary.certain_cancer_eff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1" w:hRule="atLeast"/>
          <w:jc w:val="center"/>
        </w:trPr>
        <w:tc>
          <w:tcPr>
            <w:tcW w:w="1339" w:type="dxa"/>
            <w:vMerge w:val="continue"/>
            <w:tcBorders>
              <w:top w:val="single" w:color="FFFFFF" w:sz="18" w:space="0"/>
              <w:left w:val="nil"/>
              <w:bottom w:val="single" w:color="FFFFFF" w:sz="18" w:space="0"/>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chemoSummary.certain_cancer_tox</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21" w:hRule="atLeast"/>
          <w:jc w:val="center"/>
        </w:trPr>
        <w:tc>
          <w:tcPr>
            <w:tcW w:w="1339" w:type="dxa"/>
            <w:vMerge w:val="restart"/>
            <w:tcBorders>
              <w:top w:val="single" w:color="FFFFFF" w:sz="18" w:space="0"/>
              <w:left w:val="nil"/>
              <w:bottom w:val="nil"/>
              <w:right w:val="nil"/>
            </w:tcBorders>
            <w:shd w:val="clear" w:color="auto" w:fill="62BC41"/>
            <w:vAlign w:val="center"/>
          </w:tcPr>
          <w:p>
            <w:pPr>
              <w:widowControl/>
              <w:jc w:val="cente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pPr>
            <w:r>
              <w:rPr>
                <w:rFonts w:ascii="Times New Roman" w:hAnsi="Times New Roman" w:eastAsia="微软雅黑" w:cs="Times New Roman"/>
                <w:b/>
                <w:bCs/>
                <w:color w:val="FFFFFF" w:themeColor="background1"/>
                <w:sz w:val="18"/>
                <w:szCs w:val="18"/>
                <w:lang w:eastAsia="zh-CN" w:bidi="ar"/>
                <w14:textFill>
                  <w14:solidFill>
                    <w14:schemeClr w14:val="bg1"/>
                  </w14:solidFill>
                </w14:textFill>
              </w:rPr>
              <w:t>其他癌种</w:t>
            </w: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chemoSummary.other_cancer_eff</w:t>
            </w:r>
            <w:r>
              <w:rPr>
                <w:rFonts w:ascii="Times New Roman" w:hAnsi="Times New Roman" w:eastAsia="微软雅黑" w:cs="Times New Roman"/>
                <w:bCs/>
                <w:sz w:val="18"/>
                <w:szCs w:val="18"/>
                <w:lang w:eastAsia="zh-CN"/>
              </w:rPr>
              <w:t>St</w:t>
            </w:r>
            <w:r>
              <w:rPr>
                <w:rFonts w:hint="eastAsia" w:ascii="Times New Roman" w:hAnsi="Times New Roman" w:eastAsia="微软雅黑" w:cs="Times New Roman"/>
                <w:bCs/>
                <w:sz w:val="18"/>
                <w:szCs w:val="18"/>
                <w:lang w:eastAsia="zh-CN"/>
              </w:rPr>
              <w:t>r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41" w:hRule="atLeast"/>
          <w:jc w:val="center"/>
        </w:trPr>
        <w:tc>
          <w:tcPr>
            <w:tcW w:w="1339" w:type="dxa"/>
            <w:vMerge w:val="continue"/>
            <w:tcBorders>
              <w:top w:val="nil"/>
              <w:left w:val="nil"/>
              <w:bottom w:val="nil"/>
              <w:right w:val="nil"/>
              <w:tl2br w:val="nil"/>
              <w:tr2bl w:val="nil"/>
            </w:tcBorders>
            <w:shd w:val="clear" w:color="auto" w:fill="62BC41"/>
            <w:vAlign w:val="center"/>
          </w:tcPr>
          <w:p>
            <w:pPr>
              <w:widowControl/>
              <w:jc w:val="center"/>
              <w:rPr>
                <w:rFonts w:ascii="Times New Roman" w:hAnsi="Times New Roman" w:eastAsia="微软雅黑" w:cs="Times New Roman"/>
                <w:color w:val="4F4F4F"/>
                <w:sz w:val="18"/>
                <w:szCs w:val="18"/>
                <w:lang w:eastAsia="zh-CN" w:bidi="ar"/>
              </w:rPr>
            </w:pPr>
          </w:p>
        </w:tc>
        <w:tc>
          <w:tcPr>
            <w:tcW w:w="7480" w:type="dxa"/>
            <w:tcBorders>
              <w:top w:val="single" w:color="A4A4A4" w:sz="4" w:space="0"/>
              <w:left w:val="nil"/>
              <w:bottom w:val="single" w:color="A4A4A4" w:sz="4" w:space="0"/>
              <w:right w:val="nil"/>
              <w:tl2br w:val="nil"/>
              <w:tr2bl w:val="nil"/>
            </w:tcBorders>
            <w:vAlign w:val="center"/>
          </w:tcPr>
          <w:p>
            <w:pPr>
              <w:widowControl/>
              <w:jc w:val="both"/>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chemoSummary.</w:t>
            </w:r>
            <w:r>
              <w:rPr>
                <w:rFonts w:ascii="Times New Roman" w:hAnsi="Times New Roman" w:eastAsia="微软雅黑" w:cs="Times New Roman"/>
                <w:bCs/>
                <w:sz w:val="18"/>
                <w:szCs w:val="18"/>
                <w:lang w:eastAsia="zh-CN"/>
              </w:rPr>
              <w:t>other_cancer_toxStr</w:t>
            </w:r>
            <w:r>
              <w:rPr>
                <w:rFonts w:hint="eastAsia" w:ascii="Times New Roman" w:hAnsi="Times New Roman" w:eastAsia="微软雅黑" w:cs="Times New Roman"/>
                <w:bCs/>
                <w:sz w:val="18"/>
                <w:szCs w:val="18"/>
                <w:lang w:eastAsia="zh-CN"/>
              </w:rPr>
              <w:t xml:space="preserve"> }}</w:t>
            </w:r>
          </w:p>
        </w:tc>
      </w:tr>
    </w:tbl>
    <w:p>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本癌种化疗药物的毒副风险和敏感性预测参考纳入人群为本癌种患者的研究文献。</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更详细的化疗基因多态性和药物信息参见</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化疗药物用药解析</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p>
    <w:p>
      <w:pPr>
        <w:numPr>
          <w:ilvl w:val="0"/>
          <w:numId w:val="15"/>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指和化疗药物或方案的有效性、毒副作用等药效学相关的，位于基因组上的多态性位点，通常用rs号表示；单个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位点</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上的遗传变异，在人群中会组合出多个</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基因型</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，不同基因型患者的药物反应在临床上可能会有所差异。</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PharmGKB是美国国立卫生研究院资助的提供人类基因变异与药物反应相关关系的知识库。</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临床证据等级来源于PharmGKBClinicalAnnotationLevelsofEvidence(https://www.pharmgkb.org/page/clinAnnLevels)，证据等级1A、1B、2A、2B、3、4分别代表证据支持程度依次降低：</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1A：由临床药物基因组学实施联盟(CPIC)或遗传药理学指南认可，或在遗传药理学研究网络(PGRN)或某些重大卫生系统认可。</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1B：相关性基于多项有统计显著性的研究，此相关性必须在多于一个群体的研究中被重复，且显著性较强。</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2A：PharmGKB定义的2B级之上的有VIP（VeryImportantPharmacogene，非常重要的用药相关基因）的变异。2A级变异为已知用药相关基因，与2B级相比功能相关性更显著。</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2B：相关性基于多项重复性研究所得的中等程度证据，但其中某些研究可能缺乏统计学显著性或规模效应较小。</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3：相关性基于单一显著性（尚无重复性）研究或多项缺乏明确证据的研究。</w:t>
      </w:r>
    </w:p>
    <w:p>
      <w:pPr>
        <w:ind w:left="420"/>
        <w:rPr>
          <w:rFonts w:ascii="Times New Roman" w:hAnsi="Times New Roman" w:eastAsia="微软雅黑" w:cs="Times New Roman"/>
          <w:sz w:val="18"/>
          <w:lang w:eastAsia="zh-CN"/>
        </w:rPr>
      </w:pPr>
      <w:r>
        <w:rPr>
          <w:rFonts w:ascii="Times New Roman" w:hAnsi="Times New Roman" w:eastAsia="微软雅黑" w:cs="Times New Roman"/>
          <w:sz w:val="18"/>
          <w:lang w:eastAsia="zh-CN"/>
        </w:rPr>
        <w:t>4：注释仅基于少量病例、非权威研究或体外的分子功能研究。</w:t>
      </w:r>
    </w:p>
    <w:p>
      <w:pPr>
        <w:numPr>
          <w:ilvl w:val="0"/>
          <w:numId w:val="15"/>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化疗药物检测结果仅从基因角度进行分析，化疗药物的药效及毒副作用还会受到多种临床因素影响，用药上会存在个体差异，所以实际临床用药方案需临床医生综合判断。</w:t>
      </w:r>
    </w:p>
    <w:p>
      <w:p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br w:type="page"/>
      </w:r>
    </w:p>
    <w:p>
      <w:pPr>
        <w:bidi w:val="0"/>
        <w:rPr>
          <w:rFonts w:hint="eastAsia" w:ascii="微软雅黑" w:hAnsi="微软雅黑" w:eastAsia="微软雅黑" w:cs="微软雅黑"/>
          <w:b/>
          <w:bCs/>
          <w:sz w:val="24"/>
          <w:szCs w:val="24"/>
          <w:lang w:eastAsia="zh-CN"/>
        </w:rPr>
      </w:pPr>
      <w:bookmarkStart w:id="168" w:name="_Toc16998"/>
      <w:bookmarkStart w:id="169" w:name="_Toc2344"/>
      <w:bookmarkStart w:id="170" w:name="_Toc15933"/>
      <w:bookmarkStart w:id="171" w:name="_Toc9395"/>
      <w:r>
        <w:rPr>
          <w:rFonts w:hint="eastAsia" w:ascii="微软雅黑" w:hAnsi="微软雅黑" w:eastAsia="微软雅黑" w:cs="微软雅黑"/>
          <w:b/>
          <w:bCs/>
          <w:sz w:val="24"/>
          <w:szCs w:val="24"/>
          <w:lang w:eastAsia="zh-CN"/>
        </w:rPr>
        <w:t>化疗药物用药解析</w:t>
      </w:r>
      <w:bookmarkEnd w:id="168"/>
      <w:bookmarkEnd w:id="169"/>
      <w:bookmarkEnd w:id="170"/>
      <w:bookmarkEnd w:id="171"/>
    </w:p>
    <w:tbl>
      <w:tblPr>
        <w:tblStyle w:val="16"/>
        <w:tblW w:w="4954" w:type="pct"/>
        <w:jc w:val="center"/>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0" w:type="dxa"/>
          <w:bottom w:w="0" w:type="dxa"/>
          <w:right w:w="0" w:type="dxa"/>
        </w:tblCellMar>
      </w:tblPr>
      <w:tblGrid>
        <w:gridCol w:w="757"/>
        <w:gridCol w:w="2780"/>
        <w:gridCol w:w="1406"/>
        <w:gridCol w:w="1153"/>
        <w:gridCol w:w="916"/>
        <w:gridCol w:w="1186"/>
        <w:gridCol w:w="1025"/>
        <w:gridCol w:w="556"/>
      </w:tblGrid>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510" w:hRule="atLeast"/>
          <w:tblHeader/>
          <w:jc w:val="center"/>
        </w:trPr>
        <w:tc>
          <w:tcPr>
            <w:tcW w:w="387"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药物类别</w:t>
            </w:r>
          </w:p>
        </w:tc>
        <w:tc>
          <w:tcPr>
            <w:tcW w:w="1421" w:type="pct"/>
            <w:tcBorders>
              <w:top w:val="nil"/>
              <w:bottom w:val="nil"/>
              <w:right w:val="single" w:color="FFFFFF" w:sz="18" w:space="0"/>
            </w:tcBorders>
            <w:shd w:val="clear" w:color="auto" w:fill="62BC41"/>
            <w:vAlign w:val="center"/>
          </w:tcPr>
          <w:p>
            <w:pPr>
              <w:spacing w:line="206" w:lineRule="exact"/>
              <w:jc w:val="center"/>
              <w:rPr>
                <w:rFonts w:ascii="Times New Roman" w:hAnsi="Times New Roman" w:eastAsia="微软雅黑" w:cs="Times New Roman"/>
                <w:b/>
                <w:bCs/>
                <w:color w:val="FFFFFF" w:themeColor="background1"/>
                <w:sz w:val="18"/>
                <w:szCs w:val="18"/>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化疗药物</w:t>
            </w:r>
          </w:p>
        </w:tc>
        <w:tc>
          <w:tcPr>
            <w:tcW w:w="71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检测基因</w:t>
            </w:r>
          </w:p>
        </w:tc>
        <w:tc>
          <w:tcPr>
            <w:tcW w:w="589"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检测位点</w:t>
            </w:r>
          </w:p>
        </w:tc>
        <w:tc>
          <w:tcPr>
            <w:tcW w:w="468" w:type="pct"/>
            <w:tcBorders>
              <w:top w:val="nil"/>
              <w:left w:val="single" w:color="FFFFFF" w:sz="18" w:space="0"/>
              <w:bottom w:val="nil"/>
              <w:right w:val="single" w:color="FFFFFF" w:sz="18" w:space="0"/>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检测结果</w:t>
            </w:r>
          </w:p>
        </w:tc>
        <w:tc>
          <w:tcPr>
            <w:tcW w:w="606"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毒副作用风险</w:t>
            </w:r>
          </w:p>
        </w:tc>
        <w:tc>
          <w:tcPr>
            <w:tcW w:w="52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b/>
                <w:bCs/>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药物敏感性</w:t>
            </w:r>
          </w:p>
        </w:tc>
        <w:tc>
          <w:tcPr>
            <w:tcW w:w="284" w:type="pct"/>
            <w:tcBorders>
              <w:top w:val="nil"/>
              <w:left w:val="single" w:color="FFFFFF" w:sz="18" w:space="0"/>
              <w:bottom w:val="nil"/>
            </w:tcBorders>
            <w:shd w:val="clear" w:color="auto" w:fill="62BC41"/>
            <w:vAlign w:val="center"/>
          </w:tcPr>
          <w:p>
            <w:pPr>
              <w:spacing w:line="204" w:lineRule="exact"/>
              <w:jc w:val="center"/>
              <w:rPr>
                <w:rFonts w:ascii="Times New Roman" w:hAnsi="Times New Roman" w:eastAsia="微软雅黑" w:cs="Times New Roman"/>
                <w:color w:val="FFFFFF" w:themeColor="background1"/>
                <w:sz w:val="18"/>
                <w:szCs w:val="18"/>
                <w:lang w:eastAsia="zh-CN"/>
                <w14:textFill>
                  <w14:solidFill>
                    <w14:schemeClr w14:val="bg1"/>
                  </w14:solidFill>
                </w14:textFill>
              </w:rPr>
            </w:pPr>
            <w:r>
              <w:rPr>
                <w:rFonts w:hint="eastAsia" w:ascii="Times New Roman" w:hAnsi="Times New Roman" w:eastAsia="微软雅黑" w:cs="Times New Roman"/>
                <w:b/>
                <w:bCs/>
                <w:color w:val="FFFFFF" w:themeColor="background1"/>
                <w:sz w:val="18"/>
                <w:szCs w:val="18"/>
                <w:lang w:eastAsia="zh-CN"/>
                <w14:textFill>
                  <w14:solidFill>
                    <w14:schemeClr w14:val="bg1"/>
                  </w14:solidFill>
                </w14:textFill>
              </w:rPr>
              <w:t>等级</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ca in chemoAnalysis%}</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{%tr for c in ca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2" w:hRule="atLeast"/>
          <w:jc w:val="center"/>
        </w:trPr>
        <w:tc>
          <w:tcPr>
            <w:tcW w:w="387"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vm %}{{ c.drug_class }}</w:t>
            </w:r>
          </w:p>
        </w:tc>
        <w:tc>
          <w:tcPr>
            <w:tcW w:w="1421"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c.drug_name_chinese }}</w:t>
            </w:r>
          </w:p>
        </w:tc>
        <w:tc>
          <w:tcPr>
            <w:tcW w:w="718"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c.gene }}</w:t>
            </w:r>
          </w:p>
        </w:tc>
        <w:tc>
          <w:tcPr>
            <w:tcW w:w="589"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c.rs_id }}</w:t>
            </w:r>
          </w:p>
        </w:tc>
        <w:tc>
          <w:tcPr>
            <w:tcW w:w="468" w:type="pct"/>
            <w:tcBorders>
              <w:top w:val="nil"/>
            </w:tcBorders>
            <w:shd w:val="clear" w:color="auto" w:fill="auto"/>
            <w:vAlign w:val="center"/>
          </w:tcPr>
          <w:p>
            <w:pPr>
              <w:spacing w:line="206" w:lineRule="exact"/>
              <w:jc w:val="center"/>
              <w:rPr>
                <w:rFonts w:hint="eastAsia"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c.allele }}</w:t>
            </w:r>
          </w:p>
        </w:tc>
        <w:tc>
          <w:tcPr>
            <w:tcW w:w="606"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c.tox }}</w:t>
            </w:r>
          </w:p>
        </w:tc>
        <w:tc>
          <w:tcPr>
            <w:tcW w:w="52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c.eff }}</w:t>
            </w:r>
          </w:p>
        </w:tc>
        <w:tc>
          <w:tcPr>
            <w:tcW w:w="284" w:type="pct"/>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Cs/>
                <w:sz w:val="18"/>
                <w:szCs w:val="18"/>
                <w:lang w:eastAsia="zh-CN"/>
              </w:rPr>
              <w:t>{{ c.evidence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r>
        <w:tblPrEx>
          <w:tblBorders>
            <w:top w:val="single" w:color="45A3A7" w:sz="18" w:space="0"/>
            <w:left w:val="none" w:color="auto" w:sz="0" w:space="0"/>
            <w:bottom w:val="single" w:color="A4A4A4" w:sz="4" w:space="0"/>
            <w:right w:val="none" w:color="auto" w:sz="0" w:space="0"/>
            <w:insideH w:val="single" w:color="A4A4A4" w:sz="4" w:space="0"/>
            <w:insideV w:val="single" w:color="A4A4A4" w:sz="4" w:space="0"/>
          </w:tblBorders>
          <w:tblCellMar>
            <w:top w:w="0" w:type="dxa"/>
            <w:left w:w="0" w:type="dxa"/>
            <w:bottom w:w="0" w:type="dxa"/>
            <w:right w:w="0" w:type="dxa"/>
          </w:tblCellMar>
        </w:tblPrEx>
        <w:trPr>
          <w:trHeight w:val="420" w:hRule="atLeast"/>
          <w:jc w:val="center"/>
        </w:trPr>
        <w:tc>
          <w:tcPr>
            <w:tcW w:w="5000" w:type="pct"/>
            <w:gridSpan w:val="8"/>
            <w:tcBorders>
              <w:top w:val="nil"/>
            </w:tcBorders>
            <w:shd w:val="clear" w:color="auto" w:fill="auto"/>
            <w:vAlign w:val="center"/>
          </w:tcPr>
          <w:p>
            <w:pPr>
              <w:spacing w:line="206" w:lineRule="exact"/>
              <w:jc w:val="center"/>
              <w:rPr>
                <w:rFonts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{%tr endfor %}</w:t>
            </w:r>
          </w:p>
        </w:tc>
      </w:tr>
    </w:tbl>
    <w:p>
      <w:pPr>
        <w:pStyle w:val="32"/>
        <w:tabs>
          <w:tab w:val="left" w:pos="1317"/>
        </w:tabs>
        <w:kinsoku w:val="0"/>
        <w:overflowPunct w:val="0"/>
        <w:spacing w:before="1" w:line="187" w:lineRule="auto"/>
        <w:ind w:left="0" w:right="1131" w:firstLine="0"/>
        <w:rPr>
          <w:rFonts w:ascii="微软雅黑" w:hAnsi="微软雅黑" w:eastAsia="微软雅黑"/>
          <w:b/>
          <w:bCs/>
          <w:sz w:val="18"/>
          <w:lang w:eastAsia="zh-CN"/>
        </w:rPr>
      </w:pPr>
      <w:r>
        <w:rPr>
          <w:rFonts w:hint="eastAsia" w:ascii="微软雅黑" w:hAnsi="微软雅黑" w:eastAsia="微软雅黑"/>
          <w:b/>
          <w:bCs/>
          <w:sz w:val="18"/>
          <w:lang w:eastAsia="zh-CN"/>
        </w:rPr>
        <w:t>注：</w:t>
      </w:r>
    </w:p>
    <w:p>
      <w:pPr>
        <w:numPr>
          <w:ilvl w:val="0"/>
          <w:numId w:val="16"/>
        </w:numPr>
        <w:rPr>
          <w:rFonts w:ascii="Times New Roman" w:hAnsi="Times New Roman" w:eastAsia="微软雅黑" w:cs="Times New Roman"/>
          <w:sz w:val="18"/>
          <w:lang w:eastAsia="zh-CN"/>
        </w:rPr>
      </w:pPr>
      <w:r>
        <w:rPr>
          <w:rFonts w:ascii="Times New Roman" w:hAnsi="Times New Roman" w:eastAsia="微软雅黑" w:cs="Times New Roman"/>
          <w:sz w:val="18"/>
          <w:lang w:eastAsia="zh-CN"/>
        </w:rPr>
        <w:t>本报告中参考药物并非按照疗效排序。</w:t>
      </w:r>
    </w:p>
    <w:p>
      <w:pPr>
        <w:numPr>
          <w:ilvl w:val="0"/>
          <w:numId w:val="16"/>
        </w:numPr>
        <w:rPr>
          <w:rFonts w:ascii="Times New Roman" w:hAnsi="Times New Roman" w:eastAsia="微软雅黑" w:cs="Times New Roman"/>
          <w:sz w:val="18"/>
          <w:lang w:eastAsia="zh-CN"/>
        </w:rPr>
      </w:pP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w:t>
      </w:r>
      <w:r>
        <w:rPr>
          <w:rFonts w:hint="eastAsia" w:ascii="微软雅黑" w:hAnsi="微软雅黑" w:eastAsia="微软雅黑" w:cs="微软雅黑"/>
          <w:sz w:val="18"/>
          <w:lang w:eastAsia="zh-CN"/>
        </w:rPr>
        <w:t>”</w:t>
      </w:r>
      <w:r>
        <w:rPr>
          <w:rFonts w:ascii="Times New Roman" w:hAnsi="Times New Roman" w:eastAsia="微软雅黑" w:cs="Times New Roman"/>
          <w:sz w:val="18"/>
          <w:lang w:eastAsia="zh-CN"/>
        </w:rPr>
        <w:t>未有研究报道或现有研究结论不一致。</w:t>
      </w:r>
    </w:p>
    <w:p>
      <w:pPr>
        <w:numPr>
          <w:ilvl w:val="0"/>
          <w:numId w:val="0"/>
        </w:numPr>
        <w:ind w:leftChars="0"/>
        <w:jc w:val="left"/>
        <w:rPr>
          <w:rFonts w:hint="default" w:ascii="Times New Roman" w:hAnsi="Times New Roman" w:eastAsia="微软雅黑" w:cs="Times New Roman"/>
          <w:kern w:val="0"/>
          <w:sz w:val="18"/>
          <w:szCs w:val="22"/>
          <w:lang w:val="en-US" w:eastAsia="zh-CN"/>
        </w:rPr>
      </w:pPr>
      <w:r>
        <w:rPr>
          <w:lang w:eastAsia="zh-CN"/>
        </w:rPr>
        <w:br w:type="page"/>
      </w:r>
      <w:r>
        <w:rPr>
          <w:rFonts w:hint="eastAsia" w:ascii="Times New Roman" w:hAnsi="Times New Roman" w:eastAsia="微软雅黑" w:cs="Times New Roman"/>
          <w:b/>
          <w:color w:val="000000" w:themeColor="text1"/>
          <w:sz w:val="24"/>
          <w:szCs w:val="24"/>
          <w:lang w:eastAsia="zh-CN"/>
          <w14:textFill>
            <w14:solidFill>
              <w14:schemeClr w14:val="tx1"/>
            </w14:solidFill>
          </w14:textFill>
        </w:rPr>
        <w:t>{% endif %}</w:t>
      </w:r>
    </w:p>
    <w:p>
      <w:pPr>
        <w:numPr>
          <w:ilvl w:val="-1"/>
          <w:numId w:val="0"/>
        </w:numPr>
        <w:ind w:left="0" w:firstLine="0"/>
        <w:jc w:val="both"/>
        <w:outlineLvl w:val="0"/>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pPr>
      <w:bookmarkStart w:id="172" w:name="_Toc2409"/>
      <w:bookmarkStart w:id="173" w:name="_Toc16594"/>
      <w:bookmarkStart w:id="174" w:name="_Toc27302"/>
      <w:bookmarkStart w:id="175" w:name="_Toc16786"/>
      <w:bookmarkStart w:id="176" w:name="_Toc14661"/>
      <w:bookmarkStart w:id="177" w:name="_Toc18680"/>
      <w:bookmarkStart w:id="178" w:name="_Toc30964"/>
      <w:bookmarkStart w:id="179" w:name="_Toc13196_WPSOffice_Level1"/>
      <w:bookmarkStart w:id="180" w:name="_Toc1707_WPSOffice_Level1"/>
      <w:bookmarkStart w:id="181" w:name="_Toc6433"/>
      <w:bookmarkStart w:id="182" w:name="_Toc21764_WPSOffice_Level1"/>
      <w:bookmarkStart w:id="183" w:name="_Toc18167"/>
      <w:bookmarkStart w:id="184" w:name="_Toc28240"/>
      <w:bookmarkStart w:id="185" w:name="_Toc12505"/>
      <w:r>
        <w:rPr>
          <w:rStyle w:val="36"/>
          <w:rFonts w:hint="eastAsia" w:ascii="微软雅黑" w:hAnsi="微软雅黑" w:eastAsia="微软雅黑" w:cs="微软雅黑"/>
          <w:b/>
          <w:bCs/>
          <w:color w:val="62B541"/>
          <w:sz w:val="32"/>
          <w:szCs w:val="32"/>
          <w14:shadow w14:blurRad="50800" w14:dist="38100" w14:dir="10800000" w14:sx="100000" w14:sy="100000" w14:kx="0" w14:ky="0" w14:algn="r">
            <w14:srgbClr w14:val="62B541">
              <w14:alpha w14:val="60000"/>
            </w14:srgbClr>
          </w14:shadow>
        </w:rPr>
        <w:t>附录</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p>
    <w:p>
      <w:pPr>
        <w:pStyle w:val="3"/>
        <w:numPr>
          <w:ilvl w:val="255"/>
          <w:numId w:val="0"/>
        </w:numPr>
        <w:jc w:val="left"/>
        <w:rPr>
          <w:rFonts w:hint="eastAsia"/>
          <w:color w:val="auto"/>
          <w:sz w:val="30"/>
          <w:lang w:val="en-US" w:eastAsia="zh-CN"/>
        </w:rPr>
      </w:pPr>
      <w:bookmarkStart w:id="186" w:name="_Toc3674"/>
      <w:bookmarkStart w:id="187" w:name="_Toc24085_WPSOffice_Level1"/>
      <w:bookmarkStart w:id="188" w:name="_Toc9914"/>
      <w:bookmarkStart w:id="189" w:name="_Toc10490"/>
      <w:bookmarkStart w:id="190" w:name="_Toc11352"/>
      <w:bookmarkStart w:id="191" w:name="_Toc14255_WPSOffice_Level1"/>
      <w:bookmarkStart w:id="192" w:name="_Toc9066"/>
      <w:bookmarkStart w:id="193" w:name="_Toc22502"/>
      <w:bookmarkStart w:id="194" w:name="_Toc24285"/>
      <w:bookmarkStart w:id="195" w:name="_Toc28330"/>
      <w:bookmarkStart w:id="196" w:name="_Toc15840_WPSOffice_Level1"/>
      <w:r>
        <w:rPr>
          <w:rFonts w:hint="eastAsia"/>
          <w:color w:val="auto"/>
          <w:sz w:val="30"/>
          <w:lang w:val="en-US" w:eastAsia="zh-CN"/>
        </w:rPr>
        <w:t>样本质控情况</w:t>
      </w:r>
      <w:bookmarkEnd w:id="186"/>
      <w:bookmarkEnd w:id="187"/>
      <w:bookmarkEnd w:id="188"/>
      <w:bookmarkEnd w:id="189"/>
      <w:bookmarkEnd w:id="190"/>
      <w:bookmarkEnd w:id="191"/>
      <w:bookmarkEnd w:id="192"/>
      <w:bookmarkEnd w:id="193"/>
      <w:bookmarkEnd w:id="194"/>
      <w:bookmarkEnd w:id="195"/>
      <w:bookmarkEnd w:id="196"/>
    </w:p>
    <w:p>
      <w:pPr>
        <w:rPr>
          <w:lang w:eastAsia="zh-CN"/>
        </w:rPr>
      </w:pPr>
    </w:p>
    <w:tbl>
      <w:tblPr>
        <w:tblStyle w:val="16"/>
        <w:tblW w:w="9810" w:type="dxa"/>
        <w:tblInd w:w="141" w:type="dxa"/>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Layout w:type="fixed"/>
        <w:tblCellMar>
          <w:top w:w="0" w:type="dxa"/>
          <w:left w:w="0" w:type="dxa"/>
          <w:bottom w:w="0" w:type="dxa"/>
          <w:right w:w="0" w:type="dxa"/>
        </w:tblCellMar>
      </w:tblPr>
      <w:tblGrid>
        <w:gridCol w:w="1987"/>
        <w:gridCol w:w="2721"/>
        <w:gridCol w:w="2381"/>
        <w:gridCol w:w="2721"/>
      </w:tblGrid>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3" w:hRule="atLeast"/>
        </w:trPr>
        <w:tc>
          <w:tcPr>
            <w:tcW w:w="1987" w:type="dxa"/>
            <w:tcBorders>
              <w:top w:val="nil"/>
              <w:left w:val="nil"/>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质控环节</w:t>
            </w:r>
          </w:p>
        </w:tc>
        <w:tc>
          <w:tcPr>
            <w:tcW w:w="272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质控参数</w:t>
            </w:r>
          </w:p>
        </w:tc>
        <w:tc>
          <w:tcPr>
            <w:tcW w:w="2381" w:type="dxa"/>
            <w:tcBorders>
              <w:top w:val="nil"/>
              <w:left w:val="single" w:color="FFFFFF" w:sz="18" w:space="0"/>
              <w:bottom w:val="nil"/>
              <w:right w:val="single" w:color="FFFFFF" w:sz="18" w:space="0"/>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lang w:eastAsia="zh-CN"/>
                <w14:textFill>
                  <w14:solidFill>
                    <w14:schemeClr w14:val="bg1"/>
                  </w14:solidFill>
                </w14:textFill>
              </w:rPr>
            </w:pPr>
            <w:r>
              <w:rPr>
                <w:rFonts w:hint="eastAsia" w:ascii="Times New Roman" w:hAnsi="Times New Roman" w:eastAsia="微软雅黑" w:cs="Times New Roman"/>
                <w:b/>
                <w:color w:val="FFFFFF" w:themeColor="background1"/>
                <w:sz w:val="21"/>
                <w:lang w:eastAsia="zh-CN"/>
                <w14:textFill>
                  <w14:solidFill>
                    <w14:schemeClr w14:val="bg1"/>
                  </w14:solidFill>
                </w14:textFill>
              </w:rPr>
              <w:t>质控数值</w:t>
            </w:r>
          </w:p>
        </w:tc>
        <w:tc>
          <w:tcPr>
            <w:tcW w:w="2721" w:type="dxa"/>
            <w:tcBorders>
              <w:top w:val="nil"/>
              <w:left w:val="single" w:color="FFFFFF" w:sz="18" w:space="0"/>
              <w:bottom w:val="nil"/>
              <w:right w:val="nil"/>
            </w:tcBorders>
            <w:shd w:val="clear" w:color="auto" w:fill="62BC4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FFFFFF" w:themeColor="background1"/>
                <w:sz w:val="21"/>
                <w14:textFill>
                  <w14:solidFill>
                    <w14:schemeClr w14:val="bg1"/>
                  </w14:solidFill>
                </w14:textFill>
              </w:rPr>
            </w:pPr>
            <w:r>
              <w:rPr>
                <w:rFonts w:ascii="Times New Roman" w:hAnsi="Times New Roman" w:eastAsia="微软雅黑" w:cs="Times New Roman"/>
                <w:b/>
                <w:color w:val="FFFFFF" w:themeColor="background1"/>
                <w:sz w:val="21"/>
                <w14:textFill>
                  <w14:solidFill>
                    <w14:schemeClr w14:val="bg1"/>
                  </w14:solidFill>
                </w14:textFill>
              </w:rPr>
              <w:t>质控标准</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tcBorders>
              <w:top w:val="nil"/>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tcBorders>
              <w:top w:val="nil"/>
            </w:tcBorders>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tcBorders>
              <w:top w:val="nil"/>
            </w:tcBorders>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tcBorders>
              <w:top w:val="nil"/>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restart"/>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2" w:hRule="atLeast"/>
        </w:trPr>
        <w:tc>
          <w:tcPr>
            <w:tcW w:w="1987" w:type="dxa"/>
            <w:vMerge w:val="continue"/>
            <w:tcBorders>
              <w:left w:val="nil"/>
            </w:tcBorders>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tcBorders>
              <w:right w:val="nil"/>
            </w:tcBorders>
            <w:vAlign w:val="center"/>
          </w:tcPr>
          <w:p>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tblPrEx>
          <w:tblBorders>
            <w:top w:val="single" w:color="416AAB" w:sz="24" w:space="0"/>
            <w:left w:val="single" w:color="416AAB" w:sz="24" w:space="0"/>
            <w:bottom w:val="single" w:color="A4A4A4" w:sz="4" w:space="0"/>
            <w:right w:val="single" w:color="416AAB" w:sz="24" w:space="0"/>
            <w:insideH w:val="single" w:color="A4A4A4" w:sz="4" w:space="0"/>
            <w:insideV w:val="single" w:color="A4A4A4" w:sz="4" w:space="0"/>
          </w:tblBorders>
          <w:tblCellMar>
            <w:top w:w="0" w:type="dxa"/>
            <w:left w:w="0" w:type="dxa"/>
            <w:bottom w:w="0" w:type="dxa"/>
            <w:right w:w="0" w:type="dxa"/>
          </w:tblCellMar>
        </w:tblPrEx>
        <w:trPr>
          <w:trHeight w:val="510" w:hRule="atLeast"/>
        </w:trPr>
        <w:tc>
          <w:tcPr>
            <w:tcW w:w="1987" w:type="dxa"/>
            <w:tcBorders>
              <w:lef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tcBorders>
              <w:right w:val="nil"/>
            </w:tcBorders>
            <w:shd w:val="clear" w:color="auto" w:fill="F1F1F1"/>
            <w:vAlign w:val="center"/>
          </w:tcPr>
          <w:p>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pPr>
        <w:pStyle w:val="8"/>
        <w:rPr>
          <w:b/>
          <w:sz w:val="6"/>
        </w:rPr>
      </w:pPr>
    </w:p>
    <w:p>
      <w:pPr>
        <w:spacing w:before="53" w:line="301" w:lineRule="exact"/>
        <w:rPr>
          <w:rFonts w:ascii="Times New Roman" w:hAnsi="Times New Roman" w:eastAsia="微软雅黑" w:cs="Times New Roman"/>
          <w:b/>
          <w:sz w:val="18"/>
          <w:lang w:eastAsia="zh-CN"/>
        </w:rPr>
      </w:pPr>
      <w:r>
        <w:rPr>
          <w:rFonts w:hint="eastAsia" w:ascii="Times New Roman" w:hAnsi="Times New Roman" w:eastAsia="微软雅黑" w:cs="Times New Roman"/>
          <w:b/>
          <w:sz w:val="18"/>
          <w:lang w:eastAsia="zh-CN"/>
        </w:rPr>
        <w:t>注：</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pPr>
        <w:numPr>
          <w:ilvl w:val="0"/>
          <w:numId w:val="18"/>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pPr>
        <w:numPr>
          <w:ilvl w:val="0"/>
          <w:numId w:val="17"/>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bookmarkStart w:id="197" w:name="_Toc1779"/>
      <w:bookmarkStart w:id="198" w:name="_Toc20303"/>
      <w:bookmarkStart w:id="199" w:name="_Toc11812"/>
      <w:bookmarkStart w:id="200" w:name="_Toc4979"/>
      <w:bookmarkStart w:id="201" w:name="_Toc11896_WPSOffice_Level1"/>
      <w:bookmarkStart w:id="202" w:name="_Toc11193_WPSOffice_Level1"/>
      <w:bookmarkStart w:id="203" w:name="_Toc28810_WPSOffice_Level1"/>
      <w:r>
        <w:br w:type="page"/>
      </w:r>
    </w:p>
    <w:p>
      <w:pPr>
        <w:pStyle w:val="3"/>
        <w:numPr>
          <w:ilvl w:val="255"/>
          <w:numId w:val="0"/>
        </w:numPr>
        <w:jc w:val="left"/>
        <w:rPr>
          <w:rFonts w:hint="eastAsia"/>
          <w:color w:val="auto"/>
          <w:sz w:val="30"/>
          <w:lang w:val="en-US" w:eastAsia="zh-CN"/>
        </w:rPr>
      </w:pPr>
      <w:bookmarkStart w:id="204" w:name="_Toc7154"/>
      <w:bookmarkStart w:id="205" w:name="_Toc19990"/>
      <w:bookmarkStart w:id="206" w:name="_Toc7099"/>
      <w:bookmarkStart w:id="207" w:name="_Toc23658"/>
      <w:bookmarkStart w:id="208" w:name="_Toc31670"/>
      <w:r>
        <w:rPr>
          <w:rFonts w:hint="eastAsia"/>
          <w:color w:val="auto"/>
          <w:sz w:val="30"/>
          <w:lang w:val="en-US" w:eastAsia="zh-CN"/>
        </w:rPr>
        <w:t>常见靶向药物相关基因检测列表</w:t>
      </w:r>
      <w:bookmarkEnd w:id="197"/>
      <w:bookmarkEnd w:id="198"/>
      <w:bookmarkEnd w:id="199"/>
      <w:bookmarkEnd w:id="200"/>
      <w:bookmarkEnd w:id="201"/>
      <w:bookmarkEnd w:id="204"/>
      <w:bookmarkEnd w:id="205"/>
      <w:bookmarkEnd w:id="206"/>
      <w:bookmarkEnd w:id="207"/>
      <w:bookmarkEnd w:id="208"/>
    </w:p>
    <w:bookmarkEnd w:id="202"/>
    <w:bookmarkEnd w:id="203"/>
    <w:tbl>
      <w:tblPr>
        <w:tblStyle w:val="17"/>
        <w:tblpPr w:leftFromText="180" w:rightFromText="180" w:vertAnchor="text" w:horzAnchor="page" w:tblpXSpec="center" w:tblpY="224"/>
        <w:tblOverlap w:val="never"/>
        <w:tblW w:w="9815" w:type="dxa"/>
        <w:jc w:val="center"/>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Layout w:type="fixed"/>
        <w:tblCellMar>
          <w:top w:w="0" w:type="dxa"/>
          <w:left w:w="113" w:type="dxa"/>
          <w:bottom w:w="0" w:type="dxa"/>
          <w:right w:w="113" w:type="dxa"/>
        </w:tblCellMar>
      </w:tblPr>
      <w:tblGrid>
        <w:gridCol w:w="838"/>
        <w:gridCol w:w="611"/>
        <w:gridCol w:w="8366"/>
      </w:tblGrid>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567" w:hRule="atLeast"/>
          <w:jc w:val="center"/>
        </w:trPr>
        <w:tc>
          <w:tcPr>
            <w:tcW w:w="838" w:type="dxa"/>
            <w:tcBorders>
              <w:top w:val="nil"/>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基因</w:t>
            </w:r>
          </w:p>
        </w:tc>
        <w:tc>
          <w:tcPr>
            <w:tcW w:w="611" w:type="dxa"/>
            <w:tcBorders>
              <w:top w:val="nil"/>
              <w:left w:val="single" w:color="FFFFFF" w:sz="18" w:space="0"/>
              <w:bottom w:val="nil"/>
              <w:right w:val="single" w:color="FFFFFF" w:sz="18" w:space="0"/>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检测内容</w:t>
            </w:r>
          </w:p>
        </w:tc>
        <w:tc>
          <w:tcPr>
            <w:tcW w:w="8366" w:type="dxa"/>
            <w:tcBorders>
              <w:top w:val="nil"/>
              <w:left w:val="single" w:color="FFFFFF" w:sz="18" w:space="0"/>
              <w:bottom w:val="nil"/>
            </w:tcBorders>
            <w:shd w:val="clear" w:color="auto" w:fill="62BC41"/>
            <w:vAlign w:val="center"/>
          </w:tcPr>
          <w:p>
            <w:pPr>
              <w:spacing w:line="206" w:lineRule="exact"/>
              <w:ind w:leftChars="-4" w:hanging="9" w:hangingChars="5"/>
              <w:jc w:val="center"/>
              <w:rPr>
                <w:rFonts w:hint="default" w:ascii="Times New Roman" w:hAnsi="Times New Roman" w:eastAsia="微软雅黑" w:cs="Times New Roman"/>
                <w:b/>
                <w:bCs/>
                <w:color w:val="FFFFFF" w:themeColor="background1"/>
                <w:sz w:val="18"/>
                <w:szCs w:val="18"/>
                <w14:textFill>
                  <w14:solidFill>
                    <w14:schemeClr w14:val="bg1"/>
                  </w14:solidFill>
                </w14:textFill>
              </w:rPr>
            </w:pPr>
            <w:r>
              <w:rPr>
                <w:rFonts w:hint="default" w:ascii="Times New Roman" w:hAnsi="Times New Roman" w:eastAsia="微软雅黑" w:cs="Times New Roman"/>
                <w:b/>
                <w:bCs/>
                <w:color w:val="FFFFFF" w:themeColor="background1"/>
                <w:sz w:val="18"/>
                <w:szCs w:val="18"/>
                <w14:textFill>
                  <w14:solidFill>
                    <w14:schemeClr w14:val="bg1"/>
                  </w14:solidFill>
                </w14:textFill>
              </w:rPr>
              <w:t>靶向药物</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tcBorders>
              <w:top w:val="nil"/>
              <w:tl2br w:val="nil"/>
              <w:tr2bl w:val="nil"/>
            </w:tcBorders>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{%tr for</w:t>
            </w:r>
            <w:r>
              <w:rPr>
                <w:rFonts w:hint="eastAsia" w:ascii="Times New Roman" w:hAnsi="Times New Roman" w:eastAsia="微软雅黑" w:cs="Times New Roman"/>
                <w:sz w:val="18"/>
                <w:lang w:val="en-US" w:eastAsia="zh-CN"/>
              </w:rPr>
              <w:t xml:space="preserve"> ct</w:t>
            </w:r>
            <w:r>
              <w:rPr>
                <w:rFonts w:hint="eastAsia" w:ascii="Times New Roman" w:hAnsi="Times New Roman" w:eastAsia="微软雅黑" w:cs="Times New Roman"/>
                <w:sz w:val="18"/>
                <w:lang w:eastAsia="zh-CN"/>
              </w:rPr>
              <w:t xml:space="preserve"> in commonTargetedDrug</w:t>
            </w:r>
            <w:r>
              <w:rPr>
                <w:rFonts w:hint="eastAsia" w:ascii="Times New Roman" w:hAnsi="Times New Roman" w:eastAsia="微软雅黑" w:cs="Times New Roman"/>
                <w:sz w:val="18"/>
                <w:lang w:val="en-US" w:eastAsia="zh-CN"/>
              </w:rPr>
              <w:t xml:space="preserve"> </w:t>
            </w:r>
            <w:r>
              <w:rPr>
                <w:rFonts w:hint="eastAsia" w:ascii="Times New Roman" w:hAnsi="Times New Roman" w:eastAsia="微软雅黑" w:cs="Times New Roman"/>
                <w:sz w:val="18"/>
                <w:lang w:eastAsia="zh-CN"/>
              </w:rPr>
              <w:t>%}</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838" w:type="dxa"/>
            <w:vAlign w:val="center"/>
          </w:tcPr>
          <w:p>
            <w:pPr>
              <w:spacing w:line="206" w:lineRule="exact"/>
              <w:ind w:leftChars="-4" w:hanging="9" w:hangingChars="5"/>
              <w:jc w:val="center"/>
              <w:rPr>
                <w:rFonts w:hint="eastAsia" w:ascii="Times New Roman" w:hAnsi="Times New Roman" w:eastAsia="微软雅黑" w:cs="Times New Roman"/>
                <w:b/>
                <w:bCs/>
                <w:color w:val="auto"/>
                <w:sz w:val="18"/>
                <w:szCs w:val="18"/>
                <w:lang w:val="en-US" w:eastAsia="zh-CN"/>
              </w:rPr>
            </w:pPr>
            <w:r>
              <w:rPr>
                <w:rFonts w:hint="eastAsia" w:ascii="Times New Roman" w:hAnsi="Times New Roman" w:eastAsia="微软雅黑" w:cs="Times New Roman"/>
                <w:b/>
                <w:bCs/>
                <w:color w:val="auto"/>
                <w:sz w:val="18"/>
                <w:szCs w:val="18"/>
                <w:lang w:val="en-US" w:eastAsia="zh-CN"/>
              </w:rPr>
              <w:t>{% for b in ct.gene | nl() %}{%if loop.last%}{{ b }}{%else%}{{ b }}</w:t>
            </w:r>
          </w:p>
          <w:p>
            <w:pPr>
              <w:spacing w:line="206" w:lineRule="exact"/>
              <w:ind w:leftChars="-4" w:hanging="9" w:hangingChars="5"/>
              <w:jc w:val="center"/>
              <w:rPr>
                <w:rFonts w:hint="default" w:ascii="Times New Roman" w:hAnsi="Times New Roman" w:eastAsia="微软雅黑" w:cs="Times New Roman"/>
                <w:b/>
                <w:bCs/>
                <w:color w:val="416AAB"/>
                <w:sz w:val="18"/>
                <w:szCs w:val="18"/>
              </w:rPr>
            </w:pPr>
            <w:r>
              <w:rPr>
                <w:rFonts w:hint="eastAsia" w:ascii="Times New Roman" w:hAnsi="Times New Roman" w:eastAsia="微软雅黑" w:cs="Times New Roman"/>
                <w:b/>
                <w:bCs/>
                <w:color w:val="auto"/>
                <w:sz w:val="18"/>
                <w:szCs w:val="18"/>
                <w:lang w:val="en-US" w:eastAsia="zh-CN"/>
              </w:rPr>
              <w:t>{%endif%}{% endfor%}</w:t>
            </w:r>
          </w:p>
        </w:tc>
        <w:tc>
          <w:tcPr>
            <w:tcW w:w="611" w:type="dxa"/>
            <w:vAlign w:val="center"/>
          </w:tcPr>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t>{% for b in ct.detection_content | nl() %}{%if loop.last%}{{ b }}{%else%}{{ b }}</w:t>
            </w:r>
          </w:p>
          <w:p>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Times New Roman" w:hAnsi="Times New Roman" w:eastAsia="微软雅黑" w:cs="Times New Roman"/>
                <w:sz w:val="18"/>
                <w:szCs w:val="18"/>
              </w:rPr>
            </w:pPr>
            <w:r>
              <w:rPr>
                <w:rFonts w:hint="eastAsia" w:ascii="Times New Roman" w:hAnsi="Times New Roman" w:eastAsia="微软雅黑" w:cs="Times New Roman"/>
                <w:sz w:val="18"/>
                <w:szCs w:val="18"/>
                <w:lang w:val="en-US" w:eastAsia="zh-CN"/>
              </w:rPr>
              <w:t>{%endif%}{% endfor%}</w:t>
            </w:r>
          </w:p>
        </w:tc>
        <w:tc>
          <w:tcPr>
            <w:tcW w:w="8366" w:type="dxa"/>
            <w:vAlign w:val="center"/>
          </w:tcPr>
          <w:p>
            <w:pPr>
              <w:jc w:val="left"/>
              <w:rPr>
                <w:rFonts w:hint="eastAsia" w:ascii="Times New Roman" w:hAnsi="Times New Roman" w:eastAsia="微软雅黑" w:cs="Times New Roman"/>
                <w:b w:val="0"/>
                <w:bCs w:val="0"/>
                <w:color w:val="auto"/>
                <w:sz w:val="18"/>
                <w:szCs w:val="18"/>
                <w:highlight w:val="none"/>
                <w:lang w:val="en-US" w:eastAsia="zh-CN"/>
              </w:rPr>
            </w:pPr>
            <w:r>
              <w:rPr>
                <w:rFonts w:hint="eastAsia" w:ascii="Times New Roman" w:hAnsi="Times New Roman" w:eastAsia="微软雅黑" w:cs="Times New Roman"/>
                <w:b w:val="0"/>
                <w:bCs w:val="0"/>
                <w:color w:val="auto"/>
                <w:sz w:val="18"/>
                <w:szCs w:val="18"/>
                <w:highlight w:val="none"/>
                <w:lang w:val="en-US" w:eastAsia="zh-CN"/>
              </w:rPr>
              <w:t>{% for b in ct.targeted_drug | nl() %}{%if loop.last%}{%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endfor%}{%else%}{% for i in b | nb() %}{%if loop.index % 2 == 0%}</w:t>
            </w:r>
            <w:r>
              <w:rPr>
                <w:rFonts w:hint="eastAsia" w:ascii="Times New Roman" w:hAnsi="Times New Roman" w:eastAsia="微软雅黑" w:cs="Times New Roman"/>
                <w:b/>
                <w:bCs/>
                <w:color w:val="auto"/>
                <w:sz w:val="18"/>
                <w:szCs w:val="18"/>
                <w:highlight w:val="none"/>
                <w:lang w:val="en-US" w:eastAsia="zh-CN"/>
              </w:rPr>
              <w:t>{{ i }}</w:t>
            </w:r>
            <w:r>
              <w:rPr>
                <w:rFonts w:hint="eastAsia" w:ascii="Times New Roman" w:hAnsi="Times New Roman" w:eastAsia="微软雅黑" w:cs="Times New Roman"/>
                <w:b w:val="0"/>
                <w:bCs w:val="0"/>
                <w:color w:val="auto"/>
                <w:sz w:val="18"/>
                <w:szCs w:val="18"/>
                <w:highlight w:val="none"/>
                <w:lang w:val="en-US" w:eastAsia="zh-CN"/>
              </w:rPr>
              <w:t>{%else%}{{ i }}{%endif%}{% endfor%}</w:t>
            </w:r>
          </w:p>
          <w:p>
            <w:pPr>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b w:val="0"/>
                <w:bCs w:val="0"/>
                <w:color w:val="auto"/>
                <w:sz w:val="18"/>
                <w:szCs w:val="18"/>
                <w:highlight w:val="none"/>
                <w:lang w:val="en-US" w:eastAsia="zh-CN"/>
              </w:rPr>
              <w:t>{%endif%}{% endfor%}</w:t>
            </w:r>
          </w:p>
        </w:tc>
      </w:tr>
      <w:tr>
        <w:tblPrEx>
          <w:tblBorders>
            <w:top w:val="single" w:color="A4A4A4" w:sz="4" w:space="0"/>
            <w:left w:val="none" w:color="auto" w:sz="0" w:space="0"/>
            <w:bottom w:val="single" w:color="A4A4A4" w:sz="4" w:space="0"/>
            <w:right w:val="none" w:color="auto" w:sz="0" w:space="0"/>
            <w:insideH w:val="single" w:color="A4A4A4" w:sz="4" w:space="0"/>
            <w:insideV w:val="single" w:color="A4A4A4" w:sz="4" w:space="0"/>
          </w:tblBorders>
          <w:tblCellMar>
            <w:top w:w="0" w:type="dxa"/>
            <w:left w:w="113" w:type="dxa"/>
            <w:bottom w:w="0" w:type="dxa"/>
            <w:right w:w="113" w:type="dxa"/>
          </w:tblCellMar>
        </w:tblPrEx>
        <w:trPr>
          <w:trHeight w:val="0" w:hRule="atLeast"/>
          <w:jc w:val="center"/>
        </w:trPr>
        <w:tc>
          <w:tcPr>
            <w:tcW w:w="9815" w:type="dxa"/>
            <w:gridSpan w:val="3"/>
            <w:vAlign w:val="center"/>
          </w:tcPr>
          <w:p>
            <w:pPr>
              <w:spacing w:before="19"/>
              <w:ind w:right="-6"/>
              <w:jc w:val="left"/>
              <w:rPr>
                <w:rFonts w:hint="default" w:ascii="Times New Roman" w:hAnsi="Times New Roman" w:eastAsia="微软雅黑" w:cs="Times New Roman"/>
                <w:spacing w:val="-1"/>
                <w:sz w:val="18"/>
                <w:szCs w:val="18"/>
              </w:rPr>
            </w:pPr>
            <w:r>
              <w:rPr>
                <w:rFonts w:hint="eastAsia" w:ascii="Times New Roman" w:hAnsi="Times New Roman" w:eastAsia="微软雅黑" w:cs="Times New Roman"/>
                <w:sz w:val="18"/>
                <w:lang w:eastAsia="zh-CN"/>
              </w:rPr>
              <w:t xml:space="preserve">{%tr </w:t>
            </w:r>
            <w:r>
              <w:rPr>
                <w:rFonts w:hint="eastAsia" w:ascii="Times New Roman" w:hAnsi="Times New Roman" w:eastAsia="微软雅黑" w:cs="Times New Roman"/>
                <w:sz w:val="18"/>
                <w:lang w:val="en-US" w:eastAsia="zh-CN"/>
              </w:rPr>
              <w:t>end</w:t>
            </w:r>
            <w:r>
              <w:rPr>
                <w:rFonts w:hint="eastAsia" w:ascii="Times New Roman" w:hAnsi="Times New Roman" w:eastAsia="微软雅黑" w:cs="Times New Roman"/>
                <w:sz w:val="18"/>
                <w:lang w:eastAsia="zh-CN"/>
              </w:rPr>
              <w:t>for %}</w:t>
            </w:r>
          </w:p>
        </w:tc>
      </w:tr>
    </w:tbl>
    <w:p>
      <w:pPr>
        <w:rPr>
          <w:rFonts w:ascii="Times New Roman" w:hAnsi="Times New Roman" w:eastAsia="微软雅黑" w:cs="Times New Roman"/>
          <w:sz w:val="20"/>
          <w:szCs w:val="20"/>
          <w:lang w:eastAsia="zh-CN"/>
        </w:rPr>
      </w:pPr>
    </w:p>
    <w:p>
      <w:pPr>
        <w:rPr>
          <w:lang w:eastAsia="zh-CN"/>
        </w:rPr>
      </w:pPr>
      <w:r>
        <w:rPr>
          <w:lang w:eastAsia="zh-CN"/>
        </w:rPr>
        <w:br w:type="page"/>
      </w:r>
    </w:p>
    <w:bookmarkEnd w:id="27"/>
    <w:p>
      <w:pPr>
        <w:pStyle w:val="3"/>
        <w:numPr>
          <w:ilvl w:val="255"/>
          <w:numId w:val="0"/>
        </w:numPr>
        <w:jc w:val="left"/>
        <w:rPr>
          <w:rFonts w:hint="eastAsia"/>
          <w:color w:val="auto"/>
          <w:sz w:val="30"/>
          <w:lang w:val="en-US" w:eastAsia="zh-CN"/>
        </w:rPr>
      </w:pPr>
      <w:bookmarkStart w:id="209" w:name="_Toc10610"/>
      <w:bookmarkStart w:id="210" w:name="_Toc16368_WPSOffice_Level1"/>
      <w:bookmarkStart w:id="211" w:name="_Toc28537"/>
      <w:bookmarkStart w:id="212" w:name="_Toc31372"/>
      <w:bookmarkStart w:id="213" w:name="_Toc8182"/>
      <w:bookmarkStart w:id="214" w:name="_Toc28910_WPSOffice_Level1"/>
      <w:bookmarkStart w:id="215" w:name="_Toc9341"/>
      <w:bookmarkStart w:id="216" w:name="_Toc7549"/>
      <w:bookmarkStart w:id="217" w:name="_Toc4107"/>
      <w:bookmarkStart w:id="218" w:name="_Toc19099"/>
      <w:bookmarkStart w:id="219" w:name="_Toc22484_WPSOffice_Level1"/>
      <w:bookmarkStart w:id="220" w:name="_Toc29730"/>
      <w:bookmarkStart w:id="221" w:name="_Toc20214"/>
      <w:bookmarkStart w:id="222" w:name="_Toc6864"/>
      <w:r>
        <w:rPr>
          <w:rFonts w:hint="eastAsia"/>
          <w:color w:val="auto"/>
          <w:sz w:val="30"/>
          <w:lang w:val="en-US" w:eastAsia="zh-CN"/>
        </w:rPr>
        <w:t>检测基因列表</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p>
    <w:tbl>
      <w:tblPr>
        <w:tblStyle w:val="17"/>
        <w:tblpPr w:leftFromText="180" w:rightFromText="180" w:vertAnchor="text" w:horzAnchor="page" w:tblpX="1142" w:tblpY="133"/>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6"/>
        <w:gridCol w:w="1956"/>
        <w:gridCol w:w="1956"/>
        <w:gridCol w:w="1956"/>
        <w:gridCol w:w="19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9" w:hRule="atLeast"/>
          <w:jc w:val="center"/>
        </w:trPr>
        <w:tc>
          <w:tcPr>
            <w:tcW w:w="9780" w:type="dxa"/>
            <w:gridSpan w:val="5"/>
            <w:tcBorders>
              <w:tl2br w:val="nil"/>
              <w:tr2bl w:val="nil"/>
            </w:tcBorders>
            <w:vAlign w:val="center"/>
          </w:tcPr>
          <w:p>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val="en-US" w:eastAsia="zh-CN"/>
              </w:rPr>
              <w:t>gene.genes</w:t>
            </w:r>
            <w:r>
              <w:rPr>
                <w:rFonts w:hint="eastAsia" w:ascii="Times New Roman" w:hAnsi="Times New Roman" w:eastAsia="微软雅黑" w:cs="Times New Roman"/>
                <w:sz w:val="18"/>
                <w:szCs w:val="18"/>
                <w:lang w:eastAsia="zh-CN"/>
              </w:rPr>
              <w:t xml:space="preserve"> | red(</w:t>
            </w:r>
            <w:r>
              <w:rPr>
                <w:rFonts w:hint="eastAsia" w:ascii="Times New Roman" w:hAnsi="Times New Roman" w:eastAsia="微软雅黑" w:cs="Times New Roman"/>
                <w:sz w:val="18"/>
                <w:szCs w:val="18"/>
                <w:lang w:val="en-US" w:eastAsia="zh-CN"/>
              </w:rPr>
              <w:t>5</w:t>
            </w:r>
            <w:r>
              <w:rPr>
                <w:rFonts w:hint="eastAsia" w:ascii="Times New Roman" w:hAnsi="Times New Roman" w:eastAsia="微软雅黑" w:cs="Times New Roman"/>
                <w:sz w:val="18"/>
                <w:szCs w:val="18"/>
                <w:lang w:eastAsia="zh-CN"/>
              </w:rPr>
              <w:t>,18,True)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jc w:val="center"/>
        </w:trPr>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956" w:type="dxa"/>
            <w:tcBorders>
              <w:tl2br w:val="nil"/>
              <w:tr2bl w:val="nil"/>
            </w:tcBorders>
            <w:vAlign w:val="center"/>
          </w:tcPr>
          <w:p>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jc w:val="center"/>
        </w:trPr>
        <w:tc>
          <w:tcPr>
            <w:tcW w:w="9780" w:type="dxa"/>
            <w:gridSpan w:val="5"/>
            <w:tcBorders>
              <w:tl2br w:val="nil"/>
              <w:tr2bl w:val="nil"/>
            </w:tcBorders>
            <w:vAlign w:val="center"/>
          </w:tcPr>
          <w:p>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r>
        <w:rPr>
          <w:rFonts w:ascii="Times New Roman" w:hAnsi="Times New Roman" w:eastAsia="微软雅黑" w:cs="Times New Roman"/>
          <w:b/>
          <w:bCs/>
          <w:sz w:val="18"/>
          <w:szCs w:val="18"/>
          <w:highlight w:val="none"/>
          <w:lang w:eastAsia="zh-CN"/>
        </w:rPr>
        <w:t>注：</w:t>
      </w:r>
      <w:r>
        <w:rPr>
          <w:rFonts w:hint="eastAsia" w:ascii="Times New Roman" w:hAnsi="Times New Roman" w:eastAsia="微软雅黑" w:cs="Times New Roman"/>
          <w:sz w:val="18"/>
          <w:szCs w:val="18"/>
          <w:highlight w:val="none"/>
          <w:lang w:eastAsia="zh-CN"/>
        </w:rPr>
        <w:t>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基因表示本次检出结果阳性，无红色标</w:t>
      </w:r>
      <w:r>
        <w:rPr>
          <w:rFonts w:hint="eastAsia" w:ascii="Times New Roman" w:hAnsi="Times New Roman" w:eastAsia="微软雅黑" w:cs="Times New Roman"/>
          <w:sz w:val="18"/>
          <w:szCs w:val="18"/>
          <w:highlight w:val="none"/>
          <w:lang w:val="en-US" w:eastAsia="zh-CN"/>
        </w:rPr>
        <w:t>注</w:t>
      </w:r>
      <w:r>
        <w:rPr>
          <w:rFonts w:hint="eastAsia" w:ascii="Times New Roman" w:hAnsi="Times New Roman" w:eastAsia="微软雅黑" w:cs="Times New Roman"/>
          <w:sz w:val="18"/>
          <w:szCs w:val="18"/>
          <w:highlight w:val="none"/>
          <w:lang w:eastAsia="zh-CN"/>
        </w:rPr>
        <w:t>基因表示本次检出结果阴性。</w:t>
      </w:r>
    </w:p>
    <w:p>
      <w:pPr>
        <w:rPr>
          <w:lang w:eastAsia="zh-CN"/>
        </w:rPr>
      </w:pPr>
      <w:bookmarkStart w:id="223" w:name="_Toc20170_WPSOffice_Level1"/>
      <w:bookmarkStart w:id="224" w:name="_Toc28454_WPSOffice_Level1"/>
      <w:bookmarkStart w:id="225" w:name="_Toc26985_WPSOffice_Level1"/>
      <w:r>
        <w:rPr>
          <w:lang w:eastAsia="zh-CN"/>
        </w:rPr>
        <w:br w:type="page"/>
      </w:r>
    </w:p>
    <w:p>
      <w:pPr>
        <w:pStyle w:val="3"/>
        <w:numPr>
          <w:ilvl w:val="255"/>
          <w:numId w:val="0"/>
        </w:numPr>
        <w:jc w:val="left"/>
        <w:rPr>
          <w:rFonts w:hint="eastAsia"/>
          <w:color w:val="auto"/>
          <w:sz w:val="30"/>
          <w:lang w:val="en-US" w:eastAsia="zh-CN"/>
        </w:rPr>
      </w:pPr>
      <w:bookmarkStart w:id="226" w:name="_Toc13112"/>
      <w:bookmarkStart w:id="227" w:name="_Toc24393"/>
      <w:bookmarkStart w:id="228" w:name="_Toc24646"/>
      <w:bookmarkStart w:id="229" w:name="_Toc31097"/>
      <w:bookmarkStart w:id="230" w:name="_Toc15114"/>
      <w:bookmarkStart w:id="231" w:name="_Toc22226"/>
      <w:bookmarkStart w:id="232" w:name="_Toc3409"/>
      <w:r>
        <w:rPr>
          <w:rFonts w:hint="eastAsia"/>
          <w:color w:val="auto"/>
          <w:sz w:val="30"/>
          <w:lang w:val="en-US" w:eastAsia="zh-CN"/>
        </w:rPr>
        <w:t>检测方法与局限性</w:t>
      </w:r>
      <w:bookmarkEnd w:id="226"/>
      <w:bookmarkEnd w:id="227"/>
      <w:bookmarkEnd w:id="228"/>
      <w:bookmarkEnd w:id="229"/>
      <w:bookmarkEnd w:id="230"/>
      <w:bookmarkEnd w:id="231"/>
      <w:bookmarkEnd w:id="232"/>
    </w:p>
    <w:p>
      <w:pPr>
        <w:rPr>
          <w:highlight w:val="yellow"/>
          <w:lang w:eastAsia="zh-CN"/>
        </w:rPr>
      </w:pPr>
    </w:p>
    <w:p>
      <w:pPr>
        <w:spacing w:line="276" w:lineRule="auto"/>
        <w:ind w:right="448"/>
        <w:rPr>
          <w:rFonts w:hint="eastAsia" w:ascii="Times New Roman" w:hAnsi="Times New Roman" w:eastAsia="微软雅黑" w:cs="Times New Roman"/>
          <w:b/>
          <w:bCs/>
          <w:sz w:val="24"/>
          <w:szCs w:val="24"/>
          <w:lang w:eastAsia="zh-CN"/>
        </w:rPr>
      </w:pPr>
      <w:r>
        <w:rPr>
          <w:rFonts w:hint="eastAsia" w:ascii="Times New Roman" w:hAnsi="Times New Roman" w:eastAsia="微软雅黑" w:cs="Times New Roman"/>
          <w:b/>
          <w:bCs/>
          <w:sz w:val="24"/>
          <w:szCs w:val="24"/>
          <w:lang w:eastAsia="zh-CN"/>
        </w:rPr>
        <w:t>检测方法</w:t>
      </w:r>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summaryOfRresults.productModularization.detection_method | nl() %}{%if loop.last%}{{ b }}{%else%}{{ b }}</w:t>
      </w:r>
    </w:p>
    <w:p>
      <w:pPr>
        <w:spacing w:line="276" w:lineRule="auto"/>
        <w:ind w:firstLine="420" w:firstLineChars="200"/>
        <w:jc w:val="both"/>
        <w:rPr>
          <w:rFonts w:hint="default"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lang w:eastAsia="zh-CN"/>
        </w:rPr>
      </w:pPr>
    </w:p>
    <w:p>
      <w:pPr>
        <w:spacing w:line="276" w:lineRule="auto"/>
        <w:ind w:right="448"/>
        <w:rPr>
          <w:rFonts w:hint="eastAsia" w:ascii="Times New Roman" w:hAnsi="Times New Roman" w:eastAsia="微软雅黑" w:cs="Times New Roman"/>
          <w:b/>
          <w:bCs/>
          <w:sz w:val="24"/>
          <w:szCs w:val="24"/>
          <w:lang w:eastAsia="zh-CN"/>
        </w:rPr>
      </w:pPr>
      <w:bookmarkStart w:id="233" w:name="_Toc11875"/>
      <w:bookmarkStart w:id="234" w:name="_Toc17969"/>
      <w:bookmarkStart w:id="235" w:name="_Toc29176"/>
      <w:bookmarkStart w:id="236" w:name="_Toc20347"/>
      <w:r>
        <w:rPr>
          <w:rFonts w:hint="eastAsia" w:ascii="Times New Roman" w:hAnsi="Times New Roman" w:eastAsia="微软雅黑" w:cs="Times New Roman"/>
          <w:b/>
          <w:bCs/>
          <w:sz w:val="24"/>
          <w:szCs w:val="24"/>
          <w:lang w:eastAsia="zh-CN"/>
        </w:rPr>
        <w:t>局限性说明</w:t>
      </w:r>
      <w:bookmarkEnd w:id="233"/>
      <w:bookmarkEnd w:id="234"/>
      <w:bookmarkEnd w:id="235"/>
      <w:bookmarkEnd w:id="236"/>
    </w:p>
    <w:p>
      <w:pPr>
        <w:spacing w:line="276" w:lineRule="auto"/>
        <w:ind w:firstLine="420" w:firstLineChars="200"/>
        <w:jc w:val="both"/>
        <w:rPr>
          <w:rFonts w:hint="eastAsia" w:ascii="Times New Roman" w:hAnsi="Times New Roman" w:eastAsia="微软雅黑" w:cs="Times New Roman"/>
          <w:bCs/>
          <w:sz w:val="21"/>
          <w:szCs w:val="21"/>
          <w:highlight w:val="none"/>
          <w:lang w:val="en-US" w:eastAsia="zh-CN"/>
        </w:rPr>
      </w:pPr>
      <w:r>
        <w:rPr>
          <w:rFonts w:hint="eastAsia" w:ascii="Times New Roman" w:hAnsi="Times New Roman" w:eastAsia="微软雅黑" w:cs="Times New Roman"/>
          <w:bCs/>
          <w:sz w:val="21"/>
          <w:szCs w:val="21"/>
          <w:highlight w:val="none"/>
          <w:lang w:val="en-US" w:eastAsia="zh-CN"/>
        </w:rPr>
        <w:t>{% for b in summaryOfRresults.productModularization.limitation_statement | nl() %}{%if loop.last%}{{ b }}{%else%}{{ b }}</w:t>
      </w:r>
    </w:p>
    <w:p>
      <w:pPr>
        <w:spacing w:line="276" w:lineRule="auto"/>
        <w:ind w:firstLine="420" w:firstLineChars="200"/>
        <w:jc w:val="both"/>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val="en-US" w:eastAsia="zh-CN"/>
        </w:rPr>
        <w:t>{%endif%}{% endfor%}</w:t>
      </w:r>
    </w:p>
    <w:p>
      <w:pPr>
        <w:rPr>
          <w:rFonts w:hint="eastAsia" w:ascii="Times New Roman" w:hAnsi="Times New Roman" w:eastAsia="微软雅黑" w:cs="Times New Roman"/>
          <w:bCs/>
          <w:sz w:val="21"/>
          <w:szCs w:val="21"/>
          <w:highlight w:val="none"/>
          <w:lang w:eastAsia="zh-CN"/>
        </w:rPr>
      </w:pPr>
      <w:r>
        <w:rPr>
          <w:rFonts w:hint="eastAsia" w:ascii="Times New Roman" w:hAnsi="Times New Roman" w:eastAsia="微软雅黑" w:cs="Times New Roman"/>
          <w:bCs/>
          <w:sz w:val="21"/>
          <w:szCs w:val="21"/>
          <w:highlight w:val="none"/>
          <w:lang w:eastAsia="zh-CN"/>
        </w:rPr>
        <w:br w:type="page"/>
      </w:r>
    </w:p>
    <w:bookmarkEnd w:id="223"/>
    <w:bookmarkEnd w:id="224"/>
    <w:bookmarkEnd w:id="225"/>
    <w:p>
      <w:pPr>
        <w:pStyle w:val="3"/>
        <w:numPr>
          <w:ilvl w:val="255"/>
          <w:numId w:val="0"/>
        </w:numPr>
        <w:jc w:val="left"/>
        <w:rPr>
          <w:rFonts w:hint="eastAsia"/>
          <w:color w:val="auto"/>
          <w:sz w:val="30"/>
          <w:lang w:val="en-US" w:eastAsia="zh-CN"/>
        </w:rPr>
      </w:pPr>
      <w:bookmarkStart w:id="237" w:name="_Toc15630"/>
      <w:bookmarkStart w:id="238" w:name="_Toc27809"/>
      <w:bookmarkStart w:id="239" w:name="_Toc4503"/>
      <w:bookmarkStart w:id="240" w:name="_Toc11901"/>
      <w:bookmarkStart w:id="241" w:name="_Toc10085"/>
      <w:bookmarkStart w:id="242" w:name="_Toc14749"/>
      <w:bookmarkStart w:id="243" w:name="_Toc1699"/>
      <w:bookmarkStart w:id="244" w:name="_Toc13233"/>
      <w:bookmarkStart w:id="245" w:name="_Toc31458"/>
      <w:bookmarkStart w:id="246" w:name="_Toc22623"/>
      <w:bookmarkStart w:id="247" w:name="_Toc13275"/>
      <w:bookmarkStart w:id="248" w:name="_Toc17792_WPSOffice_Level2"/>
      <w:bookmarkStart w:id="249" w:name="_Toc22162_WPSOffice_Level1"/>
      <w:bookmarkStart w:id="250" w:name="_Toc19584_WPSOffice_Level1"/>
      <w:bookmarkStart w:id="251" w:name="_Toc14611_WPSOffice_Level1"/>
      <w:r>
        <w:rPr>
          <w:rFonts w:hint="eastAsia"/>
          <w:color w:val="auto"/>
          <w:sz w:val="30"/>
          <w:lang w:val="en-US" w:eastAsia="zh-CN"/>
        </w:rPr>
        <w:t>参考文献</w:t>
      </w:r>
      <w:bookmarkEnd w:id="237"/>
      <w:bookmarkEnd w:id="238"/>
      <w:bookmarkEnd w:id="239"/>
      <w:bookmarkEnd w:id="240"/>
      <w:bookmarkEnd w:id="241"/>
      <w:bookmarkEnd w:id="242"/>
      <w:bookmarkEnd w:id="243"/>
      <w:bookmarkEnd w:id="244"/>
      <w:bookmarkEnd w:id="245"/>
    </w:p>
    <w:bookmarkEnd w:id="246"/>
    <w:bookmarkEnd w:id="247"/>
    <w:bookmarkEnd w:id="248"/>
    <w:bookmarkEnd w:id="249"/>
    <w:bookmarkEnd w:id="250"/>
    <w:bookmarkEnd w:id="251"/>
    <w:p>
      <w:pPr>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Shaw AT, Bauer TM, de Marinis F,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First-</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ine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orlatinib or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 xml:space="preserve">rizotinib in </w:t>
      </w:r>
      <w:r>
        <w:rPr>
          <w:rFonts w:ascii="Times New Roman" w:hAnsi="Times New Roman" w:cs="Times New Roman"/>
          <w:sz w:val="15"/>
          <w:szCs w:val="15"/>
          <w:shd w:val="clear" w:color="auto" w:fill="FFFFFF"/>
          <w:lang w:eastAsia="zh-CN"/>
        </w:rPr>
        <w:t>a</w:t>
      </w:r>
      <w:r>
        <w:rPr>
          <w:rFonts w:ascii="Times New Roman" w:hAnsi="Times New Roman" w:eastAsia="Segoe UI" w:cs="Times New Roman"/>
          <w:sz w:val="15"/>
          <w:szCs w:val="15"/>
          <w:shd w:val="clear" w:color="auto" w:fill="FFFFFF"/>
        </w:rPr>
        <w:t>dvanced</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ALK-</w:t>
      </w:r>
      <w:r>
        <w:rPr>
          <w:rFonts w:ascii="Times New Roman" w:hAnsi="Times New Roman" w:cs="Times New Roman"/>
          <w:sz w:val="15"/>
          <w:szCs w:val="15"/>
          <w:shd w:val="clear" w:color="auto" w:fill="FFFFFF"/>
          <w:lang w:eastAsia="zh-CN"/>
        </w:rPr>
        <w:t>p</w:t>
      </w:r>
      <w:r>
        <w:rPr>
          <w:rFonts w:ascii="Times New Roman" w:hAnsi="Times New Roman" w:eastAsia="Segoe UI" w:cs="Times New Roman"/>
          <w:sz w:val="15"/>
          <w:szCs w:val="15"/>
          <w:shd w:val="clear" w:color="auto" w:fill="FFFFFF"/>
        </w:rPr>
        <w:t xml:space="preserve">ositive </w:t>
      </w:r>
      <w:r>
        <w:rPr>
          <w:rFonts w:ascii="Times New Roman" w:hAnsi="Times New Roman" w:cs="Times New Roman"/>
          <w:sz w:val="15"/>
          <w:szCs w:val="15"/>
          <w:shd w:val="clear" w:color="auto" w:fill="FFFFFF"/>
          <w:lang w:eastAsia="zh-CN"/>
        </w:rPr>
        <w:t>l</w:t>
      </w:r>
      <w:r>
        <w:rPr>
          <w:rFonts w:ascii="Times New Roman" w:hAnsi="Times New Roman" w:eastAsia="Segoe UI" w:cs="Times New Roman"/>
          <w:sz w:val="15"/>
          <w:szCs w:val="15"/>
          <w:shd w:val="clear" w:color="auto" w:fill="FFFFFF"/>
        </w:rPr>
        <w:t xml:space="preserve">ung </w:t>
      </w:r>
      <w:r>
        <w:rPr>
          <w:rFonts w:ascii="Times New Roman" w:hAnsi="Times New Roman" w:cs="Times New Roman"/>
          <w:sz w:val="15"/>
          <w:szCs w:val="15"/>
          <w:shd w:val="clear" w:color="auto" w:fill="FFFFFF"/>
          <w:lang w:eastAsia="zh-CN"/>
        </w:rPr>
        <w:t>c</w:t>
      </w:r>
      <w:r>
        <w:rPr>
          <w:rFonts w:ascii="Times New Roman" w:hAnsi="Times New Roman" w:eastAsia="Segoe UI" w:cs="Times New Roman"/>
          <w:sz w:val="15"/>
          <w:szCs w:val="15"/>
          <w:shd w:val="clear" w:color="auto" w:fill="FFFFFF"/>
        </w:rPr>
        <w:t>ancer. N Engl J Med.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383(21):2018-2029.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33207094</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Gutzmer R, Stroyakovskiy D, Gogas H, et al. Atezolizumab, </w:t>
      </w:r>
      <w:r>
        <w:rPr>
          <w:rFonts w:ascii="Times New Roman" w:hAnsi="Times New Roman" w:cs="Times New Roman"/>
          <w:sz w:val="15"/>
          <w:szCs w:val="15"/>
          <w:lang w:eastAsia="zh-CN"/>
        </w:rPr>
        <w:t>v</w:t>
      </w:r>
      <w:r>
        <w:rPr>
          <w:rFonts w:ascii="Times New Roman" w:hAnsi="Times New Roman" w:cs="Times New Roman"/>
          <w:sz w:val="15"/>
          <w:szCs w:val="15"/>
        </w:rPr>
        <w:t xml:space="preserve">emurafenib, and </w:t>
      </w:r>
      <w:r>
        <w:rPr>
          <w:rFonts w:ascii="Times New Roman" w:hAnsi="Times New Roman" w:cs="Times New Roman"/>
          <w:sz w:val="15"/>
          <w:szCs w:val="15"/>
          <w:lang w:eastAsia="zh-CN"/>
        </w:rPr>
        <w:t>c</w:t>
      </w:r>
      <w:r>
        <w:rPr>
          <w:rFonts w:ascii="Times New Roman" w:hAnsi="Times New Roman" w:cs="Times New Roman"/>
          <w:sz w:val="15"/>
          <w:szCs w:val="15"/>
        </w:rPr>
        <w:t xml:space="preserve">obimetinib as </w:t>
      </w:r>
      <w:r>
        <w:rPr>
          <w:rFonts w:ascii="Times New Roman" w:hAnsi="Times New Roman" w:cs="Times New Roman"/>
          <w:sz w:val="15"/>
          <w:szCs w:val="15"/>
          <w:lang w:eastAsia="zh-CN"/>
        </w:rPr>
        <w:t>f</w:t>
      </w:r>
      <w:r>
        <w:rPr>
          <w:rFonts w:ascii="Times New Roman" w:hAnsi="Times New Roman" w:cs="Times New Roman"/>
          <w:sz w:val="15"/>
          <w:szCs w:val="15"/>
        </w:rPr>
        <w:t>irst-</w:t>
      </w:r>
      <w:r>
        <w:rPr>
          <w:rFonts w:ascii="Times New Roman" w:hAnsi="Times New Roman" w:cs="Times New Roman"/>
          <w:sz w:val="15"/>
          <w:szCs w:val="15"/>
          <w:lang w:eastAsia="zh-CN"/>
        </w:rPr>
        <w:t>l</w:t>
      </w:r>
      <w:r>
        <w:rPr>
          <w:rFonts w:ascii="Times New Roman" w:hAnsi="Times New Roman" w:cs="Times New Roman"/>
          <w:sz w:val="15"/>
          <w:szCs w:val="15"/>
        </w:rPr>
        <w:t>ine</w:t>
      </w:r>
      <w:r>
        <w:rPr>
          <w:rFonts w:ascii="Times New Roman" w:hAnsi="Times New Roman" w:cs="Times New Roman"/>
          <w:sz w:val="15"/>
          <w:szCs w:val="15"/>
          <w:lang w:eastAsia="zh-CN"/>
        </w:rPr>
        <w:t xml:space="preserve"> t</w:t>
      </w:r>
      <w:r>
        <w:rPr>
          <w:rFonts w:ascii="Times New Roman" w:hAnsi="Times New Roman" w:cs="Times New Roman"/>
          <w:sz w:val="15"/>
          <w:szCs w:val="15"/>
        </w:rPr>
        <w:t xml:space="preserve">reatment for </w:t>
      </w:r>
      <w:r>
        <w:rPr>
          <w:rFonts w:ascii="Times New Roman" w:hAnsi="Times New Roman" w:cs="Times New Roman"/>
          <w:sz w:val="15"/>
          <w:szCs w:val="15"/>
          <w:lang w:eastAsia="zh-CN"/>
        </w:rPr>
        <w:t>u</w:t>
      </w:r>
      <w:r>
        <w:rPr>
          <w:rFonts w:ascii="Times New Roman" w:hAnsi="Times New Roman" w:cs="Times New Roman"/>
          <w:sz w:val="15"/>
          <w:szCs w:val="15"/>
        </w:rPr>
        <w:t xml:space="preserve">nresectable </w:t>
      </w:r>
      <w:r>
        <w:rPr>
          <w:rFonts w:ascii="Times New Roman" w:hAnsi="Times New Roman" w:cs="Times New Roman"/>
          <w:sz w:val="15"/>
          <w:szCs w:val="15"/>
          <w:lang w:eastAsia="zh-CN"/>
        </w:rPr>
        <w:t>a</w:t>
      </w:r>
      <w:r>
        <w:rPr>
          <w:rFonts w:ascii="Times New Roman" w:hAnsi="Times New Roman" w:cs="Times New Roman"/>
          <w:sz w:val="15"/>
          <w:szCs w:val="15"/>
        </w:rPr>
        <w:t xml:space="preserve">dvanced BRAF V600 </w:t>
      </w:r>
      <w:r>
        <w:rPr>
          <w:rFonts w:ascii="Times New Roman" w:hAnsi="Times New Roman" w:cs="Times New Roman"/>
          <w:sz w:val="15"/>
          <w:szCs w:val="15"/>
          <w:lang w:eastAsia="zh-CN"/>
        </w:rPr>
        <w:t>m</w:t>
      </w:r>
      <w:r>
        <w:rPr>
          <w:rFonts w:ascii="Times New Roman" w:hAnsi="Times New Roman" w:cs="Times New Roman"/>
          <w:sz w:val="15"/>
          <w:szCs w:val="15"/>
        </w:rPr>
        <w:t>utation-</w:t>
      </w:r>
      <w:r>
        <w:rPr>
          <w:rFonts w:ascii="Times New Roman" w:hAnsi="Times New Roman" w:cs="Times New Roman"/>
          <w:sz w:val="15"/>
          <w:szCs w:val="15"/>
          <w:lang w:eastAsia="zh-CN"/>
        </w:rPr>
        <w:t>p</w:t>
      </w:r>
      <w:r>
        <w:rPr>
          <w:rFonts w:ascii="Times New Roman" w:hAnsi="Times New Roman" w:cs="Times New Roman"/>
          <w:sz w:val="15"/>
          <w:szCs w:val="15"/>
        </w:rPr>
        <w:t xml:space="preserve">ositive </w:t>
      </w:r>
      <w:r>
        <w:rPr>
          <w:rFonts w:ascii="Times New Roman" w:hAnsi="Times New Roman" w:cs="Times New Roman"/>
          <w:sz w:val="15"/>
          <w:szCs w:val="15"/>
          <w:lang w:eastAsia="zh-CN"/>
        </w:rPr>
        <w:t>m</w:t>
      </w:r>
      <w:r>
        <w:rPr>
          <w:rFonts w:ascii="Times New Roman" w:hAnsi="Times New Roman" w:cs="Times New Roman"/>
          <w:sz w:val="15"/>
          <w:szCs w:val="15"/>
        </w:rPr>
        <w:t xml:space="preserve">elanoma (IMspire150): Primary </w:t>
      </w:r>
      <w:r>
        <w:rPr>
          <w:rFonts w:ascii="Times New Roman" w:hAnsi="Times New Roman" w:cs="Times New Roman"/>
          <w:sz w:val="15"/>
          <w:szCs w:val="15"/>
          <w:lang w:eastAsia="zh-CN"/>
        </w:rPr>
        <w:t>a</w:t>
      </w:r>
      <w:r>
        <w:rPr>
          <w:rFonts w:ascii="Times New Roman" w:hAnsi="Times New Roman" w:cs="Times New Roman"/>
          <w:sz w:val="15"/>
          <w:szCs w:val="15"/>
        </w:rPr>
        <w:t xml:space="preserve">nalysis of the </w:t>
      </w:r>
      <w:r>
        <w:rPr>
          <w:rFonts w:ascii="Times New Roman" w:hAnsi="Times New Roman" w:cs="Times New Roman"/>
          <w:sz w:val="15"/>
          <w:szCs w:val="15"/>
          <w:lang w:eastAsia="zh-CN"/>
        </w:rPr>
        <w:t>r</w:t>
      </w:r>
      <w:r>
        <w:rPr>
          <w:rFonts w:ascii="Times New Roman" w:hAnsi="Times New Roman" w:cs="Times New Roman"/>
          <w:sz w:val="15"/>
          <w:szCs w:val="15"/>
        </w:rPr>
        <w:t xml:space="preserve">andomised, </w:t>
      </w:r>
      <w:r>
        <w:rPr>
          <w:rFonts w:ascii="Times New Roman" w:hAnsi="Times New Roman" w:cs="Times New Roman"/>
          <w:sz w:val="15"/>
          <w:szCs w:val="15"/>
          <w:lang w:eastAsia="zh-CN"/>
        </w:rPr>
        <w:t>d</w:t>
      </w:r>
      <w:r>
        <w:rPr>
          <w:rFonts w:ascii="Times New Roman" w:hAnsi="Times New Roman" w:cs="Times New Roman"/>
          <w:sz w:val="15"/>
          <w:szCs w:val="15"/>
        </w:rPr>
        <w:t>ouble-</w:t>
      </w:r>
      <w:r>
        <w:rPr>
          <w:rFonts w:ascii="Times New Roman" w:hAnsi="Times New Roman" w:cs="Times New Roman"/>
          <w:sz w:val="15"/>
          <w:szCs w:val="15"/>
          <w:lang w:eastAsia="zh-CN"/>
        </w:rPr>
        <w:t>b</w:t>
      </w:r>
      <w:r>
        <w:rPr>
          <w:rFonts w:ascii="Times New Roman" w:hAnsi="Times New Roman" w:cs="Times New Roman"/>
          <w:sz w:val="15"/>
          <w:szCs w:val="15"/>
        </w:rPr>
        <w:t xml:space="preserve">lind, </w:t>
      </w:r>
      <w:r>
        <w:rPr>
          <w:rFonts w:ascii="Times New Roman" w:hAnsi="Times New Roman" w:cs="Times New Roman"/>
          <w:sz w:val="15"/>
          <w:szCs w:val="15"/>
          <w:lang w:eastAsia="zh-CN"/>
        </w:rPr>
        <w:t>p</w:t>
      </w:r>
      <w:r>
        <w:rPr>
          <w:rFonts w:ascii="Times New Roman" w:hAnsi="Times New Roman" w:cs="Times New Roman"/>
          <w:sz w:val="15"/>
          <w:szCs w:val="15"/>
        </w:rPr>
        <w:t>lacebo-</w:t>
      </w:r>
      <w:r>
        <w:rPr>
          <w:rFonts w:ascii="Times New Roman" w:hAnsi="Times New Roman" w:cs="Times New Roman"/>
          <w:sz w:val="15"/>
          <w:szCs w:val="15"/>
          <w:lang w:eastAsia="zh-CN"/>
        </w:rPr>
        <w:t>c</w:t>
      </w:r>
      <w:r>
        <w:rPr>
          <w:rFonts w:ascii="Times New Roman" w:hAnsi="Times New Roman" w:cs="Times New Roman"/>
          <w:sz w:val="15"/>
          <w:szCs w:val="15"/>
        </w:rPr>
        <w:t xml:space="preserve">ontrolled, </w:t>
      </w:r>
      <w:r>
        <w:rPr>
          <w:rFonts w:ascii="Times New Roman" w:hAnsi="Times New Roman" w:cs="Times New Roman"/>
          <w:sz w:val="15"/>
          <w:szCs w:val="15"/>
          <w:lang w:eastAsia="zh-CN"/>
        </w:rPr>
        <w:t>p</w:t>
      </w:r>
      <w:r>
        <w:rPr>
          <w:rFonts w:ascii="Times New Roman" w:hAnsi="Times New Roman" w:cs="Times New Roman"/>
          <w:sz w:val="15"/>
          <w:szCs w:val="15"/>
        </w:rPr>
        <w:t xml:space="preserve">hase 3 </w:t>
      </w:r>
      <w:r>
        <w:rPr>
          <w:rFonts w:ascii="Times New Roman" w:hAnsi="Times New Roman" w:cs="Times New Roman"/>
          <w:sz w:val="15"/>
          <w:szCs w:val="15"/>
          <w:lang w:eastAsia="zh-CN"/>
        </w:rPr>
        <w:t>t</w:t>
      </w:r>
      <w:r>
        <w:rPr>
          <w:rFonts w:ascii="Times New Roman" w:hAnsi="Times New Roman" w:cs="Times New Roman"/>
          <w:sz w:val="15"/>
          <w:szCs w:val="15"/>
        </w:rPr>
        <w:t>rial. Lancet</w:t>
      </w:r>
      <w:r>
        <w:rPr>
          <w:rFonts w:ascii="Times New Roman" w:hAnsi="Times New Roman" w:cs="Times New Roman"/>
          <w:sz w:val="15"/>
          <w:szCs w:val="15"/>
          <w:lang w:eastAsia="zh-CN"/>
        </w:rPr>
        <w:t>.</w:t>
      </w:r>
      <w:r>
        <w:rPr>
          <w:rFonts w:ascii="Times New Roman" w:hAnsi="Times New Roman" w:cs="Times New Roman"/>
          <w:sz w:val="15"/>
          <w:szCs w:val="15"/>
        </w:rPr>
        <w:t xml:space="preserve"> 2020</w:t>
      </w:r>
      <w:r>
        <w:rPr>
          <w:rFonts w:ascii="Times New Roman" w:hAnsi="Times New Roman" w:cs="Times New Roman"/>
          <w:sz w:val="15"/>
          <w:szCs w:val="15"/>
          <w:lang w:eastAsia="zh-CN"/>
        </w:rPr>
        <w:t>;</w:t>
      </w:r>
      <w:r>
        <w:rPr>
          <w:rFonts w:ascii="Times New Roman" w:hAnsi="Times New Roman" w:cs="Times New Roman"/>
          <w:sz w:val="15"/>
          <w:szCs w:val="15"/>
        </w:rPr>
        <w:t>395(10240):1835-1844.</w:t>
      </w:r>
      <w:r>
        <w:rPr>
          <w:rFonts w:ascii="Times New Roman" w:hAnsi="Times New Roman" w:cs="Times New Roman"/>
          <w:sz w:val="15"/>
          <w:szCs w:val="15"/>
          <w:lang w:eastAsia="zh-CN"/>
        </w:rPr>
        <w:t xml:space="preserve"> [</w:t>
      </w:r>
      <w:r>
        <w:rPr>
          <w:rFonts w:ascii="Times New Roman" w:hAnsi="Times New Roman" w:eastAsia="微软雅黑" w:cs="Times New Roman"/>
          <w:sz w:val="15"/>
          <w:szCs w:val="15"/>
          <w:lang w:eastAsia="zh-CN"/>
        </w:rPr>
        <w:t>PMID: 32534646]</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rPr>
        <w:t xml:space="preserve">Kopetz S, Grothey A, Van CutsemE,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t al. Encorafenib plus cetuximab with or without binimetinib for BRAF V600E-mutant metastatic colorectal cancer: Quality-of-life results from a randomized, three-arm, phase III study versus the choice of either irinotecan or FOLFIRI plus cetuximab (BEACON CRC). J Clin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2020;38(suppl 4</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abstr 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Yang JCH, Camidge DR, Yang CT, et al.</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Safety, </w:t>
      </w:r>
      <w:r>
        <w:rPr>
          <w:rFonts w:ascii="Times New Roman" w:hAnsi="Times New Roman" w:eastAsia="微软雅黑" w:cs="Times New Roman"/>
          <w:sz w:val="15"/>
          <w:szCs w:val="15"/>
          <w:lang w:eastAsia="zh-CN"/>
        </w:rPr>
        <w:t>e</w:t>
      </w:r>
      <w:r>
        <w:rPr>
          <w:rFonts w:ascii="Times New Roman" w:hAnsi="Times New Roman" w:eastAsia="微软雅黑" w:cs="Times New Roman"/>
          <w:sz w:val="15"/>
          <w:szCs w:val="15"/>
        </w:rPr>
        <w:t xml:space="preserve">fficacy, and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harmacokinetics of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lmonertinib (HS-10296) in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retreated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atients </w:t>
      </w:r>
      <w:r>
        <w:rPr>
          <w:rFonts w:ascii="Times New Roman" w:hAnsi="Times New Roman" w:eastAsia="微软雅黑" w:cs="Times New Roman"/>
          <w:sz w:val="15"/>
          <w:szCs w:val="15"/>
          <w:lang w:eastAsia="zh-CN"/>
        </w:rPr>
        <w:t>w</w:t>
      </w:r>
      <w:r>
        <w:rPr>
          <w:rFonts w:ascii="Times New Roman" w:hAnsi="Times New Roman" w:eastAsia="微软雅黑" w:cs="Times New Roman"/>
          <w:sz w:val="15"/>
          <w:szCs w:val="15"/>
        </w:rPr>
        <w:t>ith EGFR-</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utated </w:t>
      </w:r>
      <w:r>
        <w:rPr>
          <w:rFonts w:ascii="Times New Roman" w:hAnsi="Times New Roman" w:eastAsia="微软雅黑" w:cs="Times New Roman"/>
          <w:sz w:val="15"/>
          <w:szCs w:val="15"/>
          <w:lang w:eastAsia="zh-CN"/>
        </w:rPr>
        <w:t>a</w:t>
      </w:r>
      <w:r>
        <w:rPr>
          <w:rFonts w:ascii="Times New Roman" w:hAnsi="Times New Roman" w:eastAsia="微软雅黑" w:cs="Times New Roman"/>
          <w:sz w:val="15"/>
          <w:szCs w:val="15"/>
        </w:rPr>
        <w:t xml:space="preserve">dvanced NSCLC: A </w:t>
      </w:r>
      <w:r>
        <w:rPr>
          <w:rFonts w:ascii="Times New Roman" w:hAnsi="Times New Roman" w:eastAsia="微软雅黑" w:cs="Times New Roman"/>
          <w:sz w:val="15"/>
          <w:szCs w:val="15"/>
          <w:lang w:eastAsia="zh-CN"/>
        </w:rPr>
        <w:t>m</w:t>
      </w:r>
      <w:r>
        <w:rPr>
          <w:rFonts w:ascii="Times New Roman" w:hAnsi="Times New Roman" w:eastAsia="微软雅黑" w:cs="Times New Roman"/>
          <w:sz w:val="15"/>
          <w:szCs w:val="15"/>
        </w:rPr>
        <w:t xml:space="preserve">ulticenter, </w:t>
      </w:r>
      <w:r>
        <w:rPr>
          <w:rFonts w:ascii="Times New Roman" w:hAnsi="Times New Roman" w:eastAsia="微软雅黑" w:cs="Times New Roman"/>
          <w:sz w:val="15"/>
          <w:szCs w:val="15"/>
          <w:lang w:eastAsia="zh-CN"/>
        </w:rPr>
        <w:t>o</w:t>
      </w:r>
      <w:r>
        <w:rPr>
          <w:rFonts w:ascii="Times New Roman" w:hAnsi="Times New Roman" w:eastAsia="微软雅黑" w:cs="Times New Roman"/>
          <w:sz w:val="15"/>
          <w:szCs w:val="15"/>
        </w:rPr>
        <w:t xml:space="preserve">pen-label, </w:t>
      </w:r>
      <w:r>
        <w:rPr>
          <w:rFonts w:ascii="Times New Roman" w:hAnsi="Times New Roman" w:eastAsia="微软雅黑" w:cs="Times New Roman"/>
          <w:sz w:val="15"/>
          <w:szCs w:val="15"/>
          <w:lang w:eastAsia="zh-CN"/>
        </w:rPr>
        <w:t>p</w:t>
      </w:r>
      <w:r>
        <w:rPr>
          <w:rFonts w:ascii="Times New Roman" w:hAnsi="Times New Roman" w:eastAsia="微软雅黑" w:cs="Times New Roman"/>
          <w:sz w:val="15"/>
          <w:szCs w:val="15"/>
        </w:rPr>
        <w:t xml:space="preserve">hase 1 </w:t>
      </w:r>
      <w:r>
        <w:rPr>
          <w:rFonts w:ascii="Times New Roman" w:hAnsi="Times New Roman" w:eastAsia="微软雅黑" w:cs="Times New Roman"/>
          <w:sz w:val="15"/>
          <w:szCs w:val="15"/>
          <w:lang w:eastAsia="zh-CN"/>
        </w:rPr>
        <w:t>t</w:t>
      </w:r>
      <w:r>
        <w:rPr>
          <w:rFonts w:ascii="Times New Roman" w:hAnsi="Times New Roman" w:eastAsia="微软雅黑" w:cs="Times New Roman"/>
          <w:sz w:val="15"/>
          <w:szCs w:val="15"/>
        </w:rPr>
        <w:t>rial. J Thorac Oncol. 2020;15(12):1907-1918.</w:t>
      </w:r>
      <w:r>
        <w:rPr>
          <w:rFonts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[PMID: 32916310]</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Shi Y, Hu X, Zhang S, et al. Efficacy and safety of alflutinib (AST2818) in patients with T790M mutation-positive NSCLC: A phase IIb multicenter single-arm study. J Clin Oncol. 2020;38(suppl 15): abstr 9602.</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 xml:space="preserve">Yun J, Lee SH, Kim SY, </w:t>
      </w:r>
      <w:r>
        <w:rPr>
          <w:rFonts w:ascii="Times New Roman" w:hAnsi="Times New Roman" w:cs="Times New Roman"/>
          <w:sz w:val="15"/>
          <w:szCs w:val="15"/>
          <w:lang w:eastAsia="zh-CN"/>
        </w:rPr>
        <w:t>et al</w:t>
      </w:r>
      <w:r>
        <w:rPr>
          <w:rFonts w:ascii="Times New Roman" w:hAnsi="Times New Roman" w:cs="Times New Roman"/>
          <w:sz w:val="15"/>
          <w:szCs w:val="15"/>
        </w:rPr>
        <w:t>. Antitumor Activity of Amivantamab (JNJ-61186372), an EGFR-MET Bispecific Antibody, in Diverse Models of EGFR Exon 20 Insertion-Driven NSCLC[J]. Cancer Discov. 2020</w:t>
      </w:r>
      <w:r>
        <w:rPr>
          <w:rFonts w:ascii="Times New Roman" w:hAnsi="Times New Roman" w:cs="Times New Roman"/>
          <w:sz w:val="15"/>
          <w:szCs w:val="15"/>
          <w:lang w:eastAsia="zh-CN"/>
        </w:rPr>
        <w:t xml:space="preserve">, </w:t>
      </w:r>
      <w:r>
        <w:rPr>
          <w:rFonts w:ascii="Times New Roman" w:hAnsi="Times New Roman" w:cs="Times New Roman"/>
          <w:sz w:val="15"/>
          <w:szCs w:val="15"/>
        </w:rPr>
        <w:t>10(8):1194-1209.</w:t>
      </w:r>
      <w:r>
        <w:rPr>
          <w:rFonts w:ascii="Times New Roman" w:hAnsi="Times New Roman" w:cs="Times New Roman"/>
          <w:sz w:val="15"/>
          <w:szCs w:val="15"/>
          <w:lang w:eastAsia="zh-CN"/>
        </w:rPr>
        <w:t xml:space="preserve"> [PMID: 32414908]</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Abou-Alfa GK,</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Sahai V,</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 xml:space="preserve">Hollebecque A, et al. Pemigatinib for previously treated, locally advanced or metastatic cholangiocarcinoma: a multicentre, open-label, phase 2 study. Lancet Oncol. 2020;21(5):671-684. </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PMID:</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32203698</w:t>
      </w:r>
      <w:r>
        <w:rPr>
          <w:rFonts w:ascii="Times New Roman" w:hAnsi="Times New Roman" w:eastAsia="微软雅黑"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lang w:eastAsia="zh-CN"/>
        </w:rPr>
        <w:t>Smit EF, Nakagawa K, Nagasaka M, et al. Trastuzumab deruxtecan (T-DXd; DS-8201) in patients with HER2-mutated metastatic non-small cell lung cancer (NSCLC): Interim results of DESTINY-Lung01. J Clin Oncol. 2020;38(suppl 15): abstr 9504.</w:t>
      </w:r>
    </w:p>
    <w:p>
      <w:pPr>
        <w:widowControl/>
        <w:adjustRightInd w:val="0"/>
        <w:snapToGrid w:val="0"/>
        <w:spacing w:after="120" w:afterLines="50"/>
        <w:jc w:val="both"/>
        <w:rPr>
          <w:rFonts w:ascii="Times New Roman" w:hAnsi="Times New Roman" w:eastAsia="微软雅黑" w:cs="Times New Roman"/>
          <w:spacing w:val="-1"/>
          <w:sz w:val="15"/>
          <w:szCs w:val="15"/>
          <w:lang w:eastAsia="zh-CN"/>
        </w:rPr>
      </w:pPr>
      <w:r>
        <w:fldChar w:fldCharType="begin"/>
      </w:r>
      <w:r>
        <w:instrText xml:space="preserve"> HYPERLINK "https://pubmed.ncbi.nlm.nih.gov/?term=Lee+HW&amp;cauthor_id=32636318" </w:instrText>
      </w:r>
      <w:r>
        <w:fldChar w:fldCharType="separate"/>
      </w:r>
      <w:r>
        <w:rPr>
          <w:rFonts w:ascii="Times New Roman" w:hAnsi="Times New Roman" w:eastAsia="微软雅黑" w:cs="Times New Roman"/>
          <w:spacing w:val="-1"/>
          <w:sz w:val="15"/>
          <w:szCs w:val="15"/>
          <w:lang w:eastAsia="zh-CN"/>
        </w:rPr>
        <w:t>Lee</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HW,</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"https://pubmed.ncbi.nlm.nih.gov/?term=Sa+JK&amp;cauthor_id=32636318" </w:instrText>
      </w:r>
      <w:r>
        <w:fldChar w:fldCharType="separate"/>
      </w:r>
      <w:r>
        <w:rPr>
          <w:rFonts w:ascii="Times New Roman" w:hAnsi="Times New Roman" w:eastAsia="微软雅黑" w:cs="Times New Roman"/>
          <w:spacing w:val="-1"/>
          <w:sz w:val="15"/>
          <w:szCs w:val="15"/>
          <w:lang w:eastAsia="zh-CN"/>
        </w:rPr>
        <w:t>Sa</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JK,</w:t>
      </w:r>
      <w:r>
        <w:rPr>
          <w:rFonts w:hint="eastAsia" w:ascii="Times New Roman" w:hAnsi="Times New Roman" w:eastAsia="微软雅黑" w:cs="Times New Roman"/>
          <w:spacing w:val="-1"/>
          <w:sz w:val="15"/>
          <w:szCs w:val="15"/>
          <w:lang w:eastAsia="zh-CN"/>
        </w:rPr>
        <w:t xml:space="preserve"> </w:t>
      </w:r>
      <w:r>
        <w:fldChar w:fldCharType="begin"/>
      </w:r>
      <w:r>
        <w:instrText xml:space="preserve"> HYPERLINK "https://pubmed.ncbi.nlm.nih.gov/?term=Gualberto+A&amp;cauthor_id=32636318" </w:instrText>
      </w:r>
      <w:r>
        <w:fldChar w:fldCharType="separate"/>
      </w:r>
      <w:r>
        <w:rPr>
          <w:rFonts w:ascii="Times New Roman" w:hAnsi="Times New Roman" w:eastAsia="微软雅黑" w:cs="Times New Roman"/>
          <w:spacing w:val="-1"/>
          <w:sz w:val="15"/>
          <w:szCs w:val="15"/>
          <w:lang w:eastAsia="zh-CN"/>
        </w:rPr>
        <w:t>Gualberto</w:t>
      </w:r>
      <w:r>
        <w:rPr>
          <w:rFonts w:ascii="Times New Roman" w:hAnsi="Times New Roman" w:eastAsia="微软雅黑" w:cs="Times New Roman"/>
          <w:spacing w:val="-1"/>
          <w:sz w:val="15"/>
          <w:szCs w:val="15"/>
          <w:lang w:eastAsia="zh-CN"/>
        </w:rPr>
        <w:fldChar w:fldCharType="end"/>
      </w:r>
      <w:r>
        <w:rPr>
          <w:rFonts w:hint="eastAsia" w:ascii="Times New Roman" w:hAnsi="Times New Roman" w:eastAsia="微软雅黑" w:cs="Times New Roman"/>
          <w:spacing w:val="-1"/>
          <w:sz w:val="15"/>
          <w:szCs w:val="15"/>
          <w:lang w:eastAsia="zh-CN"/>
        </w:rPr>
        <w:t xml:space="preserve"> </w:t>
      </w:r>
      <w:r>
        <w:rPr>
          <w:rFonts w:ascii="Times New Roman" w:hAnsi="Times New Roman" w:eastAsia="微软雅黑" w:cs="Times New Roman"/>
          <w:spacing w:val="-1"/>
          <w:sz w:val="15"/>
          <w:szCs w:val="15"/>
          <w:lang w:eastAsia="zh-CN"/>
        </w:rPr>
        <w:t>A, et al. A phase II trial of tipifarnib for patients with previously treated, metastatic urothelial carcinoma harboring HRAS mutations. Clin Cancer Res. 2020; 26(19): 5113-5119. [PMID: 32636318]</w:t>
      </w:r>
    </w:p>
    <w:p>
      <w:pPr>
        <w:widowControl/>
        <w:adjustRightInd w:val="0"/>
        <w:snapToGrid w:val="0"/>
        <w:spacing w:after="120" w:afterLines="50"/>
        <w:jc w:val="both"/>
        <w:rPr>
          <w:rFonts w:ascii="Times New Roman" w:hAnsi="Times New Roman" w:cs="Times New Roman"/>
          <w:sz w:val="15"/>
          <w:szCs w:val="15"/>
          <w:shd w:val="clear" w:color="auto" w:fill="FFFFFF"/>
          <w:lang w:eastAsia="zh-CN"/>
        </w:rPr>
      </w:pPr>
      <w:r>
        <w:rPr>
          <w:rFonts w:ascii="Times New Roman" w:hAnsi="Times New Roman" w:cs="Times New Roman"/>
          <w:sz w:val="15"/>
          <w:szCs w:val="15"/>
        </w:rPr>
        <w:t xml:space="preserve">Hong DS, Fakih MG, Strickler JH, </w:t>
      </w:r>
      <w:r>
        <w:rPr>
          <w:rFonts w:ascii="Times New Roman" w:hAnsi="Times New Roman" w:cs="Times New Roman"/>
          <w:sz w:val="15"/>
          <w:szCs w:val="15"/>
          <w:lang w:eastAsia="zh-CN"/>
        </w:rPr>
        <w:t>et al</w:t>
      </w:r>
      <w:r>
        <w:rPr>
          <w:rFonts w:ascii="Times New Roman" w:hAnsi="Times New Roman" w:cs="Times New Roman"/>
          <w:sz w:val="15"/>
          <w:szCs w:val="15"/>
        </w:rPr>
        <w:t>. KRAS</w:t>
      </w:r>
      <w:r>
        <w:rPr>
          <w:rFonts w:ascii="Times New Roman" w:hAnsi="Times New Roman" w:cs="Times New Roman"/>
          <w:sz w:val="15"/>
          <w:szCs w:val="15"/>
          <w:lang w:eastAsia="zh-CN"/>
        </w:rPr>
        <w:t xml:space="preserve"> </w:t>
      </w:r>
      <w:r>
        <w:rPr>
          <w:rFonts w:ascii="Times New Roman" w:hAnsi="Times New Roman" w:cs="Times New Roman"/>
          <w:sz w:val="15"/>
          <w:szCs w:val="15"/>
        </w:rPr>
        <w:t>G12C Inhibition with Sotorasib in Advanced Solid Tumors[J]. N Engl J Med. 2020</w:t>
      </w:r>
      <w:r>
        <w:rPr>
          <w:rFonts w:ascii="Times New Roman" w:hAnsi="Times New Roman" w:cs="Times New Roman"/>
          <w:sz w:val="15"/>
          <w:szCs w:val="15"/>
          <w:lang w:eastAsia="zh-CN"/>
        </w:rPr>
        <w:t>,</w:t>
      </w:r>
      <w:r>
        <w:rPr>
          <w:rFonts w:ascii="Times New Roman" w:hAnsi="Times New Roman" w:cs="Times New Roman"/>
          <w:sz w:val="15"/>
          <w:szCs w:val="15"/>
        </w:rPr>
        <w:t xml:space="preserve"> 24;383(13):1207-1217.</w:t>
      </w:r>
      <w:r>
        <w:rPr>
          <w:rFonts w:ascii="Times New Roman" w:hAnsi="Times New Roman" w:cs="Times New Roman"/>
          <w:sz w:val="15"/>
          <w:szCs w:val="15"/>
          <w:lang w:eastAsia="zh-CN"/>
        </w:rPr>
        <w:t xml:space="preserve"> [PMID: 32955176]</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Wolf J, Seto T, Han JY, Reguart N,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Capmatinib in</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exon 14-mutated 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ascii="Times New Roman" w:hAnsi="Times New Roman" w:eastAsia="Segoe UI" w:cs="Times New Roman"/>
          <w:sz w:val="15"/>
          <w:szCs w:val="15"/>
          <w:shd w:val="clear" w:color="auto" w:fill="FFFFFF"/>
        </w:rPr>
        <w:t>-amplified non-small-cell lung cancer. N Engl J Med. 2020;383(10):944-957.</w:t>
      </w:r>
      <w:r>
        <w:rPr>
          <w:rFonts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PMID: 32877583</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Lu S et al., Phase II study of savolitinib in patients with pulmonary sarcomatoid carcinoma and other types of non-small cell lung cancer harboring MET exon 14 skipping mutations. J Clin Oncol</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 xml:space="preserve"> 2020</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38(suppl</w:t>
      </w:r>
      <w:r>
        <w:rPr>
          <w:rFonts w:ascii="Times New Roman" w:hAnsi="Times New Roman" w:cs="Times New Roman"/>
          <w:sz w:val="15"/>
          <w:szCs w:val="15"/>
          <w:shd w:val="clear" w:color="auto" w:fill="FFFFFF"/>
          <w:lang w:eastAsia="zh-CN"/>
        </w:rPr>
        <w:t xml:space="preserve"> 15): </w:t>
      </w:r>
      <w:r>
        <w:rPr>
          <w:rFonts w:ascii="Times New Roman" w:hAnsi="Times New Roman" w:eastAsia="Segoe UI" w:cs="Times New Roman"/>
          <w:sz w:val="15"/>
          <w:szCs w:val="15"/>
          <w:shd w:val="clear" w:color="auto" w:fill="FFFFFF"/>
        </w:rPr>
        <w:t>abstr 9519</w:t>
      </w:r>
      <w:r>
        <w:rPr>
          <w:rFonts w:ascii="Times New Roman" w:hAnsi="Times New Roman" w:cs="Times New Roman"/>
          <w:sz w:val="15"/>
          <w:szCs w:val="15"/>
          <w:shd w:val="clear" w:color="auto" w:fill="FFFFFF"/>
          <w:lang w:eastAsia="zh-CN"/>
        </w:rPr>
        <w:t xml:space="preserve">. </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Drilon A, Clark JW, Weiss J, Ou SI,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xml:space="preserve">. Antitumor activity of crizotinib in lung cancers harboring a MET exon 14 alteration. Nat Med. 2020;26(1):47-51.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31932802</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eastAsia="Segoe UI" w:cs="Times New Roman"/>
          <w:sz w:val="15"/>
          <w:szCs w:val="15"/>
          <w:shd w:val="clear" w:color="auto" w:fill="FFFFFF"/>
        </w:rPr>
      </w:pPr>
      <w:r>
        <w:rPr>
          <w:rFonts w:ascii="Times New Roman" w:hAnsi="Times New Roman" w:eastAsia="Segoe UI" w:cs="Times New Roman"/>
          <w:sz w:val="15"/>
          <w:szCs w:val="15"/>
          <w:shd w:val="clear" w:color="auto" w:fill="FFFFFF"/>
        </w:rPr>
        <w:t xml:space="preserve">Paik PK, Felip E, Veillon R,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Tepotinib in non-small-cell lung cancer with</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i/>
          <w:iCs/>
          <w:sz w:val="15"/>
          <w:szCs w:val="15"/>
          <w:shd w:val="clear" w:color="auto" w:fill="FFFFFF"/>
        </w:rPr>
        <w:t>MET</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exon 14 skipping mutations. N Engl J Med. 2020;383(10):931-943. </w:t>
      </w:r>
      <w:r>
        <w:rPr>
          <w:rFonts w:ascii="Times New Roman" w:hAnsi="Times New Roman" w:cs="Times New Roman"/>
          <w:sz w:val="15"/>
          <w:szCs w:val="15"/>
          <w:shd w:val="clear" w:color="auto" w:fill="FFFFFF"/>
          <w:lang w:eastAsia="zh-CN"/>
        </w:rPr>
        <w:t>[</w:t>
      </w:r>
      <w:r>
        <w:rPr>
          <w:rFonts w:ascii="Times New Roman" w:hAnsi="Times New Roman" w:eastAsia="Segoe UI" w:cs="Times New Roman"/>
          <w:sz w:val="15"/>
          <w:szCs w:val="15"/>
          <w:shd w:val="clear" w:color="auto" w:fill="FFFFFF"/>
        </w:rPr>
        <w:t>PMID: 32469185</w:t>
      </w:r>
      <w:r>
        <w:rPr>
          <w:rFonts w:ascii="Times New Roman" w:hAnsi="Times New Roman" w:cs="Times New Roman"/>
          <w:sz w:val="15"/>
          <w:szCs w:val="15"/>
          <w:shd w:val="clear" w:color="auto" w:fill="FFFFFF"/>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 xml:space="preserve">Jones RL, Serrano C, von Mehren M, et al. Avapritinib in unresectable or metastatic PDGFRA D842V-mutant gastrointestinal stromal tumours: Long-term efficacy and safety data from the NAVIGATOR phase I trial. Eur J Cancer. 2021;145:132-142. </w:t>
      </w:r>
      <w:r>
        <w:rPr>
          <w:rFonts w:ascii="Times New Roman" w:hAnsi="Times New Roman" w:cs="Times New Roman"/>
          <w:sz w:val="15"/>
          <w:szCs w:val="15"/>
          <w:lang w:eastAsia="zh-CN"/>
        </w:rPr>
        <w:t>[</w:t>
      </w:r>
      <w:r>
        <w:rPr>
          <w:rFonts w:ascii="Times New Roman" w:hAnsi="Times New Roman" w:cs="Times New Roman"/>
          <w:sz w:val="15"/>
          <w:szCs w:val="15"/>
        </w:rPr>
        <w:t>PMID: 33465704</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eastAsia="Segoe UI" w:cs="Times New Roman"/>
          <w:sz w:val="15"/>
          <w:szCs w:val="15"/>
          <w:shd w:val="clear" w:color="auto" w:fill="FFFFFF"/>
        </w:rPr>
        <w:t xml:space="preserve">André F, Ciruelos E, Rubovszky G, </w:t>
      </w:r>
      <w:r>
        <w:rPr>
          <w:rFonts w:ascii="Times New Roman" w:hAnsi="Times New Roman" w:cs="Times New Roman"/>
          <w:sz w:val="15"/>
          <w:szCs w:val="15"/>
          <w:shd w:val="clear" w:color="auto" w:fill="FFFFFF"/>
          <w:lang w:eastAsia="zh-CN"/>
        </w:rPr>
        <w:t>et al</w:t>
      </w:r>
      <w:r>
        <w:rPr>
          <w:rFonts w:ascii="Times New Roman" w:hAnsi="Times New Roman" w:eastAsia="Segoe UI" w:cs="Times New Roman"/>
          <w:sz w:val="15"/>
          <w:szCs w:val="15"/>
          <w:shd w:val="clear" w:color="auto" w:fill="FFFFFF"/>
        </w:rPr>
        <w:t>. Alpelisib for</w:t>
      </w:r>
      <w:r>
        <w:rPr>
          <w:rFonts w:hint="eastAsia" w:ascii="Times New Roman" w:hAnsi="Times New Roman" w:cs="Times New Roman"/>
          <w:sz w:val="15"/>
          <w:szCs w:val="15"/>
          <w:shd w:val="clear" w:color="auto" w:fill="FFFFFF"/>
          <w:lang w:eastAsia="zh-CN"/>
        </w:rPr>
        <w:t xml:space="preserve"> </w:t>
      </w:r>
      <w:r>
        <w:rPr>
          <w:rFonts w:ascii="Times New Roman" w:hAnsi="Times New Roman" w:eastAsia="Segoe UI" w:cs="Times New Roman"/>
          <w:sz w:val="15"/>
          <w:szCs w:val="15"/>
          <w:shd w:val="clear" w:color="auto" w:fill="FFFFFF"/>
        </w:rPr>
        <w:t xml:space="preserve">PIK3CA-mutated, hormone receptor-positive advanced breast cancer. N Engl J Med. 2019;380(20):1929-1940. </w:t>
      </w:r>
      <w:r>
        <w:rPr>
          <w:rFonts w:ascii="Times New Roman" w:hAnsi="Times New Roman" w:cs="Times New Roman"/>
          <w:sz w:val="15"/>
          <w:szCs w:val="15"/>
        </w:rPr>
        <w:t>[PMID</w:t>
      </w:r>
      <w:r>
        <w:rPr>
          <w:rFonts w:ascii="Times New Roman" w:hAnsi="Times New Roman" w:cs="Times New Roman"/>
          <w:sz w:val="15"/>
          <w:szCs w:val="15"/>
          <w:lang w:eastAsia="zh-CN"/>
        </w:rPr>
        <w:t xml:space="preserve">: </w:t>
      </w:r>
      <w:r>
        <w:rPr>
          <w:rFonts w:ascii="Times New Roman" w:hAnsi="Times New Roman" w:cs="Times New Roman"/>
          <w:sz w:val="15"/>
          <w:szCs w:val="15"/>
        </w:rPr>
        <w:t>31091374]</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Bradford D, Larkins E, Mushti SL, et al. FDA approval summary: Selpercatinib for the treatment of lung and thyroid cancers with RET gene mutations or fusions. Clin Cancer Res. 2021;27(8):2130-2135</w:t>
      </w:r>
      <w:r>
        <w:rPr>
          <w:rFonts w:ascii="Times New Roman" w:hAnsi="Times New Roman" w:eastAsia="微软雅黑" w:cs="Times New Roman"/>
          <w:sz w:val="15"/>
          <w:szCs w:val="15"/>
          <w:lang w:eastAsia="zh-CN"/>
        </w:rPr>
        <w:t>. [PMID: 33239432]</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lang w:eastAsia="zh-CN"/>
        </w:rPr>
        <w:t>Drusbosky LM, Rodriguez E, Dawar R, et al. Therapeutic strategies in RET gene rearranged non-small cell lung cancer. J Hematol Oncol. 2021;14(1):50. [PMID: 33771190]</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Hida T, Velcheti V, Reckamp KL, et al. A phase 2 study of lenvatinib in patients with RET fusion-positive lung adenocarcinoma. Lung Cancer. 2019;138:124-130. [PMID: 31710864]</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Shaw AT, Riely GJ, Bang YJ, et al. Crizotinib in ROS1-rearranged advanced non-small-cell lung cancer (NSCLC): updated results, including overall survival, from PROFILE 1001. Ann Oncol. 2019;30(7):1121-1126. [ PMID: 30980071]</w:t>
      </w:r>
    </w:p>
    <w:p>
      <w:pPr>
        <w:pStyle w:val="41"/>
        <w:adjustRightInd w:val="0"/>
        <w:snapToGrid w:val="0"/>
        <w:spacing w:after="120" w:afterLines="50"/>
        <w:ind w:firstLine="0" w:firstLineChars="0"/>
        <w:jc w:val="both"/>
        <w:rPr>
          <w:rFonts w:ascii="Times New Roman" w:hAnsi="Times New Roman" w:eastAsia="微软雅黑" w:cs="Times New Roman"/>
          <w:sz w:val="15"/>
          <w:szCs w:val="15"/>
          <w:lang w:eastAsia="zh-CN"/>
        </w:rPr>
      </w:pPr>
      <w:r>
        <w:rPr>
          <w:rFonts w:ascii="Times New Roman" w:hAnsi="Times New Roman" w:eastAsia="微软雅黑" w:cs="Times New Roman"/>
          <w:sz w:val="15"/>
          <w:szCs w:val="15"/>
          <w:lang w:eastAsia="zh-CN"/>
        </w:rPr>
        <w:t>Drilon A, Siena S, Dziadziuszko R, et al. Entrectinib in ROS1 fusion-positive non-small-cell lung cancer: integrated analysis of three phase 1-2 trials. Lancet Oncol. 2020;21(2):261-270. [PMID: 31838015]</w:t>
      </w:r>
    </w:p>
    <w:p>
      <w:pPr>
        <w:widowControl/>
        <w:adjustRightInd w:val="0"/>
        <w:snapToGrid w:val="0"/>
        <w:spacing w:after="120" w:afterLines="50"/>
        <w:jc w:val="both"/>
        <w:rPr>
          <w:rFonts w:ascii="Times New Roman" w:hAnsi="Times New Roman" w:eastAsia="微软雅黑" w:cs="Times New Roman"/>
          <w:sz w:val="15"/>
          <w:szCs w:val="15"/>
        </w:rPr>
      </w:pPr>
      <w:r>
        <w:rPr>
          <w:rFonts w:ascii="Times New Roman" w:hAnsi="Times New Roman" w:eastAsia="微软雅黑" w:cs="Times New Roman"/>
          <w:sz w:val="15"/>
          <w:szCs w:val="15"/>
        </w:rPr>
        <w:t>Shaw AT, Solomon BJ, Chiari R</w:t>
      </w:r>
      <w:r>
        <w:rPr>
          <w:rFonts w:ascii="Times New Roman" w:hAnsi="Times New Roman" w:eastAsia="微软雅黑" w:cs="Times New Roman"/>
          <w:sz w:val="15"/>
          <w:szCs w:val="15"/>
          <w:lang w:eastAsia="zh-CN"/>
        </w:rPr>
        <w:t>, et al</w:t>
      </w:r>
      <w:r>
        <w:rPr>
          <w:rFonts w:ascii="Times New Roman" w:hAnsi="Times New Roman" w:eastAsia="微软雅黑" w:cs="Times New Roman"/>
          <w:sz w:val="15"/>
          <w:szCs w:val="15"/>
        </w:rPr>
        <w:t>. Lorlatinib in advanced ROS1-positive non-small-cell lung cancer: a multicentre, open-label, single-arm, phase 1-2 trial. Lancet Oncol</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 xml:space="preserve"> 2019</w:t>
      </w:r>
      <w:r>
        <w:rPr>
          <w:rFonts w:ascii="Times New Roman" w:hAnsi="Times New Roman" w:eastAsia="微软雅黑" w:cs="Times New Roman"/>
          <w:sz w:val="15"/>
          <w:szCs w:val="15"/>
          <w:lang w:eastAsia="zh-CN"/>
        </w:rPr>
        <w:t>;</w:t>
      </w:r>
      <w:r>
        <w:rPr>
          <w:rFonts w:ascii="Times New Roman" w:hAnsi="Times New Roman" w:eastAsia="微软雅黑" w:cs="Times New Roman"/>
          <w:sz w:val="15"/>
          <w:szCs w:val="15"/>
        </w:rPr>
        <w:t>20(12):1691-1701.</w:t>
      </w:r>
      <w:r>
        <w:rPr>
          <w:rFonts w:ascii="Times New Roman" w:hAnsi="Times New Roman" w:eastAsia="微软雅黑" w:cs="Times New Roman"/>
          <w:sz w:val="15"/>
          <w:szCs w:val="15"/>
          <w:lang w:eastAsia="zh-CN"/>
        </w:rPr>
        <w:t xml:space="preserve"> [PMID: 31669155]</w:t>
      </w:r>
    </w:p>
    <w:p>
      <w:pPr>
        <w:widowControl/>
        <w:adjustRightInd w:val="0"/>
        <w:snapToGrid w:val="0"/>
        <w:spacing w:after="120" w:afterLines="50"/>
        <w:jc w:val="both"/>
        <w:rPr>
          <w:rFonts w:ascii="Times New Roman" w:hAnsi="Times New Roman" w:eastAsia="微软雅黑" w:cs="Times New Roman"/>
          <w:sz w:val="15"/>
          <w:szCs w:val="15"/>
        </w:rPr>
      </w:pPr>
      <w:r>
        <w:fldChar w:fldCharType="begin"/>
      </w:r>
      <w:r>
        <w:instrText xml:space="preserve"> HYPERLINK "https://www.ncbi.nlm.nih.gov/pubmed/?term=Ku%20BM%5BAuthor%5D&amp;cauthor=true&amp;cauthor_uid=31124056" </w:instrText>
      </w:r>
      <w:r>
        <w:fldChar w:fldCharType="separate"/>
      </w:r>
      <w:r>
        <w:rPr>
          <w:rFonts w:ascii="Times New Roman" w:hAnsi="Times New Roman" w:eastAsia="微软雅黑" w:cs="Times New Roman"/>
          <w:sz w:val="15"/>
          <w:szCs w:val="15"/>
        </w:rPr>
        <w:t>Ku BM</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"https://www.ncbi.nlm.nih.gov/pubmed/?term=Bae%20YH%5BAuthor%5D&amp;cauthor=true&amp;cauthor_uid=31124056" </w:instrText>
      </w:r>
      <w:r>
        <w:fldChar w:fldCharType="separate"/>
      </w:r>
      <w:r>
        <w:rPr>
          <w:rFonts w:ascii="Times New Roman" w:hAnsi="Times New Roman" w:eastAsia="微软雅黑" w:cs="Times New Roman"/>
          <w:sz w:val="15"/>
          <w:szCs w:val="15"/>
        </w:rPr>
        <w:t>Bae YH</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w:t>
      </w:r>
      <w:r>
        <w:rPr>
          <w:rFonts w:hint="eastAsia" w:ascii="Times New Roman" w:hAnsi="Times New Roman" w:eastAsia="微软雅黑" w:cs="Times New Roman"/>
          <w:sz w:val="15"/>
          <w:szCs w:val="15"/>
          <w:lang w:eastAsia="zh-CN"/>
        </w:rPr>
        <w:t xml:space="preserve"> </w:t>
      </w:r>
      <w:r>
        <w:fldChar w:fldCharType="begin"/>
      </w:r>
      <w:r>
        <w:instrText xml:space="preserve"> HYPERLINK "https://www.ncbi.nlm.nih.gov/pubmed/?term=Lee%20KY%5BAuthor%5D&amp;cauthor=true&amp;cauthor_uid=31124056" </w:instrText>
      </w:r>
      <w:r>
        <w:fldChar w:fldCharType="separate"/>
      </w:r>
      <w:r>
        <w:rPr>
          <w:rFonts w:ascii="Times New Roman" w:hAnsi="Times New Roman" w:eastAsia="微软雅黑" w:cs="Times New Roman"/>
          <w:sz w:val="15"/>
          <w:szCs w:val="15"/>
        </w:rPr>
        <w:t>Lee KY</w:t>
      </w:r>
      <w:r>
        <w:rPr>
          <w:rFonts w:ascii="Times New Roman" w:hAnsi="Times New Roman" w:eastAsia="微软雅黑" w:cs="Times New Roman"/>
          <w:sz w:val="15"/>
          <w:szCs w:val="15"/>
        </w:rPr>
        <w:fldChar w:fldCharType="end"/>
      </w:r>
      <w:r>
        <w:rPr>
          <w:rFonts w:ascii="Times New Roman" w:hAnsi="Times New Roman" w:eastAsia="微软雅黑" w:cs="Times New Roman"/>
          <w:sz w:val="15"/>
          <w:szCs w:val="15"/>
        </w:rPr>
        <w:t>, et al. Entrectinib</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resistance mechanisms in</w:t>
      </w:r>
      <w:r>
        <w:rPr>
          <w:rFonts w:hint="eastAsia" w:ascii="Times New Roman" w:hAnsi="Times New Roman" w:eastAsia="微软雅黑" w:cs="Times New Roman"/>
          <w:sz w:val="15"/>
          <w:szCs w:val="15"/>
          <w:lang w:eastAsia="zh-CN"/>
        </w:rPr>
        <w:t xml:space="preserve"> </w:t>
      </w:r>
      <w:r>
        <w:rPr>
          <w:rFonts w:ascii="Times New Roman" w:hAnsi="Times New Roman" w:eastAsia="微软雅黑" w:cs="Times New Roman"/>
          <w:sz w:val="15"/>
          <w:szCs w:val="15"/>
        </w:rPr>
        <w:t>ROS1-rearranged non-small cell lung cancer. Invest New Drugs. 2020;38(2):360-368.</w:t>
      </w:r>
      <w:r>
        <w:rPr>
          <w:rFonts w:ascii="Times New Roman" w:hAnsi="Times New Roman" w:eastAsia="微软雅黑" w:cs="Times New Roman"/>
          <w:sz w:val="15"/>
          <w:szCs w:val="15"/>
          <w:lang w:eastAsia="zh-CN"/>
        </w:rPr>
        <w:t xml:space="preserve"> [PMID: 31124056]</w:t>
      </w:r>
    </w:p>
    <w:p>
      <w:pPr>
        <w:widowControl/>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Chung HC, et al First-line pembrolizumab/placebo plus trastuzumab and chemotherapy in HER2-positive advanced gastric cancer: KEYNOTE-811. Future Oncol 2021 Feb;17(5):491-501.</w:t>
      </w:r>
      <w:r>
        <w:rPr>
          <w:rFonts w:ascii="Times New Roman" w:hAnsi="Times New Roman" w:cs="Times New Roman"/>
          <w:sz w:val="15"/>
          <w:szCs w:val="15"/>
          <w:lang w:eastAsia="zh-CN"/>
        </w:rPr>
        <w:t xml:space="preserve"> [</w:t>
      </w:r>
      <w:r>
        <w:rPr>
          <w:rFonts w:ascii="Times New Roman" w:hAnsi="Times New Roman" w:cs="Times New Roman"/>
          <w:sz w:val="15"/>
          <w:szCs w:val="15"/>
        </w:rPr>
        <w:t>PMID: 33167735</w:t>
      </w:r>
      <w:r>
        <w:rPr>
          <w:rFonts w:ascii="Times New Roman" w:hAnsi="Times New Roman" w:cs="Times New Roman"/>
          <w:sz w:val="15"/>
          <w:szCs w:val="15"/>
          <w:lang w:eastAsia="zh-CN"/>
        </w:rPr>
        <w:t>]</w:t>
      </w:r>
    </w:p>
    <w:p>
      <w:pPr>
        <w:widowControl/>
        <w:adjustRightInd w:val="0"/>
        <w:snapToGrid w:val="0"/>
        <w:spacing w:after="120" w:afterLines="50"/>
        <w:jc w:val="both"/>
        <w:rPr>
          <w:rFonts w:ascii="Times New Roman" w:hAnsi="Times New Roman" w:cs="Times New Roman"/>
          <w:sz w:val="15"/>
          <w:szCs w:val="15"/>
        </w:rPr>
      </w:pPr>
      <w:r>
        <w:rPr>
          <w:rFonts w:ascii="Times New Roman" w:hAnsi="Times New Roman" w:cs="Times New Roman"/>
          <w:sz w:val="15"/>
          <w:szCs w:val="15"/>
        </w:rPr>
        <w:t>Hope S Rugo, et al</w:t>
      </w:r>
      <w:r>
        <w:rPr>
          <w:rFonts w:ascii="Times New Roman" w:hAnsi="Times New Roman" w:cs="Times New Roman"/>
          <w:sz w:val="15"/>
          <w:szCs w:val="15"/>
          <w:lang w:eastAsia="zh-CN"/>
        </w:rPr>
        <w:t>. Efficacy of Margetuximab vs Trastuzumab in Patients With Pretreated ERBB2-Positive Advanced Breast Cancer: A Phase 3 Randomized Clinical Trial</w:t>
      </w:r>
      <w:r>
        <w:rPr>
          <w:rFonts w:ascii="Times New Roman" w:hAnsi="Times New Roman" w:cs="Times New Roman"/>
          <w:sz w:val="15"/>
          <w:szCs w:val="15"/>
        </w:rPr>
        <w:t>[J]</w:t>
      </w:r>
      <w:r>
        <w:rPr>
          <w:rFonts w:ascii="Times New Roman" w:hAnsi="Times New Roman" w:cs="Times New Roman"/>
          <w:sz w:val="15"/>
          <w:szCs w:val="15"/>
          <w:lang w:eastAsia="zh-CN"/>
        </w:rPr>
        <w:t>. JAMA Oncol. 2021 Apr 1;7(4):573-584. [PMID: 33480963]</w:t>
      </w:r>
    </w:p>
    <w:p>
      <w:pPr>
        <w:adjustRightInd w:val="0"/>
        <w:snapToGrid w:val="0"/>
        <w:spacing w:after="120" w:afterLines="50"/>
        <w:jc w:val="both"/>
        <w:rPr>
          <w:rFonts w:ascii="Times New Roman" w:hAnsi="Times New Roman" w:cs="Times New Roman"/>
          <w:sz w:val="15"/>
          <w:szCs w:val="15"/>
          <w:lang w:eastAsia="zh-CN"/>
        </w:rPr>
      </w:pPr>
      <w:r>
        <w:rPr>
          <w:rFonts w:ascii="Times New Roman" w:hAnsi="Times New Roman" w:cs="Times New Roman"/>
          <w:sz w:val="15"/>
          <w:szCs w:val="15"/>
        </w:rPr>
        <w:t>Blay J Y, Serrano C, Heinrich M C , et al. Ripretinib in patients with advanced gastrointestinal stromal tumours (INVICTUS): a double-blind, randomised, placebo-controlled, phase 3 trial[J]. The Lancet Oncology, 2020, 21(7).</w:t>
      </w:r>
      <w:r>
        <w:rPr>
          <w:rFonts w:ascii="Times New Roman" w:hAnsi="Times New Roman" w:cs="Times New Roman"/>
          <w:sz w:val="15"/>
          <w:szCs w:val="15"/>
          <w:lang w:eastAsia="zh-CN"/>
        </w:rPr>
        <w:t xml:space="preserve"> [PMID: 32511981]</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Zhou C, Ramalingam SS, Kim TM, et al. Treatment Outcomes and Safety of Mobocertinib in Platinum-Pretreated Patients With EGFR Exon 20 Insertion-Positive Metastatic Non-Small Cell Lung Cancer: A Phase 1/2 Open-label Nonrandomized Clinical Trial. JAMA Oncol. 2021;7(12):e214761. [PMID: 34647988]</w:t>
      </w:r>
    </w:p>
    <w:p>
      <w:pPr>
        <w:widowControl/>
        <w:adjustRightInd w:val="0"/>
        <w:snapToGrid w:val="0"/>
        <w:spacing w:after="120" w:afterLines="50"/>
        <w:jc w:val="both"/>
        <w:rPr>
          <w:rFonts w:ascii="Times New Roman" w:hAnsi="Times New Roman" w:eastAsia="微软雅黑" w:cs="Times New Roman"/>
          <w:sz w:val="15"/>
          <w:szCs w:val="15"/>
          <w:lang w:eastAsia="zh-CN"/>
        </w:rPr>
      </w:pPr>
      <w:r>
        <w:rPr>
          <w:rFonts w:hint="eastAsia" w:ascii="Times New Roman" w:hAnsi="Times New Roman" w:eastAsia="微软雅黑" w:cs="Times New Roman"/>
          <w:sz w:val="15"/>
          <w:szCs w:val="15"/>
          <w:lang w:eastAsia="zh-CN"/>
        </w:rPr>
        <w:t>Zhao H, Yao W, Min X, et al. Apatinib Plus Gefitinib as First-Line Treatment in Advanced EGFR-Mutant NSCLC: The Phase III ACTIVE Study (CTONG1706). J Thorac Oncol. 2021;16(9):1533-1546. [PMID: 34033974]</w:t>
      </w:r>
    </w:p>
    <w:p>
      <w:pPr>
        <w:widowControl/>
        <w:adjustRightInd w:val="0"/>
        <w:snapToGrid w:val="0"/>
        <w:spacing w:after="120" w:afterLines="50"/>
        <w:jc w:val="both"/>
      </w:pPr>
      <w:r>
        <w:rPr>
          <w:rFonts w:hint="eastAsia" w:ascii="Times New Roman" w:hAnsi="Times New Roman" w:eastAsia="微软雅黑" w:cs="Times New Roman"/>
          <w:sz w:val="15"/>
          <w:szCs w:val="15"/>
          <w:lang w:eastAsia="zh-CN"/>
        </w:rPr>
        <w:t>Lu J, Zhong H, Chu T, et al. Role of anlotinib-induced CCL2 decrease in anti-angiogenesis and response prediction for nonsmall cell lung cancer therapy. Eur Respir J. 2019;53(3):1801562. Published 2019 Mar 7. [PMID: 30578392]</w:t>
      </w:r>
    </w:p>
    <w:sectPr>
      <w:headerReference r:id="rId5" w:type="default"/>
      <w:footerReference r:id="rId6" w:type="default"/>
      <w:pgSz w:w="11911" w:h="16838"/>
      <w:pgMar w:top="1037" w:right="1020" w:bottom="981" w:left="1020" w:header="720" w:footer="720" w:gutter="0"/>
      <w:pgBorders>
        <w:top w:val="none" w:sz="0" w:space="0"/>
        <w:left w:val="none" w:sz="0" w:space="0"/>
        <w:bottom w:val="none" w:sz="0" w:space="0"/>
        <w:right w:val="none" w:sz="0" w:space="0"/>
      </w:pgBorders>
      <w:pgNumType w:fmt="decimal" w:start="1"/>
      <w:cols w:space="0" w:num="1"/>
      <w:rtlGutter w:val="0"/>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lang w:eastAsia="zh-CN"/>
      </w:rPr>
      <mc:AlternateContent>
        <mc:Choice Requires="wps">
          <w:drawing>
            <wp:anchor distT="0" distB="0" distL="114300" distR="114300" simplePos="0" relativeHeight="251659264" behindDoc="0" locked="0" layoutInCell="1" allowOverlap="1">
              <wp:simplePos x="0" y="0"/>
              <wp:positionH relativeFrom="margin">
                <wp:posOffset>2707005</wp:posOffset>
              </wp:positionH>
              <wp:positionV relativeFrom="paragraph">
                <wp:posOffset>73660</wp:posOffset>
              </wp:positionV>
              <wp:extent cx="870585" cy="177165"/>
              <wp:effectExtent l="0" t="0" r="0" b="0"/>
              <wp:wrapNone/>
              <wp:docPr id="33" name="文本框 33"/>
              <wp:cNvGraphicFramePr/>
              <a:graphic xmlns:a="http://schemas.openxmlformats.org/drawingml/2006/main">
                <a:graphicData uri="http://schemas.microsoft.com/office/word/2010/wordprocessingShape">
                  <wps:wsp>
                    <wps:cNvSpPr txBox="1"/>
                    <wps:spPr>
                      <a:xfrm>
                        <a:off x="0" y="0"/>
                        <a:ext cx="870585" cy="17716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213.15pt;margin-top:5.8pt;height:13.95pt;width:68.55pt;mso-position-horizontal-relative:margin;z-index:251659264;mso-width-relative:page;mso-height-relative:page;" filled="f" stroked="f" coordsize="21600,21600" o:gfxdata="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1EHlA2AAAAAkBAAAPAAAAAAAAAAEAIAAAACIAAABkcnMvZG93bnJldi54&#10;bWxQSwECFAAUAAAACACHTuJA3j3AYzMCAABXBAAADgAAAAAAAAABACAAAAAnAQAAZHJzL2Uyb0Rv&#10;Yy54bWxQSwUGAAAAAAYABgBZAQAAzAUAAAAA&#10;">
              <v:fill on="f" focussize="0,0"/>
              <v:stroke on="f" weight="0.5pt"/>
              <v:imagedata o:title=""/>
              <o:lock v:ext="edit" aspectratio="f"/>
              <v:textbox inset="0mm,0mm,0mm,0mm">
                <w:txbxContent>
                  <w:p>
                    <w:pPr>
                      <w:pStyle w:val="11"/>
                      <w:jc w:val="center"/>
                      <w:rPr>
                        <w:rFonts w:ascii="Times New Roman" w:hAnsi="Times New Roman" w:cs="Times New Roman"/>
                        <w:b/>
                        <w:bCs/>
                        <w:sz w:val="20"/>
                        <w:szCs w:val="20"/>
                        <w:lang w:eastAsia="zh-CN"/>
                      </w:rPr>
                    </w:pPr>
                    <w:r>
                      <w:rPr>
                        <w:rFonts w:ascii="Times New Roman" w:hAnsi="Times New Roman" w:cs="Times New Roman"/>
                        <w:b/>
                        <w:bCs/>
                        <w:sz w:val="20"/>
                        <w:szCs w:val="20"/>
                        <w:lang w:eastAsia="zh-CN"/>
                      </w:rPr>
                      <w:fldChar w:fldCharType="begin"/>
                    </w:r>
                    <w:r>
                      <w:rPr>
                        <w:rFonts w:ascii="Times New Roman" w:hAnsi="Times New Roman" w:cs="Times New Roman"/>
                        <w:b/>
                        <w:bCs/>
                        <w:sz w:val="20"/>
                        <w:szCs w:val="20"/>
                        <w:lang w:eastAsia="zh-CN"/>
                      </w:rPr>
                      <w:instrText xml:space="preserve"> PAGE  \* MERGEFORMAT </w:instrText>
                    </w:r>
                    <w:r>
                      <w:rPr>
                        <w:rFonts w:ascii="Times New Roman" w:hAnsi="Times New Roman" w:cs="Times New Roman"/>
                        <w:b/>
                        <w:bCs/>
                        <w:sz w:val="20"/>
                        <w:szCs w:val="20"/>
                        <w:lang w:eastAsia="zh-CN"/>
                      </w:rPr>
                      <w:fldChar w:fldCharType="separate"/>
                    </w:r>
                    <w:r>
                      <w:rPr>
                        <w:rFonts w:ascii="Times New Roman" w:hAnsi="Times New Roman" w:cs="Times New Roman"/>
                        <w:b/>
                        <w:bCs/>
                        <w:sz w:val="20"/>
                        <w:szCs w:val="20"/>
                        <w:lang w:eastAsia="zh-CN"/>
                      </w:rPr>
                      <w:t>1</w:t>
                    </w:r>
                    <w:r>
                      <w:rPr>
                        <w:rFonts w:ascii="Times New Roman" w:hAnsi="Times New Roman" w:cs="Times New Roman"/>
                        <w:b/>
                        <w:bCs/>
                        <w:sz w:val="20"/>
                        <w:szCs w:val="20"/>
                        <w:lang w:eastAsia="zh-CN"/>
                      </w:rPr>
                      <w:fldChar w:fldCharType="end"/>
                    </w:r>
                    <w:r>
                      <w:rPr>
                        <w:rFonts w:ascii="Times New Roman" w:hAnsi="Times New Roman" w:cs="Times New Roman"/>
                        <w:b/>
                        <w:bCs/>
                        <w:sz w:val="20"/>
                        <w:szCs w:val="20"/>
                        <w:lang w:eastAsia="zh-CN"/>
                      </w:rPr>
                      <w:t xml:space="preserve"> / </w:t>
                    </w:r>
                    <w:r>
                      <w:rPr>
                        <w:rFonts w:hint="default" w:ascii="Times New Roman" w:hAnsi="Times New Roman" w:cs="Times New Roman"/>
                        <w:b/>
                        <w:bCs/>
                        <w:sz w:val="20"/>
                        <w:szCs w:val="20"/>
                        <w:lang w:val="zh-CN" w:eastAsia="zh-CN"/>
                      </w:rPr>
                      <w:fldChar w:fldCharType="begin"/>
                    </w:r>
                    <w:r>
                      <w:rPr>
                        <w:rFonts w:hint="default" w:ascii="Times New Roman" w:hAnsi="Times New Roman" w:cs="Times New Roman"/>
                        <w:b/>
                        <w:bCs/>
                        <w:sz w:val="20"/>
                        <w:szCs w:val="20"/>
                        <w:lang w:val="zh-CN" w:eastAsia="zh-CN"/>
                      </w:rPr>
                      <w:instrText xml:space="preserve"> SECTIONPAGES  \* MERGEFORMAT </w:instrText>
                    </w:r>
                    <w:r>
                      <w:rPr>
                        <w:rFonts w:hint="default" w:ascii="Times New Roman" w:hAnsi="Times New Roman" w:cs="Times New Roman"/>
                        <w:b/>
                        <w:bCs/>
                        <w:sz w:val="20"/>
                        <w:szCs w:val="20"/>
                        <w:lang w:val="zh-CN" w:eastAsia="zh-CN"/>
                      </w:rPr>
                      <w:fldChar w:fldCharType="separate"/>
                    </w:r>
                    <w:r>
                      <w:rPr>
                        <w:rFonts w:hint="default" w:ascii="Times New Roman" w:hAnsi="Times New Roman" w:cs="Times New Roman"/>
                        <w:b/>
                        <w:bCs/>
                        <w:sz w:val="20"/>
                        <w:szCs w:val="20"/>
                        <w:lang w:val="zh-CN" w:eastAsia="zh-CN"/>
                      </w:rPr>
                      <w:t>17</w:t>
                    </w:r>
                    <w:r>
                      <w:rPr>
                        <w:rFonts w:hint="default" w:ascii="Times New Roman" w:hAnsi="Times New Roman" w:cs="Times New Roman"/>
                        <w:b/>
                        <w:bCs/>
                        <w:sz w:val="20"/>
                        <w:szCs w:val="20"/>
                        <w:lang w:val="zh-CN"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jc w:val="right"/>
      <w:rPr>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47px;height:47px" o:bullet="t">
        <v:imagedata r:id="rId1" o:title=""/>
      </v:shape>
    </w:pict>
  </w:numPicBullet>
  <w:numPicBullet w:numPicBulletId="1">
    <w:pict>
      <v:shape id="1" type="#_x0000_t75" style="width:59px;height:59px" o:bullet="t">
        <v:imagedata r:id="rId2" o:title=""/>
      </v:shape>
    </w:pict>
  </w:numPicBullet>
  <w:numPicBullet w:numPicBulletId="2">
    <w:pict>
      <v:shape id="2" type="#_x0000_t75" style="width:59px;height:59px" o:bullet="t">
        <v:imagedata r:id="rId3" o:title=""/>
      </v:shape>
    </w:pict>
  </w:numPicBullet>
  <w:abstractNum w:abstractNumId="0">
    <w:nsid w:val="8E7D2F2C"/>
    <w:multiLevelType w:val="singleLevel"/>
    <w:tmpl w:val="8E7D2F2C"/>
    <w:lvl w:ilvl="0" w:tentative="0">
      <w:start w:val="1"/>
      <w:numFmt w:val="decimal"/>
      <w:lvlText w:val="%1."/>
      <w:lvlJc w:val="left"/>
      <w:pPr>
        <w:ind w:left="425" w:hanging="425"/>
      </w:pPr>
      <w:rPr>
        <w:rFonts w:hint="default"/>
        <w:sz w:val="18"/>
        <w:szCs w:val="18"/>
        <w:highlight w:val="none"/>
      </w:rPr>
    </w:lvl>
  </w:abstractNum>
  <w:abstractNum w:abstractNumId="1">
    <w:nsid w:val="A5F5891C"/>
    <w:multiLevelType w:val="multilevel"/>
    <w:tmpl w:val="A5F5891C"/>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2">
    <w:nsid w:val="C588211E"/>
    <w:multiLevelType w:val="multilevel"/>
    <w:tmpl w:val="C588211E"/>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3">
    <w:nsid w:val="E58AFA96"/>
    <w:multiLevelType w:val="multilevel"/>
    <w:tmpl w:val="E58AFA96"/>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hanging="420"/>
      </w:pPr>
      <w:rPr>
        <w:rFonts w:hint="default"/>
      </w:rPr>
    </w:lvl>
    <w:lvl w:ilvl="2" w:tentative="0">
      <w:start w:val="1"/>
      <w:numFmt w:val="decimalEnclosedCircleChinese"/>
      <w:lvlText w:val="%3"/>
      <w:lvlJc w:val="left"/>
      <w:pPr>
        <w:tabs>
          <w:tab w:val="left" w:pos="1260"/>
        </w:tabs>
        <w:ind w:left="1260" w:hanging="420"/>
      </w:pPr>
      <w:rPr>
        <w:rFonts w:hint="default"/>
      </w:rPr>
    </w:lvl>
    <w:lvl w:ilvl="3" w:tentative="0">
      <w:start w:val="1"/>
      <w:numFmt w:val="decimal"/>
      <w:lvlText w:val="%4)"/>
      <w:lvlJc w:val="left"/>
      <w:pPr>
        <w:tabs>
          <w:tab w:val="left" w:pos="1680"/>
        </w:tabs>
        <w:ind w:left="1680" w:hanging="420"/>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Letter"/>
      <w:lvlText w:val="%6)"/>
      <w:lvlJc w:val="left"/>
      <w:pPr>
        <w:tabs>
          <w:tab w:val="left" w:pos="2520"/>
        </w:tabs>
        <w:ind w:left="2520" w:hanging="420"/>
      </w:pPr>
      <w:rPr>
        <w:rFonts w:hint="default"/>
      </w:rPr>
    </w:lvl>
    <w:lvl w:ilvl="6" w:tentative="0">
      <w:start w:val="1"/>
      <w:numFmt w:val="lowerRoman"/>
      <w:lvlText w:val="%7."/>
      <w:lvlJc w:val="left"/>
      <w:pPr>
        <w:tabs>
          <w:tab w:val="left" w:pos="2940"/>
        </w:tabs>
        <w:ind w:left="2940" w:hanging="420"/>
      </w:pPr>
      <w:rPr>
        <w:rFonts w:hint="default"/>
      </w:rPr>
    </w:lvl>
    <w:lvl w:ilvl="7" w:tentative="0">
      <w:start w:val="1"/>
      <w:numFmt w:val="lowerRoman"/>
      <w:lvlText w:val="%8)"/>
      <w:lvlJc w:val="left"/>
      <w:pPr>
        <w:tabs>
          <w:tab w:val="left" w:pos="3360"/>
        </w:tabs>
        <w:ind w:left="3360" w:hanging="420"/>
      </w:pPr>
      <w:rPr>
        <w:rFonts w:hint="default"/>
      </w:rPr>
    </w:lvl>
    <w:lvl w:ilvl="8" w:tentative="0">
      <w:start w:val="1"/>
      <w:numFmt w:val="lowerLetter"/>
      <w:lvlText w:val="%9."/>
      <w:lvlJc w:val="left"/>
      <w:pPr>
        <w:tabs>
          <w:tab w:val="left" w:pos="3780"/>
        </w:tabs>
        <w:ind w:left="3780" w:hanging="420"/>
      </w:pPr>
      <w:rPr>
        <w:rFonts w:hint="default"/>
      </w:rPr>
    </w:lvl>
  </w:abstractNum>
  <w:abstractNum w:abstractNumId="4">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rPr>
    </w:lvl>
  </w:abstractNum>
  <w:abstractNum w:abstractNumId="5">
    <w:nsid w:val="04056A27"/>
    <w:multiLevelType w:val="singleLevel"/>
    <w:tmpl w:val="04056A27"/>
    <w:lvl w:ilvl="0" w:tentative="0">
      <w:start w:val="1"/>
      <w:numFmt w:val="decimal"/>
      <w:lvlText w:val="%1."/>
      <w:lvlJc w:val="left"/>
      <w:pPr>
        <w:ind w:left="397" w:hanging="397"/>
      </w:pPr>
      <w:rPr>
        <w:rFonts w:hint="default"/>
        <w:sz w:val="18"/>
        <w:szCs w:val="18"/>
      </w:rPr>
    </w:lvl>
  </w:abstractNum>
  <w:abstractNum w:abstractNumId="6">
    <w:nsid w:val="11B87595"/>
    <w:multiLevelType w:val="singleLevel"/>
    <w:tmpl w:val="11B87595"/>
    <w:lvl w:ilvl="0" w:tentative="0">
      <w:start w:val="1"/>
      <w:numFmt w:val="decimal"/>
      <w:lvlText w:val="%1."/>
      <w:lvlJc w:val="left"/>
      <w:pPr>
        <w:ind w:left="425" w:hanging="425"/>
      </w:pPr>
      <w:rPr>
        <w:rFonts w:hint="default"/>
        <w:sz w:val="18"/>
        <w:szCs w:val="18"/>
        <w:highlight w:val="none"/>
      </w:rPr>
    </w:lvl>
  </w:abstractNum>
  <w:abstractNum w:abstractNumId="7">
    <w:nsid w:val="12167FD4"/>
    <w:multiLevelType w:val="multilevel"/>
    <w:tmpl w:val="12167FD4"/>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8">
    <w:nsid w:val="219D0AF6"/>
    <w:multiLevelType w:val="singleLevel"/>
    <w:tmpl w:val="219D0AF6"/>
    <w:lvl w:ilvl="0" w:tentative="0">
      <w:start w:val="1"/>
      <w:numFmt w:val="decimal"/>
      <w:suff w:val="space"/>
      <w:lvlText w:val="%1."/>
      <w:lvlJc w:val="left"/>
    </w:lvl>
  </w:abstractNum>
  <w:abstractNum w:abstractNumId="9">
    <w:nsid w:val="2CEC1C1C"/>
    <w:multiLevelType w:val="multilevel"/>
    <w:tmpl w:val="2CEC1C1C"/>
    <w:lvl w:ilvl="0" w:tentative="0">
      <w:start w:val="1"/>
      <w:numFmt w:val="bullet"/>
      <w:pStyle w:val="26"/>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0">
    <w:nsid w:val="34613CBC"/>
    <w:multiLevelType w:val="multilevel"/>
    <w:tmpl w:val="34613CBC"/>
    <w:lvl w:ilvl="0" w:tentative="0">
      <w:start w:val="1"/>
      <w:numFmt w:val="bullet"/>
      <w:pStyle w:val="28"/>
      <w:lvlText w:val=""/>
      <w:lvlPicBulletId w:val="2"/>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1">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12">
    <w:nsid w:val="3FE2A38E"/>
    <w:multiLevelType w:val="singleLevel"/>
    <w:tmpl w:val="3FE2A38E"/>
    <w:lvl w:ilvl="0" w:tentative="0">
      <w:start w:val="1"/>
      <w:numFmt w:val="decimal"/>
      <w:lvlText w:val="%1."/>
      <w:lvlJc w:val="left"/>
      <w:pPr>
        <w:ind w:left="425" w:hanging="425"/>
      </w:pPr>
      <w:rPr>
        <w:rFonts w:hint="default"/>
      </w:rPr>
    </w:lvl>
  </w:abstractNum>
  <w:abstractNum w:abstractNumId="13">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4">
    <w:nsid w:val="537D38B0"/>
    <w:multiLevelType w:val="multilevel"/>
    <w:tmpl w:val="537D38B0"/>
    <w:lvl w:ilvl="0" w:tentative="0">
      <w:start w:val="1"/>
      <w:numFmt w:val="bullet"/>
      <w:pStyle w:val="2"/>
      <w:lvlText w:val=""/>
      <w:lvlPicBulletId w:val="0"/>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5">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6">
    <w:nsid w:val="5B812BEF"/>
    <w:multiLevelType w:val="multilevel"/>
    <w:tmpl w:val="5B812BEF"/>
    <w:lvl w:ilvl="0" w:tentative="0">
      <w:start w:val="1"/>
      <w:numFmt w:val="bullet"/>
      <w:pStyle w:val="25"/>
      <w:lvlText w:val=""/>
      <w:lvlPicBulletId w:val="1"/>
      <w:lvlJc w:val="center"/>
      <w:pPr>
        <w:ind w:left="573" w:hanging="420"/>
      </w:pPr>
      <w:rPr>
        <w:rFonts w:hint="default" w:ascii="Symbol" w:hAnsi="Symbol"/>
        <w:color w:val="auto"/>
        <w:sz w:val="20"/>
        <w:szCs w:val="20"/>
      </w:rPr>
    </w:lvl>
    <w:lvl w:ilvl="1" w:tentative="0">
      <w:start w:val="1"/>
      <w:numFmt w:val="bullet"/>
      <w:lvlText w:val=""/>
      <w:lvlJc w:val="left"/>
      <w:pPr>
        <w:ind w:left="993" w:hanging="420"/>
      </w:pPr>
      <w:rPr>
        <w:rFonts w:hint="default" w:ascii="Wingdings" w:hAnsi="Wingdings"/>
      </w:rPr>
    </w:lvl>
    <w:lvl w:ilvl="2" w:tentative="0">
      <w:start w:val="1"/>
      <w:numFmt w:val="bullet"/>
      <w:lvlText w:val=""/>
      <w:lvlJc w:val="left"/>
      <w:pPr>
        <w:ind w:left="1413" w:hanging="420"/>
      </w:pPr>
      <w:rPr>
        <w:rFonts w:hint="default" w:ascii="Wingdings" w:hAnsi="Wingdings"/>
      </w:rPr>
    </w:lvl>
    <w:lvl w:ilvl="3" w:tentative="0">
      <w:start w:val="1"/>
      <w:numFmt w:val="bullet"/>
      <w:lvlText w:val=""/>
      <w:lvlJc w:val="left"/>
      <w:pPr>
        <w:ind w:left="1833" w:hanging="420"/>
      </w:pPr>
      <w:rPr>
        <w:rFonts w:hint="default" w:ascii="Wingdings" w:hAnsi="Wingdings"/>
      </w:rPr>
    </w:lvl>
    <w:lvl w:ilvl="4" w:tentative="0">
      <w:start w:val="1"/>
      <w:numFmt w:val="bullet"/>
      <w:lvlText w:val=""/>
      <w:lvlJc w:val="left"/>
      <w:pPr>
        <w:ind w:left="2253" w:hanging="420"/>
      </w:pPr>
      <w:rPr>
        <w:rFonts w:hint="default" w:ascii="Wingdings" w:hAnsi="Wingdings"/>
      </w:rPr>
    </w:lvl>
    <w:lvl w:ilvl="5" w:tentative="0">
      <w:start w:val="1"/>
      <w:numFmt w:val="bullet"/>
      <w:lvlText w:val=""/>
      <w:lvlJc w:val="left"/>
      <w:pPr>
        <w:ind w:left="2673" w:hanging="420"/>
      </w:pPr>
      <w:rPr>
        <w:rFonts w:hint="default" w:ascii="Wingdings" w:hAnsi="Wingdings"/>
      </w:rPr>
    </w:lvl>
    <w:lvl w:ilvl="6" w:tentative="0">
      <w:start w:val="1"/>
      <w:numFmt w:val="bullet"/>
      <w:lvlText w:val=""/>
      <w:lvlJc w:val="left"/>
      <w:pPr>
        <w:ind w:left="3093" w:hanging="420"/>
      </w:pPr>
      <w:rPr>
        <w:rFonts w:hint="default" w:ascii="Wingdings" w:hAnsi="Wingdings"/>
      </w:rPr>
    </w:lvl>
    <w:lvl w:ilvl="7" w:tentative="0">
      <w:start w:val="1"/>
      <w:numFmt w:val="bullet"/>
      <w:lvlText w:val=""/>
      <w:lvlJc w:val="left"/>
      <w:pPr>
        <w:ind w:left="3513" w:hanging="420"/>
      </w:pPr>
      <w:rPr>
        <w:rFonts w:hint="default" w:ascii="Wingdings" w:hAnsi="Wingdings"/>
      </w:rPr>
    </w:lvl>
    <w:lvl w:ilvl="8" w:tentative="0">
      <w:start w:val="1"/>
      <w:numFmt w:val="bullet"/>
      <w:lvlText w:val=""/>
      <w:lvlJc w:val="left"/>
      <w:pPr>
        <w:ind w:left="3933" w:hanging="420"/>
      </w:pPr>
      <w:rPr>
        <w:rFonts w:hint="default" w:ascii="Wingdings" w:hAnsi="Wingdings"/>
      </w:rPr>
    </w:lvl>
  </w:abstractNum>
  <w:abstractNum w:abstractNumId="17">
    <w:nsid w:val="64416983"/>
    <w:multiLevelType w:val="multilevel"/>
    <w:tmpl w:val="64416983"/>
    <w:lvl w:ilvl="0" w:tentative="0">
      <w:start w:val="1"/>
      <w:numFmt w:val="bullet"/>
      <w:pStyle w:val="3"/>
      <w:lvlText w:val=""/>
      <w:lvlJc w:val="left"/>
      <w:pPr>
        <w:ind w:left="832" w:hanging="420"/>
      </w:pPr>
      <w:rPr>
        <w:rFonts w:hint="default" w:ascii="Wingdings" w:hAnsi="Wingdings"/>
      </w:rPr>
    </w:lvl>
    <w:lvl w:ilvl="1" w:tentative="0">
      <w:start w:val="1"/>
      <w:numFmt w:val="bullet"/>
      <w:lvlText w:val=""/>
      <w:lvlJc w:val="left"/>
      <w:pPr>
        <w:ind w:left="1252" w:hanging="420"/>
      </w:pPr>
      <w:rPr>
        <w:rFonts w:hint="default" w:ascii="Wingdings" w:hAnsi="Wingdings"/>
      </w:rPr>
    </w:lvl>
    <w:lvl w:ilvl="2" w:tentative="0">
      <w:start w:val="1"/>
      <w:numFmt w:val="bullet"/>
      <w:lvlText w:val=""/>
      <w:lvlJc w:val="left"/>
      <w:pPr>
        <w:ind w:left="1672" w:hanging="420"/>
      </w:pPr>
      <w:rPr>
        <w:rFonts w:hint="default" w:ascii="Wingdings" w:hAnsi="Wingdings"/>
      </w:rPr>
    </w:lvl>
    <w:lvl w:ilvl="3" w:tentative="0">
      <w:start w:val="1"/>
      <w:numFmt w:val="bullet"/>
      <w:lvlText w:val=""/>
      <w:lvlJc w:val="left"/>
      <w:pPr>
        <w:ind w:left="2092" w:hanging="420"/>
      </w:pPr>
      <w:rPr>
        <w:rFonts w:hint="default" w:ascii="Wingdings" w:hAnsi="Wingdings"/>
      </w:rPr>
    </w:lvl>
    <w:lvl w:ilvl="4" w:tentative="0">
      <w:start w:val="1"/>
      <w:numFmt w:val="bullet"/>
      <w:lvlText w:val=""/>
      <w:lvlJc w:val="left"/>
      <w:pPr>
        <w:ind w:left="2512" w:hanging="420"/>
      </w:pPr>
      <w:rPr>
        <w:rFonts w:hint="default" w:ascii="Wingdings" w:hAnsi="Wingdings"/>
      </w:rPr>
    </w:lvl>
    <w:lvl w:ilvl="5" w:tentative="0">
      <w:start w:val="1"/>
      <w:numFmt w:val="bullet"/>
      <w:lvlText w:val=""/>
      <w:lvlJc w:val="left"/>
      <w:pPr>
        <w:ind w:left="2932" w:hanging="420"/>
      </w:pPr>
      <w:rPr>
        <w:rFonts w:hint="default" w:ascii="Wingdings" w:hAnsi="Wingdings"/>
      </w:rPr>
    </w:lvl>
    <w:lvl w:ilvl="6" w:tentative="0">
      <w:start w:val="1"/>
      <w:numFmt w:val="bullet"/>
      <w:lvlText w:val=""/>
      <w:lvlJc w:val="left"/>
      <w:pPr>
        <w:ind w:left="3352" w:hanging="420"/>
      </w:pPr>
      <w:rPr>
        <w:rFonts w:hint="default" w:ascii="Wingdings" w:hAnsi="Wingdings"/>
      </w:rPr>
    </w:lvl>
    <w:lvl w:ilvl="7" w:tentative="0">
      <w:start w:val="1"/>
      <w:numFmt w:val="bullet"/>
      <w:lvlText w:val=""/>
      <w:lvlJc w:val="left"/>
      <w:pPr>
        <w:ind w:left="3772" w:hanging="420"/>
      </w:pPr>
      <w:rPr>
        <w:rFonts w:hint="default" w:ascii="Wingdings" w:hAnsi="Wingdings"/>
      </w:rPr>
    </w:lvl>
    <w:lvl w:ilvl="8" w:tentative="0">
      <w:start w:val="1"/>
      <w:numFmt w:val="bullet"/>
      <w:lvlText w:val=""/>
      <w:lvlJc w:val="left"/>
      <w:pPr>
        <w:ind w:left="4192" w:hanging="420"/>
      </w:pPr>
      <w:rPr>
        <w:rFonts w:hint="default" w:ascii="Wingdings" w:hAnsi="Wingdings"/>
      </w:rPr>
    </w:lvl>
  </w:abstractNum>
  <w:num w:numId="1">
    <w:abstractNumId w:val="14"/>
  </w:num>
  <w:num w:numId="2">
    <w:abstractNumId w:val="17"/>
  </w:num>
  <w:num w:numId="3">
    <w:abstractNumId w:val="16"/>
  </w:num>
  <w:num w:numId="4">
    <w:abstractNumId w:val="9"/>
  </w:num>
  <w:num w:numId="5">
    <w:abstractNumId w:val="10"/>
  </w:num>
  <w:num w:numId="6">
    <w:abstractNumId w:val="4"/>
  </w:num>
  <w:num w:numId="7">
    <w:abstractNumId w:val="2"/>
  </w:num>
  <w:num w:numId="8">
    <w:abstractNumId w:val="11"/>
  </w:num>
  <w:num w:numId="9">
    <w:abstractNumId w:val="7"/>
  </w:num>
  <w:num w:numId="10">
    <w:abstractNumId w:val="12"/>
  </w:num>
  <w:num w:numId="11">
    <w:abstractNumId w:val="13"/>
  </w:num>
  <w:num w:numId="12">
    <w:abstractNumId w:val="5"/>
  </w:num>
  <w:num w:numId="13">
    <w:abstractNumId w:val="0"/>
  </w:num>
  <w:num w:numId="14">
    <w:abstractNumId w:val="6"/>
  </w:num>
  <w:num w:numId="15">
    <w:abstractNumId w:val="3"/>
  </w:num>
  <w:num w:numId="16">
    <w:abstractNumId w:val="1"/>
  </w:num>
  <w:num w:numId="17">
    <w:abstractNumId w:val="8"/>
  </w:num>
  <w:num w:numId="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220"/>
  <w:drawingGridVerticalSpacing w:val="99999990"/>
  <w:displayHorizont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hjODRmNWJhZTVkNTI1OGI2YWZlNjVkNDIwMWYwMDkifQ=="/>
  </w:docVars>
  <w:rsids>
    <w:rsidRoot w:val="00172A27"/>
    <w:rsid w:val="000358CD"/>
    <w:rsid w:val="000748DC"/>
    <w:rsid w:val="00081920"/>
    <w:rsid w:val="00095BC0"/>
    <w:rsid w:val="000B5B79"/>
    <w:rsid w:val="000C79AD"/>
    <w:rsid w:val="00154460"/>
    <w:rsid w:val="00172A27"/>
    <w:rsid w:val="002755FA"/>
    <w:rsid w:val="00276CD5"/>
    <w:rsid w:val="002A16C5"/>
    <w:rsid w:val="002E3CD6"/>
    <w:rsid w:val="002E7BF1"/>
    <w:rsid w:val="002F2A39"/>
    <w:rsid w:val="00390458"/>
    <w:rsid w:val="00391615"/>
    <w:rsid w:val="003D2994"/>
    <w:rsid w:val="004802BC"/>
    <w:rsid w:val="004B6099"/>
    <w:rsid w:val="00501F8B"/>
    <w:rsid w:val="0052321F"/>
    <w:rsid w:val="00644BC1"/>
    <w:rsid w:val="006A31A2"/>
    <w:rsid w:val="007010EF"/>
    <w:rsid w:val="007E782E"/>
    <w:rsid w:val="008B2982"/>
    <w:rsid w:val="00907638"/>
    <w:rsid w:val="00971A5F"/>
    <w:rsid w:val="009B46E2"/>
    <w:rsid w:val="009C044B"/>
    <w:rsid w:val="00A0169B"/>
    <w:rsid w:val="00AA4F7E"/>
    <w:rsid w:val="00AB6E82"/>
    <w:rsid w:val="00AE5DB4"/>
    <w:rsid w:val="00B01B75"/>
    <w:rsid w:val="00C31515"/>
    <w:rsid w:val="00D2107B"/>
    <w:rsid w:val="00D22BB0"/>
    <w:rsid w:val="00D31FCB"/>
    <w:rsid w:val="00D40855"/>
    <w:rsid w:val="00D730DF"/>
    <w:rsid w:val="00D958FA"/>
    <w:rsid w:val="00DA2F2F"/>
    <w:rsid w:val="00E31BA8"/>
    <w:rsid w:val="00ED12E7"/>
    <w:rsid w:val="00F25C1E"/>
    <w:rsid w:val="00F678D5"/>
    <w:rsid w:val="00FF7BB1"/>
    <w:rsid w:val="0118297B"/>
    <w:rsid w:val="011A030A"/>
    <w:rsid w:val="011A0D8B"/>
    <w:rsid w:val="011F6134"/>
    <w:rsid w:val="016F36A8"/>
    <w:rsid w:val="01804A82"/>
    <w:rsid w:val="01A0337A"/>
    <w:rsid w:val="01F64392"/>
    <w:rsid w:val="022D1058"/>
    <w:rsid w:val="027E6788"/>
    <w:rsid w:val="02862F02"/>
    <w:rsid w:val="02CA5230"/>
    <w:rsid w:val="02F30B8B"/>
    <w:rsid w:val="031B6FF1"/>
    <w:rsid w:val="0353587A"/>
    <w:rsid w:val="038726D8"/>
    <w:rsid w:val="03B664E0"/>
    <w:rsid w:val="03E921F1"/>
    <w:rsid w:val="04791D69"/>
    <w:rsid w:val="04871837"/>
    <w:rsid w:val="04A167FA"/>
    <w:rsid w:val="04C17114"/>
    <w:rsid w:val="0500466C"/>
    <w:rsid w:val="05815BFE"/>
    <w:rsid w:val="05887898"/>
    <w:rsid w:val="05CD5269"/>
    <w:rsid w:val="05D63B33"/>
    <w:rsid w:val="05DD3D0D"/>
    <w:rsid w:val="06A61E8D"/>
    <w:rsid w:val="06E36A2C"/>
    <w:rsid w:val="06EB7F4D"/>
    <w:rsid w:val="074043CC"/>
    <w:rsid w:val="07481B68"/>
    <w:rsid w:val="077E3478"/>
    <w:rsid w:val="07AB34E7"/>
    <w:rsid w:val="07CC37A4"/>
    <w:rsid w:val="07D36A00"/>
    <w:rsid w:val="07DB59EB"/>
    <w:rsid w:val="083F50A2"/>
    <w:rsid w:val="088D7FF0"/>
    <w:rsid w:val="090834C0"/>
    <w:rsid w:val="093911AF"/>
    <w:rsid w:val="09705B33"/>
    <w:rsid w:val="0A043ABA"/>
    <w:rsid w:val="0A4F2135"/>
    <w:rsid w:val="0A757891"/>
    <w:rsid w:val="0AC6364F"/>
    <w:rsid w:val="0ADA7F11"/>
    <w:rsid w:val="0AEC09F3"/>
    <w:rsid w:val="0B38319D"/>
    <w:rsid w:val="0BEA7418"/>
    <w:rsid w:val="0BF52796"/>
    <w:rsid w:val="0BFA53FB"/>
    <w:rsid w:val="0C0E75ED"/>
    <w:rsid w:val="0C1768CC"/>
    <w:rsid w:val="0C220DA0"/>
    <w:rsid w:val="0C3A0C95"/>
    <w:rsid w:val="0C3E5385"/>
    <w:rsid w:val="0C96240B"/>
    <w:rsid w:val="0CA77597"/>
    <w:rsid w:val="0CBE7A38"/>
    <w:rsid w:val="0CC26BD0"/>
    <w:rsid w:val="0D055CE8"/>
    <w:rsid w:val="0D6D3458"/>
    <w:rsid w:val="0D9819F1"/>
    <w:rsid w:val="0E11445D"/>
    <w:rsid w:val="0E372F34"/>
    <w:rsid w:val="0E3966AF"/>
    <w:rsid w:val="0E542351"/>
    <w:rsid w:val="0E632099"/>
    <w:rsid w:val="0EBF2A43"/>
    <w:rsid w:val="0EC91129"/>
    <w:rsid w:val="0ED843CC"/>
    <w:rsid w:val="0EF32D57"/>
    <w:rsid w:val="0F79527D"/>
    <w:rsid w:val="0F890797"/>
    <w:rsid w:val="0FB9297A"/>
    <w:rsid w:val="0FE54E7B"/>
    <w:rsid w:val="0FEF6595"/>
    <w:rsid w:val="102F1EF4"/>
    <w:rsid w:val="10393EFC"/>
    <w:rsid w:val="1049345A"/>
    <w:rsid w:val="108C6184"/>
    <w:rsid w:val="10A519AE"/>
    <w:rsid w:val="10BE0EDD"/>
    <w:rsid w:val="10D10E21"/>
    <w:rsid w:val="110D3F98"/>
    <w:rsid w:val="11904838"/>
    <w:rsid w:val="11E35EA1"/>
    <w:rsid w:val="126971EB"/>
    <w:rsid w:val="12850E64"/>
    <w:rsid w:val="12963DA1"/>
    <w:rsid w:val="12980E67"/>
    <w:rsid w:val="12F372F0"/>
    <w:rsid w:val="132612E4"/>
    <w:rsid w:val="13897526"/>
    <w:rsid w:val="13AB527B"/>
    <w:rsid w:val="14194ACE"/>
    <w:rsid w:val="144A106E"/>
    <w:rsid w:val="147F528E"/>
    <w:rsid w:val="14872247"/>
    <w:rsid w:val="148972D9"/>
    <w:rsid w:val="149B7751"/>
    <w:rsid w:val="14C82A00"/>
    <w:rsid w:val="14E343DA"/>
    <w:rsid w:val="14E50274"/>
    <w:rsid w:val="150E31A1"/>
    <w:rsid w:val="15196B67"/>
    <w:rsid w:val="1524470F"/>
    <w:rsid w:val="152E3223"/>
    <w:rsid w:val="153F7D0D"/>
    <w:rsid w:val="15D73C77"/>
    <w:rsid w:val="162C07EF"/>
    <w:rsid w:val="165063E4"/>
    <w:rsid w:val="167138E8"/>
    <w:rsid w:val="16870F53"/>
    <w:rsid w:val="16A90098"/>
    <w:rsid w:val="16BD5BE8"/>
    <w:rsid w:val="16E67B0D"/>
    <w:rsid w:val="16F32DF9"/>
    <w:rsid w:val="179E5A16"/>
    <w:rsid w:val="17DA52FE"/>
    <w:rsid w:val="17EF172D"/>
    <w:rsid w:val="182E68FA"/>
    <w:rsid w:val="18361E85"/>
    <w:rsid w:val="184F5A03"/>
    <w:rsid w:val="18780FC6"/>
    <w:rsid w:val="188B1EE6"/>
    <w:rsid w:val="188E10A8"/>
    <w:rsid w:val="1892589E"/>
    <w:rsid w:val="18E1293A"/>
    <w:rsid w:val="19371A3D"/>
    <w:rsid w:val="19437087"/>
    <w:rsid w:val="199369D8"/>
    <w:rsid w:val="199B3480"/>
    <w:rsid w:val="1A0652E5"/>
    <w:rsid w:val="1A2F3664"/>
    <w:rsid w:val="1ABF3777"/>
    <w:rsid w:val="1B28649B"/>
    <w:rsid w:val="1B570F0A"/>
    <w:rsid w:val="1B873036"/>
    <w:rsid w:val="1BA36B7F"/>
    <w:rsid w:val="1BAD3E87"/>
    <w:rsid w:val="1C7A05D0"/>
    <w:rsid w:val="1C98707F"/>
    <w:rsid w:val="1CAC68FF"/>
    <w:rsid w:val="1CCD19AC"/>
    <w:rsid w:val="1CFB3D7D"/>
    <w:rsid w:val="1D0B7646"/>
    <w:rsid w:val="1D103BE7"/>
    <w:rsid w:val="1D6364E6"/>
    <w:rsid w:val="1DA50243"/>
    <w:rsid w:val="1DCA3D4B"/>
    <w:rsid w:val="1E4A0C65"/>
    <w:rsid w:val="1E582334"/>
    <w:rsid w:val="1E5A1AD5"/>
    <w:rsid w:val="1E6A4318"/>
    <w:rsid w:val="1E7104EE"/>
    <w:rsid w:val="1E750919"/>
    <w:rsid w:val="1EA92622"/>
    <w:rsid w:val="1EAB0C6A"/>
    <w:rsid w:val="1EAF2912"/>
    <w:rsid w:val="1EBB7039"/>
    <w:rsid w:val="1EEB2832"/>
    <w:rsid w:val="1F2B7CAE"/>
    <w:rsid w:val="1F68534E"/>
    <w:rsid w:val="1FA21F33"/>
    <w:rsid w:val="20205A20"/>
    <w:rsid w:val="20370A70"/>
    <w:rsid w:val="207C6453"/>
    <w:rsid w:val="20855B55"/>
    <w:rsid w:val="209432E5"/>
    <w:rsid w:val="20C205EB"/>
    <w:rsid w:val="21641D42"/>
    <w:rsid w:val="216A3F09"/>
    <w:rsid w:val="216F18A9"/>
    <w:rsid w:val="21D55A39"/>
    <w:rsid w:val="220A4AC0"/>
    <w:rsid w:val="22180203"/>
    <w:rsid w:val="224277B4"/>
    <w:rsid w:val="22454C0A"/>
    <w:rsid w:val="22846473"/>
    <w:rsid w:val="22AA7C62"/>
    <w:rsid w:val="22DD5BDB"/>
    <w:rsid w:val="2322058C"/>
    <w:rsid w:val="235C2C2A"/>
    <w:rsid w:val="23DC4798"/>
    <w:rsid w:val="23FF1819"/>
    <w:rsid w:val="244F76B4"/>
    <w:rsid w:val="245E0E58"/>
    <w:rsid w:val="24897AEF"/>
    <w:rsid w:val="24F07785"/>
    <w:rsid w:val="24F86B97"/>
    <w:rsid w:val="253036C5"/>
    <w:rsid w:val="25423757"/>
    <w:rsid w:val="256C4478"/>
    <w:rsid w:val="259579AF"/>
    <w:rsid w:val="25E953C1"/>
    <w:rsid w:val="25F63B64"/>
    <w:rsid w:val="25FE0597"/>
    <w:rsid w:val="262A4A65"/>
    <w:rsid w:val="268C673B"/>
    <w:rsid w:val="26976104"/>
    <w:rsid w:val="271A3FF4"/>
    <w:rsid w:val="271C165B"/>
    <w:rsid w:val="276D638F"/>
    <w:rsid w:val="27870460"/>
    <w:rsid w:val="27F72D7E"/>
    <w:rsid w:val="28B74238"/>
    <w:rsid w:val="28B83CA7"/>
    <w:rsid w:val="28E502F9"/>
    <w:rsid w:val="28E9374F"/>
    <w:rsid w:val="29363F06"/>
    <w:rsid w:val="29436AB0"/>
    <w:rsid w:val="296F5B95"/>
    <w:rsid w:val="29AC777C"/>
    <w:rsid w:val="29D4519C"/>
    <w:rsid w:val="29DE0525"/>
    <w:rsid w:val="29EF70C8"/>
    <w:rsid w:val="2A221D03"/>
    <w:rsid w:val="2A3716AB"/>
    <w:rsid w:val="2A902B0F"/>
    <w:rsid w:val="2ADE2A02"/>
    <w:rsid w:val="2B3B4C50"/>
    <w:rsid w:val="2B485DBB"/>
    <w:rsid w:val="2B692B05"/>
    <w:rsid w:val="2B69347C"/>
    <w:rsid w:val="2B8C0A94"/>
    <w:rsid w:val="2B966A97"/>
    <w:rsid w:val="2BDE1876"/>
    <w:rsid w:val="2C165FD1"/>
    <w:rsid w:val="2C427C83"/>
    <w:rsid w:val="2C580EC7"/>
    <w:rsid w:val="2C66290D"/>
    <w:rsid w:val="2C78619D"/>
    <w:rsid w:val="2D6A01DB"/>
    <w:rsid w:val="2D9226CB"/>
    <w:rsid w:val="2DAD2E9F"/>
    <w:rsid w:val="2E0C0EE9"/>
    <w:rsid w:val="2E3D6CA4"/>
    <w:rsid w:val="2E7C3545"/>
    <w:rsid w:val="2E9F5127"/>
    <w:rsid w:val="2EB35A8A"/>
    <w:rsid w:val="2EC24816"/>
    <w:rsid w:val="2F28730D"/>
    <w:rsid w:val="2F3A096F"/>
    <w:rsid w:val="2F5A19B4"/>
    <w:rsid w:val="2F6046E7"/>
    <w:rsid w:val="2F640D0B"/>
    <w:rsid w:val="2F7707C9"/>
    <w:rsid w:val="2F803098"/>
    <w:rsid w:val="2F8D7DD7"/>
    <w:rsid w:val="2FAC5A0D"/>
    <w:rsid w:val="30104E20"/>
    <w:rsid w:val="30191A45"/>
    <w:rsid w:val="304862D7"/>
    <w:rsid w:val="30854711"/>
    <w:rsid w:val="30C51137"/>
    <w:rsid w:val="30DA24F1"/>
    <w:rsid w:val="310959FE"/>
    <w:rsid w:val="3109732A"/>
    <w:rsid w:val="315E5833"/>
    <w:rsid w:val="319E2D8B"/>
    <w:rsid w:val="32080EDC"/>
    <w:rsid w:val="328D69DF"/>
    <w:rsid w:val="32AB7EAB"/>
    <w:rsid w:val="32B71D27"/>
    <w:rsid w:val="32DA0176"/>
    <w:rsid w:val="32DE07F1"/>
    <w:rsid w:val="32FB205F"/>
    <w:rsid w:val="333113A7"/>
    <w:rsid w:val="33323300"/>
    <w:rsid w:val="33505C7F"/>
    <w:rsid w:val="338527AA"/>
    <w:rsid w:val="33A83053"/>
    <w:rsid w:val="33AE0711"/>
    <w:rsid w:val="33DA2A35"/>
    <w:rsid w:val="34777EA9"/>
    <w:rsid w:val="347E1FD2"/>
    <w:rsid w:val="348573AD"/>
    <w:rsid w:val="349637C5"/>
    <w:rsid w:val="34FB7939"/>
    <w:rsid w:val="352C7928"/>
    <w:rsid w:val="357E5409"/>
    <w:rsid w:val="35945D5F"/>
    <w:rsid w:val="359E50F0"/>
    <w:rsid w:val="35B3556B"/>
    <w:rsid w:val="35C10B61"/>
    <w:rsid w:val="35F5325E"/>
    <w:rsid w:val="360630CA"/>
    <w:rsid w:val="360A76FC"/>
    <w:rsid w:val="366A08A1"/>
    <w:rsid w:val="36F65934"/>
    <w:rsid w:val="371E73E3"/>
    <w:rsid w:val="375D4225"/>
    <w:rsid w:val="376B45FB"/>
    <w:rsid w:val="376D57DD"/>
    <w:rsid w:val="37E81DE8"/>
    <w:rsid w:val="37F204E2"/>
    <w:rsid w:val="38275D59"/>
    <w:rsid w:val="3848012E"/>
    <w:rsid w:val="38F86950"/>
    <w:rsid w:val="39525C52"/>
    <w:rsid w:val="3956425B"/>
    <w:rsid w:val="39A25744"/>
    <w:rsid w:val="39A64D30"/>
    <w:rsid w:val="3A120448"/>
    <w:rsid w:val="3A202424"/>
    <w:rsid w:val="3AD15273"/>
    <w:rsid w:val="3AF45BE0"/>
    <w:rsid w:val="3AF460F5"/>
    <w:rsid w:val="3B6141E8"/>
    <w:rsid w:val="3B721C7C"/>
    <w:rsid w:val="3BEA5380"/>
    <w:rsid w:val="3C1C076F"/>
    <w:rsid w:val="3C3F24CA"/>
    <w:rsid w:val="3C5D7D9D"/>
    <w:rsid w:val="3CF24C00"/>
    <w:rsid w:val="3D1C54C3"/>
    <w:rsid w:val="3D4A1846"/>
    <w:rsid w:val="3D6C60E9"/>
    <w:rsid w:val="3D855C98"/>
    <w:rsid w:val="3E0063C6"/>
    <w:rsid w:val="3E2570E8"/>
    <w:rsid w:val="3EC949BD"/>
    <w:rsid w:val="3F1D1FAD"/>
    <w:rsid w:val="3F283036"/>
    <w:rsid w:val="3F3917BB"/>
    <w:rsid w:val="3F453F96"/>
    <w:rsid w:val="3F5838EC"/>
    <w:rsid w:val="3F9758B1"/>
    <w:rsid w:val="3FCB42E0"/>
    <w:rsid w:val="3FF2193A"/>
    <w:rsid w:val="4036712A"/>
    <w:rsid w:val="404B0950"/>
    <w:rsid w:val="404F2B17"/>
    <w:rsid w:val="405979F4"/>
    <w:rsid w:val="40895D14"/>
    <w:rsid w:val="40AE34F0"/>
    <w:rsid w:val="40BA2B58"/>
    <w:rsid w:val="41C73588"/>
    <w:rsid w:val="41DE4F09"/>
    <w:rsid w:val="41EC43CC"/>
    <w:rsid w:val="41FF695D"/>
    <w:rsid w:val="42232AD7"/>
    <w:rsid w:val="423D414E"/>
    <w:rsid w:val="42642ED6"/>
    <w:rsid w:val="42856A71"/>
    <w:rsid w:val="42967F6B"/>
    <w:rsid w:val="42D665BD"/>
    <w:rsid w:val="43184C21"/>
    <w:rsid w:val="431B75AC"/>
    <w:rsid w:val="4327476D"/>
    <w:rsid w:val="4363766A"/>
    <w:rsid w:val="43821027"/>
    <w:rsid w:val="438F1360"/>
    <w:rsid w:val="43E64048"/>
    <w:rsid w:val="44586C3C"/>
    <w:rsid w:val="44636E08"/>
    <w:rsid w:val="44F82AA3"/>
    <w:rsid w:val="452112A4"/>
    <w:rsid w:val="454A2BAB"/>
    <w:rsid w:val="456D58BF"/>
    <w:rsid w:val="459308E1"/>
    <w:rsid w:val="45A93012"/>
    <w:rsid w:val="45D4644E"/>
    <w:rsid w:val="462560A1"/>
    <w:rsid w:val="467E0A90"/>
    <w:rsid w:val="46B72EB2"/>
    <w:rsid w:val="46CE379B"/>
    <w:rsid w:val="46E84813"/>
    <w:rsid w:val="46EF5374"/>
    <w:rsid w:val="46F917F3"/>
    <w:rsid w:val="47040901"/>
    <w:rsid w:val="47172C63"/>
    <w:rsid w:val="47711FF7"/>
    <w:rsid w:val="47B56EA9"/>
    <w:rsid w:val="47D90335"/>
    <w:rsid w:val="48031777"/>
    <w:rsid w:val="482079BC"/>
    <w:rsid w:val="483045AC"/>
    <w:rsid w:val="48732DFA"/>
    <w:rsid w:val="48F33103"/>
    <w:rsid w:val="494527BF"/>
    <w:rsid w:val="499905F3"/>
    <w:rsid w:val="499E6F1D"/>
    <w:rsid w:val="49C56F37"/>
    <w:rsid w:val="4A1A1AFC"/>
    <w:rsid w:val="4A1C7F69"/>
    <w:rsid w:val="4A4A7BE5"/>
    <w:rsid w:val="4A693618"/>
    <w:rsid w:val="4A83553B"/>
    <w:rsid w:val="4B1B1DEF"/>
    <w:rsid w:val="4B2070F8"/>
    <w:rsid w:val="4B313C34"/>
    <w:rsid w:val="4B315A79"/>
    <w:rsid w:val="4B670988"/>
    <w:rsid w:val="4B673F34"/>
    <w:rsid w:val="4B6F1602"/>
    <w:rsid w:val="4B8A014A"/>
    <w:rsid w:val="4BC14EAA"/>
    <w:rsid w:val="4C050246"/>
    <w:rsid w:val="4C0F23A4"/>
    <w:rsid w:val="4C120763"/>
    <w:rsid w:val="4C6263AC"/>
    <w:rsid w:val="4CC874A2"/>
    <w:rsid w:val="4D6A309D"/>
    <w:rsid w:val="4D9E31C3"/>
    <w:rsid w:val="4DB223F7"/>
    <w:rsid w:val="4DB6655A"/>
    <w:rsid w:val="4DC108F4"/>
    <w:rsid w:val="4DF0484B"/>
    <w:rsid w:val="4E0176F5"/>
    <w:rsid w:val="4E1B37B3"/>
    <w:rsid w:val="4E414BB2"/>
    <w:rsid w:val="4E7E4296"/>
    <w:rsid w:val="4E803067"/>
    <w:rsid w:val="4ED24E8A"/>
    <w:rsid w:val="4ED75229"/>
    <w:rsid w:val="4F08489B"/>
    <w:rsid w:val="4F2C4F1E"/>
    <w:rsid w:val="4F5624CB"/>
    <w:rsid w:val="4F6D662C"/>
    <w:rsid w:val="4FB37368"/>
    <w:rsid w:val="4FB467F9"/>
    <w:rsid w:val="4FD02F65"/>
    <w:rsid w:val="4FD317B8"/>
    <w:rsid w:val="50425D9B"/>
    <w:rsid w:val="5043424D"/>
    <w:rsid w:val="510D07DF"/>
    <w:rsid w:val="512D6C02"/>
    <w:rsid w:val="51990092"/>
    <w:rsid w:val="519B28E7"/>
    <w:rsid w:val="51BA31FB"/>
    <w:rsid w:val="521C53AA"/>
    <w:rsid w:val="52832C8D"/>
    <w:rsid w:val="52AC1B52"/>
    <w:rsid w:val="52DB3A4A"/>
    <w:rsid w:val="52E57CC3"/>
    <w:rsid w:val="53061C45"/>
    <w:rsid w:val="5312550A"/>
    <w:rsid w:val="538B4DE8"/>
    <w:rsid w:val="53C64201"/>
    <w:rsid w:val="53DE69BF"/>
    <w:rsid w:val="541E45C6"/>
    <w:rsid w:val="543A3BB4"/>
    <w:rsid w:val="54D723E8"/>
    <w:rsid w:val="54EB7031"/>
    <w:rsid w:val="550721D5"/>
    <w:rsid w:val="551D0BF2"/>
    <w:rsid w:val="55234EBA"/>
    <w:rsid w:val="55A47060"/>
    <w:rsid w:val="55AC636A"/>
    <w:rsid w:val="55BD4114"/>
    <w:rsid w:val="55C15CC7"/>
    <w:rsid w:val="55C94E58"/>
    <w:rsid w:val="55D553DE"/>
    <w:rsid w:val="55EB6C18"/>
    <w:rsid w:val="563648E8"/>
    <w:rsid w:val="56A650A5"/>
    <w:rsid w:val="56B62362"/>
    <w:rsid w:val="56B967C0"/>
    <w:rsid w:val="56BE67A9"/>
    <w:rsid w:val="56E66E44"/>
    <w:rsid w:val="56EE7782"/>
    <w:rsid w:val="56FB5DFE"/>
    <w:rsid w:val="57550496"/>
    <w:rsid w:val="576B0D91"/>
    <w:rsid w:val="57830686"/>
    <w:rsid w:val="57C96345"/>
    <w:rsid w:val="57D17697"/>
    <w:rsid w:val="57D92384"/>
    <w:rsid w:val="57E06FC5"/>
    <w:rsid w:val="57EB60A6"/>
    <w:rsid w:val="57FC198F"/>
    <w:rsid w:val="58020827"/>
    <w:rsid w:val="581808D2"/>
    <w:rsid w:val="588E3A11"/>
    <w:rsid w:val="58941028"/>
    <w:rsid w:val="58A44110"/>
    <w:rsid w:val="58DE21CC"/>
    <w:rsid w:val="5927169E"/>
    <w:rsid w:val="59531B7C"/>
    <w:rsid w:val="5973475B"/>
    <w:rsid w:val="59C01C6B"/>
    <w:rsid w:val="59CA3C2C"/>
    <w:rsid w:val="5AAC561D"/>
    <w:rsid w:val="5B2616E5"/>
    <w:rsid w:val="5B313FD1"/>
    <w:rsid w:val="5B3A4C3E"/>
    <w:rsid w:val="5B3F2EF0"/>
    <w:rsid w:val="5B491B7A"/>
    <w:rsid w:val="5B525C87"/>
    <w:rsid w:val="5B837B62"/>
    <w:rsid w:val="5B884B96"/>
    <w:rsid w:val="5B9A14F1"/>
    <w:rsid w:val="5B9E0ECC"/>
    <w:rsid w:val="5BF93517"/>
    <w:rsid w:val="5C2643D5"/>
    <w:rsid w:val="5CE95E81"/>
    <w:rsid w:val="5CEB3254"/>
    <w:rsid w:val="5D090FC9"/>
    <w:rsid w:val="5D0F6A83"/>
    <w:rsid w:val="5D480F4A"/>
    <w:rsid w:val="5D505AC6"/>
    <w:rsid w:val="5D6408FA"/>
    <w:rsid w:val="5D7217AC"/>
    <w:rsid w:val="5DB96B24"/>
    <w:rsid w:val="5E3E7A5F"/>
    <w:rsid w:val="5EA008A2"/>
    <w:rsid w:val="5EF27739"/>
    <w:rsid w:val="5F2053F5"/>
    <w:rsid w:val="5F992653"/>
    <w:rsid w:val="5FA2526B"/>
    <w:rsid w:val="5FAA3C47"/>
    <w:rsid w:val="5FC11647"/>
    <w:rsid w:val="5FF61953"/>
    <w:rsid w:val="600E54F4"/>
    <w:rsid w:val="604157B4"/>
    <w:rsid w:val="607B75C7"/>
    <w:rsid w:val="60A827A3"/>
    <w:rsid w:val="60D51A59"/>
    <w:rsid w:val="60E82224"/>
    <w:rsid w:val="60F575C1"/>
    <w:rsid w:val="61147D5F"/>
    <w:rsid w:val="61220EC7"/>
    <w:rsid w:val="61B17DFE"/>
    <w:rsid w:val="626A0523"/>
    <w:rsid w:val="62847EA7"/>
    <w:rsid w:val="62DB637F"/>
    <w:rsid w:val="62FA10BA"/>
    <w:rsid w:val="62FD5017"/>
    <w:rsid w:val="63296CF6"/>
    <w:rsid w:val="63532130"/>
    <w:rsid w:val="636504FC"/>
    <w:rsid w:val="63CB5BE6"/>
    <w:rsid w:val="63D615FE"/>
    <w:rsid w:val="640B7333"/>
    <w:rsid w:val="64137DD0"/>
    <w:rsid w:val="644C27A0"/>
    <w:rsid w:val="6469117D"/>
    <w:rsid w:val="64871562"/>
    <w:rsid w:val="64E42211"/>
    <w:rsid w:val="64EA7FB1"/>
    <w:rsid w:val="64EC6C5A"/>
    <w:rsid w:val="64FC2EB2"/>
    <w:rsid w:val="653D7AF3"/>
    <w:rsid w:val="65454DAD"/>
    <w:rsid w:val="657B0A8B"/>
    <w:rsid w:val="659B1C8E"/>
    <w:rsid w:val="65B119A5"/>
    <w:rsid w:val="65CE7A2A"/>
    <w:rsid w:val="65F916BF"/>
    <w:rsid w:val="6622535F"/>
    <w:rsid w:val="66565CBE"/>
    <w:rsid w:val="66A12CC1"/>
    <w:rsid w:val="66EA1469"/>
    <w:rsid w:val="670E76D1"/>
    <w:rsid w:val="67574E33"/>
    <w:rsid w:val="67643342"/>
    <w:rsid w:val="67744584"/>
    <w:rsid w:val="67745B77"/>
    <w:rsid w:val="67C863EC"/>
    <w:rsid w:val="67D77C44"/>
    <w:rsid w:val="68645048"/>
    <w:rsid w:val="68816D21"/>
    <w:rsid w:val="6882763F"/>
    <w:rsid w:val="6884648C"/>
    <w:rsid w:val="690459DC"/>
    <w:rsid w:val="690B7AFD"/>
    <w:rsid w:val="693A3685"/>
    <w:rsid w:val="695140AB"/>
    <w:rsid w:val="69543567"/>
    <w:rsid w:val="69B036CF"/>
    <w:rsid w:val="69BE7BAE"/>
    <w:rsid w:val="6A180980"/>
    <w:rsid w:val="6A47420B"/>
    <w:rsid w:val="6A6D318E"/>
    <w:rsid w:val="6A90444F"/>
    <w:rsid w:val="6A930078"/>
    <w:rsid w:val="6AB63A2C"/>
    <w:rsid w:val="6AFC4C50"/>
    <w:rsid w:val="6AFF6DD9"/>
    <w:rsid w:val="6B2031BA"/>
    <w:rsid w:val="6B29648C"/>
    <w:rsid w:val="6B3034CF"/>
    <w:rsid w:val="6B6721F6"/>
    <w:rsid w:val="6B713444"/>
    <w:rsid w:val="6B7A60D6"/>
    <w:rsid w:val="6B8620A1"/>
    <w:rsid w:val="6B9F6D44"/>
    <w:rsid w:val="6BF84B64"/>
    <w:rsid w:val="6C0C59DE"/>
    <w:rsid w:val="6C203A9A"/>
    <w:rsid w:val="6C385BB0"/>
    <w:rsid w:val="6CA6506C"/>
    <w:rsid w:val="6CA77F53"/>
    <w:rsid w:val="6CB75CCD"/>
    <w:rsid w:val="6D1B10DC"/>
    <w:rsid w:val="6D2D26D4"/>
    <w:rsid w:val="6D3769F7"/>
    <w:rsid w:val="6D6F7597"/>
    <w:rsid w:val="6D8E489E"/>
    <w:rsid w:val="6DCC6B38"/>
    <w:rsid w:val="6E1357D6"/>
    <w:rsid w:val="6E5F5ACC"/>
    <w:rsid w:val="6E9303C1"/>
    <w:rsid w:val="6EC55FDD"/>
    <w:rsid w:val="6ECF03D4"/>
    <w:rsid w:val="6EEA4B30"/>
    <w:rsid w:val="6EEB1850"/>
    <w:rsid w:val="6EEB4762"/>
    <w:rsid w:val="6F0F0B4B"/>
    <w:rsid w:val="6F1D62F1"/>
    <w:rsid w:val="6F1E7DFE"/>
    <w:rsid w:val="6F7A3C37"/>
    <w:rsid w:val="6FC02C16"/>
    <w:rsid w:val="6FEC219A"/>
    <w:rsid w:val="6FF6475E"/>
    <w:rsid w:val="70184EA3"/>
    <w:rsid w:val="702E0619"/>
    <w:rsid w:val="706C77C5"/>
    <w:rsid w:val="70B2175C"/>
    <w:rsid w:val="70CB53E1"/>
    <w:rsid w:val="70E45041"/>
    <w:rsid w:val="714E12CF"/>
    <w:rsid w:val="7164564C"/>
    <w:rsid w:val="71B539DE"/>
    <w:rsid w:val="71EB057A"/>
    <w:rsid w:val="7209016D"/>
    <w:rsid w:val="7259341C"/>
    <w:rsid w:val="727805D7"/>
    <w:rsid w:val="728B00C1"/>
    <w:rsid w:val="73214E54"/>
    <w:rsid w:val="7326373D"/>
    <w:rsid w:val="732775A1"/>
    <w:rsid w:val="732B72FB"/>
    <w:rsid w:val="733E3EC7"/>
    <w:rsid w:val="734521A8"/>
    <w:rsid w:val="73707E67"/>
    <w:rsid w:val="73BA58EC"/>
    <w:rsid w:val="73CA7D44"/>
    <w:rsid w:val="741F0C23"/>
    <w:rsid w:val="74216CE6"/>
    <w:rsid w:val="743439CA"/>
    <w:rsid w:val="744F2EC1"/>
    <w:rsid w:val="74687938"/>
    <w:rsid w:val="748F3308"/>
    <w:rsid w:val="74BC7F66"/>
    <w:rsid w:val="74DD127A"/>
    <w:rsid w:val="74DD501D"/>
    <w:rsid w:val="754B1A74"/>
    <w:rsid w:val="75686B98"/>
    <w:rsid w:val="75ED3955"/>
    <w:rsid w:val="7677072C"/>
    <w:rsid w:val="76A00464"/>
    <w:rsid w:val="76A021B3"/>
    <w:rsid w:val="76B664D7"/>
    <w:rsid w:val="76E33575"/>
    <w:rsid w:val="76EB2B73"/>
    <w:rsid w:val="76F275C9"/>
    <w:rsid w:val="770B0914"/>
    <w:rsid w:val="77A33591"/>
    <w:rsid w:val="77D16924"/>
    <w:rsid w:val="7806195D"/>
    <w:rsid w:val="782C2784"/>
    <w:rsid w:val="78326601"/>
    <w:rsid w:val="78430D47"/>
    <w:rsid w:val="78C150E4"/>
    <w:rsid w:val="78E10822"/>
    <w:rsid w:val="79276A37"/>
    <w:rsid w:val="794B45F4"/>
    <w:rsid w:val="797F7147"/>
    <w:rsid w:val="79BE2A91"/>
    <w:rsid w:val="79D03DC8"/>
    <w:rsid w:val="79FE23AA"/>
    <w:rsid w:val="7A182BA1"/>
    <w:rsid w:val="7A2114BD"/>
    <w:rsid w:val="7A5955DE"/>
    <w:rsid w:val="7A992CC0"/>
    <w:rsid w:val="7B0C22E2"/>
    <w:rsid w:val="7B3A50B0"/>
    <w:rsid w:val="7B7A2758"/>
    <w:rsid w:val="7B8B2C1D"/>
    <w:rsid w:val="7B987AEA"/>
    <w:rsid w:val="7BCA3B47"/>
    <w:rsid w:val="7BD020E4"/>
    <w:rsid w:val="7BFF63DE"/>
    <w:rsid w:val="7C01614C"/>
    <w:rsid w:val="7C046E24"/>
    <w:rsid w:val="7C21353E"/>
    <w:rsid w:val="7C3403C9"/>
    <w:rsid w:val="7C6A1EB0"/>
    <w:rsid w:val="7C966576"/>
    <w:rsid w:val="7CE26B32"/>
    <w:rsid w:val="7CE64909"/>
    <w:rsid w:val="7D4E0C16"/>
    <w:rsid w:val="7D793C28"/>
    <w:rsid w:val="7D8C0F6F"/>
    <w:rsid w:val="7DD60F10"/>
    <w:rsid w:val="7E096CA7"/>
    <w:rsid w:val="7E6009A4"/>
    <w:rsid w:val="7F143965"/>
    <w:rsid w:val="7F6A5445"/>
    <w:rsid w:val="7F704289"/>
    <w:rsid w:val="7F9F0756"/>
    <w:rsid w:val="7FA75C20"/>
    <w:rsid w:val="7FCF6FF7"/>
    <w:rsid w:val="7FE302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pPr>
    <w:rPr>
      <w:rFonts w:ascii="宋体" w:hAnsi="宋体" w:eastAsia="宋体" w:cs="宋体"/>
      <w:sz w:val="22"/>
      <w:szCs w:val="22"/>
      <w:lang w:val="en-US" w:eastAsia="en-US" w:bidi="ar-SA"/>
    </w:rPr>
  </w:style>
  <w:style w:type="paragraph" w:styleId="2">
    <w:name w:val="heading 1"/>
    <w:basedOn w:val="1"/>
    <w:next w:val="1"/>
    <w:link w:val="36"/>
    <w:autoRedefine/>
    <w:qFormat/>
    <w:uiPriority w:val="1"/>
    <w:pPr>
      <w:numPr>
        <w:ilvl w:val="0"/>
        <w:numId w:val="1"/>
      </w:numPr>
      <w:jc w:val="center"/>
      <w:outlineLvl w:val="0"/>
    </w:pPr>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paragraph" w:styleId="3">
    <w:name w:val="heading 2"/>
    <w:basedOn w:val="1"/>
    <w:next w:val="1"/>
    <w:link w:val="37"/>
    <w:autoRedefine/>
    <w:qFormat/>
    <w:uiPriority w:val="1"/>
    <w:pPr>
      <w:numPr>
        <w:ilvl w:val="0"/>
        <w:numId w:val="2"/>
      </w:numPr>
      <w:jc w:val="center"/>
      <w:outlineLvl w:val="1"/>
    </w:pPr>
    <w:rPr>
      <w:rFonts w:ascii="Times New Roman" w:hAnsi="Times New Roman" w:eastAsia="微软雅黑" w:cs="黑体"/>
      <w:b/>
      <w:bCs/>
      <w:color w:val="62B541"/>
      <w:sz w:val="30"/>
      <w:szCs w:val="30"/>
    </w:rPr>
  </w:style>
  <w:style w:type="paragraph" w:styleId="4">
    <w:name w:val="heading 3"/>
    <w:basedOn w:val="1"/>
    <w:next w:val="1"/>
    <w:link w:val="38"/>
    <w:autoRedefine/>
    <w:qFormat/>
    <w:uiPriority w:val="1"/>
    <w:pPr>
      <w:outlineLvl w:val="2"/>
    </w:pPr>
    <w:rPr>
      <w:rFonts w:ascii="宋体" w:hAnsi="宋体" w:eastAsia="微软雅黑"/>
      <w:b/>
      <w:sz w:val="28"/>
      <w:szCs w:val="30"/>
    </w:rPr>
  </w:style>
  <w:style w:type="paragraph" w:styleId="5">
    <w:name w:val="heading 4"/>
    <w:basedOn w:val="1"/>
    <w:next w:val="1"/>
    <w:autoRedefine/>
    <w:unhideWhenUsed/>
    <w:qFormat/>
    <w:uiPriority w:val="0"/>
    <w:pPr>
      <w:keepNext/>
      <w:keepLines/>
      <w:spacing w:before="280" w:beforeLines="0" w:beforeAutospacing="0" w:after="290" w:afterLines="0" w:afterAutospacing="0" w:line="372" w:lineRule="auto"/>
      <w:outlineLvl w:val="3"/>
    </w:pPr>
    <w:rPr>
      <w:rFonts w:ascii="Arial" w:hAnsi="Arial" w:eastAsia="微软雅黑"/>
      <w:b/>
      <w:sz w:val="28"/>
    </w:rPr>
  </w:style>
  <w:style w:type="paragraph" w:styleId="6">
    <w:name w:val="heading 5"/>
    <w:basedOn w:val="1"/>
    <w:next w:val="1"/>
    <w:autoRedefine/>
    <w:unhideWhenUsed/>
    <w:qFormat/>
    <w:uiPriority w:val="0"/>
    <w:pPr>
      <w:keepNext/>
      <w:keepLines/>
      <w:spacing w:before="280" w:beforeLines="0" w:beforeAutospacing="0" w:after="290" w:afterLines="0" w:afterAutospacing="0" w:line="240" w:lineRule="auto"/>
      <w:jc w:val="center"/>
      <w:outlineLvl w:val="4"/>
    </w:pPr>
    <w:rPr>
      <w:rFonts w:ascii="Times New Roman" w:hAnsi="Times New Roman" w:eastAsia="宋体"/>
      <w:b/>
      <w:color w:val="62B541"/>
      <w:sz w:val="24"/>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styleId="7">
    <w:name w:val="annotation text"/>
    <w:basedOn w:val="1"/>
    <w:autoRedefine/>
    <w:qFormat/>
    <w:uiPriority w:val="0"/>
  </w:style>
  <w:style w:type="paragraph" w:styleId="8">
    <w:name w:val="Body Text"/>
    <w:basedOn w:val="1"/>
    <w:autoRedefine/>
    <w:qFormat/>
    <w:uiPriority w:val="1"/>
    <w:rPr>
      <w:sz w:val="18"/>
      <w:szCs w:val="18"/>
    </w:rPr>
  </w:style>
  <w:style w:type="paragraph" w:styleId="9">
    <w:name w:val="toc 3"/>
    <w:basedOn w:val="1"/>
    <w:next w:val="1"/>
    <w:autoRedefine/>
    <w:qFormat/>
    <w:uiPriority w:val="0"/>
    <w:pPr>
      <w:ind w:left="840" w:leftChars="400"/>
    </w:pPr>
  </w:style>
  <w:style w:type="paragraph" w:styleId="10">
    <w:name w:val="Balloon Text"/>
    <w:basedOn w:val="1"/>
    <w:link w:val="35"/>
    <w:autoRedefine/>
    <w:qFormat/>
    <w:uiPriority w:val="0"/>
    <w:rPr>
      <w:sz w:val="18"/>
      <w:szCs w:val="18"/>
    </w:rPr>
  </w:style>
  <w:style w:type="paragraph" w:styleId="11">
    <w:name w:val="footer"/>
    <w:basedOn w:val="1"/>
    <w:autoRedefine/>
    <w:unhideWhenUsed/>
    <w:qFormat/>
    <w:uiPriority w:val="99"/>
    <w:pPr>
      <w:tabs>
        <w:tab w:val="center" w:pos="4153"/>
        <w:tab w:val="right" w:pos="8306"/>
      </w:tabs>
      <w:snapToGrid w:val="0"/>
    </w:pPr>
    <w:rPr>
      <w:sz w:val="18"/>
      <w:szCs w:val="18"/>
    </w:rPr>
  </w:style>
  <w:style w:type="paragraph" w:styleId="12">
    <w:name w:val="header"/>
    <w:basedOn w:val="1"/>
    <w:autoRedefine/>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jc w:val="both"/>
    </w:pPr>
    <w:rPr>
      <w:sz w:val="18"/>
    </w:rPr>
  </w:style>
  <w:style w:type="paragraph" w:styleId="13">
    <w:name w:val="toc 1"/>
    <w:basedOn w:val="1"/>
    <w:next w:val="1"/>
    <w:autoRedefine/>
    <w:unhideWhenUsed/>
    <w:qFormat/>
    <w:uiPriority w:val="39"/>
    <w:rPr>
      <w:rFonts w:ascii="Times New Roman" w:hAnsi="Times New Roman" w:eastAsia="微软雅黑"/>
      <w:b/>
      <w:color w:val="62B541"/>
      <w:sz w:val="32"/>
    </w:rPr>
  </w:style>
  <w:style w:type="paragraph" w:styleId="14">
    <w:name w:val="toc 2"/>
    <w:basedOn w:val="1"/>
    <w:next w:val="1"/>
    <w:autoRedefine/>
    <w:unhideWhenUsed/>
    <w:qFormat/>
    <w:uiPriority w:val="39"/>
    <w:pPr>
      <w:ind w:left="420" w:leftChars="200"/>
    </w:pPr>
    <w:rPr>
      <w:rFonts w:ascii="Times New Roman" w:hAnsi="Times New Roman" w:eastAsia="微软雅黑"/>
      <w:color w:val="7F7F7F" w:themeColor="background1" w:themeShade="80"/>
      <w:sz w:val="28"/>
      <w:szCs w:val="28"/>
    </w:rPr>
  </w:style>
  <w:style w:type="paragraph" w:styleId="15">
    <w:name w:val="Normal (Web)"/>
    <w:basedOn w:val="1"/>
    <w:autoRedefine/>
    <w:qFormat/>
    <w:uiPriority w:val="0"/>
    <w:rPr>
      <w:sz w:val="24"/>
    </w:rPr>
  </w:style>
  <w:style w:type="table" w:styleId="17">
    <w:name w:val="Table Grid"/>
    <w:basedOn w:val="16"/>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9">
    <w:name w:val="Strong"/>
    <w:basedOn w:val="18"/>
    <w:autoRedefine/>
    <w:qFormat/>
    <w:uiPriority w:val="0"/>
    <w:rPr>
      <w:b/>
    </w:rPr>
  </w:style>
  <w:style w:type="character" w:styleId="20">
    <w:name w:val="Hyperlink"/>
    <w:basedOn w:val="18"/>
    <w:autoRedefine/>
    <w:unhideWhenUsed/>
    <w:qFormat/>
    <w:uiPriority w:val="99"/>
    <w:rPr>
      <w:color w:val="0563C1" w:themeColor="hyperlink"/>
      <w:u w:val="single"/>
      <w14:textFill>
        <w14:solidFill>
          <w14:schemeClr w14:val="hlink"/>
        </w14:solidFill>
      </w14:textFill>
    </w:rPr>
  </w:style>
  <w:style w:type="character" w:styleId="21">
    <w:name w:val="annotation reference"/>
    <w:basedOn w:val="18"/>
    <w:autoRedefine/>
    <w:qFormat/>
    <w:uiPriority w:val="0"/>
    <w:rPr>
      <w:sz w:val="21"/>
      <w:szCs w:val="21"/>
    </w:rPr>
  </w:style>
  <w:style w:type="paragraph" w:customStyle="1" w:styleId="22">
    <w:name w:val="Table Paragraph"/>
    <w:basedOn w:val="1"/>
    <w:autoRedefine/>
    <w:qFormat/>
    <w:uiPriority w:val="1"/>
  </w:style>
  <w:style w:type="table" w:customStyle="1" w:styleId="23">
    <w:name w:val="Table Normal1"/>
    <w:autoRedefine/>
    <w:unhideWhenUsed/>
    <w:qFormat/>
    <w:uiPriority w:val="2"/>
    <w:tblPr>
      <w:tblCellMar>
        <w:top w:w="0" w:type="dxa"/>
        <w:left w:w="0" w:type="dxa"/>
        <w:bottom w:w="0" w:type="dxa"/>
        <w:right w:w="0" w:type="dxa"/>
      </w:tblCellMar>
    </w:tblPr>
  </w:style>
  <w:style w:type="paragraph" w:customStyle="1" w:styleId="24">
    <w:name w:val="List Paragraph1"/>
    <w:basedOn w:val="1"/>
    <w:autoRedefine/>
    <w:qFormat/>
    <w:uiPriority w:val="34"/>
    <w:rPr>
      <w:rFonts w:asciiTheme="minorHAnsi" w:hAnsiTheme="minorHAnsi" w:eastAsiaTheme="minorEastAsia" w:cstheme="minorBidi"/>
    </w:rPr>
  </w:style>
  <w:style w:type="paragraph" w:customStyle="1" w:styleId="25">
    <w:name w:val="标题1-1"/>
    <w:basedOn w:val="2"/>
    <w:next w:val="1"/>
    <w:autoRedefine/>
    <w:qFormat/>
    <w:uiPriority w:val="1"/>
    <w:pPr>
      <w:numPr>
        <w:numId w:val="3"/>
      </w:numPr>
    </w:pPr>
    <w:rPr>
      <w:rFonts w:cs="Times New Roman"/>
      <w:bCs w:val="0"/>
      <w:color w:val="45A3A7"/>
    </w:rPr>
  </w:style>
  <w:style w:type="paragraph" w:customStyle="1" w:styleId="26">
    <w:name w:val="标题2-1"/>
    <w:basedOn w:val="3"/>
    <w:next w:val="1"/>
    <w:autoRedefine/>
    <w:qFormat/>
    <w:uiPriority w:val="1"/>
    <w:pPr>
      <w:numPr>
        <w:numId w:val="4"/>
      </w:numPr>
      <w:spacing w:line="276" w:lineRule="auto"/>
    </w:pPr>
    <w:rPr>
      <w:rFonts w:cs="Times New Roman"/>
      <w:color w:val="45A3A7"/>
      <w:szCs w:val="24"/>
      <w:lang w:eastAsia="zh-CN"/>
    </w:rPr>
  </w:style>
  <w:style w:type="paragraph" w:customStyle="1" w:styleId="27">
    <w:name w:val="样式1"/>
    <w:basedOn w:val="8"/>
    <w:autoRedefine/>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28">
    <w:name w:val="标题1-3"/>
    <w:basedOn w:val="2"/>
    <w:next w:val="1"/>
    <w:autoRedefine/>
    <w:qFormat/>
    <w:uiPriority w:val="1"/>
    <w:pPr>
      <w:numPr>
        <w:numId w:val="5"/>
      </w:numPr>
    </w:pPr>
    <w:rPr>
      <w:rFonts w:cs="Times New Roman"/>
      <w:color w:val="416AAB"/>
      <w:szCs w:val="32"/>
    </w:rPr>
  </w:style>
  <w:style w:type="paragraph" w:customStyle="1" w:styleId="29">
    <w:name w:val="标题2-3"/>
    <w:basedOn w:val="3"/>
    <w:next w:val="1"/>
    <w:autoRedefine/>
    <w:qFormat/>
    <w:uiPriority w:val="1"/>
    <w:pPr>
      <w:numPr>
        <w:numId w:val="0"/>
      </w:numPr>
      <w:spacing w:before="12" w:line="380" w:lineRule="exact"/>
      <w:jc w:val="left"/>
    </w:pPr>
    <w:rPr>
      <w:rFonts w:cs="Times New Roman"/>
      <w:color w:val="416AAB"/>
      <w:szCs w:val="24"/>
      <w:lang w:eastAsia="zh-CN"/>
    </w:rPr>
  </w:style>
  <w:style w:type="paragraph" w:customStyle="1" w:styleId="30">
    <w:name w:val="WPSOffice手动目录 1"/>
    <w:autoRedefine/>
    <w:qFormat/>
    <w:uiPriority w:val="0"/>
    <w:rPr>
      <w:rFonts w:asciiTheme="minorHAnsi" w:hAnsiTheme="minorHAnsi" w:eastAsiaTheme="minorHAnsi" w:cstheme="minorBidi"/>
      <w:lang w:val="en-US" w:eastAsia="zh-CN" w:bidi="ar-SA"/>
    </w:rPr>
  </w:style>
  <w:style w:type="paragraph" w:customStyle="1" w:styleId="31">
    <w:name w:val="WPSOffice手动目录 2"/>
    <w:autoRedefine/>
    <w:qFormat/>
    <w:uiPriority w:val="0"/>
    <w:pPr>
      <w:ind w:left="200" w:leftChars="200"/>
    </w:pPr>
    <w:rPr>
      <w:rFonts w:asciiTheme="minorHAnsi" w:hAnsiTheme="minorHAnsi" w:eastAsiaTheme="minorHAnsi" w:cstheme="minorBidi"/>
      <w:lang w:val="en-US" w:eastAsia="zh-CN" w:bidi="ar-SA"/>
    </w:rPr>
  </w:style>
  <w:style w:type="paragraph" w:customStyle="1" w:styleId="32">
    <w:name w:val="列出段落1"/>
    <w:basedOn w:val="1"/>
    <w:autoRedefine/>
    <w:unhideWhenUsed/>
    <w:qFormat/>
    <w:uiPriority w:val="34"/>
    <w:pPr>
      <w:spacing w:before="42"/>
      <w:ind w:left="1699" w:hanging="380"/>
    </w:pPr>
    <w:rPr>
      <w:sz w:val="24"/>
    </w:rPr>
  </w:style>
  <w:style w:type="table" w:customStyle="1" w:styleId="33">
    <w:name w:val="Table Normal"/>
    <w:autoRedefine/>
    <w:qFormat/>
    <w:uiPriority w:val="0"/>
    <w:tblPr>
      <w:tblCellMar>
        <w:top w:w="0" w:type="dxa"/>
        <w:left w:w="0" w:type="dxa"/>
        <w:bottom w:w="0" w:type="dxa"/>
        <w:right w:w="0" w:type="dxa"/>
      </w:tblCellMar>
    </w:tblPr>
  </w:style>
  <w:style w:type="paragraph" w:customStyle="1" w:styleId="34">
    <w:name w:val="msolistparagraph"/>
    <w:basedOn w:val="1"/>
    <w:autoRedefine/>
    <w:qFormat/>
    <w:uiPriority w:val="0"/>
    <w:pPr>
      <w:ind w:firstLine="420" w:firstLineChars="200"/>
    </w:pPr>
    <w:rPr>
      <w:rFonts w:hint="eastAsia" w:cs="Times New Roman"/>
      <w:lang w:eastAsia="zh-CN"/>
    </w:rPr>
  </w:style>
  <w:style w:type="character" w:customStyle="1" w:styleId="35">
    <w:name w:val="批注框文本 Char"/>
    <w:basedOn w:val="18"/>
    <w:link w:val="10"/>
    <w:autoRedefine/>
    <w:qFormat/>
    <w:uiPriority w:val="0"/>
    <w:rPr>
      <w:rFonts w:ascii="宋体" w:hAnsi="宋体" w:cs="宋体"/>
      <w:sz w:val="18"/>
      <w:szCs w:val="18"/>
      <w:lang w:eastAsia="en-US"/>
    </w:rPr>
  </w:style>
  <w:style w:type="character" w:customStyle="1" w:styleId="36">
    <w:name w:val="标题 1 Char"/>
    <w:link w:val="2"/>
    <w:autoRedefine/>
    <w:qFormat/>
    <w:uiPriority w:val="1"/>
    <w:rPr>
      <w:rFonts w:ascii="Times New Roman" w:hAnsi="Times New Roman" w:eastAsia="微软雅黑" w:cs="黑体"/>
      <w:b/>
      <w:bCs/>
      <w:color w:val="62B541"/>
      <w:sz w:val="32"/>
      <w:szCs w:val="36"/>
      <w:lang w:eastAsia="zh-CN"/>
      <w14:shadow w14:blurRad="50800" w14:dist="38100" w14:dir="10800000" w14:sx="100000" w14:sy="100000" w14:kx="0" w14:ky="0" w14:algn="r">
        <w14:srgbClr w14:val="62B541">
          <w14:alpha w14:val="60000"/>
        </w14:srgbClr>
      </w14:shadow>
    </w:rPr>
  </w:style>
  <w:style w:type="character" w:customStyle="1" w:styleId="37">
    <w:name w:val="标题 2 Char"/>
    <w:link w:val="3"/>
    <w:autoRedefine/>
    <w:qFormat/>
    <w:uiPriority w:val="1"/>
    <w:rPr>
      <w:rFonts w:ascii="Times New Roman" w:hAnsi="Times New Roman" w:eastAsia="微软雅黑" w:cs="黑体"/>
      <w:b/>
      <w:bCs/>
      <w:color w:val="62B541"/>
      <w:sz w:val="30"/>
      <w:szCs w:val="30"/>
    </w:rPr>
  </w:style>
  <w:style w:type="character" w:customStyle="1" w:styleId="38">
    <w:name w:val="标题 3 Char"/>
    <w:link w:val="4"/>
    <w:autoRedefine/>
    <w:qFormat/>
    <w:uiPriority w:val="1"/>
    <w:rPr>
      <w:rFonts w:ascii="宋体" w:hAnsi="宋体" w:eastAsia="微软雅黑"/>
      <w:b/>
      <w:sz w:val="28"/>
      <w:szCs w:val="30"/>
    </w:rPr>
  </w:style>
  <w:style w:type="table" w:customStyle="1" w:styleId="39">
    <w:name w:val="ffzstable0"/>
    <w:basedOn w:val="17"/>
    <w:autoRedefine/>
    <w:qFormat/>
    <w:uiPriority w:val="0"/>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40">
    <w:name w:val="ffzstable1"/>
    <w:basedOn w:val="17"/>
    <w:autoRedefine/>
    <w:qFormat/>
    <w:uiPriority w:val="0"/>
    <w:pPr>
      <w:jc w:val="center"/>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styleId="41">
    <w:name w:val="List Paragraph"/>
    <w:basedOn w:val="1"/>
    <w:autoRedefine/>
    <w:qFormat/>
    <w:uiPriority w:val="99"/>
    <w:pPr>
      <w:ind w:firstLine="420" w:firstLineChars="200"/>
    </w:pPr>
  </w:style>
  <w:style w:type="paragraph" w:customStyle="1" w:styleId="42">
    <w:name w:val="qc"/>
    <w:basedOn w:val="1"/>
    <w:autoRedefine/>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43">
    <w:name w:val="scopeseen"/>
    <w:basedOn w:val="1"/>
    <w:autoRedefine/>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44">
    <w:name w:val="tps"/>
    <w:basedOn w:val="1"/>
    <w:autoRedefine/>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45">
    <w:name w:val="font21"/>
    <w:basedOn w:val="18"/>
    <w:autoRedefine/>
    <w:qFormat/>
    <w:uiPriority w:val="0"/>
    <w:rPr>
      <w:rFonts w:hint="eastAsia" w:ascii="微软雅黑" w:hAnsi="微软雅黑" w:eastAsia="微软雅黑" w:cs="微软雅黑"/>
      <w:b/>
      <w:bCs/>
      <w:color w:val="FFFFFF"/>
      <w:sz w:val="21"/>
      <w:szCs w:val="21"/>
      <w:u w:val="none"/>
    </w:rPr>
  </w:style>
  <w:style w:type="character" w:customStyle="1" w:styleId="46">
    <w:name w:val="font101"/>
    <w:basedOn w:val="18"/>
    <w:autoRedefine/>
    <w:qFormat/>
    <w:uiPriority w:val="0"/>
    <w:rPr>
      <w:rFonts w:hint="default" w:ascii="Times New Roman" w:hAnsi="Times New Roman" w:cs="Times New Roman"/>
      <w:b/>
      <w:bCs/>
      <w:color w:val="000000"/>
      <w:sz w:val="21"/>
      <w:szCs w:val="21"/>
      <w:u w:val="none"/>
    </w:rPr>
  </w:style>
  <w:style w:type="character" w:customStyle="1" w:styleId="47">
    <w:name w:val="font51"/>
    <w:basedOn w:val="18"/>
    <w:autoRedefine/>
    <w:qFormat/>
    <w:uiPriority w:val="0"/>
    <w:rPr>
      <w:rFonts w:hint="eastAsia" w:ascii="微软雅黑" w:hAnsi="微软雅黑" w:eastAsia="微软雅黑" w:cs="微软雅黑"/>
      <w:color w:val="000000"/>
      <w:sz w:val="21"/>
      <w:szCs w:val="21"/>
      <w:u w:val="none"/>
    </w:rPr>
  </w:style>
  <w:style w:type="character" w:customStyle="1" w:styleId="48">
    <w:name w:val="font31"/>
    <w:basedOn w:val="18"/>
    <w:autoRedefine/>
    <w:qFormat/>
    <w:uiPriority w:val="0"/>
    <w:rPr>
      <w:rFonts w:hint="eastAsia" w:ascii="微软雅黑" w:hAnsi="微软雅黑" w:eastAsia="微软雅黑" w:cs="微软雅黑"/>
      <w:b/>
      <w:bCs/>
      <w:color w:val="000000"/>
      <w:sz w:val="21"/>
      <w:szCs w:val="21"/>
      <w:u w:val="none"/>
    </w:rPr>
  </w:style>
  <w:style w:type="character" w:customStyle="1" w:styleId="49">
    <w:name w:val="font61"/>
    <w:basedOn w:val="18"/>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9987</Words>
  <Characters>38340</Characters>
  <Lines>874</Lines>
  <Paragraphs>246</Paragraphs>
  <TotalTime>0</TotalTime>
  <ScaleCrop>false</ScaleCrop>
  <LinksUpToDate>false</LinksUpToDate>
  <CharactersWithSpaces>43281</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2020-06-30T08:40:00Z</dcterms:created>
  <dc:creator>86131</dc:creator>
  <cp:lastModifiedBy>yolo</cp:lastModifiedBy>
  <dcterms:modified xsi:type="dcterms:W3CDTF">2024-01-03T09:52:13Z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62483191EAF14FA9971D55A8C917EB07</vt:lpwstr>
  </property>
</Properties>
</file>