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微软雅黑" w:cs="Times New Roman"/>
          <w:sz w:val="20"/>
        </w:rPr>
      </w:pPr>
      <w:r>
        <w:rPr>
          <w:rFonts w:ascii="Times New Roman" w:hAnsi="Times New Roman" w:eastAsia="微软雅黑" w:cs="Times New Roman"/>
          <w:sz w:val="20"/>
          <w:lang w:eastAsia="zh-CN"/>
        </w:rPr>
        <w:drawing>
          <wp:anchor distT="0" distB="0" distL="114300" distR="114300" simplePos="0" relativeHeight="251661312"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rPr>
      </w:pPr>
      <w:bookmarkStart w:id="0" w:name="_Toc9856"/>
    </w:p>
    <w:bookmarkEnd w:id="0"/>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737" w:hRule="atLeast"/>
        </w:trPr>
        <w:tc>
          <w:tcPr>
            <w:tcW w:w="2299" w:type="dxa"/>
            <w:vAlign w:val="center"/>
          </w:tcPr>
          <w:p>
            <w:pPr>
              <w:pStyle w:val="6"/>
              <w:jc w:val="both"/>
              <w:rPr>
                <w:rFonts w:ascii="黑体" w:eastAsia="微软雅黑" w:cs="Times New Roman"/>
                <w:sz w:val="48"/>
                <w:lang w:eastAsia="zh-CN"/>
              </w:rPr>
            </w:pPr>
            <w:r>
              <w:rPr>
                <w:rFonts w:hint="eastAsia" w:ascii="黑体" w:eastAsia="微软雅黑" w:cs="Times New Roman"/>
                <w:sz w:val="28"/>
                <w:szCs w:val="28"/>
                <w:lang w:eastAsia="zh-CN"/>
              </w:rPr>
              <w:t>患者姓名：</w:t>
            </w:r>
          </w:p>
        </w:tc>
        <w:tc>
          <w:tcPr>
            <w:tcW w:w="3756" w:type="dxa"/>
            <w:vAlign w:val="center"/>
          </w:tcPr>
          <w:p>
            <w:pPr>
              <w:pStyle w:val="6"/>
              <w:jc w:val="both"/>
              <w:rPr>
                <w:rFonts w:ascii="黑体" w:eastAsia="微软雅黑" w:cs="Times New Roman"/>
                <w:sz w:val="48"/>
                <w:lang w:eastAsia="zh-CN"/>
              </w:rPr>
            </w:pPr>
            <w:r>
              <w:rPr>
                <w:rFonts w:hint="eastAsia" w:ascii="黑体" w:eastAsia="微软雅黑" w:cs="Times New Roman"/>
                <w:sz w:val="28"/>
                <w:szCs w:val="28"/>
                <w:lang w:eastAsia="zh-CN"/>
              </w:rPr>
              <w:t>{{ client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ascii="黑体" w:eastAsia="微软雅黑" w:cs="Times New Roman"/>
                <w:sz w:val="48"/>
                <w:lang w:eastAsia="zh-CN"/>
              </w:rPr>
            </w:pPr>
            <w:r>
              <w:rPr>
                <w:rFonts w:hint="eastAsia" w:ascii="黑体" w:eastAsia="微软雅黑" w:cs="Times New Roman"/>
                <w:sz w:val="28"/>
                <w:szCs w:val="28"/>
                <w:lang w:eastAsia="zh-CN"/>
              </w:rPr>
              <w:t>登记号/门诊号：</w:t>
            </w:r>
          </w:p>
        </w:tc>
        <w:tc>
          <w:tcPr>
            <w:tcW w:w="3756" w:type="dxa"/>
            <w:vAlign w:val="center"/>
          </w:tcPr>
          <w:p>
            <w:pPr>
              <w:pStyle w:val="6"/>
              <w:jc w:val="both"/>
              <w:rPr>
                <w:rFonts w:ascii="黑体" w:eastAsia="微软雅黑" w:cs="Times New Roman"/>
                <w:sz w:val="48"/>
                <w:lang w:eastAsia="zh-CN"/>
              </w:rPr>
            </w:pPr>
            <w:r>
              <w:rPr>
                <w:rFonts w:hint="eastAsia" w:ascii="黑体" w:eastAsia="微软雅黑" w:cs="Times New Roman"/>
                <w:sz w:val="28"/>
                <w:szCs w:val="28"/>
                <w:lang w:eastAsia="zh-CN"/>
              </w:rPr>
              <w:t>{{ registration_number }}</w:t>
            </w:r>
          </w:p>
        </w:tc>
      </w:tr>
    </w:tbl>
    <w:p>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NumType w:start="1"/>
          <w:cols w:space="720" w:num="1"/>
        </w:sectPr>
      </w:pPr>
    </w:p>
    <w:p>
      <w:pPr>
        <w:jc w:val="center"/>
        <w:rPr>
          <w:rFonts w:eastAsia="微软雅黑" w:cs="Times New Roman"/>
          <w:lang w:eastAsia="zh-CN"/>
        </w:rPr>
        <w:sectPr>
          <w:headerReference r:id="rId3" w:type="default"/>
          <w:footerReference r:id="rId4" w:type="default"/>
          <w:pgSz w:w="11910" w:h="16840"/>
          <w:pgMar w:top="1037" w:right="1020" w:bottom="981" w:left="1020" w:header="624" w:footer="567" w:gutter="0"/>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pPr>
        <w:rPr>
          <w:rFonts w:ascii="Times New Roman" w:hAnsi="Times New Roman" w:eastAsia="微软雅黑" w:cs="Times New Roman"/>
          <w:bCs/>
          <w:color w:val="0B8770"/>
          <w:sz w:val="34"/>
          <w:szCs w:val="34"/>
          <w:lang w:eastAsia="zh-CN"/>
        </w:rPr>
      </w:pPr>
      <w:r>
        <w:rPr>
          <w:rFonts w:hint="eastAsia" w:ascii="Times New Roman" w:hAnsi="Times New Roman" w:eastAsia="微软雅黑" w:cs="Times New Roman"/>
          <w:bCs/>
          <w:color w:val="0B8770"/>
          <w:sz w:val="34"/>
          <w:szCs w:val="34"/>
          <w:lang w:eastAsia="zh-CN"/>
        </w:rPr>
        <w:t>目录</w:t>
      </w:r>
    </w:p>
    <w:p>
      <w:pPr>
        <w:rPr>
          <w:rFonts w:ascii="Times New Roman" w:hAnsi="Times New Roman" w:eastAsia="微软雅黑" w:cs="Times New Roman"/>
          <w:bCs/>
          <w:color w:val="0B8770"/>
          <w:sz w:val="18"/>
          <w:szCs w:val="18"/>
          <w:lang w:eastAsia="zh-CN"/>
        </w:rPr>
      </w:pPr>
      <w:r>
        <w:rPr>
          <w:rFonts w:hint="eastAsia" w:ascii="Times New Roman" w:hAnsi="Times New Roman" w:eastAsia="微软雅黑" w:cs="Times New Roman"/>
          <w:bCs/>
          <w:color w:val="0B8770"/>
          <w:sz w:val="18"/>
          <w:szCs w:val="18"/>
          <w:lang w:eastAsia="zh-CN"/>
        </w:rPr>
        <w:t>Content</w:t>
      </w:r>
    </w:p>
    <w:p>
      <w:pPr>
        <w:rPr>
          <w:rFonts w:ascii="Times New Roman" w:hAnsi="Times New Roman" w:eastAsia="微软雅黑" w:cs="Times New Roman"/>
          <w:bCs/>
          <w:color w:val="0B8770"/>
          <w:sz w:val="18"/>
          <w:szCs w:val="18"/>
          <w:lang w:eastAsia="zh-CN"/>
        </w:rPr>
      </w:pPr>
    </w:p>
    <w:p>
      <w:pPr>
        <w:rPr>
          <w:rFonts w:ascii="Times New Roman" w:hAnsi="Times New Roman" w:eastAsia="微软雅黑" w:cs="Times New Roman"/>
          <w:bCs/>
          <w:color w:val="0B8770"/>
          <w:sz w:val="18"/>
          <w:szCs w:val="18"/>
          <w:u w:val="single"/>
          <w:lang w:eastAsia="zh-CN"/>
        </w:rPr>
      </w:pPr>
      <w:r>
        <w:rPr>
          <w:rFonts w:hint="eastAsia" w:ascii="Times New Roman" w:hAnsi="Times New Roman" w:eastAsia="微软雅黑" w:cs="Times New Roman"/>
          <w:bCs/>
          <w:color w:val="0B8770"/>
          <w:sz w:val="18"/>
          <w:szCs w:val="18"/>
          <w:u w:val="single"/>
          <w:lang w:eastAsia="zh-CN"/>
        </w:rPr>
        <w:t xml:space="preserve">       </w:t>
      </w:r>
    </w:p>
    <w:p>
      <w:pPr>
        <w:rPr>
          <w:rFonts w:ascii="Times New Roman" w:hAnsi="Times New Roman"/>
          <w:lang w:eastAsia="zh-CN"/>
        </w:rPr>
      </w:pPr>
    </w:p>
    <w:p>
      <w:pPr>
        <w:rPr>
          <w:rFonts w:ascii="Times New Roman" w:hAnsi="Times New Roman" w:eastAsia="微软雅黑" w:cs="Times New Roman"/>
          <w:lang w:eastAsia="zh-CN"/>
        </w:rPr>
      </w:pPr>
    </w:p>
    <w:p>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TOC \o "1-2" \h \z \u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_Toc27518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第一部分 基本信息</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_Toc27518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1</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_Toc14618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检测项目简介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_Toc14618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_Toc21308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检测结果小结</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_Toc21308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_Toc7460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第二部分 检测结果</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_Toc7460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2</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_Toc21239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2.1 重要靶向用药相关基因结果汇总</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_Toc21239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_Toc8587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肿瘤遗传风险检测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_Toc8587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_Toc9619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2.3 变异位点</w:t>
      </w:r>
      <w:r>
        <w:rPr>
          <w:rFonts w:hint="eastAsia" w:ascii="Times New Roman" w:hAnsi="Times New Roman" w:eastAsia="微软雅黑" w:cs="微软雅黑"/>
          <w:lang w:eastAsia="zh-CN"/>
        </w:rPr>
        <w:t>用药提示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_Toc9619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_Toc19045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 xml:space="preserve">2.4 </w:t>
      </w:r>
      <w:r>
        <w:rPr>
          <w:rFonts w:hint="eastAsia" w:ascii="Times New Roman" w:hAnsi="Times New Roman" w:eastAsia="微软雅黑" w:cs="微软雅黑"/>
          <w:lang w:eastAsia="zh-CN"/>
        </w:rPr>
        <w:t>本癌种FDA/NMPA获批的其他可选靶向药物</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_Toc19045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5</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_Toc2210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第三部分 检测结果详细解读</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_Toc2210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6</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_Toc18812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变异位点</w:t>
      </w:r>
      <w:r>
        <w:rPr>
          <w:rFonts w:hint="eastAsia" w:ascii="Times New Roman" w:hAnsi="Times New Roman" w:eastAsia="微软雅黑" w:cs="微软雅黑"/>
          <w:lang w:eastAsia="zh-CN"/>
        </w:rPr>
        <w:t>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_Toc18812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_Toc20265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第四部分 附录</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_Toc20265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9</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_Toc29861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质控情况</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_Toc29861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_Toc29467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4.2 BRCA1&amp;BRCA2基因背景介绍</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_Toc29467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10</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_Toc13225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其它相关基因说明</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_Toc13225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_Toc25630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4.4</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易感人群特征</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_Toc25630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_Toc19092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4.5</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检测基因列表</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_Toc19092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_Toc1310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4.6</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参考文献</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_Toc1310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24</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pPr>
        <w:pStyle w:val="11"/>
        <w:tabs>
          <w:tab w:val="right" w:leader="dot" w:pos="9870"/>
        </w:tabs>
        <w:spacing w:line="288" w:lineRule="auto"/>
        <w:rPr>
          <w:rFonts w:cs="Times New Roman"/>
        </w:rPr>
      </w:pPr>
      <w:r>
        <w:rPr>
          <w:rFonts w:hint="eastAsia" w:ascii="Times New Roman" w:hAnsi="Times New Roman" w:eastAsia="微软雅黑" w:cs="微软雅黑"/>
          <w:lang w:eastAsia="zh-CN"/>
        </w:rPr>
        <w:fldChar w:fldCharType="end"/>
      </w:r>
    </w:p>
    <w:p>
      <w:pPr>
        <w:pStyle w:val="11"/>
        <w:tabs>
          <w:tab w:val="right" w:leader="dot" w:pos="9870"/>
        </w:tabs>
        <w:rPr>
          <w:rFonts w:ascii="Times New Roman" w:hAnsi="Times New Roman"/>
        </w:rPr>
        <w:sectPr>
          <w:headerReference r:id="rId5" w:type="default"/>
          <w:footerReference r:id="rId6" w:type="default"/>
          <w:pgSz w:w="11910" w:h="16840"/>
          <w:pgMar w:top="1037" w:right="1020" w:bottom="981" w:left="1020" w:header="567" w:footer="567" w:gutter="0"/>
          <w:pgNumType w:start="1"/>
          <w:cols w:space="720" w:num="1"/>
          <w:docGrid w:linePitch="299" w:charSpace="0"/>
        </w:sectPr>
      </w:pPr>
    </w:p>
    <w:p>
      <w:pPr>
        <w:pStyle w:val="2"/>
        <w:numPr>
          <w:ilvl w:val="0"/>
          <w:numId w:val="0"/>
        </w:numPr>
        <w:ind w:left="-220"/>
        <w:jc w:val="left"/>
        <w:rPr>
          <w:rFonts w:cs="Times New Roman"/>
          <w:color w:val="auto"/>
          <w:sz w:val="32"/>
          <w:szCs w:val="40"/>
        </w:rPr>
      </w:pPr>
      <w:bookmarkStart w:id="1" w:name="_Toc27518"/>
      <w:r>
        <w:rPr>
          <w:rFonts w:hint="eastAsia" w:cs="Times New Roman"/>
          <w:color w:val="auto"/>
          <w:sz w:val="32"/>
          <w:szCs w:val="40"/>
        </w:rPr>
        <w:t>第一部分 基本信息</w:t>
      </w:r>
      <w:bookmarkEnd w:id="1"/>
    </w:p>
    <w:p>
      <w:pPr>
        <w:rPr>
          <w:rFonts w:ascii="Times New Roman" w:hAnsi="Times New Roman"/>
          <w:lang w:eastAsia="zh-CN"/>
        </w:rPr>
      </w:pPr>
    </w:p>
    <w:tbl>
      <w:tblPr>
        <w:tblStyle w:val="16"/>
        <w:tblpPr w:leftFromText="181" w:rightFromText="181" w:vertAnchor="text" w:horzAnchor="page" w:tblpXSpec="center" w:tblpY="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2197"/>
        <w:gridCol w:w="1281"/>
        <w:gridCol w:w="1856"/>
        <w:gridCol w:w="1281"/>
        <w:gridCol w:w="219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321" w:type="dxa"/>
            <w:gridSpan w:val="6"/>
            <w:tcBorders>
              <w:top w:val="single" w:color="0B8770" w:sz="4" w:space="0"/>
              <w:left w:val="single" w:color="0B8770" w:sz="4" w:space="0"/>
              <w:bottom w:val="single" w:color="0B8770" w:sz="4" w:space="0"/>
              <w:right w:val="single" w:color="0B8770" w:sz="4" w:space="0"/>
            </w:tcBorders>
            <w:shd w:val="clear" w:color="auto" w:fill="0B8770"/>
            <w:vAlign w:val="top"/>
          </w:tcPr>
          <w:p>
            <w:pPr>
              <w:jc w:val="center"/>
              <w:rPr>
                <w:rFonts w:ascii="Times New Roman" w:hAnsi="Times New Roman"/>
                <w:b/>
                <w:bCs/>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患者基本信息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single" w:color="0B8770" w:sz="4" w:space="0"/>
              <w:left w:val="nil"/>
              <w:bottom w:val="nil"/>
              <w:right w:val="nil"/>
            </w:tcBorders>
            <w:shd w:val="clear" w:color="auto" w:fill="E6E6E6"/>
            <w:vAlign w:val="center"/>
          </w:tcPr>
          <w:p>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p>
        </w:tc>
        <w:tc>
          <w:tcPr>
            <w:tcW w:w="2197" w:type="dxa"/>
            <w:tcBorders>
              <w:top w:val="single" w:color="0B8770" w:sz="4"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client }}</w:t>
            </w:r>
          </w:p>
        </w:tc>
        <w:tc>
          <w:tcPr>
            <w:tcW w:w="1281" w:type="dxa"/>
            <w:tcBorders>
              <w:top w:val="single" w:color="0B8770" w:sz="4" w:space="0"/>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1856" w:type="dxa"/>
            <w:tcBorders>
              <w:top w:val="single" w:color="0B8770" w:sz="4"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registration_number }}</w:t>
            </w:r>
          </w:p>
        </w:tc>
        <w:tc>
          <w:tcPr>
            <w:tcW w:w="1281" w:type="dxa"/>
            <w:tcBorders>
              <w:top w:val="single" w:color="0B8770" w:sz="4" w:space="0"/>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serial_number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p>
        </w:tc>
        <w:tc>
          <w:tcPr>
            <w:tcW w:w="2197"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sex }}</w:t>
            </w:r>
          </w:p>
        </w:tc>
        <w:tc>
          <w:tcPr>
            <w:tcW w:w="1281" w:type="dxa"/>
            <w:tcBorders>
              <w:top w:val="nil"/>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1856"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locationname }}</w:t>
            </w:r>
          </w:p>
        </w:tc>
        <w:tc>
          <w:tcPr>
            <w:tcW w:w="1281" w:type="dxa"/>
            <w:tcBorders>
              <w:top w:val="nil"/>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bed}}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p>
        </w:tc>
        <w:tc>
          <w:tcPr>
            <w:tcW w:w="2197"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age }}</w:t>
            </w:r>
          </w:p>
        </w:tc>
        <w:tc>
          <w:tcPr>
            <w:tcW w:w="1281" w:type="dxa"/>
            <w:tcBorders>
              <w:top w:val="nil"/>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1856"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specimentype }}</w:t>
            </w:r>
          </w:p>
        </w:tc>
        <w:tc>
          <w:tcPr>
            <w:tcW w:w="1281" w:type="dxa"/>
            <w:tcBorders>
              <w:top w:val="nil"/>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肿瘤类型</w:t>
            </w:r>
          </w:p>
        </w:tc>
        <w:tc>
          <w:tcPr>
            <w:tcW w:w="2197"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diseaseName }}</w:t>
            </w:r>
          </w:p>
        </w:tc>
        <w:tc>
          <w:tcPr>
            <w:tcW w:w="1281" w:type="dxa"/>
            <w:tcBorders>
              <w:top w:val="nil"/>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1856"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doctorname }}</w:t>
            </w:r>
          </w:p>
        </w:tc>
        <w:tc>
          <w:tcPr>
            <w:tcW w:w="1281" w:type="dxa"/>
            <w:tcBorders>
              <w:top w:val="nil"/>
              <w:left w:val="nil"/>
              <w:bottom w:val="nil"/>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single" w:color="0B8770" w:sz="8" w:space="0"/>
              <w:right w:val="nil"/>
            </w:tcBorders>
            <w:shd w:val="clear" w:color="auto" w:fill="E6E6E6"/>
            <w:vAlign w:val="center"/>
          </w:tcPr>
          <w:p>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肿瘤细胞含量</w:t>
            </w:r>
          </w:p>
        </w:tc>
        <w:tc>
          <w:tcPr>
            <w:tcW w:w="2197"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w:t>
            </w:r>
          </w:p>
        </w:tc>
        <w:tc>
          <w:tcPr>
            <w:tcW w:w="1281" w:type="dxa"/>
            <w:tcBorders>
              <w:top w:val="nil"/>
              <w:left w:val="nil"/>
              <w:bottom w:val="single" w:color="0B8770" w:sz="8" w:space="0"/>
              <w:right w:val="nil"/>
            </w:tcBorders>
            <w:shd w:val="clear" w:color="auto" w:fill="E7E6E6" w:themeFill="background2"/>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检测项目</w:t>
            </w:r>
          </w:p>
        </w:tc>
        <w:tc>
          <w:tcPr>
            <w:tcW w:w="5331" w:type="dxa"/>
            <w:gridSpan w:val="3"/>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HRR高通量测序检测（胚系）</w:t>
            </w:r>
          </w:p>
        </w:tc>
      </w:tr>
    </w:tbl>
    <w:p>
      <w:pPr>
        <w:rPr>
          <w:rFonts w:ascii="Times New Roman" w:hAnsi="Times New Roman" w:eastAsia="微软雅黑" w:cs="Times New Roman"/>
          <w:bCs/>
          <w:color w:val="000000"/>
          <w:sz w:val="21"/>
          <w:szCs w:val="21"/>
          <w:lang w:eastAsia="zh-CN"/>
        </w:rPr>
      </w:pPr>
    </w:p>
    <w:p>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附注：</w:t>
      </w:r>
    </w:p>
    <w:p>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以上受检者信息和样本信息均为患者送检时提供的信息，本检测不对这些内容进行判断或解读。 </w:t>
      </w:r>
    </w:p>
    <w:p>
      <w:pPr>
        <w:pStyle w:val="6"/>
        <w:rPr>
          <w:rFonts w:ascii="Times New Roman" w:hAnsi="Times New Roman" w:eastAsia="微软雅黑" w:cs="Times New Roman"/>
          <w:b/>
          <w:sz w:val="20"/>
          <w:lang w:eastAsia="zh-CN"/>
        </w:rPr>
      </w:pPr>
    </w:p>
    <w:p>
      <w:pPr>
        <w:rPr>
          <w:rFonts w:ascii="Times New Roman" w:hAnsi="Times New Roman" w:eastAsia="微软雅黑" w:cs="Times New Roman"/>
          <w:b/>
          <w:color w:val="00B050"/>
          <w:sz w:val="28"/>
          <w:szCs w:val="28"/>
          <w:lang w:eastAsia="zh-CN"/>
        </w:rPr>
      </w:pPr>
    </w:p>
    <w:tbl>
      <w:tblPr>
        <w:tblStyle w:val="16"/>
        <w:tblpPr w:leftFromText="181" w:rightFromText="181" w:vertAnchor="text" w:horzAnchor="page" w:tblpXSpec="center" w:tblpY="1"/>
        <w:tblOverlap w:val="never"/>
        <w:tblW w:w="1032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3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324" w:type="dxa"/>
            <w:shd w:val="clear" w:color="auto" w:fill="0B8770"/>
            <w:vAlign w:val="top"/>
          </w:tcPr>
          <w:p>
            <w:pPr>
              <w:pStyle w:val="2"/>
              <w:numPr>
                <w:ilvl w:val="0"/>
                <w:numId w:val="0"/>
              </w:numPr>
              <w:ind w:left="153"/>
              <w:outlineLvl w:val="0"/>
              <w:rPr>
                <w:rFonts w:cs="Times New Roman"/>
                <w:szCs w:val="28"/>
              </w:rPr>
            </w:pPr>
            <w:bookmarkStart w:id="2" w:name="_Toc14618"/>
            <w:r>
              <w:rPr>
                <w:rFonts w:hint="eastAsia" w:cs="Times New Roman"/>
                <w:b w:val="0"/>
                <w:bCs w:val="0"/>
                <w:color w:val="FFFFFF" w:themeColor="background1"/>
                <w:sz w:val="24"/>
                <w:szCs w:val="32"/>
                <w:shd w:val="clear" w:color="auto" w:fill="0B8770"/>
                <w14:textFill>
                  <w14:solidFill>
                    <w14:schemeClr w14:val="bg1"/>
                  </w14:solidFill>
                </w14:textFill>
              </w:rPr>
              <w:t>检测项目简介</w:t>
            </w:r>
            <w:bookmarkEnd w:id="2"/>
          </w:p>
        </w:tc>
      </w:tr>
    </w:tbl>
    <w:p>
      <w:pPr>
        <w:rPr>
          <w:rFonts w:ascii="Times New Roman" w:hAnsi="Times New Roman" w:eastAsia="微软雅黑" w:cs="Times New Roman"/>
          <w:bCs/>
          <w:color w:val="000000"/>
          <w:sz w:val="21"/>
          <w:szCs w:val="21"/>
          <w:lang w:eastAsia="zh-CN"/>
        </w:rPr>
      </w:pPr>
      <w:bookmarkStart w:id="3" w:name="_Toc3823"/>
      <w:r>
        <w:rPr>
          <w:rFonts w:hint="eastAsia" w:ascii="Times New Roman" w:hAnsi="Times New Roman" w:eastAsia="微软雅黑" w:cs="Times New Roman"/>
          <w:bCs/>
          <w:color w:val="000000"/>
          <w:sz w:val="21"/>
          <w:szCs w:val="21"/>
          <w:lang w:eastAsia="zh-CN"/>
        </w:rPr>
        <w:t>1.检测方法：基于目标区域捕获的二代测序方法</w:t>
      </w:r>
    </w:p>
    <w:p>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2.测序仪器：NextSeq CN500</w:t>
      </w:r>
    </w:p>
    <w:p>
      <w:pPr>
        <w:spacing w:line="276" w:lineRule="auto"/>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3.检测范围及内容：检测卵巢癌、乳腺癌、胰腺癌等DNA损伤修复相关45个基因，其中45个基因为全外显子区。</w:t>
      </w:r>
      <w:r>
        <w:rPr>
          <w:rFonts w:ascii="Times New Roman" w:hAnsi="Times New Roman" w:eastAsia="微软雅黑" w:cs="Times New Roman"/>
          <w:bCs/>
          <w:sz w:val="21"/>
          <w:szCs w:val="21"/>
          <w:lang w:eastAsia="zh-CN"/>
        </w:rPr>
        <w:t>检测突变形式为点突变（SNV）、小片段插入缺失（INDEL）、拷贝数变异（CNV）以及融合（FUSION）。</w:t>
      </w:r>
    </w:p>
    <w:p>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4.检测意义：为肿瘤患者指导PARP抑制剂靶向用药及遗传风险筛查。</w:t>
      </w:r>
    </w:p>
    <w:p>
      <w:pPr>
        <w:rPr>
          <w:rFonts w:ascii="Times New Roman" w:hAnsi="Times New Roman" w:eastAsia="微软雅黑" w:cs="Times New Roman"/>
          <w:sz w:val="18"/>
          <w:szCs w:val="18"/>
          <w:lang w:eastAsia="zh-CN" w:bidi="ar"/>
        </w:rPr>
      </w:pPr>
    </w:p>
    <w:p>
      <w:pPr>
        <w:rPr>
          <w:rFonts w:ascii="Times New Roman" w:hAnsi="Times New Roman" w:eastAsia="微软雅黑" w:cs="Times New Roman"/>
          <w:sz w:val="18"/>
          <w:szCs w:val="18"/>
          <w:lang w:eastAsia="zh-CN" w:bidi="ar"/>
        </w:rPr>
      </w:pPr>
    </w:p>
    <w:tbl>
      <w:tblPr>
        <w:tblStyle w:val="15"/>
        <w:tblpPr w:leftFromText="180" w:rightFromText="180" w:vertAnchor="text" w:horzAnchor="page" w:tblpXSpec="center" w:tblpY="10"/>
        <w:tblOverlap w:val="never"/>
        <w:tblW w:w="10324"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886"/>
        <w:gridCol w:w="7438"/>
      </w:tblGrid>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324" w:type="dxa"/>
            <w:gridSpan w:val="2"/>
            <w:tcBorders>
              <w:bottom w:val="nil"/>
            </w:tcBorders>
            <w:shd w:val="clear" w:color="auto" w:fill="0B8770"/>
            <w:vAlign w:val="center"/>
          </w:tcPr>
          <w:p>
            <w:pPr>
              <w:pStyle w:val="2"/>
              <w:numPr>
                <w:ilvl w:val="0"/>
                <w:numId w:val="0"/>
              </w:numPr>
              <w:ind w:left="153"/>
              <w:rPr>
                <w:rFonts w:cs="Times New Roman"/>
                <w:sz w:val="21"/>
              </w:rPr>
            </w:pPr>
            <w:bookmarkStart w:id="4" w:name="_Toc21308"/>
            <w:r>
              <w:rPr>
                <w:rFonts w:hint="eastAsia" w:cs="Times New Roman"/>
                <w:b w:val="0"/>
                <w:bCs w:val="0"/>
                <w:color w:val="FFFFFF" w:themeColor="background1"/>
                <w:sz w:val="24"/>
                <w:szCs w:val="32"/>
                <w:shd w:val="clear" w:color="auto" w:fill="0B8770"/>
                <w14:textFill>
                  <w14:solidFill>
                    <w14:schemeClr w14:val="bg1"/>
                  </w14:solidFill>
                </w14:textFill>
              </w:rPr>
              <w:t>检测结果小结</w:t>
            </w:r>
            <w:bookmarkEnd w:id="4"/>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886" w:type="dxa"/>
            <w:tcBorders>
              <w:top w:val="nil"/>
              <w:bottom w:val="single" w:color="179172" w:sz="8" w:space="0"/>
              <w:right w:val="nil"/>
            </w:tcBorders>
            <w:shd w:val="clear" w:color="auto" w:fill="D4EAE7"/>
            <w:vAlign w:val="center"/>
          </w:tcPr>
          <w:p>
            <w:pPr>
              <w:jc w:val="center"/>
              <w:rPr>
                <w:rFonts w:ascii="Times New Roman" w:hAnsi="Times New Roman" w:eastAsia="微软雅黑" w:cs="Times New Roman"/>
                <w:b/>
                <w:sz w:val="21"/>
                <w:lang w:eastAsia="zh-CN"/>
              </w:rPr>
            </w:pPr>
            <w:r>
              <w:rPr>
                <w:rFonts w:hint="eastAsia" w:ascii="Times New Roman" w:hAnsi="Times New Roman" w:eastAsia="微软雅黑" w:cs="Times New Roman"/>
                <w:b/>
                <w:bCs/>
                <w:color w:val="00B050"/>
                <w:sz w:val="28"/>
                <w:szCs w:val="36"/>
                <w:lang w:eastAsia="zh-CN"/>
              </w:rPr>
              <w:br w:type="page"/>
            </w:r>
            <w:r>
              <w:rPr>
                <w:rFonts w:hint="eastAsia" w:ascii="Times New Roman" w:hAnsi="Times New Roman" w:eastAsia="微软雅黑" w:cs="Times New Roman"/>
                <w:b/>
                <w:sz w:val="21"/>
              </w:rPr>
              <w:t>检测</w:t>
            </w:r>
            <w:r>
              <w:rPr>
                <w:rFonts w:hint="eastAsia" w:ascii="Times New Roman" w:hAnsi="Times New Roman" w:eastAsia="微软雅黑" w:cs="Times New Roman"/>
                <w:b/>
                <w:sz w:val="21"/>
                <w:lang w:eastAsia="zh-CN"/>
              </w:rPr>
              <w:t>意义</w:t>
            </w:r>
          </w:p>
        </w:tc>
        <w:tc>
          <w:tcPr>
            <w:tcW w:w="7438" w:type="dxa"/>
            <w:tcBorders>
              <w:top w:val="nil"/>
              <w:left w:val="nil"/>
              <w:bottom w:val="single" w:color="179172" w:sz="8" w:space="0"/>
            </w:tcBorders>
            <w:shd w:val="clear" w:color="auto" w:fill="D4EAE7"/>
            <w:vAlign w:val="center"/>
          </w:tcPr>
          <w:p>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7438" w:type="dxa"/>
            <w:tcBorders>
              <w:top w:val="single" w:color="179172" w:sz="8" w:space="0"/>
              <w:left w:val="nil"/>
              <w:bottom w:val="single" w:color="179172" w:sz="8" w:space="0"/>
            </w:tcBorders>
            <w:shd w:val="clear" w:color="auto" w:fill="auto"/>
            <w:vAlign w:val="center"/>
          </w:tcPr>
          <w:p>
            <w:pPr>
              <w:pStyle w:val="20"/>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lang w:eastAsia="zh-CN"/>
              </w:rPr>
              <w:t>{{ summaryOfRresults.crCheckLineStrYF1280Size }}</w:t>
            </w:r>
            <w:r>
              <w:rPr>
                <w:rFonts w:ascii="Times New Roman" w:hAnsi="Times New Roman" w:eastAsia="微软雅黑" w:cs="Times New Roman"/>
                <w:sz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lang w:eastAsia="zh-CN"/>
              </w:rPr>
              <w:t>，</w:t>
            </w:r>
            <w:r>
              <w:rPr>
                <w:rFonts w:hint="eastAsia" w:ascii="Times New Roman" w:hAnsi="Times New Roman" w:eastAsia="微软雅黑" w:cs="Times New Roman"/>
                <w:sz w:val="21"/>
                <w:szCs w:val="21"/>
                <w:lang w:eastAsia="zh-CN" w:bidi="ar"/>
              </w:rPr>
              <w:t>其中{{summaryOfRresults.crDrugList}}个与靶向药物相关{{</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肿瘤遗传风险提示</w:t>
            </w:r>
          </w:p>
        </w:tc>
        <w:tc>
          <w:tcPr>
            <w:tcW w:w="7438" w:type="dxa"/>
            <w:tcBorders>
              <w:top w:val="single" w:color="179172" w:sz="8" w:space="0"/>
              <w:left w:val="nil"/>
              <w:bottom w:val="single" w:color="179172" w:sz="8" w:space="0"/>
            </w:tcBorders>
            <w:shd w:val="clear" w:color="auto" w:fill="auto"/>
            <w:vAlign w:val="center"/>
          </w:tcPr>
          <w:p>
            <w:pPr>
              <w:pStyle w:val="20"/>
              <w:spacing w:before="77"/>
              <w:ind w:left="118"/>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 summaryOfRresults.crCheckLineStrYF1280Size }}</w:t>
            </w:r>
            <w:r>
              <w:rPr>
                <w:rFonts w:ascii="Times New Roman" w:hAnsi="Times New Roman" w:eastAsia="微软雅黑" w:cs="Times New Roman"/>
                <w:sz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lang w:eastAsia="zh-CN"/>
              </w:rPr>
              <w:t>，</w:t>
            </w:r>
            <w:r>
              <w:rPr>
                <w:rFonts w:hint="eastAsia" w:ascii="Times New Roman" w:hAnsi="Times New Roman" w:eastAsia="微软雅黑" w:cs="Times New Roman"/>
                <w:sz w:val="21"/>
                <w:szCs w:val="21"/>
                <w:lang w:eastAsia="zh-CN"/>
              </w:rPr>
              <w:t>其中{{summaryOfRresults.hasPathogenicityCount}}个为致病/可能致病性突变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pPr>
              <w:pStyle w:val="20"/>
              <w:ind w:left="220" w:leftChars="100"/>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BRCA1/2检测</w:t>
            </w:r>
          </w:p>
        </w:tc>
        <w:tc>
          <w:tcPr>
            <w:tcW w:w="7438" w:type="dxa"/>
            <w:tcBorders>
              <w:top w:val="single" w:color="179172" w:sz="8" w:space="0"/>
              <w:left w:val="nil"/>
              <w:bottom w:val="single" w:color="179172" w:sz="8" w:space="0"/>
            </w:tcBorders>
            <w:shd w:val="clear" w:color="auto" w:fill="auto"/>
            <w:vAlign w:val="center"/>
          </w:tcPr>
          <w:p>
            <w:pPr>
              <w:pStyle w:val="20"/>
              <w:spacing w:before="100" w:line="187" w:lineRule="auto"/>
              <w:ind w:left="119" w:right="119"/>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hrrBrcaStr }}</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pPr>
              <w:pStyle w:val="13"/>
              <w:spacing w:before="0" w:after="0"/>
              <w:ind w:left="220"/>
              <w:jc w:val="both"/>
              <w:rPr>
                <w:rFonts w:ascii="Times New Roman" w:hAnsi="Times New Roman" w:eastAsia="微软雅黑" w:cs="Times New Roman"/>
                <w:sz w:val="21"/>
                <w:szCs w:val="21"/>
              </w:rPr>
            </w:pPr>
            <w:r>
              <w:rPr>
                <w:rFonts w:ascii="微软雅黑" w:hAnsi="微软雅黑" w:eastAsia="微软雅黑" w:cs="微软雅黑"/>
                <w:sz w:val="21"/>
                <w:szCs w:val="21"/>
              </w:rPr>
              <w:t>样品总体质量评估</w:t>
            </w:r>
          </w:p>
        </w:tc>
        <w:tc>
          <w:tcPr>
            <w:tcW w:w="7438" w:type="dxa"/>
            <w:tcBorders>
              <w:top w:val="single" w:color="179172" w:sz="8" w:space="0"/>
              <w:left w:val="nil"/>
              <w:bottom w:val="single" w:color="179172" w:sz="8" w:space="0"/>
            </w:tcBorders>
            <w:shd w:val="clear" w:color="auto" w:fill="auto"/>
            <w:vAlign w:val="center"/>
          </w:tcPr>
          <w:p>
            <w:pPr>
              <w:pStyle w:val="20"/>
              <w:spacing w:before="100" w:line="187" w:lineRule="auto"/>
              <w:ind w:left="119" w:right="119"/>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 oqa(200,150)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微软雅黑"/>
          <w:sz w:val="16"/>
          <w:szCs w:val="16"/>
          <w:lang w:eastAsia="zh-CN" w:bidi="ar"/>
        </w:rPr>
      </w:pPr>
      <w:bookmarkStart w:id="5" w:name="_Toc534807930"/>
    </w:p>
    <w:tbl>
      <w:tblPr>
        <w:tblStyle w:val="16"/>
        <w:tblpPr w:leftFromText="181" w:rightFromText="181" w:vertAnchor="text" w:horzAnchor="page" w:tblpX="1092" w:tblpY="515"/>
        <w:tblOverlap w:val="never"/>
        <w:tblW w:w="100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p>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0288" behindDoc="0" locked="0" layoutInCell="1" allowOverlap="1">
                <wp:simplePos x="0" y="0"/>
                <wp:positionH relativeFrom="column">
                  <wp:posOffset>-86360</wp:posOffset>
                </wp:positionH>
                <wp:positionV relativeFrom="paragraph">
                  <wp:posOffset>31115</wp:posOffset>
                </wp:positionV>
                <wp:extent cx="6368415" cy="27305"/>
                <wp:effectExtent l="0" t="4445" r="6985" b="635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0288;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pPr>
        <w:pStyle w:val="42"/>
        <w:numPr>
          <w:ilvl w:val="0"/>
          <w:numId w:val="6"/>
        </w:numPr>
        <w:tabs>
          <w:tab w:val="left" w:pos="4640"/>
        </w:tabs>
        <w:ind w:firstLineChars="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br w:type="page"/>
      </w:r>
    </w:p>
    <w:bookmarkEnd w:id="5"/>
    <w:p>
      <w:pPr>
        <w:pStyle w:val="2"/>
        <w:numPr>
          <w:ilvl w:val="0"/>
          <w:numId w:val="7"/>
        </w:numPr>
        <w:ind w:left="153"/>
        <w:jc w:val="left"/>
        <w:rPr>
          <w:rFonts w:cs="Times New Roman"/>
          <w:color w:val="auto"/>
          <w:sz w:val="32"/>
          <w:szCs w:val="40"/>
        </w:rPr>
      </w:pPr>
      <w:bookmarkStart w:id="6" w:name="_Toc7460"/>
      <w:bookmarkStart w:id="7" w:name="_Toc14062"/>
      <w:bookmarkStart w:id="8" w:name="_Toc12381"/>
      <w:bookmarkStart w:id="9" w:name="_Toc19184"/>
      <w:r>
        <w:rPr>
          <w:rFonts w:hint="eastAsia" w:cs="Times New Roman"/>
          <w:color w:val="auto"/>
          <w:sz w:val="32"/>
          <w:szCs w:val="40"/>
        </w:rPr>
        <w:t>检测结果</w:t>
      </w:r>
      <w:bookmarkEnd w:id="6"/>
    </w:p>
    <w:p>
      <w:pPr>
        <w:pStyle w:val="2"/>
        <w:numPr>
          <w:ilvl w:val="0"/>
          <w:numId w:val="0"/>
        </w:numPr>
        <w:ind w:left="-267"/>
        <w:jc w:val="left"/>
        <w:rPr>
          <w:rFonts w:cs="Times New Roman"/>
          <w:color w:val="auto"/>
        </w:rPr>
      </w:pPr>
      <w:bookmarkStart w:id="10" w:name="_Toc151143419"/>
      <w:bookmarkStart w:id="11" w:name="_Toc4616"/>
      <w:bookmarkStart w:id="12" w:name="_Toc21239"/>
      <w:bookmarkStart w:id="13" w:name="_Toc6677"/>
      <w:r>
        <w:rPr>
          <w:rFonts w:hint="eastAsia" w:cs="Times New Roman"/>
          <w:color w:val="auto"/>
        </w:rPr>
        <w:t>2.</w:t>
      </w:r>
      <w:bookmarkStart w:id="14" w:name="_Toc14270"/>
      <w:bookmarkStart w:id="15" w:name="_Toc21059"/>
      <w:r>
        <w:rPr>
          <w:rFonts w:hint="eastAsia" w:cs="Times New Roman"/>
          <w:color w:val="auto"/>
        </w:rPr>
        <w:t>1 重要靶向用药相关基因结果汇总</w:t>
      </w:r>
      <w:bookmarkEnd w:id="10"/>
      <w:bookmarkEnd w:id="11"/>
      <w:bookmarkEnd w:id="12"/>
      <w:bookmarkEnd w:id="13"/>
      <w:bookmarkEnd w:id="14"/>
      <w:bookmarkEnd w:id="15"/>
    </w:p>
    <w:tbl>
      <w:tblPr>
        <w:tblStyle w:val="15"/>
        <w:tblpPr w:leftFromText="180" w:rightFromText="180" w:vertAnchor="text" w:horzAnchor="page" w:tblpX="1090" w:tblpY="296"/>
        <w:tblOverlap w:val="never"/>
        <w:tblW w:w="9959" w:type="dxa"/>
        <w:tblInd w:w="0"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2549"/>
        <w:gridCol w:w="4852"/>
        <w:gridCol w:w="2558"/>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49" w:type="dxa"/>
            <w:shd w:val="clear" w:color="auto" w:fill="0B8770"/>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852" w:type="dxa"/>
            <w:shd w:val="clear" w:color="auto" w:fill="0B8770"/>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558" w:type="dxa"/>
            <w:shd w:val="clear" w:color="auto" w:fill="0B8770"/>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hrr45List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49" w:type="dxa"/>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it.gene }}</w:t>
            </w:r>
          </w:p>
        </w:tc>
        <w:tc>
          <w:tcPr>
            <w:tcW w:w="4852" w:type="dxa"/>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558" w:type="dxa"/>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上表仅列出了FDA批准/NMPA批准/NCCN指南推荐的HRR相关基因突变。</w:t>
      </w:r>
    </w:p>
    <w:p>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变异详情，可查看基因变异检测结果及解析。</w:t>
      </w:r>
    </w:p>
    <w:p>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"/"表示本次检测未发现相关变异。</w:t>
      </w:r>
    </w:p>
    <w:p>
      <w:pPr>
        <w:rPr>
          <w:rFonts w:cs="Times New Roman"/>
          <w:lang w:eastAsia="zh-CN"/>
        </w:rPr>
      </w:pPr>
      <w:r>
        <w:rPr>
          <w:rFonts w:hint="eastAsia" w:cs="Times New Roman"/>
          <w:lang w:eastAsia="zh-CN"/>
        </w:rPr>
        <w:br w:type="page"/>
      </w:r>
    </w:p>
    <w:p>
      <w:pPr>
        <w:pStyle w:val="2"/>
        <w:numPr>
          <w:ilvl w:val="0"/>
          <w:numId w:val="0"/>
        </w:numPr>
        <w:ind w:left="-267"/>
        <w:jc w:val="left"/>
        <w:rPr>
          <w:rFonts w:cs="Times New Roman"/>
          <w:color w:val="auto"/>
        </w:rPr>
      </w:pPr>
      <w:bookmarkStart w:id="16" w:name="_Toc8587"/>
      <w:r>
        <w:rPr>
          <w:rFonts w:hint="eastAsia" w:cs="Times New Roman"/>
          <w:color w:val="auto"/>
        </w:rPr>
        <w:t>2.2</w:t>
      </w:r>
      <w:r>
        <w:rPr>
          <w:rFonts w:hint="eastAsia" w:cs="Times New Roman"/>
          <w:color w:val="auto"/>
          <w:lang w:val="en-US" w:eastAsia="zh-CN"/>
        </w:rPr>
        <w:t xml:space="preserve"> </w:t>
      </w:r>
      <w:r>
        <w:rPr>
          <w:rFonts w:hint="eastAsia" w:cs="Times New Roman"/>
          <w:color w:val="auto"/>
        </w:rPr>
        <w:t>肿瘤遗传风险检测</w:t>
      </w:r>
      <w:bookmarkEnd w:id="16"/>
    </w:p>
    <w:bookmarkEnd w:id="3"/>
    <w:bookmarkEnd w:id="7"/>
    <w:bookmarkEnd w:id="8"/>
    <w:bookmarkEnd w:id="9"/>
    <w:p>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pPr>
        <w:keepLines w:val="0"/>
        <w:pageBreakBefore w:val="0"/>
        <w:widowControl/>
        <w:kinsoku/>
        <w:wordWrap/>
        <w:overflowPunct/>
        <w:topLinePunct w:val="0"/>
        <w:bidi w:val="0"/>
        <w:snapToGrid/>
        <w:spacing w:line="240" w:lineRule="auto"/>
        <w:rPr>
          <w:rFonts w:hint="eastAsia" w:ascii="微软雅黑" w:hAnsi="微软雅黑" w:eastAsia="微软雅黑" w:cs="微软雅黑"/>
          <w:b/>
          <w:bCs/>
          <w:lang w:eastAsia="zh-CN"/>
        </w:rPr>
      </w:pPr>
    </w:p>
    <w:p>
      <w:pPr>
        <w:pStyle w:val="2"/>
        <w:numPr>
          <w:ilvl w:val="0"/>
          <w:numId w:val="0"/>
        </w:numPr>
        <w:ind w:left="-267"/>
        <w:jc w:val="left"/>
        <w:rPr>
          <w:rFonts w:hint="eastAsia" w:cs="Times New Roman"/>
          <w:color w:val="auto"/>
          <w:lang w:eastAsia="zh-CN"/>
        </w:rPr>
      </w:pPr>
      <w:bookmarkStart w:id="17" w:name="_Toc9619"/>
      <w:r>
        <w:rPr>
          <w:rFonts w:hint="eastAsia" w:cs="Times New Roman"/>
          <w:color w:val="auto"/>
          <w:lang w:val="en-US" w:eastAsia="zh-CN"/>
        </w:rPr>
        <w:t>2.3 变异位点</w:t>
      </w:r>
      <w:r>
        <w:rPr>
          <w:rFonts w:hint="eastAsia" w:cs="Times New Roman"/>
          <w:color w:val="auto"/>
          <w:lang w:eastAsia="zh-CN"/>
        </w:rPr>
        <w:t>用药提示</w:t>
      </w:r>
      <w:bookmarkEnd w:id="17"/>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突变基因</w:t>
            </w:r>
          </w:p>
        </w:tc>
        <w:tc>
          <w:tcPr>
            <w:tcW w:w="895" w:type="pct"/>
            <w:shd w:val="clear" w:color="auto" w:fill="0B8770"/>
            <w:vAlign w:val="center"/>
          </w:tcPr>
          <w:p>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检测结果</w:t>
            </w:r>
          </w:p>
        </w:tc>
        <w:tc>
          <w:tcPr>
            <w:tcW w:w="650" w:type="pct"/>
            <w:shd w:val="clear" w:color="auto" w:fill="0B8770"/>
            <w:vAlign w:val="center"/>
          </w:tcPr>
          <w:p>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F2F2F2"/>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F2F2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F2F2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pStyle w:val="3"/>
        <w:numPr>
          <w:ilvl w:val="255"/>
          <w:numId w:val="0"/>
        </w:numPr>
        <w:ind w:left="-220" w:leftChars="-100" w:firstLine="0" w:firstLineChars="0"/>
        <w:jc w:val="left"/>
        <w:rPr>
          <w:rFonts w:hint="eastAsia"/>
          <w:color w:val="auto"/>
          <w:sz w:val="28"/>
          <w:szCs w:val="28"/>
          <w:lang w:eastAsia="zh-CN"/>
        </w:rPr>
      </w:pPr>
      <w:r>
        <w:rPr>
          <w:rFonts w:ascii="Times New Roman" w:hAnsi="Times New Roman" w:eastAsia="微软雅黑" w:cs="Times New Roman"/>
          <w:b/>
          <w:bCs/>
          <w:lang w:eastAsia="zh-CN"/>
        </w:rPr>
        <w:br w:type="page"/>
      </w:r>
      <w:bookmarkStart w:id="18" w:name="_Toc19045"/>
      <w:bookmarkStart w:id="19" w:name="_Toc27517"/>
      <w:r>
        <w:rPr>
          <w:rFonts w:hint="eastAsia"/>
          <w:color w:val="auto"/>
          <w:sz w:val="28"/>
          <w:szCs w:val="28"/>
          <w:lang w:val="en-US" w:eastAsia="zh-CN"/>
        </w:rPr>
        <w:t xml:space="preserve">2.4 </w:t>
      </w:r>
      <w:r>
        <w:rPr>
          <w:rFonts w:hint="eastAsia"/>
          <w:color w:val="auto"/>
          <w:sz w:val="28"/>
          <w:szCs w:val="28"/>
          <w:lang w:eastAsia="zh-CN"/>
        </w:rPr>
        <w:t>本癌种FDA/NMPA获批的其他可选靶向药物</w:t>
      </w:r>
      <w:bookmarkEnd w:id="18"/>
      <w:bookmarkEnd w:id="19"/>
    </w:p>
    <w:tbl>
      <w:tblPr>
        <w:tblStyle w:val="16"/>
        <w:tblW w:w="9937"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1210"/>
        <w:gridCol w:w="1210"/>
        <w:gridCol w:w="6124"/>
        <w:gridCol w:w="1393"/>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454" w:hRule="atLeast"/>
          <w:jc w:val="center"/>
        </w:trPr>
        <w:tc>
          <w:tcPr>
            <w:tcW w:w="1210" w:type="dxa"/>
            <w:shd w:val="clear" w:color="auto" w:fill="0B8770"/>
            <w:vAlign w:val="center"/>
          </w:tcPr>
          <w:p>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癌种</w:t>
            </w:r>
          </w:p>
        </w:tc>
        <w:tc>
          <w:tcPr>
            <w:tcW w:w="1210" w:type="dxa"/>
            <w:shd w:val="clear" w:color="auto" w:fill="0B8770"/>
            <w:vAlign w:val="center"/>
          </w:tcPr>
          <w:p>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药物</w:t>
            </w:r>
          </w:p>
        </w:tc>
        <w:tc>
          <w:tcPr>
            <w:tcW w:w="6124" w:type="dxa"/>
            <w:shd w:val="clear" w:color="auto" w:fill="0B8770"/>
            <w:vAlign w:val="center"/>
          </w:tcPr>
          <w:p>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获批适应症</w:t>
            </w:r>
          </w:p>
        </w:tc>
        <w:tc>
          <w:tcPr>
            <w:tcW w:w="1393" w:type="dxa"/>
            <w:shd w:val="clear" w:color="auto" w:fill="0B8770"/>
            <w:vAlign w:val="center"/>
          </w:tcPr>
          <w:p>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获批机构</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add in approvedDrugData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add.institution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widowControl/>
        <w:rPr>
          <w:rFonts w:ascii="Times New Roman" w:hAnsi="Times New Roman" w:eastAsia="微软雅黑" w:cs="Times New Roman"/>
          <w:bCs/>
          <w:lang w:eastAsia="zh-CN"/>
        </w:rPr>
      </w:pPr>
      <w:r>
        <w:rPr>
          <w:rFonts w:hint="eastAsia"/>
          <w:sz w:val="30"/>
          <w:lang w:eastAsia="zh-CN"/>
        </w:rPr>
        <w:br w:type="page"/>
      </w:r>
    </w:p>
    <w:p>
      <w:pPr>
        <w:pStyle w:val="23"/>
        <w:numPr>
          <w:ilvl w:val="0"/>
          <w:numId w:val="0"/>
        </w:numPr>
        <w:ind w:left="-220"/>
        <w:jc w:val="both"/>
        <w:rPr>
          <w:color w:val="auto"/>
          <w:sz w:val="32"/>
          <w:szCs w:val="40"/>
        </w:rPr>
      </w:pPr>
      <w:bookmarkStart w:id="20" w:name="_Toc2210"/>
      <w:bookmarkStart w:id="21" w:name="_Toc12048"/>
      <w:bookmarkStart w:id="22" w:name="_Toc32661"/>
      <w:bookmarkStart w:id="23" w:name="_Toc23903"/>
      <w:bookmarkStart w:id="24" w:name="_Toc32443_WPSOffice_Level1"/>
      <w:bookmarkStart w:id="25" w:name="_Toc25727"/>
      <w:bookmarkStart w:id="26" w:name="_Toc23846_WPSOffice_Level1"/>
      <w:bookmarkStart w:id="27" w:name="_Toc5598"/>
      <w:bookmarkStart w:id="28" w:name="_Toc13736"/>
      <w:bookmarkStart w:id="29" w:name="_Toc4331_WPSOffice_Level1"/>
      <w:bookmarkStart w:id="30" w:name="_Toc15289_WPSOffice_Level3"/>
      <w:bookmarkStart w:id="31" w:name="_Toc6931_WPSOffice_Level3"/>
      <w:r>
        <w:rPr>
          <w:rFonts w:hint="eastAsia"/>
          <w:color w:val="auto"/>
          <w:sz w:val="32"/>
          <w:szCs w:val="40"/>
        </w:rPr>
        <w:t>第三部分 检测结果详细解读</w:t>
      </w:r>
      <w:bookmarkEnd w:id="20"/>
    </w:p>
    <w:bookmarkEnd w:id="21"/>
    <w:bookmarkEnd w:id="22"/>
    <w:bookmarkEnd w:id="23"/>
    <w:bookmarkEnd w:id="24"/>
    <w:bookmarkEnd w:id="25"/>
    <w:bookmarkEnd w:id="26"/>
    <w:bookmarkEnd w:id="27"/>
    <w:bookmarkEnd w:id="28"/>
    <w:bookmarkEnd w:id="29"/>
    <w:p>
      <w:pPr>
        <w:pStyle w:val="2"/>
        <w:numPr>
          <w:ilvl w:val="0"/>
          <w:numId w:val="0"/>
        </w:numPr>
        <w:ind w:left="-267"/>
        <w:jc w:val="left"/>
        <w:rPr>
          <w:rFonts w:hint="eastAsia" w:cs="Times New Roman"/>
          <w:color w:val="auto"/>
          <w:lang w:eastAsia="zh-CN"/>
        </w:rPr>
      </w:pPr>
      <w:bookmarkStart w:id="32" w:name="_Toc18812"/>
      <w:bookmarkStart w:id="33" w:name="_Toc9409"/>
      <w:r>
        <w:rPr>
          <w:rFonts w:hint="eastAsia" w:cs="Times New Roman"/>
          <w:color w:val="auto"/>
          <w:lang w:val="en-US" w:eastAsia="zh-CN"/>
        </w:rPr>
        <w:t>变异位点</w:t>
      </w:r>
      <w:r>
        <w:rPr>
          <w:rFonts w:hint="eastAsia" w:cs="Times New Roman"/>
          <w:color w:val="auto"/>
          <w:lang w:eastAsia="zh-CN"/>
        </w:rPr>
        <w:t>结果解析</w:t>
      </w:r>
      <w:bookmarkEnd w:id="32"/>
      <w:bookmarkEnd w:id="33"/>
    </w:p>
    <w:p>
      <w:pPr>
        <w:bidi w:val="0"/>
        <w:rPr>
          <w:rFonts w:hint="default" w:ascii="Times New Roman" w:hAnsi="Times New Roman" w:eastAsia="微软雅黑" w:cs="Times New Roman"/>
          <w:b/>
          <w:bCs/>
          <w:color w:val="0B8770"/>
          <w:sz w:val="24"/>
          <w:szCs w:val="24"/>
          <w:lang w:eastAsia="zh-CN"/>
        </w:rPr>
      </w:pPr>
      <w:r>
        <w:rPr>
          <w:rFonts w:hint="default" w:ascii="Times New Roman" w:hAnsi="Times New Roman" w:eastAsia="微软雅黑" w:cs="Times New Roman"/>
          <w:b/>
          <w:sz w:val="24"/>
          <w:szCs w:val="24"/>
          <w:lang w:eastAsia="zh-CN"/>
        </w:rPr>
        <w:t>{%if geneticCancerRiskInfo %}</w:t>
      </w:r>
      <w:r>
        <w:rPr>
          <w:rFonts w:hint="default" w:ascii="Times New Roman" w:hAnsi="Times New Roman" w:eastAsia="微软雅黑" w:cs="Times New Roman"/>
          <w:b/>
          <w:bCs/>
          <w:color w:val="0B8770"/>
          <w:sz w:val="24"/>
          <w:szCs w:val="24"/>
        </w:rPr>
        <w:t>{% for tdd in geneticCancerRiskInfo %}</w:t>
      </w:r>
    </w:p>
    <w:p>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{%if tdd.drugResearchList != [] %}</w:t>
      </w:r>
    </w:p>
    <w:p>
      <w:pPr>
        <w:keepNext/>
        <w:spacing w:before="26"/>
        <w:rPr>
          <w:rFonts w:ascii="Times New Roman" w:hAnsi="Times New Roman" w:eastAsia="微软雅黑" w:cs="Times New Roman"/>
          <w:b/>
          <w:color w:val="0B8770"/>
          <w:sz w:val="24"/>
          <w:lang w:eastAsia="zh-CN"/>
        </w:rPr>
      </w:pPr>
      <w:r>
        <w:rPr>
          <w:rFonts w:ascii="Times New Roman" w:hAnsi="Times New Roman" w:eastAsia="微软雅黑" w:cs="Times New Roman"/>
          <w:b/>
          <w:color w:val="0B8770"/>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32"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95"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%}{%if tdd.potentialDrugList != [] %}</w:t>
      </w:r>
    </w:p>
    <w:p>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潜在耐药研究信息：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药物名称</w:t>
            </w:r>
          </w:p>
        </w:tc>
        <w:tc>
          <w:tcPr>
            <w:tcW w:w="1417"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相关疾病</w:t>
            </w:r>
          </w:p>
        </w:tc>
        <w:tc>
          <w:tcPr>
            <w:tcW w:w="1261"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证据</w:t>
            </w:r>
            <w:r>
              <w:rPr>
                <w:rFonts w:hint="eastAsia" w:ascii="Times New Roman" w:hAnsi="Times New Roman" w:eastAsia="微软雅黑" w:cs="Times New Roman"/>
                <w:b/>
                <w:color w:val="0B8770"/>
                <w:sz w:val="18"/>
                <w:szCs w:val="18"/>
                <w:lang w:eastAsia="zh-CN"/>
              </w:rPr>
              <w:t>等级</w:t>
            </w:r>
          </w:p>
        </w:tc>
        <w:tc>
          <w:tcPr>
            <w:tcW w:w="5666" w:type="dxa"/>
            <w:shd w:val="clear" w:color="auto" w:fill="auto"/>
            <w:vAlign w:val="center"/>
          </w:tcPr>
          <w:p>
            <w:pPr>
              <w:keepNext/>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B8770"/>
          <w:sz w:val="24"/>
          <w:lang w:eastAsia="zh-CN"/>
        </w:rPr>
      </w:pPr>
      <w:r>
        <w:rPr>
          <w:rFonts w:hint="eastAsia" w:ascii="Times New Roman" w:hAnsi="Times New Roman" w:eastAsia="微软雅黑" w:cs="Times New Roman"/>
          <w:b/>
          <w:color w:val="0B8770"/>
          <w:sz w:val="24"/>
          <w:lang w:eastAsia="zh-CN"/>
        </w:rPr>
        <w:t>临床试验信息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ID</w:t>
            </w:r>
          </w:p>
        </w:tc>
        <w:tc>
          <w:tcPr>
            <w:tcW w:w="3884"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临床试验名称</w:t>
            </w:r>
          </w:p>
        </w:tc>
        <w:tc>
          <w:tcPr>
            <w:tcW w:w="1246"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肿瘤类型</w:t>
            </w:r>
          </w:p>
        </w:tc>
        <w:tc>
          <w:tcPr>
            <w:tcW w:w="1035"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阶段</w:t>
            </w:r>
          </w:p>
        </w:tc>
        <w:tc>
          <w:tcPr>
            <w:tcW w:w="1204"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药物</w:t>
            </w:r>
          </w:p>
        </w:tc>
        <w:tc>
          <w:tcPr>
            <w:tcW w:w="856" w:type="dxa"/>
            <w:shd w:val="clear" w:color="auto" w:fill="auto"/>
            <w:vAlign w:val="center"/>
          </w:tcPr>
          <w:p>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rFonts w:hint="eastAsia"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endif %}{% endfor %}</w:t>
      </w:r>
      <w:r>
        <w:rPr>
          <w:rFonts w:hint="eastAsia" w:ascii="Times New Roman" w:hAnsi="Times New Roman" w:eastAsia="微软雅黑" w:cs="Times New Roman"/>
          <w:b/>
          <w:color w:val="0B8770"/>
          <w:sz w:val="24"/>
          <w:szCs w:val="24"/>
          <w:lang w:eastAsia="zh-CN"/>
        </w:rPr>
        <w:br w:type="page"/>
      </w:r>
    </w:p>
    <w:p>
      <w:pPr>
        <w:pStyle w:val="25"/>
        <w:rPr>
          <w:sz w:val="20"/>
          <w:szCs w:val="18"/>
        </w:rPr>
      </w:pPr>
      <w:bookmarkStart w:id="62" w:name="_GoBack"/>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bookmarkEnd w:id="62"/>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0"/>
          <w:numId w:val="0"/>
        </w:numPr>
        <w:ind w:left="-267"/>
        <w:jc w:val="left"/>
        <w:rPr>
          <w:rFonts w:cs="Times New Roman"/>
          <w:color w:val="auto"/>
          <w:sz w:val="32"/>
          <w:szCs w:val="40"/>
        </w:rPr>
      </w:pPr>
      <w:bookmarkStart w:id="34" w:name="_Toc20265"/>
      <w:r>
        <w:rPr>
          <w:rFonts w:hint="eastAsia" w:cs="Times New Roman"/>
          <w:color w:val="auto"/>
          <w:sz w:val="32"/>
          <w:szCs w:val="40"/>
        </w:rPr>
        <w:t>第四部分 附录</w:t>
      </w:r>
      <w:bookmarkEnd w:id="34"/>
    </w:p>
    <w:p>
      <w:pPr>
        <w:rPr>
          <w:rFonts w:ascii="Times New Roman" w:hAnsi="Times New Roman" w:eastAsia="微软雅黑" w:cs="Times New Roman"/>
          <w:b/>
          <w:lang w:eastAsia="zh-CN"/>
        </w:rPr>
      </w:pPr>
    </w:p>
    <w:bookmarkEnd w:id="30"/>
    <w:bookmarkEnd w:id="31"/>
    <w:p>
      <w:pPr>
        <w:pStyle w:val="2"/>
        <w:numPr>
          <w:ilvl w:val="0"/>
          <w:numId w:val="0"/>
        </w:numPr>
        <w:ind w:left="-267"/>
        <w:jc w:val="left"/>
        <w:rPr>
          <w:color w:val="auto"/>
        </w:rPr>
      </w:pPr>
      <w:bookmarkStart w:id="35" w:name="_Toc29861"/>
      <w:r>
        <w:rPr>
          <w:rFonts w:hint="eastAsia"/>
          <w:color w:val="auto"/>
        </w:rPr>
        <w:t>4.1</w:t>
      </w:r>
      <w:r>
        <w:rPr>
          <w:rFonts w:hint="eastAsia"/>
          <w:color w:val="auto"/>
          <w:lang w:val="en-US" w:eastAsia="zh-CN"/>
        </w:rPr>
        <w:t xml:space="preserve"> </w:t>
      </w:r>
      <w:r>
        <w:rPr>
          <w:rFonts w:hint="eastAsia"/>
          <w:color w:val="auto"/>
        </w:rPr>
        <w:t>质</w:t>
      </w:r>
      <w:r>
        <w:rPr>
          <w:color w:val="auto"/>
        </w:rPr>
        <w:t>控情况</w:t>
      </w:r>
      <w:bookmarkEnd w:id="35"/>
    </w:p>
    <w:p>
      <w:pPr>
        <w:rPr>
          <w:rFonts w:ascii="Times New Roman" w:hAnsi="Times New Roman"/>
          <w:lang w:eastAsia="zh-CN"/>
        </w:rPr>
      </w:pP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hint="eastAsia" w:ascii="Times New Roman" w:hAnsi="Times New Roman" w:eastAsia="微软雅黑" w:cs="Times New Roman"/>
                <w:sz w:val="21"/>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200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oqa(2</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,150) }}</w:t>
            </w:r>
          </w:p>
        </w:tc>
      </w:tr>
    </w:tbl>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2"/>
        <w:numPr>
          <w:ilvl w:val="0"/>
          <w:numId w:val="0"/>
        </w:numPr>
        <w:ind w:left="-267"/>
        <w:jc w:val="left"/>
        <w:rPr>
          <w:color w:val="auto"/>
        </w:rPr>
      </w:pPr>
      <w:bookmarkStart w:id="36" w:name="_Hlk33190413"/>
      <w:bookmarkStart w:id="37" w:name="_Toc29467"/>
      <w:r>
        <w:rPr>
          <w:rFonts w:hint="eastAsia"/>
          <w:color w:val="auto"/>
        </w:rPr>
        <w:t xml:space="preserve">4.2 </w:t>
      </w:r>
      <w:r>
        <w:rPr>
          <w:color w:val="auto"/>
        </w:rPr>
        <w:t>BRCA1&amp;BRCA2</w:t>
      </w:r>
      <w:bookmarkEnd w:id="36"/>
      <w:r>
        <w:rPr>
          <w:color w:val="auto"/>
        </w:rPr>
        <w:t>基因背景介绍</w:t>
      </w:r>
      <w:bookmarkEnd w:id="37"/>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38" w:name="_Hlk33179213"/>
    </w:p>
    <w:p>
      <w:pPr>
        <w:spacing w:before="26"/>
        <w:rPr>
          <w:rFonts w:ascii="Times New Roman" w:hAnsi="Times New Roman" w:eastAsia="微软雅黑" w:cs="Times New Roman"/>
          <w:b/>
          <w:bCs/>
          <w:color w:val="416AAB"/>
          <w:sz w:val="24"/>
          <w:szCs w:val="24"/>
          <w:lang w:eastAsia="zh-CN"/>
        </w:rPr>
      </w:pPr>
    </w:p>
    <w:bookmarkEnd w:id="38"/>
    <w:tbl>
      <w:tblPr>
        <w:tblStyle w:val="15"/>
        <w:tblW w:w="5049" w:type="pct"/>
        <w:tblInd w:w="0" w:type="dxa"/>
        <w:tblLayout w:type="fixed"/>
        <w:tblCellMar>
          <w:top w:w="0" w:type="dxa"/>
          <w:left w:w="0" w:type="dxa"/>
          <w:bottom w:w="0" w:type="dxa"/>
          <w:right w:w="0" w:type="dxa"/>
        </w:tblCellMar>
      </w:tblPr>
      <w:tblGrid>
        <w:gridCol w:w="843"/>
        <w:gridCol w:w="1366"/>
        <w:gridCol w:w="7758"/>
      </w:tblGrid>
      <w:tr>
        <w:tblPrEx>
          <w:tblCellMar>
            <w:top w:w="0" w:type="dxa"/>
            <w:left w:w="0" w:type="dxa"/>
            <w:bottom w:w="0" w:type="dxa"/>
            <w:right w:w="0" w:type="dxa"/>
          </w:tblCellMar>
        </w:tblPrEx>
        <w:trPr>
          <w:trHeight w:val="413" w:hRule="atLeast"/>
        </w:trPr>
        <w:tc>
          <w:tcPr>
            <w:tcW w:w="398" w:type="pct"/>
            <w:shd w:val="clear" w:color="auto" w:fill="0B8770"/>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645" w:type="pct"/>
            <w:shd w:val="clear" w:color="auto" w:fill="0B8770"/>
            <w:vAlign w:val="center"/>
          </w:tcPr>
          <w:p>
            <w:pPr>
              <w:pStyle w:val="20"/>
              <w:spacing w:before="10"/>
              <w:jc w:val="center"/>
              <w:rPr>
                <w:rFonts w:ascii="Times New Roman" w:hAnsi="Times New Roman" w:eastAsia="微软雅黑" w:cs="Times New Roman"/>
                <w:b/>
                <w:color w:val="FFFFFF"/>
                <w:sz w:val="18"/>
                <w:szCs w:val="18"/>
                <w:lang w:eastAsia="zh-CN"/>
              </w:rPr>
            </w:pPr>
            <w:r>
              <w:rPr>
                <w:rFonts w:hint="eastAsia" w:ascii="Times New Roman" w:hAnsi="Times New Roman" w:eastAsia="微软雅黑" w:cs="Times New Roman"/>
                <w:b/>
                <w:color w:val="FFFFFF"/>
                <w:sz w:val="18"/>
                <w:szCs w:val="18"/>
                <w:lang w:eastAsia="zh-CN"/>
              </w:rPr>
              <w:t>检测结果</w:t>
            </w:r>
          </w:p>
        </w:tc>
        <w:tc>
          <w:tcPr>
            <w:tcW w:w="3664" w:type="pct"/>
            <w:shd w:val="clear" w:color="auto" w:fill="0B8770"/>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r>
      <w:tr>
        <w:tblPrEx>
          <w:tblCellMar>
            <w:top w:w="0" w:type="dxa"/>
            <w:left w:w="0" w:type="dxa"/>
            <w:bottom w:w="0" w:type="dxa"/>
            <w:right w:w="0" w:type="dxa"/>
          </w:tblCellMar>
        </w:tblPrEx>
        <w:trPr>
          <w:trHeight w:val="969" w:hRule="atLeast"/>
        </w:trPr>
        <w:tc>
          <w:tcPr>
            <w:tcW w:w="398" w:type="pct"/>
            <w:vAlign w:val="center"/>
          </w:tcPr>
          <w:p>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645" w:type="pct"/>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hrr45map.BRCA1 == [] %}未检出{%else%}{% for i in hrr45map.BRCA1 %}{%if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pPr>
              <w:pStyle w:val="2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。BRCA1相关的疾病还包括子宫内膜癌、肠癌、胃癌等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tc>
      </w:tr>
      <w:tr>
        <w:tblPrEx>
          <w:tblCellMar>
            <w:top w:w="0" w:type="dxa"/>
            <w:left w:w="0" w:type="dxa"/>
            <w:bottom w:w="0" w:type="dxa"/>
            <w:right w:w="0" w:type="dxa"/>
          </w:tblCellMar>
        </w:tblPrEx>
        <w:trPr>
          <w:trHeight w:val="969" w:hRule="atLeast"/>
        </w:trPr>
        <w:tc>
          <w:tcPr>
            <w:tcW w:w="398" w:type="pct"/>
            <w:vAlign w:val="center"/>
          </w:tcPr>
          <w:p>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645" w:type="pct"/>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hrr45map.BRCA2 == [] %}未检出{%else%}{% for i in hrr45map.BRCA2 %}{%if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pPr>
              <w:pStyle w:val="20"/>
              <w:spacing w:before="80" w:after="8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。BRCA2相关的疾病还包括子宫内膜癌、肠癌、胃癌等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2"/>
        <w:numPr>
          <w:ilvl w:val="0"/>
          <w:numId w:val="0"/>
        </w:numPr>
        <w:ind w:left="-267"/>
        <w:jc w:val="left"/>
        <w:rPr>
          <w:color w:val="auto"/>
        </w:rPr>
      </w:pPr>
      <w:bookmarkStart w:id="39" w:name="_Toc13225"/>
      <w:r>
        <w:rPr>
          <w:rFonts w:hint="eastAsia"/>
          <w:color w:val="auto"/>
        </w:rPr>
        <w:t>4.3</w:t>
      </w:r>
      <w:r>
        <w:rPr>
          <w:rFonts w:hint="eastAsia"/>
          <w:color w:val="auto"/>
          <w:lang w:val="en-US" w:eastAsia="zh-CN"/>
        </w:rPr>
        <w:t xml:space="preserve"> </w:t>
      </w:r>
      <w:r>
        <w:rPr>
          <w:color w:val="auto"/>
        </w:rPr>
        <w:t>其它相关基因说明</w:t>
      </w:r>
      <w:bookmarkEnd w:id="39"/>
    </w:p>
    <w:tbl>
      <w:tblPr>
        <w:tblStyle w:val="15"/>
        <w:tblW w:w="4999" w:type="pct"/>
        <w:tblInd w:w="0" w:type="dxa"/>
        <w:tblLayout w:type="fixed"/>
        <w:tblCellMar>
          <w:top w:w="0" w:type="dxa"/>
          <w:left w:w="108" w:type="dxa"/>
          <w:bottom w:w="0" w:type="dxa"/>
          <w:right w:w="108" w:type="dxa"/>
        </w:tblCellMar>
      </w:tblPr>
      <w:tblGrid>
        <w:gridCol w:w="984"/>
        <w:gridCol w:w="1271"/>
        <w:gridCol w:w="7829"/>
      </w:tblGrid>
      <w:tr>
        <w:tblPrEx>
          <w:tblCellMar>
            <w:top w:w="0" w:type="dxa"/>
            <w:left w:w="108" w:type="dxa"/>
            <w:bottom w:w="0" w:type="dxa"/>
            <w:right w:w="108" w:type="dxa"/>
          </w:tblCellMar>
        </w:tblPrEx>
        <w:trPr>
          <w:trHeight w:val="320" w:hRule="atLeast"/>
        </w:trPr>
        <w:tc>
          <w:tcPr>
            <w:tcW w:w="488" w:type="pct"/>
            <w:shd w:val="clear" w:color="auto" w:fill="0B8770"/>
            <w:vAlign w:val="center"/>
          </w:tcPr>
          <w:p>
            <w:pPr>
              <w:jc w:val="center"/>
              <w:rPr>
                <w:rFonts w:ascii="Times New Roman" w:hAnsi="Times New Roman" w:eastAsia="微软雅黑" w:cs="Times New Roman"/>
                <w:b/>
                <w:bCs/>
                <w:color w:val="FFFFFF"/>
              </w:rPr>
            </w:pPr>
            <w:bookmarkStart w:id="40" w:name="_Toc28454_WPSOffice_Level1"/>
            <w:r>
              <w:rPr>
                <w:rFonts w:ascii="Times New Roman" w:hAnsi="Times New Roman" w:eastAsia="微软雅黑" w:cs="Times New Roman"/>
                <w:b/>
                <w:bCs/>
                <w:color w:val="FFFFFF"/>
              </w:rPr>
              <w:t>基因</w:t>
            </w:r>
          </w:p>
        </w:tc>
        <w:tc>
          <w:tcPr>
            <w:tcW w:w="630" w:type="pct"/>
            <w:shd w:val="clear" w:color="auto" w:fill="0B8770"/>
            <w:vAlign w:val="center"/>
          </w:tcPr>
          <w:p>
            <w:pPr>
              <w:jc w:val="center"/>
              <w:rPr>
                <w:rFonts w:ascii="Times New Roman" w:hAnsi="Times New Roman" w:eastAsia="微软雅黑" w:cs="Times New Roman"/>
                <w:b/>
                <w:bCs/>
                <w:color w:val="FFFFFF"/>
                <w:lang w:eastAsia="zh-CN"/>
              </w:rPr>
            </w:pPr>
            <w:r>
              <w:rPr>
                <w:rFonts w:hint="eastAsia" w:ascii="Times New Roman" w:hAnsi="Times New Roman" w:eastAsia="微软雅黑" w:cs="Times New Roman"/>
                <w:b/>
                <w:bCs/>
                <w:color w:val="FFFFFF"/>
                <w:lang w:eastAsia="zh-CN"/>
              </w:rPr>
              <w:t>检测结果</w:t>
            </w:r>
          </w:p>
        </w:tc>
        <w:tc>
          <w:tcPr>
            <w:tcW w:w="3880" w:type="pct"/>
            <w:shd w:val="clear" w:color="auto" w:fill="0B8770"/>
            <w:vAlign w:val="center"/>
          </w:tcPr>
          <w:p>
            <w:pPr>
              <w:jc w:val="center"/>
              <w:rPr>
                <w:rFonts w:ascii="Times New Roman" w:hAnsi="Times New Roman" w:eastAsia="微软雅黑" w:cs="Times New Roman"/>
                <w:b/>
                <w:bCs/>
                <w:color w:val="FFFFFF"/>
              </w:rPr>
            </w:pPr>
            <w:r>
              <w:rPr>
                <w:rFonts w:ascii="Times New Roman" w:hAnsi="Times New Roman" w:eastAsia="微软雅黑" w:cs="Times New Roman"/>
                <w:b/>
                <w:bCs/>
                <w:color w:val="FFFFFF"/>
              </w:rPr>
              <w:t>基因说明</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tblPrEx>
          <w:tblCellMar>
            <w:top w:w="0" w:type="dxa"/>
            <w:left w:w="108" w:type="dxa"/>
            <w:bottom w:w="0" w:type="dxa"/>
            <w:right w:w="108" w:type="dxa"/>
          </w:tblCellMar>
        </w:tblPrEx>
        <w:trPr>
          <w:trHeight w:val="3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hrr45map.BARD1 == [] %}未检出{%else%}{% for i in hrr45map.BARD1 %}{%if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sz w:val="18"/>
                <w:szCs w:val="18"/>
                <w:lang w:eastAsia="zh-CN"/>
              </w:rPr>
              <w:t>BARD1</w:t>
            </w:r>
            <w:r>
              <w:rPr>
                <w:rFonts w:ascii="Times New Roman" w:hAnsi="Times New Roman" w:eastAsia="微软雅黑" w:cs="Times New Roman"/>
                <w:color w:val="000000"/>
                <w:sz w:val="18"/>
                <w:szCs w:val="18"/>
                <w:lang w:eastAsia="zh-CN"/>
              </w:rPr>
              <w:t>基因编码BRCA1环装结构域相关蛋白1，定位于2q35。BRAD1可与BRCA1形成异源二聚体，与遗传性乳腺癌和/或卵巢癌综合征发生相关。</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tblPrEx>
          <w:tblCellMar>
            <w:top w:w="0" w:type="dxa"/>
            <w:left w:w="108" w:type="dxa"/>
            <w:bottom w:w="0" w:type="dxa"/>
            <w:right w:w="108" w:type="dxa"/>
          </w:tblCellMar>
        </w:tblPrEx>
        <w:trPr>
          <w:trHeight w:val="11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tblPrEx>
          <w:tblCellMar>
            <w:top w:w="0" w:type="dxa"/>
            <w:left w:w="108" w:type="dxa"/>
            <w:bottom w:w="0" w:type="dxa"/>
            <w:right w:w="108" w:type="dxa"/>
          </w:tblCellMar>
        </w:tblPrEx>
        <w:trPr>
          <w:trHeight w:val="11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rPr>
              <w:t>GEN1相关的疾病包括着色性干皮病、Tick-BorneRelapsingFever等。</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tblPrEx>
          <w:tblCellMar>
            <w:top w:w="0" w:type="dxa"/>
            <w:left w:w="108" w:type="dxa"/>
            <w:bottom w:w="0" w:type="dxa"/>
            <w:right w:w="108" w:type="dxa"/>
          </w:tblCellMar>
        </w:tblPrEx>
        <w:trPr>
          <w:trHeight w:val="11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tblPrEx>
          <w:tblCellMar>
            <w:top w:w="0" w:type="dxa"/>
            <w:left w:w="108" w:type="dxa"/>
            <w:bottom w:w="0" w:type="dxa"/>
            <w:right w:w="108" w:type="dxa"/>
          </w:tblCellMar>
        </w:tblPrEx>
        <w:trPr>
          <w:trHeight w:val="3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tblPrEx>
          <w:tblCellMar>
            <w:top w:w="0" w:type="dxa"/>
            <w:left w:w="108" w:type="dxa"/>
            <w:bottom w:w="0" w:type="dxa"/>
            <w:right w:w="108" w:type="dxa"/>
          </w:tblCellMar>
        </w:tblPrEx>
        <w:trPr>
          <w:trHeight w:val="11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tblPrEx>
          <w:tblCellMar>
            <w:top w:w="0" w:type="dxa"/>
            <w:left w:w="108" w:type="dxa"/>
            <w:bottom w:w="0" w:type="dxa"/>
            <w:right w:w="108" w:type="dxa"/>
          </w:tblCellMar>
        </w:tblPrEx>
        <w:trPr>
          <w:trHeight w:val="11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tblPrEx>
          <w:tblCellMar>
            <w:top w:w="0" w:type="dxa"/>
            <w:left w:w="108" w:type="dxa"/>
            <w:bottom w:w="0" w:type="dxa"/>
            <w:right w:w="108" w:type="dxa"/>
          </w:tblCellMar>
        </w:tblPrEx>
        <w:trPr>
          <w:trHeight w:val="55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tblPrEx>
          <w:tblCellMar>
            <w:top w:w="0" w:type="dxa"/>
            <w:left w:w="108" w:type="dxa"/>
            <w:bottom w:w="0" w:type="dxa"/>
            <w:right w:w="108" w:type="dxa"/>
          </w:tblCellMar>
        </w:tblPrEx>
        <w:trPr>
          <w:trHeight w:val="112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tblPrEx>
          <w:tblCellMar>
            <w:top w:w="0" w:type="dxa"/>
            <w:left w:w="108" w:type="dxa"/>
            <w:bottom w:w="0" w:type="dxa"/>
            <w:right w:w="108" w:type="dxa"/>
          </w:tblCellMar>
        </w:tblPrEx>
        <w:trPr>
          <w:trHeight w:val="84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tblPrEx>
          <w:tblCellMar>
            <w:top w:w="0" w:type="dxa"/>
            <w:left w:w="108" w:type="dxa"/>
            <w:bottom w:w="0" w:type="dxa"/>
            <w:right w:w="108" w:type="dxa"/>
          </w:tblCellMar>
        </w:tblPrEx>
        <w:trPr>
          <w:trHeight w:val="58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tblPrEx>
          <w:tblCellMar>
            <w:top w:w="0" w:type="dxa"/>
            <w:left w:w="108" w:type="dxa"/>
            <w:bottom w:w="0" w:type="dxa"/>
            <w:right w:w="108" w:type="dxa"/>
          </w:tblCellMar>
        </w:tblPrEx>
        <w:trPr>
          <w:trHeight w:val="860" w:hRule="atLeast"/>
        </w:trPr>
        <w:tc>
          <w:tcPr>
            <w:tcW w:w="488" w:type="pct"/>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1271" w:type="dxa"/>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hrr45map.PIK3CA == [] %}未检出{%else%}{% for i in hrr45map.PIK3CA %}{%if loop.last%}{{ i }}{%else%}{{ i }}</w:t>
            </w:r>
          </w:p>
          <w:p>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bl>
    <w:p>
      <w:pPr>
        <w:rPr>
          <w:rFonts w:ascii="Times New Roman" w:hAnsi="Times New Roman" w:eastAsia="微软雅黑" w:cs="Times New Roman"/>
          <w:sz w:val="18"/>
          <w:szCs w:val="18"/>
          <w:lang w:eastAsia="zh-CN"/>
        </w:rPr>
        <w:sectPr>
          <w:footerReference r:id="rId7" w:type="default"/>
          <w:pgSz w:w="11910" w:h="16840"/>
          <w:pgMar w:top="1037" w:right="1020" w:bottom="981" w:left="1020" w:header="567" w:footer="567" w:gutter="0"/>
          <w:pgNumType w:start="1"/>
          <w:cols w:space="720" w:num="1"/>
          <w:docGrid w:linePitch="299" w:charSpace="0"/>
        </w:sectPr>
      </w:pPr>
    </w:p>
    <w:p>
      <w:pPr>
        <w:spacing w:before="26"/>
        <w:rPr>
          <w:rFonts w:ascii="Times New Roman" w:hAnsi="Times New Roman" w:eastAsia="微软雅黑" w:cs="Times New Roman"/>
          <w:b/>
          <w:bCs/>
          <w:color w:val="416AAB"/>
          <w:sz w:val="24"/>
          <w:szCs w:val="24"/>
          <w:lang w:eastAsia="zh-CN"/>
        </w:rPr>
      </w:pPr>
      <w:bookmarkStart w:id="41" w:name="_Toc26985_WPSOffice_Level1"/>
      <w:bookmarkStart w:id="42" w:name="_Toc20170_WPSOffice_Level1"/>
    </w:p>
    <w:p>
      <w:pPr>
        <w:pStyle w:val="2"/>
        <w:numPr>
          <w:ilvl w:val="0"/>
          <w:numId w:val="0"/>
        </w:numPr>
        <w:ind w:left="-267"/>
        <w:jc w:val="left"/>
        <w:rPr>
          <w:color w:val="auto"/>
        </w:rPr>
      </w:pPr>
      <w:bookmarkStart w:id="43" w:name="_Toc25630"/>
      <w:r>
        <w:rPr>
          <w:rFonts w:hint="eastAsia"/>
          <w:color w:val="auto"/>
        </w:rPr>
        <w:t>4.4</w:t>
      </w:r>
      <w:r>
        <w:rPr>
          <w:rFonts w:hint="eastAsia"/>
          <w:color w:val="auto"/>
          <w:lang w:val="en-US" w:eastAsia="zh-CN"/>
        </w:rPr>
        <w:t xml:space="preserve"> </w:t>
      </w:r>
      <w:r>
        <w:rPr>
          <w:color w:val="auto"/>
        </w:rPr>
        <w:t>易感人群特征</w:t>
      </w:r>
      <w:bookmarkEnd w:id="43"/>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pPr>
        <w:widowControl/>
        <w:numPr>
          <w:ilvl w:val="0"/>
          <w:numId w:val="11"/>
        </w:num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rPr>
        <w:t>第二原</w:t>
      </w:r>
      <w:r>
        <w:rPr>
          <w:rFonts w:ascii="Times New Roman" w:hAnsi="Times New Roman" w:eastAsia="微软雅黑" w:cs="Times New Roman"/>
          <w:lang w:eastAsia="zh-CN"/>
        </w:rPr>
        <w:t>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eastAsia="微软雅黑" w:cs="Times New Roman"/>
          <w:lang w:eastAsia="zh-CN"/>
        </w:rPr>
        <w:t xml:space="preserve"> ≥2 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⑥</w:t>
      </w:r>
      <w:r>
        <w:rPr>
          <w:rFonts w:ascii="Times New Roman" w:hAnsi="Times New Roman"/>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tabs>
          <w:tab w:val="left" w:pos="4048"/>
        </w:tabs>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r>
        <w:rPr>
          <w:rFonts w:hint="eastAsia" w:ascii="Times New Roman" w:hAnsi="Times New Roman" w:eastAsia="微软雅黑" w:cs="Times New Roman"/>
          <w:b/>
          <w:bCs/>
          <w:color w:val="416AAB"/>
          <w:sz w:val="24"/>
          <w:szCs w:val="24"/>
          <w:lang w:eastAsia="zh-CN"/>
        </w:rPr>
        <w:tab/>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44" w:name="_Toc5400"/>
      <w:bookmarkStart w:id="45" w:name="_Toc97654861"/>
      <w:bookmarkStart w:id="46" w:name="_Toc27417"/>
      <w:bookmarkStart w:id="47" w:name="_Toc20718"/>
      <w:bookmarkStart w:id="48" w:name="_Toc3846"/>
      <w:r>
        <w:rPr>
          <w:rFonts w:ascii="Times New Roman" w:hAnsi="Times New Roman" w:eastAsia="微软雅黑" w:cs="Times New Roman"/>
          <w:lang w:eastAsia="zh-CN"/>
        </w:rPr>
        <w:t>1 40岁以上，同时伴有≥1项下述者</w:t>
      </w:r>
      <w:bookmarkEnd w:id="44"/>
      <w:bookmarkEnd w:id="45"/>
      <w:bookmarkEnd w:id="46"/>
      <w:bookmarkEnd w:id="47"/>
      <w:bookmarkEnd w:id="48"/>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49" w:name="_Toc126"/>
      <w:bookmarkStart w:id="50" w:name="_Toc8169"/>
      <w:bookmarkStart w:id="51" w:name="_Toc97654862"/>
      <w:bookmarkStart w:id="52" w:name="_Toc10299"/>
      <w:bookmarkStart w:id="53" w:name="_Toc1131"/>
      <w:r>
        <w:rPr>
          <w:rFonts w:ascii="Times New Roman" w:hAnsi="Times New Roman" w:eastAsia="微软雅黑" w:cs="Times New Roman"/>
          <w:lang w:eastAsia="zh-CN"/>
        </w:rPr>
        <w:t>2 有胰腺癌家族史、糖尿病史</w:t>
      </w:r>
      <w:bookmarkEnd w:id="49"/>
      <w:bookmarkEnd w:id="50"/>
      <w:bookmarkEnd w:id="51"/>
      <w:bookmarkEnd w:id="52"/>
      <w:bookmarkEnd w:id="53"/>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pStyle w:val="2"/>
        <w:numPr>
          <w:ilvl w:val="0"/>
          <w:numId w:val="0"/>
        </w:numPr>
        <w:ind w:left="-267"/>
        <w:jc w:val="left"/>
        <w:rPr>
          <w:color w:val="179172"/>
        </w:rPr>
      </w:pPr>
      <w:r>
        <w:br w:type="page"/>
      </w:r>
      <w:bookmarkStart w:id="54" w:name="_Toc19092"/>
      <w:r>
        <w:rPr>
          <w:rFonts w:hint="eastAsia"/>
          <w:color w:val="auto"/>
        </w:rPr>
        <w:t>4.5</w:t>
      </w:r>
      <w:r>
        <w:rPr>
          <w:rFonts w:hint="eastAsia"/>
          <w:color w:val="auto"/>
          <w:lang w:val="en-US" w:eastAsia="zh-CN"/>
        </w:rPr>
        <w:t xml:space="preserve"> </w:t>
      </w:r>
      <w:r>
        <w:rPr>
          <w:color w:val="auto"/>
        </w:rPr>
        <w:t>检测基因列表</w:t>
      </w:r>
      <w:bookmarkEnd w:id="54"/>
    </w:p>
    <w:p>
      <w:pPr>
        <w:rPr>
          <w:rFonts w:ascii="Times New Roman" w:hAnsi="Times New Roman" w:eastAsia="微软雅黑" w:cs="Times New Roman"/>
          <w:sz w:val="18"/>
          <w:szCs w:val="18"/>
          <w:lang w:eastAsia="zh-CN"/>
        </w:rPr>
      </w:pPr>
    </w:p>
    <w:tbl>
      <w:tblPr>
        <w:tblStyle w:val="15"/>
        <w:tblW w:w="5000" w:type="pct"/>
        <w:jc w:val="center"/>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Layout w:type="autofit"/>
        <w:tblCellMar>
          <w:top w:w="0" w:type="dxa"/>
          <w:left w:w="108" w:type="dxa"/>
          <w:bottom w:w="0" w:type="dxa"/>
          <w:right w:w="108" w:type="dxa"/>
        </w:tblCellMar>
      </w:tblPr>
      <w:tblGrid>
        <w:gridCol w:w="1259"/>
        <w:gridCol w:w="1259"/>
        <w:gridCol w:w="1260"/>
        <w:gridCol w:w="1260"/>
        <w:gridCol w:w="1260"/>
        <w:gridCol w:w="1260"/>
        <w:gridCol w:w="1266"/>
        <w:gridCol w:w="1262"/>
      </w:tblGrid>
      <w:tr>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APC</w:t>
            </w:r>
          </w:p>
        </w:tc>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AR</w:t>
            </w:r>
          </w:p>
        </w:tc>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ATM</w:t>
            </w:r>
          </w:p>
        </w:tc>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ATR</w:t>
            </w:r>
          </w:p>
        </w:tc>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BARD1</w:t>
            </w:r>
          </w:p>
        </w:tc>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BRCA1</w:t>
            </w:r>
          </w:p>
        </w:tc>
        <w:tc>
          <w:tcPr>
            <w:tcW w:w="627"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BRCA2</w:t>
            </w:r>
          </w:p>
        </w:tc>
        <w:tc>
          <w:tcPr>
            <w:tcW w:w="625"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BRIP1</w:t>
            </w:r>
          </w:p>
        </w:tc>
      </w:tr>
      <w:tr>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CDH1</w:t>
            </w:r>
          </w:p>
        </w:tc>
        <w:tc>
          <w:tcPr>
            <w:tcW w:w="1259"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CDK12</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CHEK1</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CHEK2</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EPCAM</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ERBB2</w:t>
            </w:r>
          </w:p>
        </w:tc>
        <w:tc>
          <w:tcPr>
            <w:tcW w:w="1266"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ERCC3</w:t>
            </w:r>
          </w:p>
        </w:tc>
        <w:tc>
          <w:tcPr>
            <w:tcW w:w="1262"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ESR1</w:t>
            </w:r>
          </w:p>
        </w:tc>
      </w:tr>
      <w:tr>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FANCA</w:t>
            </w:r>
          </w:p>
        </w:tc>
        <w:tc>
          <w:tcPr>
            <w:tcW w:w="1259"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FANCL</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FANCM</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FGFR1</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FGFR2</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FGFR3</w:t>
            </w:r>
          </w:p>
        </w:tc>
        <w:tc>
          <w:tcPr>
            <w:tcW w:w="1266"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GEN1</w:t>
            </w:r>
          </w:p>
        </w:tc>
        <w:tc>
          <w:tcPr>
            <w:tcW w:w="1262"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HDAC2</w:t>
            </w:r>
          </w:p>
        </w:tc>
      </w:tr>
      <w:tr>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MLH1</w:t>
            </w:r>
          </w:p>
        </w:tc>
        <w:tc>
          <w:tcPr>
            <w:tcW w:w="1259"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MLH3</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MRE11</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MSH2</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MSH6</w:t>
            </w:r>
          </w:p>
        </w:tc>
        <w:tc>
          <w:tcPr>
            <w:tcW w:w="1260"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MUTYH</w:t>
            </w:r>
          </w:p>
        </w:tc>
        <w:tc>
          <w:tcPr>
            <w:tcW w:w="1266"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NBN</w:t>
            </w:r>
          </w:p>
        </w:tc>
        <w:tc>
          <w:tcPr>
            <w:tcW w:w="1262" w:type="dxa"/>
            <w:tcBorders>
              <w:tl2br w:val="nil"/>
              <w:tr2bl w:val="nil"/>
            </w:tcBorders>
            <w:shd w:val="clear" w:color="auto" w:fill="E6E6E6"/>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NF1</w:t>
            </w:r>
          </w:p>
        </w:tc>
      </w:tr>
      <w:tr>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PALB2</w:t>
            </w:r>
          </w:p>
        </w:tc>
        <w:tc>
          <w:tcPr>
            <w:tcW w:w="1259"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PIK3CA</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PMS2</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PPM1D</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PPP2R2A</w:t>
            </w:r>
          </w:p>
        </w:tc>
        <w:tc>
          <w:tcPr>
            <w:tcW w:w="1260"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PTEN</w:t>
            </w:r>
          </w:p>
        </w:tc>
        <w:tc>
          <w:tcPr>
            <w:tcW w:w="1266"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RAD50</w:t>
            </w:r>
          </w:p>
        </w:tc>
        <w:tc>
          <w:tcPr>
            <w:tcW w:w="1262" w:type="dxa"/>
            <w:tcBorders>
              <w:tl2br w:val="nil"/>
              <w:tr2bl w:val="nil"/>
            </w:tcBorders>
            <w:vAlign w:val="center"/>
          </w:tcPr>
          <w:p>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RAD51B</w:t>
            </w:r>
          </w:p>
        </w:tc>
      </w:tr>
      <w:tr>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RAD51C</w:t>
            </w:r>
          </w:p>
        </w:tc>
        <w:tc>
          <w:tcPr>
            <w:tcW w:w="1259" w:type="dxa"/>
            <w:tcBorders>
              <w:tl2br w:val="nil"/>
              <w:tr2bl w:val="nil"/>
            </w:tcBorders>
            <w:shd w:val="clear" w:color="auto" w:fill="E6E6E6"/>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RAD51D</w:t>
            </w:r>
          </w:p>
        </w:tc>
        <w:tc>
          <w:tcPr>
            <w:tcW w:w="1260" w:type="dxa"/>
            <w:tcBorders>
              <w:tl2br w:val="nil"/>
              <w:tr2bl w:val="nil"/>
            </w:tcBorders>
            <w:shd w:val="clear" w:color="auto" w:fill="E6E6E6"/>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RAD54L</w:t>
            </w:r>
          </w:p>
        </w:tc>
        <w:tc>
          <w:tcPr>
            <w:tcW w:w="1260" w:type="dxa"/>
            <w:tcBorders>
              <w:tl2br w:val="nil"/>
              <w:tr2bl w:val="nil"/>
            </w:tcBorders>
            <w:shd w:val="clear" w:color="auto" w:fill="E6E6E6"/>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STK11</w:t>
            </w:r>
          </w:p>
        </w:tc>
        <w:tc>
          <w:tcPr>
            <w:tcW w:w="1260" w:type="dxa"/>
            <w:tcBorders>
              <w:tl2br w:val="nil"/>
              <w:tr2bl w:val="nil"/>
            </w:tcBorders>
            <w:shd w:val="clear" w:color="auto" w:fill="E6E6E6"/>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TP53</w:t>
            </w:r>
          </w:p>
        </w:tc>
        <w:tc>
          <w:tcPr>
            <w:tcW w:w="624" w:type="pct"/>
            <w:tcBorders>
              <w:tl2br w:val="nil"/>
              <w:tr2bl w:val="nil"/>
            </w:tcBorders>
            <w:shd w:val="clear" w:color="auto" w:fill="E6E6E6"/>
            <w:vAlign w:val="center"/>
          </w:tcPr>
          <w:p>
            <w:pPr>
              <w:jc w:val="center"/>
              <w:rPr>
                <w:rFonts w:ascii="Times New Roman" w:hAnsi="Times New Roman" w:eastAsia="微软雅黑" w:cs="Times New Roman"/>
                <w:sz w:val="18"/>
                <w:szCs w:val="18"/>
              </w:rPr>
            </w:pPr>
          </w:p>
        </w:tc>
        <w:tc>
          <w:tcPr>
            <w:tcW w:w="627" w:type="pct"/>
            <w:tcBorders>
              <w:tl2br w:val="nil"/>
              <w:tr2bl w:val="nil"/>
            </w:tcBorders>
            <w:shd w:val="clear" w:color="auto" w:fill="E6E6E6"/>
            <w:vAlign w:val="center"/>
          </w:tcPr>
          <w:p>
            <w:pPr>
              <w:jc w:val="center"/>
              <w:rPr>
                <w:rFonts w:ascii="Times New Roman" w:hAnsi="Times New Roman" w:eastAsia="微软雅黑" w:cs="Times New Roman"/>
                <w:sz w:val="18"/>
                <w:szCs w:val="18"/>
              </w:rPr>
            </w:pPr>
          </w:p>
        </w:tc>
        <w:tc>
          <w:tcPr>
            <w:tcW w:w="625" w:type="pct"/>
            <w:tcBorders>
              <w:tl2br w:val="nil"/>
              <w:tr2bl w:val="nil"/>
            </w:tcBorders>
            <w:shd w:val="clear" w:color="auto" w:fill="E6E6E6"/>
            <w:vAlign w:val="center"/>
          </w:tcPr>
          <w:p>
            <w:pPr>
              <w:jc w:val="center"/>
              <w:rPr>
                <w:rFonts w:ascii="Times New Roman" w:hAnsi="Times New Roman" w:eastAsia="微软雅黑" w:cs="Times New Roman"/>
                <w:sz w:val="18"/>
                <w:szCs w:val="18"/>
              </w:rPr>
            </w:pPr>
          </w:p>
        </w:tc>
      </w:tr>
    </w:tbl>
    <w:p>
      <w:pPr>
        <w:rPr>
          <w:rFonts w:ascii="Times New Roman" w:hAnsi="Times New Roman"/>
          <w:lang w:eastAsia="zh-CN"/>
        </w:rPr>
      </w:pPr>
      <w:r>
        <w:rPr>
          <w:rFonts w:ascii="Times New Roman" w:hAnsi="Times New Roman"/>
          <w:lang w:eastAsia="zh-CN"/>
        </w:rPr>
        <w:br w:type="page"/>
      </w:r>
    </w:p>
    <w:bookmarkEnd w:id="40"/>
    <w:bookmarkEnd w:id="41"/>
    <w:bookmarkEnd w:id="42"/>
    <w:p>
      <w:pPr>
        <w:pStyle w:val="2"/>
        <w:numPr>
          <w:ilvl w:val="0"/>
          <w:numId w:val="0"/>
        </w:numPr>
        <w:ind w:left="-267"/>
        <w:jc w:val="left"/>
        <w:rPr>
          <w:color w:val="auto"/>
        </w:rPr>
      </w:pPr>
      <w:bookmarkStart w:id="55" w:name="_Toc1310"/>
      <w:bookmarkStart w:id="56" w:name="_Toc22623"/>
      <w:bookmarkStart w:id="57" w:name="_Toc22162_WPSOffice_Level1"/>
      <w:bookmarkStart w:id="58" w:name="_Toc13275"/>
      <w:bookmarkStart w:id="59" w:name="_Toc17792_WPSOffice_Level2"/>
      <w:bookmarkStart w:id="60" w:name="_Toc14611_WPSOffice_Level1"/>
      <w:bookmarkStart w:id="61" w:name="_Toc19584_WPSOffice_Level1"/>
      <w:r>
        <w:rPr>
          <w:rFonts w:hint="eastAsia"/>
          <w:color w:val="auto"/>
        </w:rPr>
        <w:t>4.6</w:t>
      </w:r>
      <w:r>
        <w:rPr>
          <w:rFonts w:hint="eastAsia"/>
          <w:color w:val="auto"/>
          <w:lang w:val="en-US" w:eastAsia="zh-CN"/>
        </w:rPr>
        <w:t xml:space="preserve"> </w:t>
      </w:r>
      <w:r>
        <w:rPr>
          <w:color w:val="auto"/>
        </w:rPr>
        <w:t>参考文献</w:t>
      </w:r>
      <w:bookmarkEnd w:id="55"/>
    </w:p>
    <w:bookmarkEnd w:id="56"/>
    <w:bookmarkEnd w:id="57"/>
    <w:bookmarkEnd w:id="58"/>
    <w:bookmarkEnd w:id="59"/>
    <w:bookmarkEnd w:id="60"/>
    <w:bookmarkEnd w:id="61"/>
    <w:p>
      <w:pPr>
        <w:pStyle w:val="32"/>
        <w:widowControl/>
        <w:numPr>
          <w:ilvl w:val="0"/>
          <w:numId w:val="12"/>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pPr>
        <w:pStyle w:val="32"/>
        <w:widowControl/>
        <w:numPr>
          <w:ilvl w:val="0"/>
          <w:numId w:val="12"/>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Butler T, Maravent S, Boisselle J, et al. A review of 2014 cancer drug approvals, with a look at 2015 and beyond[J]. Pharmacy and Therapeutics, 2015, 40(3): 191.</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rPr>
          <w:rFonts w:ascii="Times New Roman" w:hAnsi="Times New Roman"/>
        </w:rPr>
        <w:t xml:space="preserve"> </w:t>
      </w:r>
      <w:r>
        <w:rPr>
          <w:rFonts w:ascii="Times New Roman" w:hAnsi="Times New Roman" w:eastAsia="微软雅黑"/>
          <w:color w:val="222222"/>
          <w:sz w:val="20"/>
          <w:szCs w:val="20"/>
          <w:shd w:val="clear" w:color="auto" w:fill="FFFFFF"/>
        </w:rPr>
        <w:t>Hum Mol Genet, 2019,28(24):4148-4160.</w:t>
      </w:r>
    </w:p>
    <w:p>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pPr>
        <w:pStyle w:val="32"/>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p>
      <w:pPr>
        <w:widowControl/>
        <w:spacing w:after="84" w:line="259" w:lineRule="auto"/>
        <w:rPr>
          <w:rFonts w:ascii="Times New Roman" w:hAnsi="Times New Roman" w:eastAsia="微软雅黑" w:cs="Times New Roman"/>
          <w:sz w:val="15"/>
          <w:szCs w:val="15"/>
          <w:lang w:eastAsia="zh-CN"/>
        </w:rPr>
        <w:sectPr>
          <w:pgSz w:w="11910" w:h="16840"/>
          <w:pgMar w:top="1037" w:right="1020" w:bottom="981" w:left="1020" w:header="624" w:footer="567" w:gutter="0"/>
          <w:cols w:space="720" w:num="1"/>
        </w:sectPr>
      </w:pPr>
    </w:p>
    <w:p>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pPr>
        <w:rPr>
          <w:rFonts w:eastAsia="微软雅黑" w:cs="Times New Roman"/>
          <w:lang w:eastAsia="zh-CN"/>
        </w:rPr>
      </w:pPr>
      <w:r>
        <w:rPr>
          <w:rFonts w:hint="eastAsia" w:eastAsia="微软雅黑" w:cs="Times New Roman"/>
          <w:lang w:eastAsia="zh-CN"/>
        </w:rPr>
        <w:br w:type="page"/>
      </w:r>
    </w:p>
    <w:p>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p>
      <w:pPr>
        <w:widowControl/>
        <w:spacing w:after="84" w:line="259" w:lineRule="auto"/>
        <w:rPr>
          <w:rFonts w:ascii="Times New Roman" w:hAnsi="Times New Roman" w:eastAsia="微软雅黑" w:cs="Times New Roman"/>
          <w:sz w:val="15"/>
          <w:szCs w:val="15"/>
          <w:lang w:eastAsia="zh-CN"/>
        </w:rPr>
      </w:pPr>
    </w:p>
    <w:sectPr>
      <w:headerReference r:id="rId8" w:type="default"/>
      <w:footerReference r:id="rId9" w:type="default"/>
      <w:pgSz w:w="11910" w:h="16840"/>
      <w:pgMar w:top="1037" w:right="1020" w:bottom="981" w:left="1020" w:header="624"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MicrosoftYaHei">
    <w:altName w:val="Segoe Print"/>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1143" w:tblpY="1586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shd w:val="clear" w:color="auto"/>
              <w:lang w:eastAsia="zh-CN"/>
            </w:rPr>
            <w:tab/>
          </w:r>
        </w:p>
      </w:tc>
    </w:tr>
  </w:tbl>
  <w:p>
    <w:pPr>
      <w:rPr>
        <w:sz w:val="20"/>
        <w:szCs w:val="20"/>
      </w:rPr>
    </w:pPr>
  </w:p>
  <w:p>
    <w:pPr>
      <w:rPr>
        <w:sz w:val="20"/>
        <w:szCs w:val="20"/>
      </w:rPr>
    </w:pPr>
  </w:p>
  <w:p>
    <w:pPr>
      <w:spacing w:line="14" w:lineRule="auto"/>
      <w:rPr>
        <w:sz w:val="20"/>
        <w:szCs w:val="20"/>
      </w:rPr>
    </w:pPr>
    <w:r>
      <w:rPr>
        <w:sz w:val="20"/>
        <w:lang w:eastAsia="zh-CN"/>
      </w:rPr>
      <mc:AlternateContent>
        <mc:Choice Requires="wps">
          <w:drawing>
            <wp:anchor distT="0" distB="0" distL="114300" distR="114300" simplePos="0" relativeHeight="251660288" behindDoc="0" locked="0" layoutInCell="1" allowOverlap="1">
              <wp:simplePos x="0" y="0"/>
              <wp:positionH relativeFrom="margin">
                <wp:posOffset>3082925</wp:posOffset>
              </wp:positionH>
              <wp:positionV relativeFrom="paragraph">
                <wp:posOffset>73660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27</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42.75pt;margin-top:5.8pt;height:144pt;width:144pt;mso-position-horizontal-relative:margin;mso-wrap-style:none;z-index:251660288;mso-width-relative:page;mso-height-relative:page;" filled="f" stroked="f" coordsize="21600,21600" o:gfxdata="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EzMHZ2AAAAAoBAAAPAAAAAAAAAAEAIAAAACIAAABkcnMvZG93bnJldi54bWxQSwECFAAU&#10;AAAACACHTuJAjNcOfCoCAABVBAAADgAAAAAAAAABACAAAAAnAQAAZHJzL2Uyb0RvYy54bWxQSwUG&#10;AAAAAAYABgBZAQAAwwUAAAAA&#10;">
              <v:fill on="f" focussize="0,0"/>
              <v:stroke on="f" weight="0.5pt"/>
              <v:imagedata o:title=""/>
              <o:lock v:ext="edit" aspectratio="f"/>
              <v:textbox inset="0mm,0mm,0mm,0mm" style="mso-fit-shape-to-text:t;">
                <w:txbxContent>
                  <w:p>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27</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p>
    <w:pPr>
      <w:spacing w:line="14" w:lineRule="auto"/>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999" w:hanging="2998" w:hangingChars="1428"/>
      <w:jc w:val="both"/>
      <w:rPr>
        <w:color w:val="7F7F7F"/>
        <w:sz w:val="21"/>
        <w:szCs w:val="21"/>
        <w:lang w:eastAsia="zh-CN"/>
      </w:rPr>
    </w:pPr>
  </w:p>
  <w:p>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-211455</wp:posOffset>
          </wp:positionV>
          <wp:extent cx="1836420" cy="376555"/>
          <wp:effectExtent l="0" t="0" r="5080" b="4445"/>
          <wp:wrapSquare wrapText="bothSides"/>
          <wp:docPr id="8" name="图片 8"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AA90E"/>
    <w:multiLevelType w:val="singleLevel"/>
    <w:tmpl w:val="89FAA90E"/>
    <w:lvl w:ilvl="0" w:tentative="0">
      <w:start w:val="2"/>
      <w:numFmt w:val="chineseCounting"/>
      <w:suff w:val="space"/>
      <w:lvlText w:val="第%1部分"/>
      <w:lvlJc w:val="left"/>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6"/>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2"/>
  </w:num>
  <w:num w:numId="10">
    <w:abstractNumId w:val="8"/>
  </w:num>
  <w:num w:numId="11">
    <w:abstractNumId w:val="1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80C25"/>
    <w:rsid w:val="0008356A"/>
    <w:rsid w:val="000A25EF"/>
    <w:rsid w:val="000E32CA"/>
    <w:rsid w:val="000F48D8"/>
    <w:rsid w:val="001141CA"/>
    <w:rsid w:val="001352AC"/>
    <w:rsid w:val="00146673"/>
    <w:rsid w:val="00157515"/>
    <w:rsid w:val="00172A27"/>
    <w:rsid w:val="001846E1"/>
    <w:rsid w:val="001A7044"/>
    <w:rsid w:val="001C0F01"/>
    <w:rsid w:val="001C155C"/>
    <w:rsid w:val="001D1CAE"/>
    <w:rsid w:val="001E0ED7"/>
    <w:rsid w:val="001F02AB"/>
    <w:rsid w:val="001F1443"/>
    <w:rsid w:val="001F50EA"/>
    <w:rsid w:val="00200AFA"/>
    <w:rsid w:val="00200E83"/>
    <w:rsid w:val="00222B21"/>
    <w:rsid w:val="00227A2A"/>
    <w:rsid w:val="0023413B"/>
    <w:rsid w:val="00234B10"/>
    <w:rsid w:val="0024348C"/>
    <w:rsid w:val="0025168E"/>
    <w:rsid w:val="002636CF"/>
    <w:rsid w:val="00272AA4"/>
    <w:rsid w:val="00280A5B"/>
    <w:rsid w:val="002850BB"/>
    <w:rsid w:val="002918E6"/>
    <w:rsid w:val="002A5154"/>
    <w:rsid w:val="002A77BA"/>
    <w:rsid w:val="002C1C7D"/>
    <w:rsid w:val="002C357F"/>
    <w:rsid w:val="002D6EF8"/>
    <w:rsid w:val="002E0910"/>
    <w:rsid w:val="002E1536"/>
    <w:rsid w:val="002F0BAC"/>
    <w:rsid w:val="002F16C6"/>
    <w:rsid w:val="002F3F3A"/>
    <w:rsid w:val="003100C5"/>
    <w:rsid w:val="0032374C"/>
    <w:rsid w:val="003275FF"/>
    <w:rsid w:val="00354E31"/>
    <w:rsid w:val="00370210"/>
    <w:rsid w:val="00373BFC"/>
    <w:rsid w:val="0038614A"/>
    <w:rsid w:val="00390AF6"/>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20E8"/>
    <w:rsid w:val="004E3F93"/>
    <w:rsid w:val="00503BE5"/>
    <w:rsid w:val="005479E7"/>
    <w:rsid w:val="00547D3B"/>
    <w:rsid w:val="00576C30"/>
    <w:rsid w:val="0059328A"/>
    <w:rsid w:val="00597074"/>
    <w:rsid w:val="005B2FCB"/>
    <w:rsid w:val="005C3DF8"/>
    <w:rsid w:val="00613EB6"/>
    <w:rsid w:val="006229F0"/>
    <w:rsid w:val="00656E82"/>
    <w:rsid w:val="00673D9E"/>
    <w:rsid w:val="00675481"/>
    <w:rsid w:val="006967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1FE3"/>
    <w:rsid w:val="00802349"/>
    <w:rsid w:val="00806D3D"/>
    <w:rsid w:val="00813930"/>
    <w:rsid w:val="00817F49"/>
    <w:rsid w:val="00840756"/>
    <w:rsid w:val="0085711A"/>
    <w:rsid w:val="00890E10"/>
    <w:rsid w:val="008A1843"/>
    <w:rsid w:val="008A339A"/>
    <w:rsid w:val="008A634D"/>
    <w:rsid w:val="008B093B"/>
    <w:rsid w:val="008B5D9E"/>
    <w:rsid w:val="008D1E6B"/>
    <w:rsid w:val="008E7370"/>
    <w:rsid w:val="00902C56"/>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478C"/>
    <w:rsid w:val="00A15B8C"/>
    <w:rsid w:val="00A41368"/>
    <w:rsid w:val="00A44851"/>
    <w:rsid w:val="00A46DCD"/>
    <w:rsid w:val="00A47654"/>
    <w:rsid w:val="00A6559D"/>
    <w:rsid w:val="00A730DE"/>
    <w:rsid w:val="00AA3E63"/>
    <w:rsid w:val="00AA7DD2"/>
    <w:rsid w:val="00AB51A4"/>
    <w:rsid w:val="00B337C2"/>
    <w:rsid w:val="00B36949"/>
    <w:rsid w:val="00B84550"/>
    <w:rsid w:val="00B87B69"/>
    <w:rsid w:val="00BA2397"/>
    <w:rsid w:val="00BB0AED"/>
    <w:rsid w:val="00BD4CC0"/>
    <w:rsid w:val="00BE0ACB"/>
    <w:rsid w:val="00BE114A"/>
    <w:rsid w:val="00BE21B8"/>
    <w:rsid w:val="00BE4CB2"/>
    <w:rsid w:val="00C00687"/>
    <w:rsid w:val="00C0111F"/>
    <w:rsid w:val="00C17019"/>
    <w:rsid w:val="00C21CDB"/>
    <w:rsid w:val="00C234B8"/>
    <w:rsid w:val="00C30656"/>
    <w:rsid w:val="00C46069"/>
    <w:rsid w:val="00CA40B2"/>
    <w:rsid w:val="00CA5E09"/>
    <w:rsid w:val="00CA62B5"/>
    <w:rsid w:val="00CB197C"/>
    <w:rsid w:val="00CC09A6"/>
    <w:rsid w:val="00CD21EB"/>
    <w:rsid w:val="00CF3B4D"/>
    <w:rsid w:val="00CF3CB1"/>
    <w:rsid w:val="00CF7ADD"/>
    <w:rsid w:val="00D01F2D"/>
    <w:rsid w:val="00D12B04"/>
    <w:rsid w:val="00D15863"/>
    <w:rsid w:val="00D24840"/>
    <w:rsid w:val="00D50055"/>
    <w:rsid w:val="00D61A0F"/>
    <w:rsid w:val="00DA2F2F"/>
    <w:rsid w:val="00DC3D73"/>
    <w:rsid w:val="00DC42D4"/>
    <w:rsid w:val="00DF2210"/>
    <w:rsid w:val="00E25128"/>
    <w:rsid w:val="00E34ADB"/>
    <w:rsid w:val="00E35D32"/>
    <w:rsid w:val="00E53230"/>
    <w:rsid w:val="00E71EEB"/>
    <w:rsid w:val="00E840FC"/>
    <w:rsid w:val="00E915B2"/>
    <w:rsid w:val="00E9286C"/>
    <w:rsid w:val="00E9556A"/>
    <w:rsid w:val="00EB134F"/>
    <w:rsid w:val="00EB3E0A"/>
    <w:rsid w:val="00EC0157"/>
    <w:rsid w:val="00EC59B6"/>
    <w:rsid w:val="00F11CFA"/>
    <w:rsid w:val="00F261E1"/>
    <w:rsid w:val="00F44104"/>
    <w:rsid w:val="00F51C09"/>
    <w:rsid w:val="00F809A8"/>
    <w:rsid w:val="00FB0C1E"/>
    <w:rsid w:val="00FD1C76"/>
    <w:rsid w:val="00FF1626"/>
    <w:rsid w:val="00FF5E46"/>
    <w:rsid w:val="00FF7BB1"/>
    <w:rsid w:val="011A0D8B"/>
    <w:rsid w:val="01251664"/>
    <w:rsid w:val="012B5D8C"/>
    <w:rsid w:val="013411A8"/>
    <w:rsid w:val="01802C9E"/>
    <w:rsid w:val="0193234B"/>
    <w:rsid w:val="019B0A01"/>
    <w:rsid w:val="01E01882"/>
    <w:rsid w:val="024A64DB"/>
    <w:rsid w:val="027F2303"/>
    <w:rsid w:val="02AB3332"/>
    <w:rsid w:val="02AB46FE"/>
    <w:rsid w:val="02CA5230"/>
    <w:rsid w:val="03726F1A"/>
    <w:rsid w:val="03C20798"/>
    <w:rsid w:val="03D471D5"/>
    <w:rsid w:val="03EC12AF"/>
    <w:rsid w:val="040A684F"/>
    <w:rsid w:val="04562E59"/>
    <w:rsid w:val="045A34A7"/>
    <w:rsid w:val="04867E30"/>
    <w:rsid w:val="04871837"/>
    <w:rsid w:val="04A20014"/>
    <w:rsid w:val="04BF56DD"/>
    <w:rsid w:val="04C17114"/>
    <w:rsid w:val="04C2374E"/>
    <w:rsid w:val="04ED242E"/>
    <w:rsid w:val="050D7EDA"/>
    <w:rsid w:val="05121E5F"/>
    <w:rsid w:val="05411130"/>
    <w:rsid w:val="058506FF"/>
    <w:rsid w:val="05A43F06"/>
    <w:rsid w:val="065364CF"/>
    <w:rsid w:val="06D33A56"/>
    <w:rsid w:val="06F8101D"/>
    <w:rsid w:val="072A1A4A"/>
    <w:rsid w:val="074043CC"/>
    <w:rsid w:val="0758453C"/>
    <w:rsid w:val="07872E36"/>
    <w:rsid w:val="07915ECA"/>
    <w:rsid w:val="07AC659B"/>
    <w:rsid w:val="07DB59EB"/>
    <w:rsid w:val="07F128A2"/>
    <w:rsid w:val="07F52B34"/>
    <w:rsid w:val="08166F7D"/>
    <w:rsid w:val="089A2EC7"/>
    <w:rsid w:val="09A61D2D"/>
    <w:rsid w:val="09FB1359"/>
    <w:rsid w:val="0A043ABA"/>
    <w:rsid w:val="0ADC4D3E"/>
    <w:rsid w:val="0B510739"/>
    <w:rsid w:val="0B86242F"/>
    <w:rsid w:val="0BCC7B15"/>
    <w:rsid w:val="0BDB4344"/>
    <w:rsid w:val="0C137E2E"/>
    <w:rsid w:val="0C146829"/>
    <w:rsid w:val="0C3A0C95"/>
    <w:rsid w:val="0C3E5385"/>
    <w:rsid w:val="0C96240B"/>
    <w:rsid w:val="0CF839A0"/>
    <w:rsid w:val="0D105078"/>
    <w:rsid w:val="0D663C9C"/>
    <w:rsid w:val="0DFF49C5"/>
    <w:rsid w:val="0E11445D"/>
    <w:rsid w:val="0E1B586D"/>
    <w:rsid w:val="0E542351"/>
    <w:rsid w:val="0E792F4F"/>
    <w:rsid w:val="0EBF2A43"/>
    <w:rsid w:val="0ED843CC"/>
    <w:rsid w:val="0EEC0C47"/>
    <w:rsid w:val="0EF70E3A"/>
    <w:rsid w:val="0F7313AF"/>
    <w:rsid w:val="0FB9297A"/>
    <w:rsid w:val="10963380"/>
    <w:rsid w:val="12037ADB"/>
    <w:rsid w:val="12963DA1"/>
    <w:rsid w:val="12C802A3"/>
    <w:rsid w:val="136634FA"/>
    <w:rsid w:val="13886440"/>
    <w:rsid w:val="13897526"/>
    <w:rsid w:val="13AB527B"/>
    <w:rsid w:val="13B34400"/>
    <w:rsid w:val="13C058C2"/>
    <w:rsid w:val="148972D9"/>
    <w:rsid w:val="15196B67"/>
    <w:rsid w:val="152E3223"/>
    <w:rsid w:val="153F7D0D"/>
    <w:rsid w:val="155A471A"/>
    <w:rsid w:val="158E009B"/>
    <w:rsid w:val="15A6029A"/>
    <w:rsid w:val="161A6AFC"/>
    <w:rsid w:val="16442C14"/>
    <w:rsid w:val="164976AB"/>
    <w:rsid w:val="1674206D"/>
    <w:rsid w:val="167E70F5"/>
    <w:rsid w:val="169A11C9"/>
    <w:rsid w:val="16AD561C"/>
    <w:rsid w:val="16C17241"/>
    <w:rsid w:val="16E82A20"/>
    <w:rsid w:val="16ED5671"/>
    <w:rsid w:val="16F34E64"/>
    <w:rsid w:val="16FF3D8E"/>
    <w:rsid w:val="17526BA2"/>
    <w:rsid w:val="17CE3734"/>
    <w:rsid w:val="17E476A7"/>
    <w:rsid w:val="17EE10AA"/>
    <w:rsid w:val="17EF172D"/>
    <w:rsid w:val="18480D4B"/>
    <w:rsid w:val="19314B52"/>
    <w:rsid w:val="19D96944"/>
    <w:rsid w:val="1A054B30"/>
    <w:rsid w:val="1A1B0D94"/>
    <w:rsid w:val="1ACF425B"/>
    <w:rsid w:val="1AF43E42"/>
    <w:rsid w:val="1B142FDB"/>
    <w:rsid w:val="1B28649B"/>
    <w:rsid w:val="1B960DAA"/>
    <w:rsid w:val="1BA36B7F"/>
    <w:rsid w:val="1C7A05D0"/>
    <w:rsid w:val="1C98707F"/>
    <w:rsid w:val="1CE617B0"/>
    <w:rsid w:val="1CFB3D7D"/>
    <w:rsid w:val="1D135393"/>
    <w:rsid w:val="1D185773"/>
    <w:rsid w:val="1D5F23CA"/>
    <w:rsid w:val="1E0D2131"/>
    <w:rsid w:val="1E1918C8"/>
    <w:rsid w:val="1E2D19BD"/>
    <w:rsid w:val="1E485175"/>
    <w:rsid w:val="1E853820"/>
    <w:rsid w:val="1EAB0C6A"/>
    <w:rsid w:val="1EEB2832"/>
    <w:rsid w:val="1F7A08D5"/>
    <w:rsid w:val="1FCA404E"/>
    <w:rsid w:val="20205A20"/>
    <w:rsid w:val="205478E3"/>
    <w:rsid w:val="20855B55"/>
    <w:rsid w:val="208907AA"/>
    <w:rsid w:val="209432E5"/>
    <w:rsid w:val="20BE3A38"/>
    <w:rsid w:val="20E26FBF"/>
    <w:rsid w:val="21333755"/>
    <w:rsid w:val="216F18A9"/>
    <w:rsid w:val="21B82C79"/>
    <w:rsid w:val="22180203"/>
    <w:rsid w:val="235C2C2A"/>
    <w:rsid w:val="23DC4798"/>
    <w:rsid w:val="23FA3333"/>
    <w:rsid w:val="241D27D8"/>
    <w:rsid w:val="248A7AD8"/>
    <w:rsid w:val="24B139C0"/>
    <w:rsid w:val="24C602F5"/>
    <w:rsid w:val="252A77AB"/>
    <w:rsid w:val="25C0610E"/>
    <w:rsid w:val="25EE2D8B"/>
    <w:rsid w:val="26086C3B"/>
    <w:rsid w:val="26136A1E"/>
    <w:rsid w:val="2636662C"/>
    <w:rsid w:val="26902CD1"/>
    <w:rsid w:val="26976104"/>
    <w:rsid w:val="269E6D93"/>
    <w:rsid w:val="26CA67C9"/>
    <w:rsid w:val="2762237B"/>
    <w:rsid w:val="27870460"/>
    <w:rsid w:val="28846232"/>
    <w:rsid w:val="289838E5"/>
    <w:rsid w:val="28A52D9C"/>
    <w:rsid w:val="28B74238"/>
    <w:rsid w:val="290975E1"/>
    <w:rsid w:val="296B694A"/>
    <w:rsid w:val="296F5B95"/>
    <w:rsid w:val="298968EA"/>
    <w:rsid w:val="299126EE"/>
    <w:rsid w:val="29A0647E"/>
    <w:rsid w:val="29DE0525"/>
    <w:rsid w:val="29FC4D8F"/>
    <w:rsid w:val="2A0557DF"/>
    <w:rsid w:val="2A3716AB"/>
    <w:rsid w:val="2A386E0C"/>
    <w:rsid w:val="2A3A75DF"/>
    <w:rsid w:val="2A4B084E"/>
    <w:rsid w:val="2A7A5D12"/>
    <w:rsid w:val="2A8F79A3"/>
    <w:rsid w:val="2AC346F6"/>
    <w:rsid w:val="2ADE2A02"/>
    <w:rsid w:val="2AF73530"/>
    <w:rsid w:val="2B6E26CC"/>
    <w:rsid w:val="2BA14E2B"/>
    <w:rsid w:val="2BC37381"/>
    <w:rsid w:val="2C165FD1"/>
    <w:rsid w:val="2C263173"/>
    <w:rsid w:val="2C427C83"/>
    <w:rsid w:val="2C7F1570"/>
    <w:rsid w:val="2CB01DDA"/>
    <w:rsid w:val="2CCD75F3"/>
    <w:rsid w:val="2D1759B5"/>
    <w:rsid w:val="2D3B1DEF"/>
    <w:rsid w:val="2D485130"/>
    <w:rsid w:val="2D4D36FA"/>
    <w:rsid w:val="2D7841B2"/>
    <w:rsid w:val="2DC31699"/>
    <w:rsid w:val="2DC94235"/>
    <w:rsid w:val="2E0C0EE9"/>
    <w:rsid w:val="2E292271"/>
    <w:rsid w:val="2E664CC8"/>
    <w:rsid w:val="2EB35A8A"/>
    <w:rsid w:val="2EED262F"/>
    <w:rsid w:val="2F0E1559"/>
    <w:rsid w:val="2F4D4854"/>
    <w:rsid w:val="2FD66401"/>
    <w:rsid w:val="30164A9C"/>
    <w:rsid w:val="302F01DB"/>
    <w:rsid w:val="307D0225"/>
    <w:rsid w:val="30B55C11"/>
    <w:rsid w:val="30E75037"/>
    <w:rsid w:val="3109732A"/>
    <w:rsid w:val="31EA0843"/>
    <w:rsid w:val="31EB0C63"/>
    <w:rsid w:val="32254E48"/>
    <w:rsid w:val="32B71D27"/>
    <w:rsid w:val="32B76BA4"/>
    <w:rsid w:val="32CC0ABE"/>
    <w:rsid w:val="331D2C73"/>
    <w:rsid w:val="33D44139"/>
    <w:rsid w:val="33E97D18"/>
    <w:rsid w:val="3410359D"/>
    <w:rsid w:val="34192A1D"/>
    <w:rsid w:val="34595184"/>
    <w:rsid w:val="346F257B"/>
    <w:rsid w:val="34777EA9"/>
    <w:rsid w:val="357E5409"/>
    <w:rsid w:val="35B3556B"/>
    <w:rsid w:val="35F5325E"/>
    <w:rsid w:val="35FB4ABA"/>
    <w:rsid w:val="362639F9"/>
    <w:rsid w:val="368045CB"/>
    <w:rsid w:val="368A6637"/>
    <w:rsid w:val="3691049E"/>
    <w:rsid w:val="36A229DD"/>
    <w:rsid w:val="371E73E3"/>
    <w:rsid w:val="372617A7"/>
    <w:rsid w:val="37C91205"/>
    <w:rsid w:val="37E81DE8"/>
    <w:rsid w:val="3848012E"/>
    <w:rsid w:val="38EA63E4"/>
    <w:rsid w:val="39107E9A"/>
    <w:rsid w:val="39315953"/>
    <w:rsid w:val="393903CD"/>
    <w:rsid w:val="39544EA1"/>
    <w:rsid w:val="3974CECD"/>
    <w:rsid w:val="39A05263"/>
    <w:rsid w:val="3A1B479B"/>
    <w:rsid w:val="3B7944CF"/>
    <w:rsid w:val="3C2E4000"/>
    <w:rsid w:val="3C454C57"/>
    <w:rsid w:val="3CAA05F4"/>
    <w:rsid w:val="3D1C3AC5"/>
    <w:rsid w:val="3D1C54C3"/>
    <w:rsid w:val="3D1C7F4B"/>
    <w:rsid w:val="3D2F24DC"/>
    <w:rsid w:val="3D302D71"/>
    <w:rsid w:val="3D6C60E9"/>
    <w:rsid w:val="3D806245"/>
    <w:rsid w:val="3D855C98"/>
    <w:rsid w:val="3DA3095A"/>
    <w:rsid w:val="3DB7557C"/>
    <w:rsid w:val="3E3C3CCD"/>
    <w:rsid w:val="3E8769F6"/>
    <w:rsid w:val="3EB75190"/>
    <w:rsid w:val="3EC949BD"/>
    <w:rsid w:val="3EF83886"/>
    <w:rsid w:val="3F3B2E46"/>
    <w:rsid w:val="3F6F4973"/>
    <w:rsid w:val="3F8C2399"/>
    <w:rsid w:val="401851BE"/>
    <w:rsid w:val="40423B40"/>
    <w:rsid w:val="404751A5"/>
    <w:rsid w:val="405979F4"/>
    <w:rsid w:val="406C1020"/>
    <w:rsid w:val="408C3476"/>
    <w:rsid w:val="408D759D"/>
    <w:rsid w:val="40BA2B58"/>
    <w:rsid w:val="40BA697C"/>
    <w:rsid w:val="40CB7F60"/>
    <w:rsid w:val="40DA213E"/>
    <w:rsid w:val="40DA6652"/>
    <w:rsid w:val="410D268C"/>
    <w:rsid w:val="413B30A4"/>
    <w:rsid w:val="415B3819"/>
    <w:rsid w:val="41C73588"/>
    <w:rsid w:val="41DA6C4D"/>
    <w:rsid w:val="42276243"/>
    <w:rsid w:val="429012F2"/>
    <w:rsid w:val="42B245CD"/>
    <w:rsid w:val="42D8067D"/>
    <w:rsid w:val="43362BE2"/>
    <w:rsid w:val="43CC66BA"/>
    <w:rsid w:val="44040D89"/>
    <w:rsid w:val="443D4776"/>
    <w:rsid w:val="446753DB"/>
    <w:rsid w:val="44894F93"/>
    <w:rsid w:val="44DD20D5"/>
    <w:rsid w:val="450242AD"/>
    <w:rsid w:val="45252AAE"/>
    <w:rsid w:val="454A2BAB"/>
    <w:rsid w:val="457B6715"/>
    <w:rsid w:val="459B31D0"/>
    <w:rsid w:val="45D4644E"/>
    <w:rsid w:val="460A5C60"/>
    <w:rsid w:val="465B60EF"/>
    <w:rsid w:val="46C824F6"/>
    <w:rsid w:val="46E12E64"/>
    <w:rsid w:val="46F17F96"/>
    <w:rsid w:val="479223B1"/>
    <w:rsid w:val="47FE73E0"/>
    <w:rsid w:val="48A4239B"/>
    <w:rsid w:val="491F1447"/>
    <w:rsid w:val="496408AB"/>
    <w:rsid w:val="4A186239"/>
    <w:rsid w:val="4AB640C6"/>
    <w:rsid w:val="4ABC0B53"/>
    <w:rsid w:val="4ACA4DCE"/>
    <w:rsid w:val="4B0D504E"/>
    <w:rsid w:val="4B315A79"/>
    <w:rsid w:val="4B441481"/>
    <w:rsid w:val="4B553763"/>
    <w:rsid w:val="4BDD7F56"/>
    <w:rsid w:val="4BE154B9"/>
    <w:rsid w:val="4C0D3351"/>
    <w:rsid w:val="4D1C23B3"/>
    <w:rsid w:val="4D6B5CEB"/>
    <w:rsid w:val="4D963B33"/>
    <w:rsid w:val="4DB12E65"/>
    <w:rsid w:val="4DC108F4"/>
    <w:rsid w:val="4DD24CA9"/>
    <w:rsid w:val="4DE929CA"/>
    <w:rsid w:val="4E901596"/>
    <w:rsid w:val="4ED24E8A"/>
    <w:rsid w:val="4FA75211"/>
    <w:rsid w:val="4FD87750"/>
    <w:rsid w:val="4FDF7E6D"/>
    <w:rsid w:val="50135FB1"/>
    <w:rsid w:val="5024193E"/>
    <w:rsid w:val="509B4DFC"/>
    <w:rsid w:val="51160562"/>
    <w:rsid w:val="52403AF9"/>
    <w:rsid w:val="52C637B6"/>
    <w:rsid w:val="5312550A"/>
    <w:rsid w:val="535803B1"/>
    <w:rsid w:val="536A2433"/>
    <w:rsid w:val="53DE69BF"/>
    <w:rsid w:val="53FD6F66"/>
    <w:rsid w:val="5414635E"/>
    <w:rsid w:val="543B1862"/>
    <w:rsid w:val="54553419"/>
    <w:rsid w:val="547B7136"/>
    <w:rsid w:val="547F2EB4"/>
    <w:rsid w:val="54901A26"/>
    <w:rsid w:val="54D723E8"/>
    <w:rsid w:val="55164621"/>
    <w:rsid w:val="55250EC9"/>
    <w:rsid w:val="5599310B"/>
    <w:rsid w:val="55C15CC7"/>
    <w:rsid w:val="55CA2C9F"/>
    <w:rsid w:val="55CC3110"/>
    <w:rsid w:val="55D313BB"/>
    <w:rsid w:val="55F312E2"/>
    <w:rsid w:val="56280ECB"/>
    <w:rsid w:val="562D03CE"/>
    <w:rsid w:val="56717539"/>
    <w:rsid w:val="56860675"/>
    <w:rsid w:val="56BE67A9"/>
    <w:rsid w:val="570E1F40"/>
    <w:rsid w:val="573E7E5F"/>
    <w:rsid w:val="573F4C80"/>
    <w:rsid w:val="57542F26"/>
    <w:rsid w:val="57C96345"/>
    <w:rsid w:val="586F4886"/>
    <w:rsid w:val="58A44110"/>
    <w:rsid w:val="5927169E"/>
    <w:rsid w:val="59C3542B"/>
    <w:rsid w:val="59C72C98"/>
    <w:rsid w:val="59EB0FCE"/>
    <w:rsid w:val="5A0507C0"/>
    <w:rsid w:val="5A587938"/>
    <w:rsid w:val="5B0E6C5C"/>
    <w:rsid w:val="5B432E45"/>
    <w:rsid w:val="5B592C68"/>
    <w:rsid w:val="5B900618"/>
    <w:rsid w:val="5BB44C7F"/>
    <w:rsid w:val="5C1E4DDA"/>
    <w:rsid w:val="5C332C6E"/>
    <w:rsid w:val="5C427AAA"/>
    <w:rsid w:val="5C4F7B33"/>
    <w:rsid w:val="5C5D1851"/>
    <w:rsid w:val="5C674E89"/>
    <w:rsid w:val="5C7C7800"/>
    <w:rsid w:val="5D090FC9"/>
    <w:rsid w:val="5D2F467F"/>
    <w:rsid w:val="5D4E4268"/>
    <w:rsid w:val="5E093EB3"/>
    <w:rsid w:val="5E233C16"/>
    <w:rsid w:val="5E386547"/>
    <w:rsid w:val="5F252FFF"/>
    <w:rsid w:val="5F2C200D"/>
    <w:rsid w:val="5FA2526B"/>
    <w:rsid w:val="5FA82368"/>
    <w:rsid w:val="5FB61D64"/>
    <w:rsid w:val="5FD41360"/>
    <w:rsid w:val="5FE32170"/>
    <w:rsid w:val="5FF61953"/>
    <w:rsid w:val="5FFF5211"/>
    <w:rsid w:val="600E54F4"/>
    <w:rsid w:val="607B75C7"/>
    <w:rsid w:val="609D315D"/>
    <w:rsid w:val="60D51A59"/>
    <w:rsid w:val="60E82224"/>
    <w:rsid w:val="61102A63"/>
    <w:rsid w:val="611E18A1"/>
    <w:rsid w:val="612A5378"/>
    <w:rsid w:val="61B17DFE"/>
    <w:rsid w:val="61CF3CD4"/>
    <w:rsid w:val="62866029"/>
    <w:rsid w:val="62A05E37"/>
    <w:rsid w:val="62BE46F5"/>
    <w:rsid w:val="62DB637F"/>
    <w:rsid w:val="631355E4"/>
    <w:rsid w:val="640B7333"/>
    <w:rsid w:val="64247CC7"/>
    <w:rsid w:val="643D56E1"/>
    <w:rsid w:val="6469117D"/>
    <w:rsid w:val="646C60FB"/>
    <w:rsid w:val="64723B42"/>
    <w:rsid w:val="64896C50"/>
    <w:rsid w:val="649223CF"/>
    <w:rsid w:val="64DA2C7F"/>
    <w:rsid w:val="64EC6C5A"/>
    <w:rsid w:val="65016479"/>
    <w:rsid w:val="659A0956"/>
    <w:rsid w:val="65B119A5"/>
    <w:rsid w:val="65C23A09"/>
    <w:rsid w:val="65F02953"/>
    <w:rsid w:val="66507577"/>
    <w:rsid w:val="66C67529"/>
    <w:rsid w:val="670E76D1"/>
    <w:rsid w:val="671F1593"/>
    <w:rsid w:val="6733654D"/>
    <w:rsid w:val="675D512D"/>
    <w:rsid w:val="679C2069"/>
    <w:rsid w:val="67A03025"/>
    <w:rsid w:val="67B67E41"/>
    <w:rsid w:val="67D77C44"/>
    <w:rsid w:val="67DF4395"/>
    <w:rsid w:val="67E40A7E"/>
    <w:rsid w:val="683055C1"/>
    <w:rsid w:val="6852376A"/>
    <w:rsid w:val="687B05EF"/>
    <w:rsid w:val="690A0160"/>
    <w:rsid w:val="692A7E3A"/>
    <w:rsid w:val="69951B60"/>
    <w:rsid w:val="69A03FE1"/>
    <w:rsid w:val="69E80DFF"/>
    <w:rsid w:val="6A56045B"/>
    <w:rsid w:val="6A722070"/>
    <w:rsid w:val="6A8B32FC"/>
    <w:rsid w:val="6A90444F"/>
    <w:rsid w:val="6AB64DF9"/>
    <w:rsid w:val="6B0E7573"/>
    <w:rsid w:val="6B2031BA"/>
    <w:rsid w:val="6B6721F6"/>
    <w:rsid w:val="6B6E73B6"/>
    <w:rsid w:val="6BA54D2E"/>
    <w:rsid w:val="6BF4709A"/>
    <w:rsid w:val="6C055638"/>
    <w:rsid w:val="6C0B233D"/>
    <w:rsid w:val="6C385BB0"/>
    <w:rsid w:val="6C7F08A6"/>
    <w:rsid w:val="6C81768C"/>
    <w:rsid w:val="6C89300D"/>
    <w:rsid w:val="6CA1407A"/>
    <w:rsid w:val="6CD9465D"/>
    <w:rsid w:val="6D2C6B1F"/>
    <w:rsid w:val="6D5B4E6F"/>
    <w:rsid w:val="6D8141AA"/>
    <w:rsid w:val="6DD51C16"/>
    <w:rsid w:val="6E7156FD"/>
    <w:rsid w:val="6E7F79BB"/>
    <w:rsid w:val="6EC542BC"/>
    <w:rsid w:val="6FC738C5"/>
    <w:rsid w:val="70184EA3"/>
    <w:rsid w:val="70820D9C"/>
    <w:rsid w:val="70C73532"/>
    <w:rsid w:val="70CB53E1"/>
    <w:rsid w:val="71447F7A"/>
    <w:rsid w:val="717D4DCC"/>
    <w:rsid w:val="71BA5CDF"/>
    <w:rsid w:val="71C60CA7"/>
    <w:rsid w:val="72120736"/>
    <w:rsid w:val="723A2B9F"/>
    <w:rsid w:val="7259341C"/>
    <w:rsid w:val="726D7A5A"/>
    <w:rsid w:val="72B756E8"/>
    <w:rsid w:val="72E63502"/>
    <w:rsid w:val="733A4CDB"/>
    <w:rsid w:val="734124FB"/>
    <w:rsid w:val="734521A8"/>
    <w:rsid w:val="73707E67"/>
    <w:rsid w:val="7376112F"/>
    <w:rsid w:val="73A95296"/>
    <w:rsid w:val="741F0C23"/>
    <w:rsid w:val="744F31BB"/>
    <w:rsid w:val="745148D6"/>
    <w:rsid w:val="74BC7F66"/>
    <w:rsid w:val="74D10052"/>
    <w:rsid w:val="74D23E0E"/>
    <w:rsid w:val="75686B98"/>
    <w:rsid w:val="75E71B95"/>
    <w:rsid w:val="764339F4"/>
    <w:rsid w:val="76A021B3"/>
    <w:rsid w:val="76A03194"/>
    <w:rsid w:val="76B664D7"/>
    <w:rsid w:val="76EA1FF3"/>
    <w:rsid w:val="76EB2B73"/>
    <w:rsid w:val="776123B0"/>
    <w:rsid w:val="77876861"/>
    <w:rsid w:val="77C77A28"/>
    <w:rsid w:val="77D16924"/>
    <w:rsid w:val="780D320A"/>
    <w:rsid w:val="78326601"/>
    <w:rsid w:val="78781D13"/>
    <w:rsid w:val="78A05E2C"/>
    <w:rsid w:val="78D47816"/>
    <w:rsid w:val="78E42341"/>
    <w:rsid w:val="78EF5A65"/>
    <w:rsid w:val="792E4562"/>
    <w:rsid w:val="79323C28"/>
    <w:rsid w:val="79342564"/>
    <w:rsid w:val="79DA0943"/>
    <w:rsid w:val="7A257090"/>
    <w:rsid w:val="7A287E87"/>
    <w:rsid w:val="7A4F74E9"/>
    <w:rsid w:val="7A8C4455"/>
    <w:rsid w:val="7AE52230"/>
    <w:rsid w:val="7B2F1EDD"/>
    <w:rsid w:val="7B3A50B0"/>
    <w:rsid w:val="7B4E7D23"/>
    <w:rsid w:val="7BBFB2CC"/>
    <w:rsid w:val="7BCA3B47"/>
    <w:rsid w:val="7BD60302"/>
    <w:rsid w:val="7C01614C"/>
    <w:rsid w:val="7C5C4EB9"/>
    <w:rsid w:val="7C6D1DB9"/>
    <w:rsid w:val="7C6E4BB7"/>
    <w:rsid w:val="7C947A56"/>
    <w:rsid w:val="7C9B239F"/>
    <w:rsid w:val="7CC52305"/>
    <w:rsid w:val="7D181972"/>
    <w:rsid w:val="7D612DC0"/>
    <w:rsid w:val="7D793C28"/>
    <w:rsid w:val="7D7F5CD6"/>
    <w:rsid w:val="7E24305B"/>
    <w:rsid w:val="7E553E03"/>
    <w:rsid w:val="7E9A331D"/>
    <w:rsid w:val="7F4F419A"/>
    <w:rsid w:val="7F6A5445"/>
    <w:rsid w:val="7F820A3A"/>
    <w:rsid w:val="7FBF83E0"/>
    <w:rsid w:val="7FDA39ED"/>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 w:type="character" w:customStyle="1" w:styleId="43">
    <w:name w:val="fontstyle21"/>
    <w:basedOn w:val="17"/>
    <w:autoRedefine/>
    <w:qFormat/>
    <w:uiPriority w:val="0"/>
    <w:rPr>
      <w:rFonts w:ascii="MicrosoftYaHei" w:hAnsi="MicrosoftYaHei" w:eastAsia="MicrosoftYaHei" w:cs="MicrosoftYaHei"/>
      <w:color w:val="000000"/>
      <w:sz w:val="22"/>
      <w:szCs w:val="22"/>
    </w:rPr>
  </w:style>
  <w:style w:type="character" w:customStyle="1" w:styleId="44">
    <w:name w:val="fontstyle11"/>
    <w:basedOn w:val="17"/>
    <w:autoRedefine/>
    <w:qFormat/>
    <w:uiPriority w:val="0"/>
    <w:rPr>
      <w:rFonts w:ascii="TimesNewRomanPSMT" w:hAnsi="TimesNewRomanPSMT" w:eastAsia="TimesNewRomanPSMT" w:cs="TimesNewRomanPSMT"/>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894E55A-5C84-4089-A641-F97807AB4601}">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13022</Words>
  <Characters>27553</Characters>
  <Lines>228</Lines>
  <Paragraphs>64</Paragraphs>
  <TotalTime>0</TotalTime>
  <ScaleCrop>false</ScaleCrop>
  <LinksUpToDate>false</LinksUpToDate>
  <CharactersWithSpaces>29769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2024-02-20T08:01:53Z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280B2C7F56C8447297F6E967CC6F18B5</vt:lpwstr>
  </property>
</Properties>
</file>