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right"/>
        <w:rPr>
          <w:b/>
          <w:bCs/>
          <w:sz w:val="72"/>
          <w:szCs w:val="72"/>
          <w:lang w:eastAsia="zh-CN"/>
        </w:rPr>
      </w:pPr>
      <w:r>
        <w:rPr>
          <w:rFonts w:hint="eastAsia" w:ascii="黑体" w:hAnsi="黑体" w:eastAsia="黑体" w:cs="黑体"/>
          <w:b/>
          <w:bCs/>
          <w:spacing w:val="23"/>
          <w:sz w:val="72"/>
          <w:szCs w:val="72"/>
          <w:lang w:val="en-US" w:eastAsia="zh-CN"/>
        </w:rPr>
        <w:t>肿瘤个性化诊疗指导</w:t>
      </w:r>
    </w:p>
    <w:p>
      <w:pPr>
        <w:jc w:val="right"/>
        <w:rPr>
          <w:rFonts w:hint="eastAsia" w:ascii="黑体" w:hAnsi="黑体" w:eastAsia="黑体" w:cs="黑体"/>
          <w:b/>
          <w:bCs/>
          <w:spacing w:val="23"/>
          <w:sz w:val="72"/>
          <w:szCs w:val="72"/>
        </w:rPr>
      </w:pPr>
      <w:r>
        <w:rPr>
          <w:rFonts w:hint="eastAsia" w:ascii="黑体" w:hAnsi="黑体" w:eastAsia="黑体" w:cs="黑体"/>
          <w:b/>
          <w:bCs/>
          <w:spacing w:val="23"/>
          <w:sz w:val="72"/>
          <w:szCs w:val="72"/>
          <w:lang w:val="en-US" w:eastAsia="zh-Hans"/>
        </w:rPr>
        <w:t>结直肠癌11基因检测报告</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4384"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both"/>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ascii="Times New Roman" w:hAnsi="Times New Roman" w:eastAsia="微软雅黑" w:cs="Times New Roman"/>
              <w:spacing w:val="23"/>
              <w:sz w:val="24"/>
              <w:szCs w:val="24"/>
            </w:rPr>
            <w:fldChar w:fldCharType="begin"/>
          </w:r>
          <w:r>
            <w:rPr>
              <w:rFonts w:ascii="Times New Roman" w:hAnsi="Times New Roman" w:eastAsia="微软雅黑" w:cs="Times New Roman"/>
              <w:spacing w:val="23"/>
              <w:sz w:val="24"/>
              <w:szCs w:val="24"/>
            </w:rPr>
            <w:instrText xml:space="preserve">TOC \o "1-2" \h \u </w:instrText>
          </w:r>
          <w:r>
            <w:rPr>
              <w:rFonts w:ascii="Times New Roman" w:hAnsi="Times New Roman" w:eastAsia="微软雅黑" w:cs="Times New Roman"/>
              <w:spacing w:val="23"/>
              <w:sz w:val="24"/>
              <w:szCs w:val="24"/>
            </w:rP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_Toc4166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_Toc4166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_Toc2091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_Toc2091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_Toc16579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_Toc16579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_Toc19350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_Toc19350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_Toc3320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检测结果及用药提示</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_Toc3320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_Toc25649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靶向药物用药提示</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_Toc25649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5</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{%if 2531 not in diseaseIdList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_Toc2459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本癌种FDA/NMPA获批的其他可选靶向药物</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_Toc2459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8</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_Toc24711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_Toc24711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9</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15"/>
              <w:szCs w:val="15"/>
              <w:lang w:eastAsia="zh-CN"/>
            </w:rPr>
            <w:t>{%if BodyDrugDrugDetectionStr or unknownVarAnalysisStr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_Toc27894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变异位点结果解析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_Toc27894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9</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_Toc8195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化疗药物检测解析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_Toc8195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13</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lang w:eastAsia="zh-CN"/>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_Toc6656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附录</w:t>
          </w:r>
          <w:r>
            <w:rPr>
              <w:rFonts w:hint="eastAsia" w:ascii="宋体" w:hAnsi="宋体" w:eastAsia="宋体" w:cs="宋体"/>
              <w:b/>
              <w:bCs/>
              <w:color w:val="005FBF"/>
              <w:spacing w:val="23"/>
              <w:sz w:val="28"/>
              <w:szCs w:val="28"/>
              <w:lang w:eastAsia="zh-CN"/>
            </w:rPr>
            <w:tab/>
          </w: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PAGEREF _Toc6656 \h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15</w:t>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_Toc24076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样本质控情况</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_Toc24076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15</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_Toc31119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常见靶向药物相关基因检测列表</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_Toc31119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16</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_Toc14087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参考文献</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_Toc14087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17</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spacing w:line="360" w:lineRule="auto"/>
            <w:jc w:val="center"/>
            <w:rPr>
              <w:rFonts w:ascii="Times New Roman" w:hAnsi="Times New Roman" w:eastAsia="微软雅黑" w:cs="Times New Roman"/>
              <w:sz w:val="24"/>
              <w:szCs w:val="24"/>
              <w:lang w:eastAsia="zh-CN"/>
            </w:rPr>
          </w:pPr>
          <w:r>
            <w:rPr>
              <w:rFonts w:ascii="Times New Roman" w:hAnsi="Times New Roman" w:eastAsia="微软雅黑" w:cs="Times New Roman"/>
              <w:spacing w:val="23"/>
              <w:szCs w:val="24"/>
              <w:lang w:eastAsia="zh-CN"/>
            </w:rP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bookmarkStart w:id="0" w:name="_Toc24397"/>
      <w:bookmarkStart w:id="1" w:name="_Toc32054"/>
      <w:bookmarkStart w:id="2" w:name="_Toc21669"/>
      <w:bookmarkStart w:id="3" w:name="_Toc13806"/>
      <w:bookmarkStart w:id="4" w:name="_Toc24178_WPSOffice_Level1"/>
      <w:bookmarkStart w:id="5" w:name="_Toc21009_WPSOffice_Level1"/>
      <w:bookmarkStart w:id="6" w:name="_Toc27500"/>
      <w:bookmarkStart w:id="7" w:name="_Toc30143_WPSOffice_Level1"/>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4166"/>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1739"/>
        <w:gridCol w:w="2123"/>
        <w:gridCol w:w="1240"/>
        <w:gridCol w:w="1027"/>
        <w:gridCol w:w="135"/>
        <w:gridCol w:w="1908"/>
        <w:gridCol w:w="2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3"/>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个人信息</w:t>
            </w:r>
          </w:p>
        </w:tc>
        <w:tc>
          <w:tcPr>
            <w:tcW w:w="5103" w:type="dxa"/>
            <w:gridSpan w:val="4"/>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疾病信息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spacing w:val="11"/>
                <w:kern w:val="2"/>
                <w:sz w:val="21"/>
                <w:szCs w:val="21"/>
                <w:highlight w:val="none"/>
                <w:lang w:val="en-US" w:eastAsia="zh-CN"/>
              </w:rPr>
              <w:t>患者 ID</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 endif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样本条码</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姓</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名</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client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病理诊断</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diseaseName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别</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sex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TNM 分期</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tnm_periodization</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龄</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age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家 族 史</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firsttreatment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基因检测史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secondtreatment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用 药 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thirdtreatment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样品类型</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样品采样</w:t>
            </w:r>
            <w:r>
              <w:rPr>
                <w:rFonts w:hint="eastAsia" w:ascii="宋体" w:hAnsi="宋体" w:eastAsia="宋体" w:cs="宋体"/>
                <w:spacing w:val="11"/>
                <w:kern w:val="2"/>
                <w:sz w:val="21"/>
                <w:szCs w:val="21"/>
                <w:lang w:val="en-US" w:eastAsia="zh-CN"/>
              </w:rPr>
              <w:t>日期</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样品接收</w:t>
            </w:r>
            <w:r>
              <w:rPr>
                <w:rFonts w:hint="eastAsia" w:ascii="宋体" w:hAnsi="宋体" w:eastAsia="宋体" w:cs="宋体"/>
                <w:spacing w:val="11"/>
                <w:kern w:val="2"/>
                <w:sz w:val="21"/>
                <w:szCs w:val="21"/>
                <w:lang w:val="en-US" w:eastAsia="zh-CN"/>
              </w:rPr>
              <w:t>日期</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送检</w:t>
            </w:r>
            <w:r>
              <w:rPr>
                <w:rFonts w:hint="eastAsia" w:ascii="宋体" w:hAnsi="宋体" w:eastAsia="宋体" w:cs="宋体"/>
                <w:spacing w:val="11"/>
                <w:kern w:val="2"/>
                <w:sz w:val="21"/>
                <w:szCs w:val="21"/>
                <w:lang w:val="en-US" w:eastAsia="zh-Hans"/>
              </w:rPr>
              <w:t>单位</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spacing w:val="11"/>
                <w:kern w:val="2"/>
                <w:sz w:val="21"/>
                <w:szCs w:val="21"/>
                <w:highlight w:val="none"/>
                <w:lang w:val="en-US" w:eastAsia="zh-CN"/>
              </w:rPr>
              <w:t>送检次数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specimentype }}</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spacing w:val="11"/>
                <w:kern w:val="2"/>
                <w:sz w:val="21"/>
                <w:szCs w:val="21"/>
                <w:lang w:val="en-US" w:eastAsia="zh-CN"/>
              </w:rPr>
            </w:pPr>
            <w:r>
              <w:rPr>
                <w:rFonts w:hint="eastAsia" w:ascii="宋体" w:hAnsi="宋体" w:eastAsia="宋体" w:cs="宋体"/>
                <w:bCs/>
                <w:color w:val="000000"/>
                <w:sz w:val="21"/>
                <w:szCs w:val="21"/>
                <w:lang w:eastAsia="zh-CN"/>
              </w:rPr>
              <w:t>{{ collectdate }}</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hospital }}</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bCs/>
                <w:color w:val="000000"/>
                <w:sz w:val="21"/>
                <w:szCs w:val="21"/>
                <w:lang w:eastAsia="zh-CN"/>
              </w:rPr>
              <w:t>{{ inspection_number</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bl>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17451"/>
      <w:bookmarkStart w:id="10" w:name="_Toc11015_WPSOffice_Level1"/>
      <w:bookmarkStart w:id="11" w:name="_Toc11465"/>
      <w:bookmarkStart w:id="12" w:name="_Toc10518"/>
      <w:bookmarkStart w:id="13" w:name="_Toc2091"/>
      <w:bookmarkStart w:id="14" w:name="_Toc7021_WPSOffice_Level1"/>
      <w:bookmarkStart w:id="15" w:name="_Toc18062_WPSOffice_Level1"/>
      <w:bookmarkStart w:id="16" w:name="_Toc19594"/>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spacing w:line="360" w:lineRule="auto"/>
        <w:ind w:firstLine="464" w:firstLineChars="200"/>
        <w:jc w:val="both"/>
        <w:rPr>
          <w:rFonts w:hint="eastAsia" w:ascii="宋体" w:hAnsi="宋体" w:eastAsia="宋体" w:cs="宋体"/>
          <w:bCs/>
          <w:spacing w:val="11"/>
          <w:sz w:val="21"/>
          <w:szCs w:val="21"/>
          <w:lang w:eastAsia="zh-CN"/>
        </w:rPr>
      </w:pPr>
      <w:r>
        <w:rPr>
          <w:rFonts w:hint="eastAsia" w:ascii="宋体" w:hAnsi="宋体" w:eastAsia="宋体" w:cs="宋体"/>
          <w:bCs/>
          <w:spacing w:val="11"/>
          <w:sz w:val="21"/>
          <w:szCs w:val="21"/>
          <w:lang w:eastAsia="zh-CN"/>
        </w:rPr>
        <w:t>本产品对与肿瘤密切相关的</w:t>
      </w:r>
      <w:r>
        <w:rPr>
          <w:rFonts w:hint="eastAsia" w:cs="宋体"/>
          <w:bCs/>
          <w:spacing w:val="11"/>
          <w:sz w:val="21"/>
          <w:szCs w:val="21"/>
          <w:lang w:val="en-US" w:eastAsia="zh-CN"/>
        </w:rPr>
        <w:t>11</w:t>
      </w:r>
      <w:r>
        <w:rPr>
          <w:rFonts w:hint="eastAsia" w:ascii="宋体" w:hAnsi="宋体" w:eastAsia="宋体" w:cs="宋体"/>
          <w:bCs/>
          <w:spacing w:val="11"/>
          <w:sz w:val="21"/>
          <w:szCs w:val="21"/>
          <w:lang w:eastAsia="zh-CN"/>
        </w:rPr>
        <w:t>个基因进行高通量</w:t>
      </w:r>
      <w:r>
        <w:rPr>
          <w:rFonts w:hint="eastAsia" w:ascii="宋体" w:hAnsi="宋体" w:eastAsia="宋体" w:cs="宋体"/>
          <w:bCs/>
          <w:spacing w:val="11"/>
          <w:sz w:val="21"/>
          <w:szCs w:val="21"/>
          <w:lang w:val="en-US" w:eastAsia="zh-CN"/>
        </w:rPr>
        <w:t>脱氧核糖核酸</w:t>
      </w:r>
      <w:r>
        <w:rPr>
          <w:rFonts w:hint="eastAsia" w:ascii="宋体" w:hAnsi="宋体" w:eastAsia="宋体" w:cs="宋体"/>
          <w:bCs/>
          <w:spacing w:val="11"/>
          <w:sz w:val="21"/>
          <w:szCs w:val="21"/>
          <w:lang w:eastAsia="zh-CN"/>
        </w:rPr>
        <w:t>测序。检测突变形式为点突变（SNV）、小片段插入缺失（INDEL）、拷贝数变异（CNV）以及融合（FUSION）。</w:t>
      </w:r>
    </w:p>
    <w:p>
      <w:pPr>
        <w:spacing w:line="360" w:lineRule="auto"/>
        <w:ind w:firstLine="464" w:firstLineChars="200"/>
        <w:jc w:val="both"/>
        <w:rPr>
          <w:rFonts w:hint="eastAsia" w:ascii="宋体" w:hAnsi="宋体" w:eastAsia="宋体" w:cs="宋体"/>
          <w:bCs/>
          <w:spacing w:val="11"/>
          <w:sz w:val="21"/>
          <w:szCs w:val="21"/>
          <w:lang w:eastAsia="zh-CN"/>
        </w:rPr>
      </w:pPr>
      <w:bookmarkStart w:id="18" w:name="_Toc534807930"/>
      <w:r>
        <w:rPr>
          <w:rFonts w:hint="eastAsia" w:ascii="宋体" w:hAnsi="宋体" w:eastAsia="宋体" w:cs="宋体"/>
          <w:bCs/>
          <w:spacing w:val="11"/>
          <w:sz w:val="21"/>
          <w:szCs w:val="21"/>
          <w:lang w:eastAsia="zh-CN"/>
        </w:rPr>
        <w:t>本报告分析基因变异与靶向药物、</w:t>
      </w:r>
      <w:r>
        <w:rPr>
          <w:rFonts w:hint="eastAsia" w:cs="宋体"/>
          <w:bCs/>
          <w:spacing w:val="11"/>
          <w:sz w:val="21"/>
          <w:szCs w:val="21"/>
          <w:lang w:val="en-US" w:eastAsia="zh-CN"/>
        </w:rPr>
        <w:t>化疗药物</w:t>
      </w:r>
      <w:r>
        <w:rPr>
          <w:rFonts w:hint="eastAsia" w:ascii="宋体" w:hAnsi="宋体" w:eastAsia="宋体" w:cs="宋体"/>
          <w:bCs/>
          <w:spacing w:val="11"/>
          <w:sz w:val="21"/>
          <w:szCs w:val="21"/>
          <w:lang w:eastAsia="zh-CN"/>
        </w:rPr>
        <w:t>的相关性，给出靶向药物（FDA/NMPA批准药物、临床试验药物等）的用药提示信息，从而为临床制定治疗方案提供参考信息。</w:t>
      </w: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16579"/>
      <w:r>
        <w:rPr>
          <w:rFonts w:ascii="Times New Roman" w:hAnsi="Times New Roman" w:eastAsia="宋体" w:cs="宋体"/>
          <w:b/>
          <w:bCs/>
          <w:spacing w:val="23"/>
          <w:sz w:val="24"/>
          <w:szCs w:val="24"/>
        </w:rPr>
        <w:t>检测</w:t>
      </w:r>
      <w:r>
        <w:rPr>
          <w:rFonts w:hint="eastAsia" w:ascii="Times New Roman" w:hAnsi="Times New Roman" w:eastAsia="宋体" w:cs="宋体"/>
          <w:b/>
          <w:bCs/>
          <w:spacing w:val="23"/>
          <w:sz w:val="24"/>
          <w:szCs w:val="24"/>
        </w:rPr>
        <w:t>基因列表</w:t>
      </w:r>
      <w:bookmarkEnd w:id="19"/>
    </w:p>
    <w:tbl>
      <w:tblPr>
        <w:tblStyle w:val="15"/>
        <w:tblpPr w:leftFromText="180" w:rightFromText="180" w:vertAnchor="text" w:horzAnchor="page" w:tblpXSpec="center" w:tblpY="8"/>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1"/>
        <w:gridCol w:w="1701"/>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205" w:type="dxa"/>
            <w:gridSpan w:val="6"/>
            <w:vAlign w:val="center"/>
          </w:tcPr>
          <w:p>
            <w:pPr>
              <w:widowControl/>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{%tr for Gene in </w:t>
            </w:r>
            <w:r>
              <w:rPr>
                <w:rFonts w:hint="eastAsia" w:ascii="宋体" w:hAnsi="宋体" w:eastAsia="宋体" w:cs="宋体"/>
                <w:sz w:val="18"/>
                <w:szCs w:val="18"/>
                <w:lang w:val="en-US" w:eastAsia="zh-CN"/>
              </w:rPr>
              <w:t>gene.genes</w:t>
            </w:r>
            <w:r>
              <w:rPr>
                <w:rFonts w:hint="eastAsia" w:ascii="宋体" w:hAnsi="宋体" w:eastAsia="宋体" w:cs="宋体"/>
                <w:sz w:val="18"/>
                <w:szCs w:val="18"/>
                <w:lang w:eastAsia="zh-CN"/>
              </w:rPr>
              <w:t xml:space="preserve"> | </w:t>
            </w:r>
            <w:r>
              <w:rPr>
                <w:rFonts w:hint="eastAsia" w:cs="宋体"/>
                <w:sz w:val="18"/>
                <w:szCs w:val="18"/>
                <w:lang w:eastAsia="zh-CN"/>
              </w:rPr>
              <w:t>red2(</w:t>
            </w:r>
            <w:r>
              <w:rPr>
                <w:rFonts w:hint="eastAsia" w:cs="宋体"/>
                <w:sz w:val="18"/>
                <w:szCs w:val="18"/>
                <w:lang w:val="en-US" w:eastAsia="zh-CN"/>
              </w:rPr>
              <w:t>6</w:t>
            </w:r>
            <w:r>
              <w:rPr>
                <w:rFonts w:hint="eastAsia" w:cs="宋体"/>
                <w:sz w:val="18"/>
                <w:szCs w:val="18"/>
                <w:lang w:eastAsia="zh-CN"/>
              </w:rPr>
              <w:t>,21,'宋体','宋体',False)</w:t>
            </w:r>
            <w:r>
              <w:rPr>
                <w:rFonts w:hint="eastAsia" w:ascii="宋体" w:hAnsi="宋体" w:eastAsia="宋体" w:cs="宋体"/>
                <w:sz w:val="18"/>
                <w:szCs w:val="18"/>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0"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Gene[0] }}</w:t>
            </w:r>
          </w:p>
        </w:tc>
        <w:tc>
          <w:tcPr>
            <w:tcW w:w="170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Gene[1] }}</w:t>
            </w:r>
          </w:p>
        </w:tc>
        <w:tc>
          <w:tcPr>
            <w:tcW w:w="170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Gene[2] }}</w:t>
            </w:r>
          </w:p>
        </w:tc>
        <w:tc>
          <w:tcPr>
            <w:tcW w:w="170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Gene[3] }}</w:t>
            </w:r>
          </w:p>
        </w:tc>
        <w:tc>
          <w:tcPr>
            <w:tcW w:w="170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Gene[4] }}</w:t>
            </w:r>
          </w:p>
        </w:tc>
        <w:tc>
          <w:tcPr>
            <w:tcW w:w="170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205" w:type="dxa"/>
            <w:gridSpan w:val="6"/>
            <w:vAlign w:val="center"/>
          </w:tcPr>
          <w:p>
            <w:pPr>
              <w:spacing w:line="276"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{%tr endfor%}</w:t>
            </w:r>
          </w:p>
        </w:tc>
      </w:tr>
    </w:tbl>
    <w:p>
      <w:pPr>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0" w:name="_Toc3871"/>
      <w:bookmarkStart w:id="21" w:name="_Toc4088"/>
      <w:bookmarkStart w:id="22" w:name="_Toc1410"/>
      <w:bookmarkStart w:id="23" w:name="_Toc18058"/>
      <w:bookmarkStart w:id="24" w:name="_Toc23369_WPSOffice_Level1"/>
      <w:bookmarkStart w:id="25" w:name="_Toc6221_WPSOffice_Level1"/>
      <w:bookmarkStart w:id="26" w:name="_Toc19350"/>
      <w:bookmarkStart w:id="27" w:name="_Toc25920"/>
      <w:r>
        <w:rPr>
          <w:rFonts w:hint="eastAsia" w:ascii="Times New Roman" w:hAnsi="Times New Roman" w:eastAsia="宋体" w:cs="宋体"/>
          <w:b/>
          <w:bCs/>
          <w:spacing w:val="23"/>
          <w:sz w:val="24"/>
          <w:szCs w:val="24"/>
        </w:rPr>
        <w:t>检测结果小结</w:t>
      </w:r>
      <w:bookmarkEnd w:id="20"/>
      <w:bookmarkEnd w:id="21"/>
      <w:bookmarkEnd w:id="22"/>
      <w:bookmarkEnd w:id="23"/>
      <w:bookmarkEnd w:id="24"/>
      <w:bookmarkEnd w:id="25"/>
      <w:bookmarkEnd w:id="26"/>
      <w:bookmarkEnd w:id="27"/>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1204"/>
        <w:gridCol w:w="1132"/>
        <w:gridCol w:w="1136"/>
        <w:gridCol w:w="1200"/>
        <w:gridCol w:w="1044"/>
        <w:gridCol w:w="1375"/>
        <w:gridCol w:w="780"/>
        <w:gridCol w:w="79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变异类型</w:t>
            </w:r>
          </w:p>
        </w:tc>
        <w:tc>
          <w:tcPr>
            <w:tcW w:w="113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基因</w:t>
            </w:r>
          </w:p>
        </w:tc>
        <w:tc>
          <w:tcPr>
            <w:tcW w:w="11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突变类型</w:t>
            </w:r>
          </w:p>
        </w:tc>
        <w:tc>
          <w:tcPr>
            <w:tcW w:w="120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核苷酸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04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氨基酸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37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频率(%)/</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CN"/>
              </w:rPr>
            </w:pPr>
            <w:r>
              <w:rPr>
                <w:rFonts w:hint="eastAsia" w:cs="宋体"/>
                <w:b/>
                <w:bCs/>
                <w:color w:val="auto"/>
                <w:spacing w:val="11"/>
                <w:kern w:val="2"/>
                <w:sz w:val="21"/>
                <w:szCs w:val="21"/>
                <w:lang w:val="en-US" w:eastAsia="zh-CN"/>
              </w:rPr>
              <w:t>拷贝数</w:t>
            </w:r>
          </w:p>
        </w:tc>
        <w:tc>
          <w:tcPr>
            <w:tcW w:w="78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染色体</w:t>
            </w:r>
          </w:p>
        </w:tc>
        <w:tc>
          <w:tcPr>
            <w:tcW w:w="79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外显子</w:t>
            </w:r>
          </w:p>
        </w:tc>
        <w:tc>
          <w:tcPr>
            <w:tcW w:w="1539"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转录本号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sr.variation_type }}</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sr.gene }}</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sr.ExonicFunc_knownGene_Chinese }}</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sr.cHGVS }}</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sr.pHGVS }}</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sr.mutFreq }}</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sr.chr }}</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sr.Exon }}</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sr.Transcript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rPr>
            </w:pPr>
            <w:r>
              <w:rPr>
                <w:rFonts w:hint="eastAsia" w:ascii="宋体" w:hAnsi="宋体" w:eastAsia="宋体" w:cs="宋体"/>
                <w:sz w:val="21"/>
                <w:szCs w:val="21"/>
                <w:lang w:eastAsia="zh-CN"/>
              </w:rPr>
              <w:t>{%tr endif %}</w:t>
            </w:r>
          </w:p>
        </w:tc>
      </w:tr>
    </w:tbl>
    <w:p>
      <w:pPr>
        <w:numPr>
          <w:ilvl w:val="0"/>
          <w:numId w:val="0"/>
        </w:numPr>
        <w:rPr>
          <w:rFonts w:ascii="微软雅黑" w:hAnsi="微软雅黑" w:eastAsia="微软雅黑" w:cs="微软雅黑"/>
          <w:sz w:val="18"/>
          <w:szCs w:val="18"/>
          <w:lang w:eastAsia="zh-CN" w:bidi="ar"/>
        </w:rPr>
      </w:pPr>
    </w:p>
    <w:p>
      <w:pPr>
        <w:numPr>
          <w:ilvl w:val="0"/>
          <w:numId w:val="0"/>
        </w:numPr>
        <w:rPr>
          <w:rFonts w:ascii="微软雅黑" w:hAnsi="微软雅黑" w:eastAsia="微软雅黑" w:cs="微软雅黑"/>
          <w:sz w:val="18"/>
          <w:szCs w:val="18"/>
          <w:lang w:eastAsia="zh-CN" w:bidi="ar"/>
        </w:rPr>
      </w:pPr>
      <w:r>
        <w:rPr>
          <w:rFonts w:hint="eastAsia" w:cs="宋体"/>
          <w:b/>
          <w:bCs/>
          <w:spacing w:val="20"/>
          <w:kern w:val="2"/>
          <w:sz w:val="21"/>
          <w:szCs w:val="21"/>
          <w:lang w:val="en-US" w:eastAsia="zh-CN"/>
        </w:rPr>
        <w:t>1、</w:t>
      </w:r>
      <w:r>
        <w:rPr>
          <w:rFonts w:hint="eastAsia" w:ascii="宋体" w:hAnsi="宋体" w:eastAsia="宋体" w:cs="宋体"/>
          <w:b/>
          <w:bCs/>
          <w:spacing w:val="23"/>
          <w:kern w:val="2"/>
          <w:sz w:val="21"/>
          <w:szCs w:val="21"/>
          <w:lang w:val="en-US" w:eastAsia="zh-Hans"/>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4093"/>
        <w:gridCol w:w="2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4093"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211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4093"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2114"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2749"/>
        <w:gridCol w:w="3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2749"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3458"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丰度/拷贝数/融合reads数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2749"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3458"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{%endif%}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pacing w:val="6"/>
          <w:sz w:val="18"/>
          <w:szCs w:val="18"/>
          <w:highlight w:val="none"/>
          <w:lang w:eastAsia="zh-CN"/>
        </w:rPr>
      </w:pPr>
      <w:r>
        <w:rPr>
          <w:rFonts w:hint="eastAsia" w:ascii="宋体" w:hAnsi="宋体" w:eastAsia="宋体" w:cs="宋体"/>
          <w:b/>
          <w:bCs/>
          <w:spacing w:val="6"/>
          <w:sz w:val="18"/>
          <w:szCs w:val="18"/>
          <w:highlight w:val="none"/>
          <w:lang w:eastAsia="zh-CN"/>
        </w:rPr>
        <w:t>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2.</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变异详情，可查看基因变异检测结果及解析。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3.</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以上基因的检测范围涵盖但不限于上表中列出的变异类型。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pacing w:val="6"/>
          <w:sz w:val="18"/>
          <w:szCs w:val="18"/>
          <w:lang w:eastAsia="zh-CN" w:bidi="ar"/>
        </w:rPr>
      </w:pPr>
      <w:r>
        <w:rPr>
          <w:rFonts w:hint="eastAsia" w:cs="宋体"/>
          <w:spacing w:val="6"/>
          <w:sz w:val="18"/>
          <w:szCs w:val="18"/>
          <w:highlight w:val="none"/>
          <w:lang w:val="en-US" w:eastAsia="zh-CN"/>
        </w:rPr>
        <w:t xml:space="preserve">4. </w:t>
      </w:r>
      <w:r>
        <w:rPr>
          <w:rFonts w:hint="eastAsia" w:ascii="宋体" w:hAnsi="宋体" w:eastAsia="宋体" w:cs="宋体"/>
          <w:spacing w:val="6"/>
          <w:sz w:val="18"/>
          <w:szCs w:val="18"/>
          <w:highlight w:val="none"/>
          <w:lang w:eastAsia="zh-CN"/>
        </w:rPr>
        <w:t>"</w:t>
      </w:r>
      <w:r>
        <w:rPr>
          <w:rFonts w:hint="eastAsia" w:ascii="宋体" w:hAnsi="宋体" w:eastAsia="宋体" w:cs="宋体"/>
          <w:sz w:val="21"/>
          <w:szCs w:val="21"/>
          <w:lang w:val="en-US" w:eastAsia="zh-CN"/>
        </w:rPr>
        <w:t>/</w:t>
      </w:r>
      <w:bookmarkStart w:id="116" w:name="_GoBack"/>
      <w:bookmarkEnd w:id="116"/>
      <w:r>
        <w:rPr>
          <w:rFonts w:hint="eastAsia" w:ascii="宋体" w:hAnsi="宋体" w:eastAsia="宋体" w:cs="宋体"/>
          <w:spacing w:val="6"/>
          <w:sz w:val="18"/>
          <w:szCs w:val="18"/>
          <w:highlight w:val="none"/>
          <w:lang w:eastAsia="zh-CN"/>
        </w:rPr>
        <w:t>"表示本次检测未发现相关变异。</w:t>
      </w:r>
    </w:p>
    <w:p>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pPr>
        <w:rPr>
          <w:rFonts w:hint="eastAsia"/>
        </w:rPr>
      </w:pPr>
      <w:bookmarkStart w:id="28" w:name="_Toc2781"/>
      <w:bookmarkStart w:id="29" w:name="_Toc14062"/>
      <w:bookmarkStart w:id="30" w:name="_Toc12381"/>
      <w:bookmarkStart w:id="31" w:name="_Toc19898_WPSOffice_Level1"/>
      <w:bookmarkStart w:id="32" w:name="_Toc22132"/>
      <w:bookmarkStart w:id="33" w:name="_Toc19184"/>
      <w:bookmarkStart w:id="34" w:name="_Toc20136_WPSOffice_Level1"/>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35" w:name="_Toc3320"/>
      <w:r>
        <w:rPr>
          <w:rFonts w:hint="eastAsia" w:ascii="Times New Roman" w:hAnsi="Times New Roman" w:eastAsia="宋体" w:cs="宋体"/>
          <w:b/>
          <w:bCs/>
          <w:spacing w:val="23"/>
          <w:sz w:val="24"/>
          <w:szCs w:val="24"/>
        </w:rPr>
        <w:t>检测结果及用药提示</w:t>
      </w:r>
      <w:bookmarkEnd w:id="18"/>
      <w:bookmarkEnd w:id="28"/>
      <w:bookmarkEnd w:id="29"/>
      <w:bookmarkEnd w:id="30"/>
      <w:bookmarkEnd w:id="31"/>
      <w:bookmarkEnd w:id="32"/>
      <w:bookmarkEnd w:id="33"/>
      <w:bookmarkEnd w:id="34"/>
      <w:bookmarkEnd w:id="35"/>
    </w:p>
    <w:p>
      <w:pPr>
        <w:pStyle w:val="38"/>
        <w:bidi w:val="0"/>
        <w:spacing w:line="360" w:lineRule="auto"/>
        <w:ind w:left="832" w:leftChars="0" w:hanging="832" w:firstLineChars="0"/>
        <w:jc w:val="left"/>
        <w:rPr>
          <w:b/>
          <w:bCs/>
          <w:spacing w:val="23"/>
          <w:sz w:val="21"/>
          <w:szCs w:val="21"/>
        </w:rPr>
      </w:pPr>
      <w:bookmarkStart w:id="36" w:name="_Toc9088"/>
      <w:bookmarkStart w:id="37" w:name="_Toc24979"/>
      <w:bookmarkStart w:id="38" w:name="_Toc22976"/>
      <w:bookmarkStart w:id="39" w:name="_Toc18062_WPSOffice_Level2"/>
      <w:bookmarkStart w:id="40" w:name="_Toc11015_WPSOffice_Level2"/>
      <w:bookmarkStart w:id="41" w:name="_Toc23375"/>
      <w:bookmarkStart w:id="42" w:name="_Toc25649"/>
      <w:bookmarkStart w:id="43" w:name="_Toc30265"/>
      <w:r>
        <w:rPr>
          <w:b/>
          <w:bCs/>
          <w:spacing w:val="23"/>
          <w:sz w:val="21"/>
          <w:szCs w:val="21"/>
        </w:rPr>
        <w:t>靶向药物用药提示</w:t>
      </w:r>
      <w:bookmarkEnd w:id="36"/>
      <w:bookmarkEnd w:id="37"/>
      <w:bookmarkEnd w:id="38"/>
      <w:bookmarkEnd w:id="39"/>
      <w:bookmarkEnd w:id="40"/>
      <w:bookmarkEnd w:id="41"/>
      <w:bookmarkEnd w:id="42"/>
      <w:bookmarkEnd w:id="43"/>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本次样本共检出{{ summaryOfRresults.thisGeneticmarkerVwListSize }}个</w:t>
      </w:r>
      <w:r>
        <w:rPr>
          <w:rFonts w:hint="eastAsia" w:cs="宋体"/>
          <w:b w:val="0"/>
          <w:bCs/>
          <w:color w:val="000000" w:themeColor="text1"/>
          <w:spacing w:val="6"/>
          <w:sz w:val="21"/>
          <w:szCs w:val="21"/>
          <w:lang w:val="en-US" w:eastAsia="zh-CN"/>
          <w14:textFill>
            <w14:solidFill>
              <w14:schemeClr w14:val="tx1"/>
            </w14:solidFill>
          </w14:textFill>
        </w:rPr>
        <w:t>变异位点</w:t>
      </w:r>
      <w:r>
        <w:rPr>
          <w:rFonts w:hint="eastAsia" w:ascii="宋体" w:hAnsi="宋体" w:eastAsia="宋体" w:cs="宋体"/>
          <w:b w:val="0"/>
          <w:bCs/>
          <w:color w:val="000000" w:themeColor="text1"/>
          <w:spacing w:val="6"/>
          <w:sz w:val="21"/>
          <w:szCs w:val="21"/>
          <w:lang w:eastAsia="zh-CN"/>
          <w14:textFill>
            <w14:solidFill>
              <w14:schemeClr w14:val="tx1"/>
            </w14:solidFill>
          </w14:textFill>
        </w:rPr>
        <w:t>，其中{{summaryOfRresults.somaticDrugCount}}个与靶向药物相关</w:t>
      </w:r>
      <w:r>
        <w:rPr>
          <w:rFonts w:hint="eastAsia" w:cs="宋体"/>
          <w:b w:val="0"/>
          <w:bCs/>
          <w:color w:val="000000" w:themeColor="text1"/>
          <w:spacing w:val="6"/>
          <w:sz w:val="21"/>
          <w:szCs w:val="21"/>
          <w:lang w:eastAsia="zh-CN"/>
          <w14:textFill>
            <w14:solidFill>
              <w14:schemeClr w14:val="tx1"/>
            </w14:solidFill>
          </w14:textFill>
        </w:rPr>
        <w:t>。</w:t>
      </w:r>
      <w:r>
        <w:rPr>
          <w:rFonts w:hint="eastAsia" w:ascii="宋体" w:hAnsi="宋体" w:eastAsia="宋体" w:cs="宋体"/>
          <w:b w:val="0"/>
          <w:bCs/>
          <w:color w:val="000000" w:themeColor="text1"/>
          <w:spacing w:val="6"/>
          <w:sz w:val="21"/>
          <w:szCs w:val="21"/>
          <w:lang w:eastAsia="zh-CN"/>
          <w14:textFill>
            <w14:solidFill>
              <w14:schemeClr w14:val="tx1"/>
            </w14:solidFill>
          </w14:textFill>
        </w:rPr>
        <w:t>{%if BodyDrugDrugDetectionStr or unknownVarAnalysisStr %}具体信息详见“基因检测结果解析”。{%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7"/>
        <w:gridCol w:w="1836"/>
        <w:gridCol w:w="3553"/>
        <w:gridCol w:w="3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tblHeader/>
          <w:jc w:val="center"/>
        </w:trPr>
        <w:tc>
          <w:tcPr>
            <w:tcW w:w="1167"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变异分类</w:t>
            </w:r>
          </w:p>
        </w:tc>
        <w:tc>
          <w:tcPr>
            <w:tcW w:w="1836"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3553"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3649"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bodyAndComplexDrugTipLineStr or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0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bodyDrugTipLineStr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complexDrugTipLineStr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865"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tip.comutation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w:t>
            </w:r>
          </w:p>
        </w:tc>
        <w:tc>
          <w:tcPr>
            <w:tcW w:w="3553"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pacing w:val="0"/>
          <w:sz w:val="18"/>
          <w:szCs w:val="18"/>
          <w:lang w:eastAsia="zh-CN"/>
        </w:rPr>
      </w:pPr>
      <w:r>
        <w:rPr>
          <w:rFonts w:hint="eastAsia" w:ascii="宋体" w:hAnsi="宋体" w:eastAsia="宋体" w:cs="宋体"/>
          <w:b/>
          <w:spacing w:val="0"/>
          <w:sz w:val="18"/>
          <w:szCs w:val="18"/>
          <w:lang w:eastAsia="zh-CN"/>
        </w:rPr>
        <w:t>注：</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本报告所列举的药物或基因变异并未按照基因或者药物的重要性排序，具体决策需参照临床实际。</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“-”表示该位点无相应靶向药物提示。</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*标注的药物：NMPA批准的靶向药物。</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outlineLvl w:val="9"/>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分析注释时采用RefSeq转录本编号。</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变异丰度：在某位点产生突变的等位基因在该位点全部等位基因中所占比率。</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拷贝数：是指某⼀种基因或某⼀段特定的DNA序列在单倍体基因组中出现的数目。{% if readsFlag == True %}</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reads数：RNA层面检测到的支持融合基因的片段数。{% endif %}</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检测结果：“NM”为基因的转录本编号，“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多靶点循证检测结果中的符号意义：“+”表示“并且”，“/”表示“或者”，“!”表示“不满足”。{% endif %}</w:t>
      </w:r>
    </w:p>
    <w:tbl>
      <w:tblPr>
        <w:tblStyle w:val="15"/>
        <w:tblpPr w:leftFromText="181" w:rightFromText="181" w:vertAnchor="page" w:tblpXSpec="center" w:tblpY="1502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bookmarkStart w:id="44" w:name="_Toc32443_WPSOffice_Level1"/>
            <w:bookmarkStart w:id="45" w:name="_Toc23846_WPSOffice_Level1"/>
            <w:bookmarkStart w:id="46" w:name="_Toc5598"/>
            <w:bookmarkStart w:id="47" w:name="_Toc23903"/>
            <w:bookmarkStart w:id="48" w:name="_Toc25727"/>
            <w:bookmarkStart w:id="49" w:name="_Toc28194"/>
            <w:bookmarkStart w:id="50" w:name="_Toc32661"/>
            <w:bookmarkStart w:id="51" w:name="_Toc4331_WPSOffice_Level1"/>
            <w:r>
              <w:rPr>
                <w:rFonts w:hint="eastAsia" w:ascii="宋体" w:hAnsi="宋体" w:eastAsia="宋体" w:cs="宋体"/>
                <w:b w:val="0"/>
                <w:bCs w:val="0"/>
                <w:spacing w:val="6"/>
                <w:sz w:val="21"/>
                <w:szCs w:val="21"/>
              </w:rPr>
              <w:t>检验者：</w:t>
            </w:r>
            <w:r>
              <w:drawing>
                <wp:anchor distT="0" distB="0" distL="114935" distR="114935" simplePos="0" relativeHeight="251667456" behindDoc="0" locked="0" layoutInCell="1" allowOverlap="0">
                  <wp:simplePos x="0" y="0"/>
                  <wp:positionH relativeFrom="column">
                    <wp:posOffset>498475</wp:posOffset>
                  </wp:positionH>
                  <wp:positionV relativeFrom="page">
                    <wp:posOffset>-232410</wp:posOffset>
                  </wp:positionV>
                  <wp:extent cx="694055" cy="531495"/>
                  <wp:effectExtent l="0" t="0" r="698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94055" cy="531495"/>
                          </a:xfrm>
                          <a:prstGeom prst="rect">
                            <a:avLst/>
                          </a:prstGeom>
                          <a:noFill/>
                          <a:ln>
                            <a:noFill/>
                          </a:ln>
                        </pic:spPr>
                      </pic:pic>
                    </a:graphicData>
                  </a:graphic>
                </wp:anchor>
              </w:drawing>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8480" behindDoc="0" locked="0" layoutInCell="1" allowOverlap="1">
                  <wp:simplePos x="0" y="0"/>
                  <wp:positionH relativeFrom="column">
                    <wp:posOffset>534035</wp:posOffset>
                  </wp:positionH>
                  <wp:positionV relativeFrom="page">
                    <wp:posOffset>-144145</wp:posOffset>
                  </wp:positionV>
                  <wp:extent cx="933450" cy="432435"/>
                  <wp:effectExtent l="0" t="0" r="11430"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r>
              <w:drawing>
                <wp:anchor distT="0" distB="0" distL="114300" distR="114300" simplePos="0" relativeHeight="251665408" behindDoc="0" locked="0" layoutInCell="1" allowOverlap="1">
                  <wp:simplePos x="0" y="0"/>
                  <wp:positionH relativeFrom="column">
                    <wp:posOffset>410210</wp:posOffset>
                  </wp:positionH>
                  <wp:positionV relativeFrom="page">
                    <wp:posOffset>-362585</wp:posOffset>
                  </wp:positionV>
                  <wp:extent cx="1202690" cy="678180"/>
                  <wp:effectExtent l="0" t="0" r="1270" b="7620"/>
                  <wp:wrapNone/>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10"/>
                          <a:stretch>
                            <a:fillRect/>
                          </a:stretch>
                        </pic:blipFill>
                        <pic:spPr>
                          <a:xfrm>
                            <a:off x="0" y="0"/>
                            <a:ext cx="1202690" cy="678180"/>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rPr>
          <w:rFonts w:hint="eastAsia"/>
        </w:rPr>
      </w:pPr>
      <w:r>
        <w:rPr>
          <w:sz w:val="22"/>
        </w:rPr>
        <w:drawing>
          <wp:anchor distT="0" distB="0" distL="114300" distR="114300" simplePos="0" relativeHeight="251666432" behindDoc="0" locked="0" layoutInCell="1" allowOverlap="1">
            <wp:simplePos x="0" y="0"/>
            <wp:positionH relativeFrom="column">
              <wp:posOffset>5034280</wp:posOffset>
            </wp:positionH>
            <wp:positionV relativeFrom="page">
              <wp:posOffset>9130665</wp:posOffset>
            </wp:positionV>
            <wp:extent cx="1079500" cy="1079500"/>
            <wp:effectExtent l="0" t="0" r="2540" b="2540"/>
            <wp:wrapNone/>
            <wp:docPr id="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pic:cNvPicPr>
                      <a:picLocks noChangeAspect="1"/>
                    </pic:cNvPicPr>
                  </pic:nvPicPr>
                  <pic:blipFill>
                    <a:blip r:embed="rId11"/>
                    <a:stretch>
                      <a:fillRect/>
                    </a:stretch>
                  </pic:blipFill>
                  <pic:spPr>
                    <a:xfrm>
                      <a:off x="0" y="0"/>
                      <a:ext cx="1079500" cy="1079500"/>
                    </a:xfrm>
                    <a:prstGeom prst="rect">
                      <a:avLst/>
                    </a:prstGeom>
                    <a:noFill/>
                    <a:ln>
                      <a:noFill/>
                    </a:ln>
                  </pic:spPr>
                </pic:pic>
              </a:graphicData>
            </a:graphic>
          </wp:anchor>
        </w:drawing>
      </w:r>
      <w:r>
        <w:rPr>
          <w:rFonts w:hint="eastAsia"/>
        </w:rPr>
        <w:br w:type="page"/>
      </w:r>
    </w:p>
    <w:p>
      <w:pPr>
        <w:rPr>
          <w:rFonts w:hint="eastAsia" w:ascii="宋体" w:hAnsi="宋体" w:eastAsia="宋体" w:cs="宋体"/>
          <w:b w:val="0"/>
          <w:bCs w:val="0"/>
          <w:color w:val="000000" w:themeColor="text1"/>
          <w:sz w:val="24"/>
          <w:szCs w:val="24"/>
          <w:lang w:eastAsia="zh-CN"/>
          <w14:textFill>
            <w14:solidFill>
              <w14:schemeClr w14:val="tx1"/>
            </w14:solidFill>
          </w14:textFill>
        </w:rPr>
      </w:pPr>
      <w:bookmarkStart w:id="52" w:name="_Toc11398"/>
      <w:bookmarkStart w:id="53" w:name="_Toc18258"/>
      <w:bookmarkStart w:id="54" w:name="_Toc11562_WPSOffice_Level3"/>
      <w:r>
        <w:rPr>
          <w:rFonts w:hint="eastAsia" w:ascii="宋体" w:hAnsi="宋体" w:eastAsia="宋体" w:cs="宋体"/>
          <w:b w:val="0"/>
          <w:bCs w:val="0"/>
          <w:color w:val="000000" w:themeColor="text1"/>
          <w:sz w:val="24"/>
          <w:szCs w:val="24"/>
          <w:lang w:eastAsia="zh-CN"/>
          <w14:textFill>
            <w14:solidFill>
              <w14:schemeClr w14:val="tx1"/>
            </w14:solidFill>
          </w14:textFill>
        </w:rPr>
        <w:t xml:space="preserve">{%if </w:t>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2531 not in </w:t>
      </w:r>
      <w:r>
        <w:rPr>
          <w:rFonts w:hint="eastAsia" w:ascii="宋体" w:hAnsi="宋体" w:eastAsia="宋体" w:cs="宋体"/>
          <w:b w:val="0"/>
          <w:bCs w:val="0"/>
          <w:color w:val="000000" w:themeColor="text1"/>
          <w:sz w:val="24"/>
          <w:szCs w:val="24"/>
          <w:lang w:eastAsia="zh-CN"/>
          <w14:textFill>
            <w14:solidFill>
              <w14:schemeClr w14:val="tx1"/>
            </w14:solidFill>
          </w14:textFill>
        </w:rPr>
        <w:t>diseaseIdList %}</w:t>
      </w:r>
    </w:p>
    <w:p>
      <w:pPr>
        <w:pStyle w:val="38"/>
        <w:bidi w:val="0"/>
        <w:spacing w:line="360" w:lineRule="auto"/>
        <w:ind w:left="832" w:leftChars="0" w:hanging="832" w:firstLineChars="0"/>
        <w:jc w:val="left"/>
        <w:rPr>
          <w:rFonts w:hint="eastAsia" w:ascii="Times New Roman" w:hAnsi="Times New Roman" w:eastAsia="宋体" w:cs="宋体"/>
          <w:b/>
          <w:bCs/>
          <w:spacing w:val="23"/>
          <w:sz w:val="21"/>
          <w:szCs w:val="21"/>
          <w:lang w:val="en-US" w:eastAsia="zh-CN"/>
        </w:rPr>
      </w:pPr>
      <w:bookmarkStart w:id="55" w:name="_Toc16733"/>
      <w:bookmarkStart w:id="56" w:name="_Toc2459"/>
      <w:bookmarkStart w:id="57" w:name="_Toc15558"/>
      <w:r>
        <w:rPr>
          <w:rFonts w:hint="eastAsia" w:ascii="Times New Roman" w:hAnsi="Times New Roman" w:eastAsia="宋体" w:cs="宋体"/>
          <w:b/>
          <w:bCs/>
          <w:spacing w:val="23"/>
          <w:sz w:val="21"/>
          <w:szCs w:val="21"/>
          <w:lang w:val="en-US" w:eastAsia="zh-CN"/>
        </w:rPr>
        <w:t>本</w:t>
      </w:r>
      <w:r>
        <w:rPr>
          <w:rFonts w:hint="eastAsia" w:ascii="宋体" w:hAnsi="宋体" w:eastAsia="宋体" w:cs="宋体"/>
          <w:b/>
          <w:bCs/>
          <w:spacing w:val="23"/>
          <w:sz w:val="21"/>
          <w:szCs w:val="21"/>
          <w:lang w:val="en-US" w:eastAsia="zh-CN"/>
        </w:rPr>
        <w:t>癌种FDA/NMPA获批的其他可</w:t>
      </w:r>
      <w:r>
        <w:rPr>
          <w:rFonts w:hint="eastAsia" w:ascii="Times New Roman" w:hAnsi="Times New Roman" w:eastAsia="宋体" w:cs="宋体"/>
          <w:b/>
          <w:bCs/>
          <w:spacing w:val="23"/>
          <w:sz w:val="21"/>
          <w:szCs w:val="21"/>
          <w:lang w:val="en-US" w:eastAsia="zh-CN"/>
        </w:rPr>
        <w:t>选靶向药物</w:t>
      </w:r>
      <w:bookmarkEnd w:id="52"/>
      <w:bookmarkEnd w:id="53"/>
      <w:bookmarkEnd w:id="55"/>
      <w:bookmarkEnd w:id="56"/>
      <w:bookmarkEnd w:id="57"/>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1242"/>
        <w:gridCol w:w="1243"/>
        <w:gridCol w:w="628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癌种</w:t>
            </w:r>
          </w:p>
        </w:tc>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药物</w:t>
            </w:r>
          </w:p>
        </w:tc>
        <w:tc>
          <w:tcPr>
            <w:tcW w:w="6124"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获批适应症</w:t>
            </w:r>
          </w:p>
        </w:tc>
        <w:tc>
          <w:tcPr>
            <w:tcW w:w="1393"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add in approvedDrugData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add.disease }}</w:t>
            </w:r>
          </w:p>
        </w:tc>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add.drug }}</w:t>
            </w:r>
          </w:p>
        </w:tc>
        <w:tc>
          <w:tcPr>
            <w:tcW w:w="6124" w:type="dxa"/>
            <w:vAlign w:val="center"/>
          </w:tcPr>
          <w:p>
            <w:pPr>
              <w:keepNext w:val="0"/>
              <w:keepLines w:val="0"/>
              <w:pageBreakBefore w:val="0"/>
              <w:widowControl/>
              <w:kinsoku/>
              <w:wordWrap/>
              <w:overflowPunct/>
              <w:topLinePunct w:val="0"/>
              <w:autoSpaceDE/>
              <w:autoSpaceDN/>
              <w:bidi w:val="0"/>
              <w:adjustRightInd/>
              <w:snapToGrid w:val="0"/>
              <w:spacing w:before="0" w:beforeLines="30" w:after="0" w:afterLines="30"/>
              <w:jc w:val="left"/>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add.indication }}</w:t>
            </w:r>
          </w:p>
        </w:tc>
        <w:tc>
          <w:tcPr>
            <w:tcW w:w="1393"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add.institution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bl>
    <w:p>
      <w:pPr>
        <w:spacing w:before="29" w:line="240" w:lineRule="auto"/>
      </w:pPr>
      <w:r>
        <w:rPr>
          <w:rFonts w:hint="default" w:ascii="Times New Roman" w:hAnsi="Times New Roman" w:cs="Times New Roman"/>
          <w:sz w:val="24"/>
          <w:szCs w:val="24"/>
          <w:lang w:eastAsia="zh-CN"/>
        </w:rPr>
        <w:br w:type="page"/>
      </w:r>
      <w:r>
        <w:rPr>
          <w:rFonts w:hint="eastAsia" w:ascii="宋体" w:hAnsi="宋体" w:eastAsia="宋体" w:cs="宋体"/>
          <w:b w:val="0"/>
          <w:bCs w:val="0"/>
          <w:color w:val="000000" w:themeColor="text1"/>
          <w:sz w:val="24"/>
          <w:szCs w:val="24"/>
          <w:lang w:eastAsia="zh-CN"/>
          <w14:textFill>
            <w14:solidFill>
              <w14:schemeClr w14:val="tx1"/>
            </w14:solidFill>
          </w14:textFill>
        </w:rPr>
        <w:t>{% endif %}</w:t>
      </w:r>
      <w:bookmarkEnd w:id="54"/>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58" w:name="_Toc24711"/>
      <w:r>
        <w:rPr>
          <w:rFonts w:hint="eastAsia" w:ascii="Times New Roman" w:hAnsi="Times New Roman" w:eastAsia="宋体" w:cs="宋体"/>
          <w:b/>
          <w:bCs/>
          <w:spacing w:val="23"/>
          <w:sz w:val="24"/>
          <w:szCs w:val="24"/>
        </w:rPr>
        <w:t>基因检测结果解析</w:t>
      </w:r>
      <w:bookmarkEnd w:id="44"/>
      <w:bookmarkEnd w:id="45"/>
      <w:bookmarkEnd w:id="46"/>
      <w:bookmarkEnd w:id="47"/>
      <w:bookmarkEnd w:id="48"/>
      <w:bookmarkEnd w:id="49"/>
      <w:bookmarkEnd w:id="50"/>
      <w:bookmarkEnd w:id="51"/>
      <w:bookmarkEnd w:id="58"/>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color w:val="auto"/>
          <w:spacing w:val="11"/>
          <w:sz w:val="21"/>
          <w:szCs w:val="21"/>
          <w:lang w:eastAsia="zh-CN"/>
        </w:rPr>
      </w:pPr>
      <w:bookmarkStart w:id="59" w:name="_Toc6784"/>
      <w:bookmarkStart w:id="60" w:name="_Toc26395"/>
      <w:bookmarkStart w:id="61" w:name="_Toc32468"/>
      <w:bookmarkStart w:id="62" w:name="_Toc29383"/>
      <w:bookmarkStart w:id="63" w:name="_Toc26543"/>
      <w:bookmarkStart w:id="64" w:name="_Toc11458"/>
      <w:bookmarkStart w:id="65" w:name="_Toc10987"/>
      <w:bookmarkStart w:id="66" w:name="_Toc12834"/>
      <w:bookmarkStart w:id="67" w:name="_Toc2749"/>
      <w:bookmarkStart w:id="68" w:name="_Toc9301"/>
      <w:bookmarkStart w:id="69" w:name="_Toc21764_WPSOffice_Level2"/>
      <w:bookmarkStart w:id="70" w:name="_Toc16347"/>
      <w:bookmarkStart w:id="71" w:name="_Toc1707_WPSOffice_Level2"/>
      <w:bookmarkStart w:id="72" w:name="_Toc26649"/>
      <w:bookmarkStart w:id="73" w:name="_Toc3782"/>
      <w:bookmarkStart w:id="74" w:name="_Toc6988"/>
      <w:bookmarkStart w:id="75" w:name="_Toc15530"/>
      <w:r>
        <w:rPr>
          <w:rFonts w:hint="eastAsia" w:ascii="宋体" w:hAnsi="宋体" w:eastAsia="宋体" w:cs="宋体"/>
          <w:bCs/>
          <w:spacing w:val="6"/>
          <w:sz w:val="21"/>
          <w:szCs w:val="21"/>
          <w:lang w:eastAsia="zh-CN"/>
        </w:rPr>
        <w:t>{% if BodyDrugDrugDetectionStr == [] and unknownVarAnalysisStr</w:t>
      </w:r>
      <w:r>
        <w:rPr>
          <w:rFonts w:hint="eastAsia" w:cs="宋体"/>
          <w:bCs/>
          <w:spacing w:val="6"/>
          <w:sz w:val="21"/>
          <w:szCs w:val="21"/>
          <w:lang w:val="en-US" w:eastAsia="zh-CN"/>
        </w:rPr>
        <w:t xml:space="preserve"> </w:t>
      </w:r>
      <w:r>
        <w:rPr>
          <w:rFonts w:hint="eastAsia" w:ascii="宋体" w:hAnsi="宋体" w:eastAsia="宋体" w:cs="宋体"/>
          <w:bCs/>
          <w:spacing w:val="6"/>
          <w:sz w:val="21"/>
          <w:szCs w:val="21"/>
          <w:lang w:eastAsia="zh-CN"/>
        </w:rPr>
        <w:t>== []%}未检出靶向用药相关的</w:t>
      </w:r>
      <w:r>
        <w:rPr>
          <w:rFonts w:hint="eastAsia" w:cs="宋体"/>
          <w:bCs/>
          <w:spacing w:val="6"/>
          <w:sz w:val="21"/>
          <w:szCs w:val="21"/>
          <w:lang w:val="en-US" w:eastAsia="zh-CN"/>
        </w:rPr>
        <w:t>变异位点</w:t>
      </w:r>
      <w:r>
        <w:rPr>
          <w:rFonts w:hint="eastAsia" w:ascii="宋体" w:hAnsi="宋体" w:eastAsia="宋体" w:cs="宋体"/>
          <w:bCs/>
          <w:spacing w:val="6"/>
          <w:sz w:val="21"/>
          <w:szCs w:val="21"/>
          <w:lang w:eastAsia="zh-CN"/>
        </w:rPr>
        <w:t>；未检出未知临床意义</w:t>
      </w:r>
      <w:r>
        <w:rPr>
          <w:rFonts w:hint="eastAsia" w:cs="宋体"/>
          <w:bCs/>
          <w:spacing w:val="6"/>
          <w:sz w:val="21"/>
          <w:szCs w:val="21"/>
          <w:lang w:val="en-US" w:eastAsia="zh-CN"/>
        </w:rPr>
        <w:t>变异位点</w:t>
      </w:r>
      <w:r>
        <w:rPr>
          <w:rFonts w:hint="eastAsia" w:ascii="宋体" w:hAnsi="宋体" w:eastAsia="宋体" w:cs="宋体"/>
          <w:bCs/>
          <w:spacing w:val="6"/>
          <w:sz w:val="21"/>
          <w:szCs w:val="21"/>
          <w:lang w:eastAsia="zh-CN"/>
        </w:rPr>
        <w:t>。{% endif %}</w:t>
      </w:r>
      <w:r>
        <w:rPr>
          <w:rFonts w:hint="eastAsia" w:ascii="宋体" w:hAnsi="宋体" w:eastAsia="宋体" w:cs="宋体"/>
          <w:b/>
          <w:bCs w:val="0"/>
          <w:spacing w:val="6"/>
          <w:sz w:val="21"/>
          <w:szCs w:val="21"/>
          <w:lang w:eastAsia="zh-CN"/>
        </w:rPr>
        <w:t>{%if BodyDrugDrugDetectionStr or unknownVarAnalysisStr %}</w:t>
      </w:r>
    </w:p>
    <w:p>
      <w:pPr>
        <w:pStyle w:val="38"/>
        <w:numPr>
          <w:ilvl w:val="0"/>
          <w:numId w:val="9"/>
        </w:numPr>
        <w:bidi w:val="0"/>
        <w:spacing w:line="360" w:lineRule="auto"/>
        <w:ind w:left="425" w:leftChars="0" w:hanging="425" w:firstLineChars="0"/>
        <w:jc w:val="left"/>
        <w:rPr>
          <w:b/>
          <w:bCs/>
          <w:spacing w:val="23"/>
          <w:sz w:val="21"/>
          <w:szCs w:val="21"/>
        </w:rPr>
      </w:pPr>
      <w:bookmarkStart w:id="76" w:name="_Toc28029"/>
      <w:bookmarkStart w:id="77" w:name="_Toc27894"/>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变异</w:t>
      </w:r>
      <w:r>
        <w:rPr>
          <w:rFonts w:hint="eastAsia" w:cs="宋体"/>
          <w:b/>
          <w:bCs/>
          <w:color w:val="000000" w:themeColor="text1"/>
          <w:spacing w:val="23"/>
          <w:sz w:val="21"/>
          <w:szCs w:val="21"/>
          <w:lang w:val="en-US" w:eastAsia="zh-CN" w:bidi="ar-SA"/>
          <w14:textFill>
            <w14:solidFill>
              <w14:schemeClr w14:val="tx1"/>
            </w14:solidFill>
          </w14:textFill>
        </w:rPr>
        <w:t>位点</w:t>
      </w:r>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结果解析</w:t>
      </w:r>
      <w:bookmarkEnd w:id="76"/>
      <w:bookmarkEnd w:id="77"/>
    </w:p>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outlineLvl w:val="9"/>
        <w:rPr>
          <w:b/>
          <w:bCs/>
          <w:spacing w:val="23"/>
          <w:sz w:val="10"/>
          <w:szCs w:val="10"/>
        </w:rPr>
      </w:pPr>
      <w:bookmarkStart w:id="78" w:name="_Toc30182"/>
      <w:bookmarkStart w:id="79" w:name="_Toc18573"/>
      <w:bookmarkStart w:id="80" w:name="_Toc8327"/>
      <w:bookmarkStart w:id="81" w:name="_Toc17311"/>
      <w:r>
        <w:rPr>
          <w:rFonts w:hint="eastAsia" w:ascii="宋体" w:hAnsi="宋体" w:eastAsia="宋体" w:cs="宋体"/>
          <w:b/>
          <w:bCs/>
          <w:sz w:val="10"/>
          <w:szCs w:val="10"/>
          <w:lang w:eastAsia="zh-CN"/>
        </w:rPr>
        <w:t>{% for tdd in BodyDrugNoComplexStr %}</w:t>
      </w:r>
      <w:bookmarkEnd w:id="78"/>
      <w:bookmarkEnd w:id="79"/>
      <w:bookmarkEnd w:id="80"/>
      <w:bookmarkEnd w:id="81"/>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bookmarkEnd w:id="59"/>
      <w:bookmarkEnd w:id="60"/>
      <w:bookmarkEnd w:id="61"/>
      <w:bookmarkEnd w:id="62"/>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0"/>
        <w:gridCol w:w="1505"/>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0"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0"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5"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widowControl/>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eastAsia="zh-CN"/>
        </w:rPr>
        <w:t>{% endif %}{% endfor %}{% for vus in unknownVarAnalysisStr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vus.gene}}</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8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突变形式</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vus.mutDesc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基因说明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vus.gene_description_chinese }}</w:t>
            </w:r>
          </w:p>
        </w:tc>
      </w:tr>
    </w:tbl>
    <w:p>
      <w:pPr>
        <w:rPr>
          <w:rFonts w:hint="eastAsia" w:ascii="宋体" w:hAnsi="宋体" w:eastAsia="宋体" w:cs="宋体"/>
          <w:b/>
          <w:color w:val="000000" w:themeColor="text1"/>
          <w:sz w:val="20"/>
          <w:szCs w:val="20"/>
          <w:lang w:eastAsia="zh-CN"/>
          <w14:textFill>
            <w14:solidFill>
              <w14:schemeClr w14:val="tx1"/>
            </w14:solidFill>
          </w14:textFill>
        </w:rPr>
      </w:pPr>
      <w:r>
        <w:rPr>
          <w:rFonts w:hint="eastAsia" w:ascii="宋体" w:hAnsi="宋体" w:eastAsia="宋体" w:cs="宋体"/>
          <w:b/>
          <w:color w:val="000000" w:themeColor="text1"/>
          <w:sz w:val="20"/>
          <w:szCs w:val="20"/>
          <w:lang w:eastAsia="zh-CN"/>
          <w14:textFill>
            <w14:solidFill>
              <w14:schemeClr w14:val="tx1"/>
            </w14:solidFill>
          </w14:textFill>
        </w:rPr>
        <w:t>{% endfor %}{% for tdd in ComplexDrugStr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tdd.comutation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1"/>
        <w:gridCol w:w="1504"/>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4"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4"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pStyle w:val="38"/>
        <w:numPr>
          <w:ilvl w:val="0"/>
          <w:numId w:val="0"/>
        </w:numPr>
        <w:bidi w:val="0"/>
        <w:spacing w:line="360" w:lineRule="auto"/>
        <w:ind w:leftChars="0"/>
        <w:jc w:val="left"/>
        <w:outlineLvl w:val="9"/>
        <w:rPr>
          <w:rFonts w:ascii="Times New Roman" w:hAnsi="Times New Roman" w:eastAsia="微软雅黑" w:cs="Times New Roman"/>
          <w:b/>
          <w:color w:val="45A3A7"/>
          <w:szCs w:val="24"/>
        </w:rPr>
      </w:pPr>
      <w:r>
        <w:rPr>
          <w:rFonts w:hint="eastAsia" w:ascii="宋体" w:hAnsi="宋体" w:eastAsia="宋体" w:cs="宋体"/>
          <w:b/>
          <w:sz w:val="24"/>
          <w:szCs w:val="24"/>
          <w:lang w:eastAsia="zh-CN"/>
        </w:rPr>
        <w:t>{% endif %}{% endfor %}</w:t>
      </w:r>
      <w:r>
        <w:rPr>
          <w:rFonts w:hint="eastAsia" w:ascii="宋体" w:hAnsi="宋体" w:eastAsia="宋体" w:cs="宋体"/>
          <w:sz w:val="20"/>
          <w:szCs w:val="18"/>
          <w:lang w:eastAsia="zh-CN"/>
        </w:rPr>
        <w:br w:type="page"/>
      </w:r>
      <w:r>
        <w:rPr>
          <w:rFonts w:hint="eastAsia" w:ascii="宋体" w:hAnsi="宋体" w:eastAsia="宋体" w:cs="宋体"/>
          <w:b/>
          <w:sz w:val="24"/>
          <w:szCs w:val="24"/>
          <w:lang w:eastAsia="zh-CN"/>
        </w:rPr>
        <w:t>{% endif %}</w:t>
      </w:r>
    </w:p>
    <w:bookmarkEnd w:id="63"/>
    <w:p>
      <w:pPr>
        <w:pStyle w:val="38"/>
        <w:numPr>
          <w:ilvl w:val="0"/>
          <w:numId w:val="9"/>
        </w:numPr>
        <w:bidi w:val="0"/>
        <w:spacing w:line="360" w:lineRule="auto"/>
        <w:ind w:left="425" w:leftChars="0" w:hanging="425" w:firstLineChars="0"/>
        <w:jc w:val="left"/>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pPr>
      <w:bookmarkStart w:id="82" w:name="_Toc8195"/>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化疗药物检测解析</w:t>
      </w:r>
      <w:bookmarkEnd w:id="82"/>
    </w:p>
    <w:bookmarkEnd w:id="64"/>
    <w:bookmarkEnd w:id="65"/>
    <w:bookmarkEnd w:id="66"/>
    <w:bookmarkEnd w:id="67"/>
    <w:bookmarkEnd w:id="68"/>
    <w:p>
      <w:pPr>
        <w:pStyle w:val="38"/>
        <w:numPr>
          <w:ilvl w:val="1"/>
          <w:numId w:val="9"/>
        </w:numPr>
        <w:bidi w:val="0"/>
        <w:spacing w:line="360" w:lineRule="auto"/>
        <w:ind w:left="567" w:leftChars="0" w:hanging="567" w:firstLineChars="0"/>
        <w:jc w:val="left"/>
        <w:rPr>
          <w:rFonts w:hint="eastAsia" w:ascii="宋体" w:hAnsi="宋体" w:eastAsia="宋体" w:cs="宋体"/>
          <w:sz w:val="21"/>
          <w:szCs w:val="21"/>
          <w:lang w:eastAsia="zh-CN"/>
        </w:rPr>
      </w:pPr>
      <w:r>
        <w:rPr>
          <w:rFonts w:hint="eastAsia" w:ascii="宋体" w:hAnsi="宋体" w:eastAsia="宋体" w:cs="宋体"/>
          <w:b/>
          <w:bCs/>
          <w:spacing w:val="23"/>
          <w:sz w:val="21"/>
          <w:szCs w:val="21"/>
          <w:lang w:eastAsia="zh-CN"/>
        </w:rPr>
        <w:t>化疗药物用药提示</w:t>
      </w:r>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8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549" w:type="dxa"/>
            <w:vMerge w:val="restart"/>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eastAsia="zh-CN"/>
                <w14:textFill>
                  <w14:solidFill>
                    <w14:schemeClr w14:val="tx1"/>
                  </w14:solidFill>
                </w14:textFill>
              </w:rPr>
              <w:t>本癌种</w:t>
            </w:r>
          </w:p>
        </w:tc>
        <w:tc>
          <w:tcPr>
            <w:tcW w:w="8656" w:type="dxa"/>
            <w:tcBorders>
              <w:tl2br w:val="nil"/>
              <w:tr2bl w:val="nil"/>
            </w:tcBorders>
            <w:vAlign w:val="center"/>
          </w:tcPr>
          <w:p>
            <w:pPr>
              <w:widowControl/>
              <w:jc w:val="both"/>
              <w:rPr>
                <w:rFonts w:hint="eastAsia" w:ascii="宋体" w:hAnsi="宋体" w:eastAsia="宋体" w:cs="宋体"/>
                <w:b w:val="0"/>
                <w:bCs w:val="0"/>
                <w:color w:val="auto"/>
                <w:sz w:val="21"/>
                <w:szCs w:val="21"/>
                <w:lang w:eastAsia="zh-CN" w:bidi="ar"/>
              </w:rPr>
            </w:pPr>
            <w:r>
              <w:rPr>
                <w:rFonts w:hint="eastAsia" w:ascii="宋体" w:hAnsi="宋体" w:eastAsia="宋体" w:cs="宋体"/>
                <w:b w:val="0"/>
                <w:bCs w:val="0"/>
                <w:color w:val="auto"/>
                <w:sz w:val="21"/>
                <w:szCs w:val="21"/>
                <w:lang w:eastAsia="zh-CN"/>
              </w:rPr>
              <w:t>{{ chemoSummary.certain_cancer_effStr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continue"/>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lang w:eastAsia="zh-CN"/>
                <w14:textFill>
                  <w14:solidFill>
                    <w14:schemeClr w14:val="tx1"/>
                  </w14:solidFill>
                </w14:textFill>
              </w:rPr>
            </w:pPr>
          </w:p>
        </w:tc>
        <w:tc>
          <w:tcPr>
            <w:tcW w:w="8656" w:type="dxa"/>
            <w:tcBorders>
              <w:tl2br w:val="nil"/>
              <w:tr2bl w:val="nil"/>
            </w:tcBorders>
            <w:vAlign w:val="center"/>
          </w:tcPr>
          <w:p>
            <w:pPr>
              <w:widowControl/>
              <w:jc w:val="both"/>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lang w:eastAsia="zh-CN"/>
              </w:rPr>
              <w:t>{{ chemoSummary.certain_cancer_toxStr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restart"/>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eastAsia="zh-CN"/>
                <w14:textFill>
                  <w14:solidFill>
                    <w14:schemeClr w14:val="tx1"/>
                  </w14:solidFill>
                </w14:textFill>
              </w:rPr>
              <w:t>其他癌种</w:t>
            </w:r>
          </w:p>
        </w:tc>
        <w:tc>
          <w:tcPr>
            <w:tcW w:w="8656" w:type="dxa"/>
            <w:tcBorders>
              <w:tl2br w:val="nil"/>
              <w:tr2bl w:val="nil"/>
            </w:tcBorders>
            <w:vAlign w:val="center"/>
          </w:tcPr>
          <w:p>
            <w:pPr>
              <w:widowControl/>
              <w:jc w:val="both"/>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lang w:eastAsia="zh-CN"/>
              </w:rPr>
              <w:t>{{ chemoSummary.other_cancer_effStr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shd w:val="clear" w:color="auto" w:fill="9DC3E6"/>
            <w:vAlign w:val="center"/>
          </w:tcPr>
          <w:p>
            <w:pPr>
              <w:widowControl/>
              <w:jc w:val="center"/>
              <w:rPr>
                <w:rFonts w:hint="eastAsia" w:ascii="宋体" w:hAnsi="宋体" w:eastAsia="宋体" w:cs="宋体"/>
                <w:b w:val="0"/>
                <w:bCs w:val="0"/>
                <w:color w:val="auto"/>
                <w:sz w:val="21"/>
                <w:szCs w:val="21"/>
                <w:lang w:eastAsia="zh-CN" w:bidi="ar"/>
              </w:rPr>
            </w:pPr>
          </w:p>
        </w:tc>
        <w:tc>
          <w:tcPr>
            <w:tcW w:w="8656" w:type="dxa"/>
            <w:tcBorders>
              <w:tl2br w:val="nil"/>
              <w:tr2bl w:val="nil"/>
            </w:tcBorders>
            <w:vAlign w:val="center"/>
          </w:tcPr>
          <w:p>
            <w:pPr>
              <w:widowControl/>
              <w:jc w:val="both"/>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lang w:eastAsia="zh-CN"/>
              </w:rPr>
              <w:t>{{ chemoSummary.other_cancer_toxStr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rPr>
      </w:pPr>
      <w:r>
        <w:rPr>
          <w:rFonts w:hint="eastAsia" w:ascii="宋体" w:hAnsi="宋体" w:eastAsia="宋体" w:cs="宋体"/>
          <w:b/>
          <w:sz w:val="18"/>
          <w:szCs w:val="18"/>
          <w:lang w:eastAsia="zh-CN" w:bidi="ar"/>
        </w:rPr>
        <w:t>注：</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本癌种化疗药物的毒副风险和敏感性预测参考纳入人群为本癌种患者的研究文献。</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更详细的化疗基因多态性和药物信息参见“化疗药物用药解析”。</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PharmGKB是美国国立卫生研究院资助的提供人类基因变异与药物反应相关关系的知识库。</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临床证据等级来源于PharmGKB</w:t>
      </w:r>
      <w:r>
        <w:rPr>
          <w:rFonts w:hint="eastAsia" w:cs="宋体"/>
          <w:spacing w:val="0"/>
          <w:sz w:val="18"/>
          <w:szCs w:val="18"/>
          <w:lang w:val="en-US" w:eastAsia="zh-CN"/>
        </w:rPr>
        <w:t xml:space="preserve"> </w:t>
      </w:r>
      <w:r>
        <w:rPr>
          <w:rFonts w:hint="eastAsia" w:ascii="宋体" w:hAnsi="宋体" w:eastAsia="宋体" w:cs="宋体"/>
          <w:spacing w:val="0"/>
          <w:sz w:val="18"/>
          <w:szCs w:val="18"/>
          <w:lang w:eastAsia="zh-CN"/>
        </w:rPr>
        <w:t>Clinical</w:t>
      </w:r>
      <w:r>
        <w:rPr>
          <w:rFonts w:hint="eastAsia" w:cs="宋体"/>
          <w:spacing w:val="0"/>
          <w:sz w:val="18"/>
          <w:szCs w:val="18"/>
          <w:lang w:val="en-US" w:eastAsia="zh-CN"/>
        </w:rPr>
        <w:t xml:space="preserve"> </w:t>
      </w:r>
      <w:r>
        <w:rPr>
          <w:rFonts w:hint="eastAsia" w:ascii="宋体" w:hAnsi="宋体" w:eastAsia="宋体" w:cs="宋体"/>
          <w:spacing w:val="0"/>
          <w:sz w:val="18"/>
          <w:szCs w:val="18"/>
          <w:lang w:eastAsia="zh-CN"/>
        </w:rPr>
        <w:t>Annotation</w:t>
      </w:r>
      <w:r>
        <w:rPr>
          <w:rFonts w:hint="eastAsia" w:cs="宋体"/>
          <w:spacing w:val="0"/>
          <w:sz w:val="18"/>
          <w:szCs w:val="18"/>
          <w:lang w:val="en-US" w:eastAsia="zh-CN"/>
        </w:rPr>
        <w:t xml:space="preserve"> </w:t>
      </w:r>
      <w:r>
        <w:rPr>
          <w:rFonts w:hint="eastAsia" w:ascii="宋体" w:hAnsi="宋体" w:eastAsia="宋体" w:cs="宋体"/>
          <w:spacing w:val="0"/>
          <w:sz w:val="18"/>
          <w:szCs w:val="18"/>
          <w:lang w:eastAsia="zh-CN"/>
        </w:rPr>
        <w:t>Levels</w:t>
      </w:r>
      <w:r>
        <w:rPr>
          <w:rFonts w:hint="eastAsia" w:cs="宋体"/>
          <w:spacing w:val="0"/>
          <w:sz w:val="18"/>
          <w:szCs w:val="18"/>
          <w:lang w:val="en-US" w:eastAsia="zh-CN"/>
        </w:rPr>
        <w:t xml:space="preserve"> </w:t>
      </w:r>
      <w:r>
        <w:rPr>
          <w:rFonts w:hint="eastAsia" w:ascii="宋体" w:hAnsi="宋体" w:eastAsia="宋体" w:cs="宋体"/>
          <w:spacing w:val="0"/>
          <w:sz w:val="18"/>
          <w:szCs w:val="18"/>
          <w:lang w:eastAsia="zh-CN"/>
        </w:rPr>
        <w:t>of</w:t>
      </w:r>
      <w:r>
        <w:rPr>
          <w:rFonts w:hint="eastAsia" w:cs="宋体"/>
          <w:spacing w:val="0"/>
          <w:sz w:val="18"/>
          <w:szCs w:val="18"/>
          <w:lang w:val="en-US" w:eastAsia="zh-CN"/>
        </w:rPr>
        <w:t xml:space="preserve"> </w:t>
      </w:r>
      <w:r>
        <w:rPr>
          <w:rFonts w:hint="eastAsia" w:ascii="宋体" w:hAnsi="宋体" w:eastAsia="宋体" w:cs="宋体"/>
          <w:spacing w:val="0"/>
          <w:sz w:val="18"/>
          <w:szCs w:val="18"/>
          <w:lang w:eastAsia="zh-CN"/>
        </w:rPr>
        <w:t>Evidence(https://www.pharmgkb.org/page/clinAnnLevels)，证据等级1A、1B、2A、2B、3、4分别代表证据支持程度依次降低：</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40" w:leftChars="200" w:firstLine="0" w:firstLineChars="0"/>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1A：由临床药物基因组学实施联盟(CPIC)或遗传药理学指南认可，或在遗传药理学研究网络(PGRN)或某些重大卫生系统认可。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40" w:leftChars="200" w:firstLine="0" w:firstLineChars="0"/>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1B：相关性基于多项有统计显著性的研究，此相关性必须在多于一个群体的研究中被重复，且显著性较强。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40" w:leftChars="200" w:firstLine="0" w:firstLineChars="0"/>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2A：PharmGKB定义的2B级之上的有VIP（VeryImportantPharmacogene，非常重要的用药相关基因）的变异。2A级变异为已知用药相关基因，与2B级相比功能相关性更显著。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40" w:leftChars="200" w:firstLine="0" w:firstLineChars="0"/>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2B：相关性基于多项重复性研究所得的中等程度证据，但其中某些研究可能缺乏统计学显著性或规模效应较小。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40" w:leftChars="200" w:firstLine="0" w:firstLineChars="0"/>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3：相关性基于单一显著性（尚无重复性）研究或多项缺乏明确证据的研究。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40" w:leftChars="200" w:firstLine="0" w:firstLineChars="0"/>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4：注释仅基于少量病例、非权威研究或体外的分子功能研究。</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pStyle w:val="38"/>
        <w:numPr>
          <w:ilvl w:val="1"/>
          <w:numId w:val="9"/>
        </w:numPr>
        <w:bidi w:val="0"/>
        <w:spacing w:line="360" w:lineRule="auto"/>
        <w:ind w:left="567" w:leftChars="0" w:hanging="567" w:firstLineChars="0"/>
        <w:jc w:val="left"/>
        <w:rPr>
          <w:rFonts w:hint="eastAsia" w:ascii="宋体" w:hAnsi="宋体" w:eastAsia="宋体" w:cs="宋体"/>
          <w:b/>
          <w:bCs/>
          <w:spacing w:val="23"/>
          <w:sz w:val="21"/>
          <w:szCs w:val="21"/>
          <w:lang w:eastAsia="zh-CN"/>
        </w:rPr>
      </w:pPr>
      <w:r>
        <w:rPr>
          <w:rFonts w:hint="eastAsia" w:ascii="宋体" w:hAnsi="宋体" w:eastAsia="宋体" w:cs="宋体"/>
          <w:b/>
          <w:bCs/>
          <w:spacing w:val="23"/>
          <w:sz w:val="21"/>
          <w:szCs w:val="21"/>
          <w:lang w:eastAsia="zh-CN"/>
        </w:rPr>
        <w:t>化疗药物用药解析</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63"/>
        <w:gridCol w:w="2825"/>
        <w:gridCol w:w="1465"/>
        <w:gridCol w:w="1202"/>
        <w:gridCol w:w="884"/>
        <w:gridCol w:w="1308"/>
        <w:gridCol w:w="1069"/>
        <w:gridCol w:w="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22" w:type="pct"/>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eastAsia="zh-CN"/>
                <w14:textFill>
                  <w14:solidFill>
                    <w14:schemeClr w14:val="tx1"/>
                  </w14:solidFill>
                </w14:textFill>
              </w:rPr>
              <w:t>药物类别</w:t>
            </w:r>
          </w:p>
        </w:tc>
        <w:tc>
          <w:tcPr>
            <w:tcW w:w="1384" w:type="pct"/>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lang w:eastAsia="zh-CN"/>
                <w14:textFill>
                  <w14:solidFill>
                    <w14:schemeClr w14:val="tx1"/>
                  </w14:solidFill>
                </w14:textFill>
              </w:rPr>
              <w:t>化疗药物</w:t>
            </w:r>
          </w:p>
        </w:tc>
        <w:tc>
          <w:tcPr>
            <w:tcW w:w="717" w:type="pct"/>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eastAsia="zh-CN"/>
                <w14:textFill>
                  <w14:solidFill>
                    <w14:schemeClr w14:val="tx1"/>
                  </w14:solidFill>
                </w14:textFill>
              </w:rPr>
              <w:t>检测基因</w:t>
            </w:r>
          </w:p>
        </w:tc>
        <w:tc>
          <w:tcPr>
            <w:tcW w:w="588" w:type="pct"/>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eastAsia="zh-CN"/>
                <w14:textFill>
                  <w14:solidFill>
                    <w14:schemeClr w14:val="tx1"/>
                  </w14:solidFill>
                </w14:textFill>
              </w:rPr>
              <w:t>检测位点</w:t>
            </w:r>
          </w:p>
        </w:tc>
        <w:tc>
          <w:tcPr>
            <w:tcW w:w="433" w:type="pct"/>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eastAsia="zh-CN"/>
                <w14:textFill>
                  <w14:solidFill>
                    <w14:schemeClr w14:val="tx1"/>
                  </w14:solidFill>
                </w14:textFill>
              </w:rPr>
              <w:t>检测结果</w:t>
            </w:r>
          </w:p>
        </w:tc>
        <w:tc>
          <w:tcPr>
            <w:tcW w:w="640" w:type="pct"/>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eastAsia="zh-CN"/>
                <w14:textFill>
                  <w14:solidFill>
                    <w14:schemeClr w14:val="tx1"/>
                  </w14:solidFill>
                </w14:textFill>
              </w:rPr>
              <w:t>毒副作用风险</w:t>
            </w:r>
          </w:p>
        </w:tc>
        <w:tc>
          <w:tcPr>
            <w:tcW w:w="523" w:type="pct"/>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eastAsia="zh-CN"/>
                <w14:textFill>
                  <w14:solidFill>
                    <w14:schemeClr w14:val="tx1"/>
                  </w14:solidFill>
                </w14:textFill>
              </w:rPr>
              <w:t>药物敏感性</w:t>
            </w:r>
          </w:p>
        </w:tc>
        <w:tc>
          <w:tcPr>
            <w:tcW w:w="288" w:type="pct"/>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eastAsia="zh-CN"/>
                <w14:textFill>
                  <w14:solidFill>
                    <w14:schemeClr w14:val="tx1"/>
                  </w14:solidFill>
                </w14:textFill>
              </w:rPr>
              <w:t>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pPr>
              <w:spacing w:line="206" w:lineRule="exact"/>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for ca in chemoAnalysis%}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pPr>
              <w:spacing w:line="206" w:lineRule="exact"/>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for c in ca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2" w:hRule="atLeast"/>
          <w:jc w:val="center"/>
        </w:trPr>
        <w:tc>
          <w:tcPr>
            <w:tcW w:w="422" w:type="pct"/>
            <w:shd w:val="clear" w:color="auto" w:fill="auto"/>
            <w:vAlign w:val="center"/>
          </w:tcPr>
          <w:p>
            <w:pPr>
              <w:spacing w:line="206" w:lineRule="exact"/>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bCs/>
                <w:sz w:val="21"/>
                <w:szCs w:val="21"/>
                <w:lang w:eastAsia="zh-CN"/>
              </w:rPr>
              <w:t>{% vm %}{{ c.drug_class }}</w:t>
            </w:r>
          </w:p>
        </w:tc>
        <w:tc>
          <w:tcPr>
            <w:tcW w:w="1384" w:type="pct"/>
            <w:shd w:val="clear" w:color="auto" w:fill="auto"/>
            <w:vAlign w:val="center"/>
          </w:tcPr>
          <w:p>
            <w:pPr>
              <w:spacing w:line="206" w:lineRule="exact"/>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bCs/>
                <w:sz w:val="21"/>
                <w:szCs w:val="21"/>
                <w:lang w:eastAsia="zh-CN"/>
              </w:rPr>
              <w:t>{{ c.drug_name_chinese }}</w:t>
            </w:r>
          </w:p>
        </w:tc>
        <w:tc>
          <w:tcPr>
            <w:tcW w:w="717" w:type="pct"/>
            <w:shd w:val="clear" w:color="auto" w:fill="auto"/>
            <w:vAlign w:val="center"/>
          </w:tcPr>
          <w:p>
            <w:pPr>
              <w:spacing w:line="206" w:lineRule="exact"/>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bCs/>
                <w:sz w:val="21"/>
                <w:szCs w:val="21"/>
                <w:lang w:eastAsia="zh-CN"/>
              </w:rPr>
              <w:t>{{ c.gene }}</w:t>
            </w:r>
          </w:p>
        </w:tc>
        <w:tc>
          <w:tcPr>
            <w:tcW w:w="588" w:type="pct"/>
            <w:shd w:val="clear" w:color="auto" w:fill="auto"/>
            <w:vAlign w:val="center"/>
          </w:tcPr>
          <w:p>
            <w:pPr>
              <w:spacing w:line="206" w:lineRule="exact"/>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c.rs_id }}</w:t>
            </w:r>
          </w:p>
        </w:tc>
        <w:tc>
          <w:tcPr>
            <w:tcW w:w="433" w:type="pct"/>
            <w:shd w:val="clear" w:color="auto" w:fill="auto"/>
            <w:vAlign w:val="center"/>
          </w:tcPr>
          <w:p>
            <w:pPr>
              <w:spacing w:line="206" w:lineRule="exact"/>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c.allele }}</w:t>
            </w:r>
          </w:p>
        </w:tc>
        <w:tc>
          <w:tcPr>
            <w:tcW w:w="640" w:type="pct"/>
            <w:shd w:val="clear" w:color="auto" w:fill="auto"/>
            <w:vAlign w:val="center"/>
          </w:tcPr>
          <w:p>
            <w:pPr>
              <w:spacing w:line="206" w:lineRule="exact"/>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bCs/>
                <w:sz w:val="21"/>
                <w:szCs w:val="21"/>
                <w:lang w:eastAsia="zh-CN"/>
              </w:rPr>
              <w:t>{{ c.tox }}</w:t>
            </w:r>
          </w:p>
        </w:tc>
        <w:tc>
          <w:tcPr>
            <w:tcW w:w="523" w:type="pct"/>
            <w:shd w:val="clear" w:color="auto" w:fill="auto"/>
            <w:vAlign w:val="center"/>
          </w:tcPr>
          <w:p>
            <w:pPr>
              <w:spacing w:line="206" w:lineRule="exact"/>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bCs/>
                <w:sz w:val="21"/>
                <w:szCs w:val="21"/>
                <w:lang w:eastAsia="zh-CN"/>
              </w:rPr>
              <w:t>{{ c.eff }}</w:t>
            </w:r>
          </w:p>
        </w:tc>
        <w:tc>
          <w:tcPr>
            <w:tcW w:w="288" w:type="pct"/>
            <w:shd w:val="clear" w:color="auto" w:fill="auto"/>
            <w:vAlign w:val="center"/>
          </w:tcPr>
          <w:p>
            <w:pPr>
              <w:spacing w:line="206" w:lineRule="exact"/>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bCs/>
                <w:sz w:val="21"/>
                <w:szCs w:val="21"/>
                <w:lang w:eastAsia="zh-CN"/>
              </w:rPr>
              <w:t>{{ c.evidence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pPr>
              <w:spacing w:line="206" w:lineRule="exact"/>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pPr>
              <w:spacing w:line="206" w:lineRule="exact"/>
              <w:jc w:val="cente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sz w:val="21"/>
                <w:szCs w:val="21"/>
                <w:lang w:eastAsia="zh-CN"/>
              </w:rPr>
              <w:t>{%tr endfor %}</w:t>
            </w:r>
          </w:p>
        </w:tc>
      </w:tr>
    </w:tbl>
    <w:p>
      <w:pPr>
        <w:pStyle w:val="30"/>
        <w:keepNext w:val="0"/>
        <w:keepLines w:val="0"/>
        <w:pageBreakBefore w:val="0"/>
        <w:widowControl w:val="0"/>
        <w:tabs>
          <w:tab w:val="left" w:pos="1317"/>
        </w:tabs>
        <w:kinsoku w:val="0"/>
        <w:wordWrap/>
        <w:overflowPunct w:val="0"/>
        <w:topLinePunct w:val="0"/>
        <w:autoSpaceDE/>
        <w:autoSpaceDN/>
        <w:bidi w:val="0"/>
        <w:adjustRightInd/>
        <w:snapToGrid/>
        <w:spacing w:before="0" w:beforeLines="50" w:line="360" w:lineRule="auto"/>
        <w:ind w:left="0" w:right="1128" w:firstLine="0"/>
        <w:textAlignment w:val="auto"/>
        <w:rPr>
          <w:rFonts w:hint="eastAsia" w:ascii="宋体" w:hAnsi="宋体" w:eastAsia="宋体" w:cs="宋体"/>
          <w:b/>
          <w:bCs/>
          <w:sz w:val="18"/>
          <w:lang w:eastAsia="zh-CN"/>
        </w:rPr>
      </w:pPr>
      <w:r>
        <w:rPr>
          <w:rFonts w:hint="eastAsia" w:ascii="宋体" w:hAnsi="宋体" w:eastAsia="宋体" w:cs="宋体"/>
          <w:b/>
          <w:bCs/>
          <w:sz w:val="18"/>
          <w:lang w:eastAsia="zh-CN"/>
        </w:rPr>
        <w:t>注：</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本报告中参考药物并非按照疗效排序。</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“/”未有研究报道或现有研究结论不一致。</w:t>
      </w:r>
    </w:p>
    <w:p>
      <w:pPr>
        <w:rPr>
          <w:rFonts w:ascii="Times New Roman" w:hAnsi="Times New Roman" w:eastAsia="微软雅黑" w:cs="Times New Roman"/>
          <w:b/>
          <w:bCs/>
          <w:color w:val="416AAB"/>
          <w:sz w:val="28"/>
          <w:szCs w:val="32"/>
          <w:lang w:eastAsia="zh-CN"/>
        </w:rPr>
      </w:pPr>
      <w:r>
        <w:rPr>
          <w:lang w:eastAsia="zh-CN"/>
        </w:rPr>
        <w:br w:type="page"/>
      </w:r>
    </w:p>
    <w:bookmarkEnd w:id="69"/>
    <w:bookmarkEnd w:id="70"/>
    <w:bookmarkEnd w:id="71"/>
    <w:bookmarkEnd w:id="72"/>
    <w:bookmarkEnd w:id="73"/>
    <w:bookmarkEnd w:id="74"/>
    <w:bookmarkEnd w:id="75"/>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83" w:name="_Toc12505"/>
      <w:bookmarkStart w:id="84" w:name="_Toc2409"/>
      <w:bookmarkStart w:id="85" w:name="_Toc1707_WPSOffice_Level1"/>
      <w:bookmarkStart w:id="86" w:name="_Toc21764_WPSOffice_Level1"/>
      <w:bookmarkStart w:id="87" w:name="_Toc13196_WPSOffice_Level1"/>
      <w:bookmarkStart w:id="88" w:name="_Toc16594"/>
      <w:bookmarkStart w:id="89" w:name="_Toc27302"/>
      <w:bookmarkStart w:id="90" w:name="_Toc6656"/>
      <w:bookmarkStart w:id="91" w:name="_Toc28240"/>
      <w:r>
        <w:rPr>
          <w:rFonts w:hint="eastAsia" w:ascii="Times New Roman" w:hAnsi="Times New Roman" w:eastAsia="宋体" w:cs="宋体"/>
          <w:b/>
          <w:bCs/>
          <w:spacing w:val="23"/>
          <w:sz w:val="24"/>
          <w:szCs w:val="24"/>
        </w:rPr>
        <w:t>附录</w:t>
      </w:r>
      <w:bookmarkEnd w:id="83"/>
      <w:bookmarkEnd w:id="84"/>
      <w:bookmarkEnd w:id="85"/>
      <w:bookmarkEnd w:id="86"/>
      <w:bookmarkEnd w:id="87"/>
      <w:bookmarkEnd w:id="88"/>
      <w:bookmarkEnd w:id="89"/>
      <w:bookmarkEnd w:id="90"/>
      <w:bookmarkEnd w:id="91"/>
    </w:p>
    <w:p>
      <w:pPr>
        <w:pStyle w:val="38"/>
        <w:numPr>
          <w:ilvl w:val="0"/>
          <w:numId w:val="12"/>
        </w:numPr>
        <w:bidi w:val="0"/>
        <w:spacing w:line="360" w:lineRule="auto"/>
        <w:ind w:left="832" w:leftChars="0" w:hanging="832" w:firstLineChars="0"/>
        <w:jc w:val="left"/>
        <w:rPr>
          <w:b/>
          <w:bCs/>
          <w:spacing w:val="23"/>
          <w:sz w:val="21"/>
          <w:szCs w:val="21"/>
        </w:rPr>
      </w:pPr>
      <w:bookmarkStart w:id="92" w:name="_Toc15840_WPSOffice_Level1"/>
      <w:bookmarkStart w:id="93" w:name="_Toc24085_WPSOffice_Level1"/>
      <w:bookmarkStart w:id="94" w:name="_Toc14255_WPSOffice_Level1"/>
      <w:bookmarkStart w:id="95" w:name="_Toc31490"/>
      <w:bookmarkStart w:id="96" w:name="_Toc27075"/>
      <w:bookmarkStart w:id="97" w:name="_Toc4168"/>
      <w:bookmarkStart w:id="98" w:name="_Toc24076"/>
      <w:r>
        <w:rPr>
          <w:rFonts w:hint="eastAsia"/>
          <w:b/>
          <w:bCs/>
          <w:spacing w:val="23"/>
          <w:sz w:val="21"/>
          <w:szCs w:val="21"/>
        </w:rPr>
        <w:t>样本质控情况</w:t>
      </w:r>
      <w:bookmarkEnd w:id="92"/>
      <w:bookmarkEnd w:id="93"/>
      <w:bookmarkEnd w:id="94"/>
      <w:bookmarkEnd w:id="95"/>
      <w:bookmarkEnd w:id="96"/>
      <w:bookmarkEnd w:id="97"/>
      <w:bookmarkEnd w:id="9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64"/>
        <w:gridCol w:w="2826"/>
        <w:gridCol w:w="2474"/>
        <w:gridCol w:w="282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质控环节</w:t>
            </w:r>
          </w:p>
        </w:tc>
        <w:tc>
          <w:tcPr>
            <w:tcW w:w="2717"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质控参数</w:t>
            </w:r>
          </w:p>
        </w:tc>
        <w:tc>
          <w:tcPr>
            <w:tcW w:w="2378"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质控数值</w:t>
            </w:r>
          </w:p>
        </w:tc>
        <w:tc>
          <w:tcPr>
            <w:tcW w:w="2731" w:type="dxa"/>
            <w:gridSpan w:val="2"/>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病理评估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肿瘤细胞含量</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tumorcellcontent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核酸质量评估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DNA_total }}</w:t>
            </w:r>
          </w:p>
        </w:tc>
        <w:tc>
          <w:tcPr>
            <w:tcW w:w="2731" w:type="dxa"/>
            <w:gridSpan w:val="2"/>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≥100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≥20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DNA降解程度</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DNA_degradation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A/B/C级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预文库总量（ng）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outbound_quantity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测序质量评估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平均测序深度</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sequencing_depth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≥500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w:t>
            </w:r>
            <w:r>
              <w:rPr>
                <w:rFonts w:hint="eastAsia" w:ascii="宋体" w:hAnsi="宋体" w:eastAsia="宋体" w:cs="宋体"/>
                <w:color w:val="000000"/>
                <w:sz w:val="21"/>
                <w:szCs w:val="21"/>
                <w:lang w:eastAsia="zh-CN"/>
              </w:rPr>
              <w:t>15</w:t>
            </w:r>
            <w:r>
              <w:rPr>
                <w:rFonts w:hint="eastAsia" w:ascii="宋体" w:hAnsi="宋体" w:eastAsia="宋体" w:cs="宋体"/>
                <w:color w:val="000000"/>
                <w:sz w:val="21"/>
                <w:szCs w:val="21"/>
              </w:rPr>
              <w:t>00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覆盖均一性</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coverage_uniformity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基因组比对率</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genome_alignment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碱基质量Q30占比</w:t>
            </w:r>
          </w:p>
        </w:tc>
        <w:tc>
          <w:tcPr>
            <w:tcW w:w="2378" w:type="dxa"/>
            <w:shd w:val="clear" w:color="auto" w:fill="auto"/>
            <w:vAlign w:val="center"/>
          </w:tcPr>
          <w:p>
            <w:pPr>
              <w:autoSpaceDE w:val="0"/>
              <w:ind w:left="110" w:leftChars="50"/>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base_quality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67" w:hRule="atLeast"/>
          <w:jc w:val="center"/>
        </w:trPr>
        <w:tc>
          <w:tcPr>
            <w:tcW w:w="1984" w:type="dxa"/>
            <w:shd w:val="clear" w:color="auto" w:fill="F1F1F1"/>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总体质量评估</w:t>
            </w:r>
          </w:p>
        </w:tc>
        <w:tc>
          <w:tcPr>
            <w:tcW w:w="7807" w:type="dxa"/>
            <w:gridSpan w:val="3"/>
            <w:shd w:val="clear" w:color="auto" w:fill="F1F1F1"/>
            <w:vAlign w:val="center"/>
          </w:tcPr>
          <w:p>
            <w:pPr>
              <w:autoSpaceDE w:val="0"/>
              <w:ind w:left="110" w:leftChars="50"/>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Cs/>
          <w:sz w:val="18"/>
          <w:highlight w:val="none"/>
          <w:lang w:val="en-US" w:eastAsia="zh-CN"/>
        </w:rPr>
      </w:pPr>
      <w:r>
        <w:rPr>
          <w:rFonts w:hint="eastAsia" w:ascii="宋体" w:hAnsi="宋体" w:eastAsia="宋体" w:cs="宋体"/>
          <w:bCs/>
          <w:sz w:val="18"/>
          <w:highlight w:val="none"/>
          <w:lang w:val="en-US" w:eastAsia="zh-CN"/>
        </w:rPr>
        <w:t>注：</w:t>
      </w:r>
    </w:p>
    <w:p>
      <w:pPr>
        <w:keepNext w:val="0"/>
        <w:keepLines w:val="0"/>
        <w:pageBreakBefore w:val="0"/>
        <w:widowControl w:val="0"/>
        <w:numPr>
          <w:ilvl w:val="0"/>
          <w:numId w:val="13"/>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肿瘤细胞含量：送检样本经HE染色评估的肿瘤细胞含量。如送检样本不满足病理评估所需条件，则不进行此项评估。血浆cfDNA样本不做此项评估。</w:t>
      </w:r>
    </w:p>
    <w:p>
      <w:pPr>
        <w:keepNext w:val="0"/>
        <w:keepLines w:val="0"/>
        <w:pageBreakBefore w:val="0"/>
        <w:widowControl w:val="0"/>
        <w:numPr>
          <w:ilvl w:val="0"/>
          <w:numId w:val="13"/>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DNA总量：送检样本的DNA提取总量。</w:t>
      </w:r>
    </w:p>
    <w:p>
      <w:pPr>
        <w:keepNext w:val="0"/>
        <w:keepLines w:val="0"/>
        <w:pageBreakBefore w:val="0"/>
        <w:widowControl w:val="0"/>
        <w:numPr>
          <w:ilvl w:val="0"/>
          <w:numId w:val="13"/>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DNA降解程度：cfDNA样本不适用于此项评估。</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A级：有主带，或降解均匀且降解区域主要集中在5000bp以上；</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B级：无主带，降解均匀且降解区域主要集中在1500-5000bp之间；</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C级：无主带，降解均匀且降解区域主要集中在500-1500bp之间；</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pacing w:val="3"/>
          <w:sz w:val="18"/>
          <w:szCs w:val="18"/>
          <w:lang w:eastAsia="zh-CN"/>
        </w:rPr>
        <w:t>D级</w:t>
      </w:r>
      <w:r>
        <w:rPr>
          <w:rFonts w:hint="eastAsia" w:ascii="宋体" w:hAnsi="宋体" w:eastAsia="宋体" w:cs="宋体"/>
          <w:bCs/>
          <w:sz w:val="18"/>
          <w:szCs w:val="18"/>
          <w:lang w:eastAsia="zh-CN"/>
        </w:rPr>
        <w:t>（</w:t>
      </w:r>
      <w:r>
        <w:rPr>
          <w:rFonts w:hint="eastAsia" w:ascii="宋体" w:hAnsi="宋体" w:eastAsia="宋体" w:cs="宋体"/>
          <w:bCs/>
          <w:spacing w:val="1"/>
          <w:sz w:val="18"/>
          <w:szCs w:val="18"/>
          <w:lang w:eastAsia="zh-CN"/>
        </w:rPr>
        <w:t>不合格</w:t>
      </w:r>
      <w:r>
        <w:rPr>
          <w:rFonts w:hint="eastAsia" w:ascii="宋体" w:hAnsi="宋体" w:eastAsia="宋体" w:cs="宋体"/>
          <w:bCs/>
          <w:spacing w:val="-90"/>
          <w:sz w:val="18"/>
          <w:szCs w:val="18"/>
          <w:lang w:eastAsia="zh-CN"/>
        </w:rPr>
        <w:t>）</w:t>
      </w:r>
      <w:r>
        <w:rPr>
          <w:rFonts w:hint="eastAsia" w:ascii="宋体" w:hAnsi="宋体" w:eastAsia="宋体" w:cs="宋体"/>
          <w:bCs/>
          <w:sz w:val="18"/>
          <w:szCs w:val="18"/>
          <w:lang w:eastAsia="zh-CN"/>
        </w:rPr>
        <w:t>）：无主带，降解均匀且降解区域主要集中在500-1500bp</w:t>
      </w:r>
      <w:r>
        <w:rPr>
          <w:rFonts w:hint="eastAsia" w:ascii="宋体" w:hAnsi="宋体" w:eastAsia="宋体" w:cs="宋体"/>
          <w:bCs/>
          <w:spacing w:val="-1"/>
          <w:sz w:val="18"/>
          <w:szCs w:val="18"/>
          <w:lang w:eastAsia="zh-CN"/>
        </w:rPr>
        <w:t>之间，但总量介于</w:t>
      </w:r>
      <w:r>
        <w:rPr>
          <w:rFonts w:hint="eastAsia" w:ascii="宋体" w:hAnsi="宋体" w:eastAsia="宋体" w:cs="宋体"/>
          <w:bCs/>
          <w:sz w:val="18"/>
          <w:szCs w:val="18"/>
          <w:lang w:eastAsia="zh-CN"/>
        </w:rPr>
        <w:t>100ng</w:t>
      </w:r>
      <w:r>
        <w:rPr>
          <w:rFonts w:hint="eastAsia" w:ascii="宋体" w:hAnsi="宋体" w:eastAsia="宋体" w:cs="宋体"/>
          <w:bCs/>
          <w:spacing w:val="-3"/>
          <w:sz w:val="18"/>
          <w:szCs w:val="18"/>
          <w:lang w:eastAsia="zh-CN"/>
        </w:rPr>
        <w:t>到</w:t>
      </w:r>
      <w:r>
        <w:rPr>
          <w:rFonts w:hint="eastAsia" w:ascii="宋体" w:hAnsi="宋体" w:eastAsia="宋体" w:cs="宋体"/>
          <w:bCs/>
          <w:sz w:val="18"/>
          <w:szCs w:val="18"/>
          <w:lang w:eastAsia="zh-CN"/>
        </w:rPr>
        <w:t>300ng之间；或降解区</w:t>
      </w:r>
      <w:r>
        <w:rPr>
          <w:rFonts w:hint="eastAsia" w:ascii="宋体" w:hAnsi="宋体" w:eastAsia="宋体" w:cs="宋体"/>
          <w:bCs/>
          <w:spacing w:val="-2"/>
          <w:sz w:val="18"/>
          <w:szCs w:val="18"/>
          <w:lang w:eastAsia="zh-CN"/>
        </w:rPr>
        <w:t>域弥散在</w:t>
      </w:r>
      <w:r>
        <w:rPr>
          <w:rFonts w:hint="eastAsia" w:ascii="宋体" w:hAnsi="宋体" w:eastAsia="宋体" w:cs="宋体"/>
          <w:bCs/>
          <w:sz w:val="18"/>
          <w:szCs w:val="18"/>
          <w:lang w:eastAsia="zh-CN"/>
        </w:rPr>
        <w:t>150-1000bp</w:t>
      </w:r>
      <w:r>
        <w:rPr>
          <w:rFonts w:hint="eastAsia" w:ascii="宋体" w:hAnsi="宋体" w:eastAsia="宋体" w:cs="宋体"/>
          <w:bCs/>
          <w:spacing w:val="-2"/>
          <w:sz w:val="18"/>
          <w:szCs w:val="18"/>
          <w:lang w:eastAsia="zh-CN"/>
        </w:rPr>
        <w:t>，或集中在</w:t>
      </w:r>
      <w:r>
        <w:rPr>
          <w:rFonts w:hint="eastAsia" w:ascii="宋体" w:hAnsi="宋体" w:eastAsia="宋体" w:cs="宋体"/>
          <w:bCs/>
          <w:sz w:val="18"/>
          <w:szCs w:val="18"/>
          <w:lang w:eastAsia="zh-CN"/>
        </w:rPr>
        <w:t>500bp以下。</w:t>
      </w:r>
    </w:p>
    <w:p>
      <w:pPr>
        <w:keepNext w:val="0"/>
        <w:keepLines w:val="0"/>
        <w:pageBreakBefore w:val="0"/>
        <w:widowControl w:val="0"/>
        <w:numPr>
          <w:ilvl w:val="0"/>
          <w:numId w:val="13"/>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预文库总量：核酸片段经过接头连接和扩增纯化后中间产物的总量。</w:t>
      </w:r>
    </w:p>
    <w:p>
      <w:pPr>
        <w:keepNext w:val="0"/>
        <w:keepLines w:val="0"/>
        <w:pageBreakBefore w:val="0"/>
        <w:widowControl w:val="0"/>
        <w:numPr>
          <w:ilvl w:val="0"/>
          <w:numId w:val="13"/>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平均测序深度：目标区域每个碱基被测到的平均次数。</w:t>
      </w:r>
    </w:p>
    <w:p>
      <w:pPr>
        <w:keepNext w:val="0"/>
        <w:keepLines w:val="0"/>
        <w:pageBreakBefore w:val="0"/>
        <w:widowControl w:val="0"/>
        <w:numPr>
          <w:ilvl w:val="0"/>
          <w:numId w:val="13"/>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覆盖均一性：测序深度达到平均测序深度20%的碱基占比。</w:t>
      </w:r>
    </w:p>
    <w:p>
      <w:pPr>
        <w:keepNext w:val="0"/>
        <w:keepLines w:val="0"/>
        <w:pageBreakBefore w:val="0"/>
        <w:widowControl w:val="0"/>
        <w:numPr>
          <w:ilvl w:val="0"/>
          <w:numId w:val="13"/>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基因组比对率：比对到参考基因组上的reads数目占比。</w:t>
      </w:r>
    </w:p>
    <w:p>
      <w:pPr>
        <w:numPr>
          <w:ilvl w:val="0"/>
          <w:numId w:val="13"/>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碱基质量Q30占比：测序数据中碱基质量在Q30以上（即碱基识别错误率在千分之一以下）的占比。</w:t>
      </w:r>
    </w:p>
    <w:p>
      <w:pPr>
        <w:numPr>
          <w:ilvl w:val="0"/>
          <w:numId w:val="13"/>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rPr>
          <w:rFonts w:ascii="Times New Roman" w:hAnsi="Times New Roman" w:eastAsia="微软雅黑" w:cs="黑体"/>
          <w:sz w:val="21"/>
          <w:lang w:eastAsia="zh-CN"/>
        </w:rPr>
      </w:pPr>
    </w:p>
    <w:p>
      <w:pPr>
        <w:pStyle w:val="38"/>
        <w:numPr>
          <w:ilvl w:val="0"/>
          <w:numId w:val="12"/>
        </w:numPr>
        <w:bidi w:val="0"/>
        <w:spacing w:line="360" w:lineRule="auto"/>
        <w:ind w:left="832" w:leftChars="0" w:hanging="832" w:firstLineChars="0"/>
        <w:jc w:val="left"/>
        <w:rPr>
          <w:b/>
          <w:bCs/>
          <w:spacing w:val="23"/>
          <w:sz w:val="21"/>
          <w:szCs w:val="21"/>
        </w:rPr>
      </w:pPr>
      <w:bookmarkStart w:id="99" w:name="_Toc11812"/>
      <w:bookmarkStart w:id="100" w:name="_Toc11896_WPSOffice_Level1"/>
      <w:bookmarkStart w:id="101" w:name="_Toc20303"/>
      <w:bookmarkStart w:id="102" w:name="_Toc1779"/>
      <w:bookmarkStart w:id="103" w:name="_Toc31119"/>
      <w:bookmarkStart w:id="104" w:name="_Toc28810_WPSOffice_Level1"/>
      <w:bookmarkStart w:id="105" w:name="_Toc11193_WPSOffice_Level1"/>
      <w:r>
        <w:rPr>
          <w:b/>
          <w:bCs/>
          <w:spacing w:val="23"/>
          <w:sz w:val="21"/>
          <w:szCs w:val="21"/>
        </w:rPr>
        <w:t>常见靶向药物相关基因检测列表</w:t>
      </w:r>
      <w:bookmarkEnd w:id="99"/>
      <w:bookmarkEnd w:id="100"/>
      <w:bookmarkEnd w:id="101"/>
      <w:bookmarkEnd w:id="102"/>
      <w:bookmarkEnd w:id="103"/>
    </w:p>
    <w:bookmarkEnd w:id="104"/>
    <w:bookmarkEnd w:id="105"/>
    <w:tbl>
      <w:tblPr>
        <w:tblStyle w:val="15"/>
        <w:tblpPr w:leftFromText="181" w:rightFromText="181" w:vertAnchor="text" w:horzAnchor="page"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867"/>
        <w:gridCol w:w="658"/>
        <w:gridCol w:w="8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867"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基因</w:t>
            </w:r>
          </w:p>
        </w:tc>
        <w:tc>
          <w:tcPr>
            <w:tcW w:w="658"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检测内容</w:t>
            </w:r>
          </w:p>
        </w:tc>
        <w:tc>
          <w:tcPr>
            <w:tcW w:w="8680"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靶向药物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tcBorders>
              <w:tl2br w:val="nil"/>
              <w:tr2bl w:val="nil"/>
            </w:tcBorders>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{%tr for</w:t>
            </w:r>
            <w:r>
              <w:rPr>
                <w:rFonts w:hint="eastAsia" w:ascii="宋体" w:hAnsi="宋体" w:eastAsia="宋体" w:cs="宋体"/>
                <w:sz w:val="21"/>
                <w:szCs w:val="21"/>
                <w:lang w:val="en-US" w:eastAsia="zh-CN"/>
              </w:rPr>
              <w:t xml:space="preserve"> ct</w:t>
            </w:r>
            <w:r>
              <w:rPr>
                <w:rFonts w:hint="eastAsia" w:ascii="宋体" w:hAnsi="宋体" w:eastAsia="宋体" w:cs="宋体"/>
                <w:sz w:val="21"/>
                <w:szCs w:val="21"/>
                <w:lang w:eastAsia="zh-CN"/>
              </w:rPr>
              <w:t xml:space="preserve"> in commonTargetedDrug</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7" w:type="dxa"/>
            <w:vAlign w:val="center"/>
          </w:tcPr>
          <w:p>
            <w:pPr>
              <w:spacing w:line="206" w:lineRule="exact"/>
              <w:ind w:leftChars="-4" w:hanging="11" w:hangingChars="5"/>
              <w:jc w:val="center"/>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 for b in ct.gene | nl() %}{%if loop.last%}{{ b }}{%else%}{{ b }}</w:t>
            </w:r>
          </w:p>
          <w:p>
            <w:pPr>
              <w:spacing w:line="206" w:lineRule="exact"/>
              <w:ind w:leftChars="-4" w:hanging="11" w:hangingChars="5"/>
              <w:jc w:val="center"/>
              <w:rPr>
                <w:rFonts w:hint="eastAsia" w:ascii="宋体" w:hAnsi="宋体" w:eastAsia="宋体" w:cs="宋体"/>
                <w:b/>
                <w:bCs/>
                <w:color w:val="416AAB"/>
                <w:sz w:val="21"/>
                <w:szCs w:val="21"/>
              </w:rPr>
            </w:pPr>
            <w:r>
              <w:rPr>
                <w:rFonts w:hint="eastAsia" w:ascii="宋体" w:hAnsi="宋体" w:eastAsia="宋体" w:cs="宋体"/>
                <w:b/>
                <w:bCs/>
                <w:color w:val="auto"/>
                <w:sz w:val="21"/>
                <w:szCs w:val="21"/>
                <w:lang w:val="en-US" w:eastAsia="zh-CN"/>
              </w:rPr>
              <w:t>{%endif%}{% endfor%}</w:t>
            </w:r>
          </w:p>
        </w:tc>
        <w:tc>
          <w:tcPr>
            <w:tcW w:w="658"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{%endif%}{% endfor%}</w:t>
            </w:r>
          </w:p>
        </w:tc>
        <w:tc>
          <w:tcPr>
            <w:tcW w:w="86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 for b in ct.targeted_drug | nl() %}{%if loop.last%}{%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endfor%}{%else%}{%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w:t>
            </w:r>
          </w:p>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spacing w:val="-1"/>
                <w:sz w:val="21"/>
                <w:szCs w:val="21"/>
              </w:rPr>
            </w:pPr>
            <w:r>
              <w:rPr>
                <w:rFonts w:hint="eastAsia" w:ascii="宋体" w:hAnsi="宋体" w:eastAsia="宋体" w:cs="宋体"/>
                <w:b w:val="0"/>
                <w:bCs w:val="0"/>
                <w:color w:val="auto"/>
                <w:sz w:val="21"/>
                <w:szCs w:val="21"/>
                <w:highlight w:val="none"/>
                <w:lang w:val="en-US" w:eastAsia="zh-CN"/>
              </w:rPr>
              <w:t>{%endif%}{% endfor%}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 xml:space="preserve">{%tr </w:t>
            </w:r>
            <w:r>
              <w:rPr>
                <w:rFonts w:hint="eastAsia" w:ascii="宋体" w:hAnsi="宋体" w:eastAsia="宋体" w:cs="宋体"/>
                <w:sz w:val="21"/>
                <w:szCs w:val="21"/>
                <w:lang w:val="en-US" w:eastAsia="zh-CN"/>
              </w:rPr>
              <w:t>end</w:t>
            </w:r>
            <w:r>
              <w:rPr>
                <w:rFonts w:hint="eastAsia" w:ascii="宋体" w:hAnsi="宋体" w:eastAsia="宋体" w:cs="宋体"/>
                <w:sz w:val="21"/>
                <w:szCs w:val="21"/>
                <w:lang w:eastAsia="zh-CN"/>
              </w:rPr>
              <w:t>for %}</w:t>
            </w:r>
          </w:p>
        </w:tc>
      </w:tr>
    </w:tbl>
    <w:p>
      <w:pPr>
        <w:rPr>
          <w:lang w:eastAsia="zh-CN"/>
        </w:rPr>
      </w:pPr>
    </w:p>
    <w:p>
      <w:pPr>
        <w:tabs>
          <w:tab w:val="left" w:pos="6770"/>
        </w:tabs>
        <w:spacing w:before="27"/>
        <w:rPr>
          <w:rFonts w:ascii="Times New Roman" w:hAnsi="Times New Roman" w:eastAsia="微软雅黑" w:cs="Times New Roman"/>
          <w:sz w:val="15"/>
          <w:lang w:eastAsia="zh-CN"/>
        </w:rPr>
      </w:pPr>
      <w:r>
        <w:rPr>
          <w:lang w:eastAsia="zh-CN"/>
        </w:rPr>
        <w:br w:type="page"/>
      </w:r>
      <w:bookmarkEnd w:id="17"/>
      <w:bookmarkStart w:id="106" w:name="_Toc17792_WPSOffice_Level2"/>
    </w:p>
    <w:p>
      <w:bookmarkStart w:id="107" w:name="_Toc27809"/>
      <w:bookmarkStart w:id="108" w:name="_Toc4503"/>
      <w:bookmarkStart w:id="109" w:name="_Toc11901"/>
      <w:bookmarkStart w:id="110" w:name="_Toc19584_WPSOffice_Level1"/>
      <w:bookmarkStart w:id="111" w:name="_Toc13275"/>
      <w:bookmarkStart w:id="112" w:name="_Toc22162_WPSOffice_Level1"/>
      <w:bookmarkStart w:id="113" w:name="_Toc22623"/>
      <w:bookmarkStart w:id="114" w:name="_Toc14611_WPSOffice_Level1"/>
    </w:p>
    <w:p>
      <w:pPr>
        <w:pStyle w:val="38"/>
        <w:numPr>
          <w:ilvl w:val="0"/>
          <w:numId w:val="12"/>
        </w:numPr>
        <w:bidi w:val="0"/>
        <w:spacing w:line="360" w:lineRule="auto"/>
        <w:ind w:left="832" w:leftChars="0" w:hanging="832" w:firstLineChars="0"/>
        <w:jc w:val="left"/>
        <w:rPr>
          <w:b/>
          <w:bCs/>
          <w:spacing w:val="23"/>
          <w:sz w:val="21"/>
          <w:szCs w:val="21"/>
        </w:rPr>
      </w:pPr>
      <w:bookmarkStart w:id="115" w:name="_Toc14087"/>
      <w:r>
        <w:rPr>
          <w:b/>
          <w:bCs/>
          <w:spacing w:val="23"/>
          <w:sz w:val="21"/>
          <w:szCs w:val="21"/>
        </w:rPr>
        <w:t>参考文献</w:t>
      </w:r>
      <w:bookmarkEnd w:id="107"/>
      <w:bookmarkEnd w:id="108"/>
      <w:bookmarkEnd w:id="109"/>
      <w:bookmarkEnd w:id="115"/>
    </w:p>
    <w:bookmarkEnd w:id="106"/>
    <w:bookmarkEnd w:id="110"/>
    <w:bookmarkEnd w:id="111"/>
    <w:bookmarkEnd w:id="112"/>
    <w:bookmarkEnd w:id="113"/>
    <w:bookmarkEnd w:id="114"/>
    <w:p>
      <w:pPr>
        <w:widowControl/>
        <w:adjustRightInd w:val="0"/>
        <w:snapToGrid w:val="0"/>
        <w:spacing w:after="120" w:afterLines="50" w:line="360" w:lineRule="auto"/>
        <w:jc w:val="both"/>
        <w:rPr>
          <w:rFonts w:hint="eastAsia" w:ascii="宋体" w:hAnsi="宋体" w:eastAsia="宋体" w:cs="宋体"/>
          <w:spacing w:val="-1"/>
          <w:sz w:val="18"/>
          <w:szCs w:val="18"/>
          <w:lang w:eastAsia="zh-CN"/>
        </w:rPr>
      </w:pPr>
      <w:r>
        <w:rPr>
          <w:rFonts w:hint="eastAsia" w:ascii="宋体" w:hAnsi="宋体" w:eastAsia="宋体" w:cs="宋体"/>
          <w:sz w:val="18"/>
          <w:szCs w:val="18"/>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hint="eastAsia" w:ascii="宋体" w:hAnsi="宋体" w:eastAsia="宋体" w:cs="宋体"/>
          <w:sz w:val="18"/>
          <w:szCs w:val="18"/>
          <w:lang w:eastAsia="zh-CN"/>
        </w:rPr>
        <w:t>[</w:t>
      </w:r>
      <w:r>
        <w:rPr>
          <w:rFonts w:hint="eastAsia" w:ascii="宋体" w:hAnsi="宋体" w:eastAsia="宋体" w:cs="宋体"/>
          <w:sz w:val="18"/>
          <w:szCs w:val="18"/>
        </w:rPr>
        <w:t>PMID:</w:t>
      </w:r>
      <w:r>
        <w:rPr>
          <w:rFonts w:hint="eastAsia" w:ascii="宋体" w:hAnsi="宋体" w:eastAsia="宋体" w:cs="宋体"/>
          <w:sz w:val="18"/>
          <w:szCs w:val="18"/>
          <w:lang w:eastAsia="zh-CN"/>
        </w:rPr>
        <w:t xml:space="preserve"> </w:t>
      </w:r>
      <w:r>
        <w:rPr>
          <w:rFonts w:hint="eastAsia" w:ascii="宋体" w:hAnsi="宋体" w:eastAsia="宋体" w:cs="宋体"/>
          <w:sz w:val="18"/>
          <w:szCs w:val="18"/>
        </w:rPr>
        <w:t>30892987</w:t>
      </w:r>
      <w:r>
        <w:rPr>
          <w:rFonts w:hint="eastAsia" w:ascii="宋体" w:hAnsi="宋体" w:eastAsia="宋体" w:cs="宋体"/>
          <w:sz w:val="18"/>
          <w:szCs w:val="18"/>
          <w:lang w:eastAsia="zh-CN"/>
        </w:rPr>
        <w:t>]</w:t>
      </w:r>
    </w:p>
    <w:p>
      <w:pPr>
        <w:widowControl/>
        <w:adjustRightInd w:val="0"/>
        <w:snapToGrid w:val="0"/>
        <w:spacing w:after="120" w:afterLines="50" w:line="360" w:lineRule="auto"/>
        <w:jc w:val="both"/>
        <w:rPr>
          <w:rFonts w:hint="eastAsia" w:ascii="宋体" w:hAnsi="宋体" w:eastAsia="宋体" w:cs="宋体"/>
          <w:spacing w:val="-1"/>
          <w:sz w:val="18"/>
          <w:szCs w:val="18"/>
          <w:lang w:eastAsia="zh-CN"/>
        </w:rPr>
      </w:pPr>
      <w:r>
        <w:rPr>
          <w:rFonts w:hint="eastAsia" w:ascii="宋体" w:hAnsi="宋体" w:eastAsia="宋体" w:cs="宋体"/>
          <w:sz w:val="18"/>
          <w:szCs w:val="18"/>
        </w:rPr>
        <w:t xml:space="preserve">Kopetz S, Grothey A, Yaeger R, et al. Encorafenib, Binimetinib, and Cetuximab in BRAF V600E-Mutated Colorectal Cancer. N Engl J Med. 2019;381(17):1632-1643. </w:t>
      </w:r>
      <w:r>
        <w:rPr>
          <w:rFonts w:hint="eastAsia" w:ascii="宋体" w:hAnsi="宋体" w:eastAsia="宋体" w:cs="宋体"/>
          <w:sz w:val="18"/>
          <w:szCs w:val="18"/>
          <w:lang w:eastAsia="zh-CN"/>
        </w:rPr>
        <w:t>[</w:t>
      </w:r>
      <w:r>
        <w:rPr>
          <w:rFonts w:hint="eastAsia" w:ascii="宋体" w:hAnsi="宋体" w:eastAsia="宋体" w:cs="宋体"/>
          <w:sz w:val="18"/>
          <w:szCs w:val="18"/>
        </w:rPr>
        <w:t>PMID:</w:t>
      </w:r>
      <w:r>
        <w:rPr>
          <w:rFonts w:hint="eastAsia" w:ascii="宋体" w:hAnsi="宋体" w:eastAsia="宋体" w:cs="宋体"/>
          <w:sz w:val="18"/>
          <w:szCs w:val="18"/>
          <w:lang w:eastAsia="zh-CN"/>
        </w:rPr>
        <w:t xml:space="preserve"> </w:t>
      </w:r>
      <w:r>
        <w:rPr>
          <w:rFonts w:hint="eastAsia" w:ascii="宋体" w:hAnsi="宋体" w:eastAsia="宋体" w:cs="宋体"/>
          <w:sz w:val="18"/>
          <w:szCs w:val="18"/>
        </w:rPr>
        <w:t>31566309</w:t>
      </w:r>
      <w:r>
        <w:rPr>
          <w:rFonts w:hint="eastAsia" w:ascii="宋体" w:hAnsi="宋体" w:eastAsia="宋体" w:cs="宋体"/>
          <w:sz w:val="18"/>
          <w:szCs w:val="18"/>
          <w:lang w:eastAsia="zh-CN"/>
        </w:rPr>
        <w:t>]</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rPr>
        <w:t xml:space="preserve">Kopetz S, Grothey A, Van CutsemE, </w:t>
      </w:r>
      <w:r>
        <w:rPr>
          <w:rFonts w:hint="eastAsia" w:ascii="宋体" w:hAnsi="宋体" w:eastAsia="宋体" w:cs="宋体"/>
          <w:sz w:val="18"/>
          <w:szCs w:val="18"/>
          <w:lang w:eastAsia="zh-CN"/>
        </w:rPr>
        <w:t>e</w:t>
      </w:r>
      <w:r>
        <w:rPr>
          <w:rFonts w:hint="eastAsia" w:ascii="宋体" w:hAnsi="宋体" w:eastAsia="宋体" w:cs="宋体"/>
          <w:sz w:val="18"/>
          <w:szCs w:val="18"/>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hint="eastAsia" w:ascii="宋体" w:hAnsi="宋体" w:eastAsia="宋体" w:cs="宋体"/>
          <w:sz w:val="18"/>
          <w:szCs w:val="18"/>
          <w:lang w:eastAsia="zh-CN"/>
        </w:rPr>
        <w:t>.</w:t>
      </w:r>
      <w:r>
        <w:rPr>
          <w:rFonts w:hint="eastAsia" w:ascii="宋体" w:hAnsi="宋体" w:eastAsia="宋体" w:cs="宋体"/>
          <w:sz w:val="18"/>
          <w:szCs w:val="18"/>
        </w:rPr>
        <w:t xml:space="preserve"> 2020;38(suppl 4</w:t>
      </w:r>
      <w:r>
        <w:rPr>
          <w:rFonts w:hint="eastAsia" w:ascii="宋体" w:hAnsi="宋体" w:eastAsia="宋体" w:cs="宋体"/>
          <w:sz w:val="18"/>
          <w:szCs w:val="18"/>
          <w:lang w:eastAsia="zh-CN"/>
        </w:rPr>
        <w:t>):</w:t>
      </w:r>
      <w:r>
        <w:rPr>
          <w:rFonts w:hint="eastAsia" w:ascii="宋体" w:hAnsi="宋体" w:eastAsia="宋体" w:cs="宋体"/>
          <w:sz w:val="18"/>
          <w:szCs w:val="18"/>
        </w:rPr>
        <w:t xml:space="preserve"> abstr 8</w:t>
      </w:r>
      <w:r>
        <w:rPr>
          <w:rFonts w:hint="eastAsia" w:ascii="宋体" w:hAnsi="宋体" w:eastAsia="宋体" w:cs="宋体"/>
          <w:sz w:val="18"/>
          <w:szCs w:val="18"/>
          <w:lang w:eastAsia="zh-CN"/>
        </w:rPr>
        <w:t>.</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rPr>
        <w:t>Kopetz S,</w:t>
      </w:r>
      <w:r>
        <w:rPr>
          <w:rFonts w:hint="eastAsia" w:ascii="宋体" w:hAnsi="宋体" w:eastAsia="宋体" w:cs="宋体"/>
          <w:sz w:val="18"/>
          <w:szCs w:val="18"/>
          <w:lang w:eastAsia="zh-CN"/>
        </w:rPr>
        <w:t xml:space="preserve"> </w:t>
      </w:r>
      <w:r>
        <w:rPr>
          <w:rFonts w:hint="eastAsia" w:ascii="宋体" w:hAnsi="宋体" w:eastAsia="宋体" w:cs="宋体"/>
          <w:sz w:val="18"/>
          <w:szCs w:val="18"/>
        </w:rPr>
        <w:t>Mcdonough S L,</w:t>
      </w:r>
      <w:r>
        <w:rPr>
          <w:rFonts w:hint="eastAsia" w:ascii="宋体" w:hAnsi="宋体" w:eastAsia="宋体" w:cs="宋体"/>
          <w:sz w:val="18"/>
          <w:szCs w:val="18"/>
          <w:lang w:eastAsia="zh-CN"/>
        </w:rPr>
        <w:t xml:space="preserve"> </w:t>
      </w:r>
      <w:r>
        <w:rPr>
          <w:rFonts w:hint="eastAsia" w:ascii="宋体" w:hAnsi="宋体" w:eastAsia="宋体" w:cs="宋体"/>
          <w:sz w:val="18"/>
          <w:szCs w:val="18"/>
        </w:rPr>
        <w:t xml:space="preserve">Morris V K, et al. Randomized trial of </w:t>
      </w:r>
      <w:r>
        <w:rPr>
          <w:rFonts w:hint="eastAsia" w:ascii="宋体" w:hAnsi="宋体" w:eastAsia="宋体" w:cs="宋体"/>
          <w:sz w:val="18"/>
          <w:szCs w:val="18"/>
          <w:lang w:eastAsia="zh-CN"/>
        </w:rPr>
        <w:t>I</w:t>
      </w:r>
      <w:r>
        <w:rPr>
          <w:rFonts w:hint="eastAsia" w:ascii="宋体" w:hAnsi="宋体" w:eastAsia="宋体" w:cs="宋体"/>
          <w:sz w:val="18"/>
          <w:szCs w:val="18"/>
        </w:rPr>
        <w:t xml:space="preserve">rinotecan and </w:t>
      </w:r>
      <w:r>
        <w:rPr>
          <w:rFonts w:hint="eastAsia" w:ascii="宋体" w:hAnsi="宋体" w:eastAsia="宋体" w:cs="宋体"/>
          <w:sz w:val="18"/>
          <w:szCs w:val="18"/>
          <w:lang w:eastAsia="zh-CN"/>
        </w:rPr>
        <w:t>C</w:t>
      </w:r>
      <w:r>
        <w:rPr>
          <w:rFonts w:hint="eastAsia" w:ascii="宋体" w:hAnsi="宋体" w:eastAsia="宋体" w:cs="宋体"/>
          <w:sz w:val="18"/>
          <w:szCs w:val="18"/>
        </w:rPr>
        <w:t xml:space="preserve">etuximab with or without </w:t>
      </w:r>
      <w:r>
        <w:rPr>
          <w:rFonts w:hint="eastAsia" w:ascii="宋体" w:hAnsi="宋体" w:eastAsia="宋体" w:cs="宋体"/>
          <w:sz w:val="18"/>
          <w:szCs w:val="18"/>
          <w:lang w:eastAsia="zh-CN"/>
        </w:rPr>
        <w:t>V</w:t>
      </w:r>
      <w:r>
        <w:rPr>
          <w:rFonts w:hint="eastAsia" w:ascii="宋体" w:hAnsi="宋体" w:eastAsia="宋体" w:cs="宋体"/>
          <w:sz w:val="18"/>
          <w:szCs w:val="18"/>
        </w:rPr>
        <w:t>emurafenib in BRAF-mutant metastatic colorectal cancer (SWOG 1406).[J]. Journal of Clinical Oncology, 2017, 35(4_suppl):520-520.</w:t>
      </w:r>
      <w:r>
        <w:rPr>
          <w:rFonts w:hint="eastAsia" w:ascii="宋体" w:hAnsi="宋体" w:eastAsia="宋体" w:cs="宋体"/>
          <w:sz w:val="18"/>
          <w:szCs w:val="18"/>
          <w:lang w:eastAsia="zh-CN"/>
        </w:rPr>
        <w:t xml:space="preserve"> [PMID: 33356422]</w:t>
      </w:r>
    </w:p>
    <w:p>
      <w:pPr>
        <w:pStyle w:val="31"/>
        <w:adjustRightInd w:val="0"/>
        <w:snapToGrid w:val="0"/>
        <w:spacing w:after="120" w:afterLines="50" w:line="360" w:lineRule="auto"/>
        <w:ind w:firstLine="0" w:firstLineChars="0"/>
        <w:jc w:val="both"/>
        <w:rPr>
          <w:rFonts w:hint="eastAsia" w:ascii="宋体" w:hAnsi="宋体" w:eastAsia="宋体" w:cs="宋体"/>
          <w:spacing w:val="-1"/>
          <w:sz w:val="18"/>
          <w:szCs w:val="18"/>
          <w:lang w:eastAsia="zh-CN"/>
        </w:rPr>
      </w:pPr>
      <w:r>
        <w:rPr>
          <w:rFonts w:hint="eastAsia" w:ascii="宋体" w:hAnsi="宋体" w:eastAsia="宋体" w:cs="宋体"/>
          <w:spacing w:val="-1"/>
          <w:sz w:val="18"/>
          <w:szCs w:val="18"/>
          <w:lang w:eastAsia="zh-CN"/>
        </w:rPr>
        <w:t>Hyman DM, Puzanov I, Subbiah V, et al. Vemurafenib in Multiple Nonmelanoma Cancers with BRAF V600 Mutations. N Engl J Med. 2015;373(8):726-36. [PMID: 26287849]</w:t>
      </w:r>
    </w:p>
    <w:p>
      <w:pPr>
        <w:adjustRightInd w:val="0"/>
        <w:snapToGrid w:val="0"/>
        <w:spacing w:after="120" w:afterLines="50" w:line="360" w:lineRule="auto"/>
        <w:jc w:val="both"/>
        <w:rPr>
          <w:rFonts w:hint="eastAsia" w:ascii="宋体" w:hAnsi="宋体" w:eastAsia="宋体" w:cs="宋体"/>
          <w:spacing w:val="-1"/>
          <w:sz w:val="18"/>
          <w:szCs w:val="18"/>
          <w:lang w:eastAsia="zh-CN"/>
        </w:rPr>
      </w:pPr>
      <w:r>
        <w:rPr>
          <w:rFonts w:hint="eastAsia" w:ascii="宋体" w:hAnsi="宋体" w:eastAsia="宋体" w:cs="宋体"/>
          <w:spacing w:val="-1"/>
          <w:sz w:val="18"/>
          <w:szCs w:val="18"/>
          <w:lang w:eastAsia="zh-CN"/>
        </w:rPr>
        <w:t>Pietrantonio F, Petrelli F, Coinu A, et al. Predictive role of BRAF mutations in patients with advanced colorectal cancer receiving cetuximab and panitumumab: a meta-analysis. Eur J Cancer. 2015;51(5):587-94. [PMID: 25673558]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Carrato A, Abad A, Massuti B, et al. First-line panitumumab plus FOLFOX4 or FOLFIRI in colorectal cancer with multiple or unresectable liver metastases: A randomised, phase II trial (PLANET-TTD)[J]. European Journal of Cancer, 2017, 81:191. [PMID: 28633089]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Martin V, Landi L, F Molinari, et al. HER2 gene copy number status may influence clinical efficacy to anti-EGFR monoclonal antibodies in metastatic colorectal cancer patients[J]. British Journal of Cancer, 2013, 108(3):668-675. [PMID: 23348520]</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Meric-Bernstam F, Hurwitz H, Raghav K, et al. Pertuzumab plus trastuzumab for HER2-amplified metastatic colorectal cancer (MyPathway): an updated report from a multicentre, open-label, phase 2a, multiple basket study[J]. The Lancet Oncology, 2019. [PMID: 30857956]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Sartore-Bianchi A, Trusolino L, Martino C, et al. Dual-targeted therapy with trastuzumab and lapatinib in treatment-refractory, KRAS codon 12/13 wild-type, HER2-positive metastatic colorectal cancer (HERACLES): a proof-of-concept, multicentre, open-label, phase 2 trial[J]. Lancet Oncology, 2016:738-746. [PMID: 27108243]</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Ss A, Mdb B, Kr C, et al. Trastuzumab deruxtecan (DS-8201) in patients with HER2-expressing metastatic colorectal cancer (DESTINY-CRC01): a multicentre, open-label, phase 2 trial[J]. The Lancet Oncology, 2021, 22(6). [PMID: 33961795]</w:t>
      </w:r>
    </w:p>
    <w:p>
      <w:pPr>
        <w:adjustRightInd w:val="0"/>
        <w:snapToGrid w:val="0"/>
        <w:spacing w:after="120" w:afterLines="50" w:line="360" w:lineRule="auto"/>
        <w:jc w:val="both"/>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Lièvre A, Bachet J-B , Boige V, et al. KRAS mutations as an independent prognostic factor in patients with advanced colorectal cancer treated with cetuximab. J Clin Oncol. 2008;26(3):374-9. [</w:t>
      </w:r>
      <w:r>
        <w:rPr>
          <w:rFonts w:hint="eastAsia" w:ascii="宋体" w:hAnsi="宋体" w:eastAsia="宋体" w:cs="宋体"/>
          <w:sz w:val="18"/>
          <w:szCs w:val="18"/>
          <w:shd w:val="clear" w:color="auto" w:fill="FFFFFF"/>
        </w:rPr>
        <w:t>PMID:</w:t>
      </w:r>
      <w:r>
        <w:rPr>
          <w:rFonts w:hint="eastAsia" w:ascii="宋体" w:hAnsi="宋体" w:eastAsia="宋体" w:cs="宋体"/>
          <w:sz w:val="18"/>
          <w:szCs w:val="18"/>
          <w:shd w:val="clear" w:color="auto" w:fill="FFFFFF"/>
          <w:lang w:eastAsia="zh-CN"/>
        </w:rPr>
        <w:t xml:space="preserve"> </w:t>
      </w:r>
      <w:r>
        <w:rPr>
          <w:rFonts w:hint="eastAsia" w:ascii="宋体" w:hAnsi="宋体" w:eastAsia="宋体" w:cs="宋体"/>
          <w:sz w:val="18"/>
          <w:szCs w:val="18"/>
          <w:shd w:val="clear" w:color="auto" w:fill="FFFFFF"/>
        </w:rPr>
        <w:t>18202412</w:t>
      </w:r>
      <w:r>
        <w:rPr>
          <w:rFonts w:hint="eastAsia" w:ascii="宋体" w:hAnsi="宋体" w:eastAsia="宋体" w:cs="宋体"/>
          <w:sz w:val="18"/>
          <w:szCs w:val="18"/>
          <w:shd w:val="clear" w:color="auto" w:fill="FFFFFF"/>
          <w:lang w:eastAsia="zh-CN"/>
        </w:rPr>
        <w:t xml:space="preserve">] </w:t>
      </w:r>
    </w:p>
    <w:p>
      <w:pPr>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"https://pubmed.ncbi.nlm.nih.gov/?term=Amado+RG&amp;cauthor_id=18316791" </w:instrText>
      </w:r>
      <w:r>
        <w:rPr>
          <w:rFonts w:hint="eastAsia" w:ascii="宋体" w:hAnsi="宋体" w:eastAsia="宋体" w:cs="宋体"/>
          <w:sz w:val="18"/>
          <w:szCs w:val="18"/>
        </w:rPr>
        <w:fldChar w:fldCharType="separate"/>
      </w:r>
      <w:r>
        <w:rPr>
          <w:rStyle w:val="18"/>
          <w:rFonts w:hint="eastAsia" w:ascii="宋体" w:hAnsi="宋体" w:eastAsia="宋体" w:cs="宋体"/>
          <w:color w:val="auto"/>
          <w:sz w:val="18"/>
          <w:szCs w:val="18"/>
          <w:u w:val="none"/>
          <w:shd w:val="clear" w:color="auto" w:fill="FFFFFF"/>
        </w:rPr>
        <w:t>Amado</w:t>
      </w:r>
      <w:r>
        <w:rPr>
          <w:rStyle w:val="18"/>
          <w:rFonts w:hint="eastAsia" w:ascii="宋体" w:hAnsi="宋体" w:eastAsia="宋体" w:cs="宋体"/>
          <w:color w:val="auto"/>
          <w:sz w:val="18"/>
          <w:szCs w:val="18"/>
          <w:u w:val="none"/>
          <w:shd w:val="clear" w:color="auto" w:fill="FFFFFF"/>
        </w:rPr>
        <w:fldChar w:fldCharType="end"/>
      </w:r>
      <w:r>
        <w:rPr>
          <w:rFonts w:hint="eastAsia" w:ascii="宋体" w:hAnsi="宋体" w:eastAsia="宋体" w:cs="宋体"/>
          <w:sz w:val="18"/>
          <w:szCs w:val="18"/>
          <w:shd w:val="clear" w:color="auto" w:fill="FFFFFF"/>
          <w:lang w:eastAsia="zh-CN"/>
        </w:rPr>
        <w:t xml:space="preserve"> </w:t>
      </w:r>
      <w:r>
        <w:rPr>
          <w:rStyle w:val="18"/>
          <w:rFonts w:hint="eastAsia" w:ascii="宋体" w:hAnsi="宋体" w:eastAsia="宋体" w:cs="宋体"/>
          <w:color w:val="auto"/>
          <w:sz w:val="18"/>
          <w:szCs w:val="18"/>
          <w:u w:val="none"/>
          <w:shd w:val="clear" w:color="auto" w:fill="FFFFFF"/>
        </w:rPr>
        <w:t xml:space="preserve">RG </w:t>
      </w:r>
      <w:r>
        <w:rPr>
          <w:rFonts w:hint="eastAsia" w:ascii="宋体" w:hAnsi="宋体" w:eastAsia="宋体" w:cs="宋体"/>
          <w:sz w:val="18"/>
          <w:szCs w:val="18"/>
          <w:shd w:val="clear" w:color="auto" w:fill="FFFFFF"/>
        </w:rPr>
        <w:t>,</w:t>
      </w:r>
      <w:r>
        <w:rPr>
          <w:rFonts w:hint="eastAsia" w:ascii="宋体" w:hAnsi="宋体" w:eastAsia="宋体" w:cs="宋体"/>
          <w:sz w:val="18"/>
          <w:szCs w:val="18"/>
          <w:shd w:val="clear" w:color="auto" w:fill="FFFFFF"/>
          <w:lang w:eastAsia="zh-CN"/>
        </w:rPr>
        <w:t xml:space="preserve">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"https://pubmed.ncbi.nlm.nih.gov/?term=Wolf+M&amp;cauthor_id=18316791" </w:instrText>
      </w:r>
      <w:r>
        <w:rPr>
          <w:rFonts w:hint="eastAsia" w:ascii="宋体" w:hAnsi="宋体" w:eastAsia="宋体" w:cs="宋体"/>
          <w:sz w:val="18"/>
          <w:szCs w:val="18"/>
        </w:rPr>
        <w:fldChar w:fldCharType="separate"/>
      </w:r>
      <w:r>
        <w:rPr>
          <w:rStyle w:val="18"/>
          <w:rFonts w:hint="eastAsia" w:ascii="宋体" w:hAnsi="宋体" w:eastAsia="宋体" w:cs="宋体"/>
          <w:color w:val="auto"/>
          <w:sz w:val="18"/>
          <w:szCs w:val="18"/>
          <w:u w:val="none"/>
          <w:shd w:val="clear" w:color="auto" w:fill="FFFFFF"/>
        </w:rPr>
        <w:t>Wolf</w:t>
      </w:r>
      <w:r>
        <w:rPr>
          <w:rStyle w:val="18"/>
          <w:rFonts w:hint="eastAsia" w:ascii="宋体" w:hAnsi="宋体" w:eastAsia="宋体" w:cs="宋体"/>
          <w:color w:val="auto"/>
          <w:sz w:val="18"/>
          <w:szCs w:val="18"/>
          <w:u w:val="none"/>
          <w:shd w:val="clear" w:color="auto" w:fill="FFFFFF"/>
        </w:rPr>
        <w:fldChar w:fldCharType="end"/>
      </w:r>
      <w:r>
        <w:rPr>
          <w:rFonts w:hint="eastAsia" w:ascii="宋体" w:hAnsi="宋体" w:eastAsia="宋体" w:cs="宋体"/>
          <w:sz w:val="18"/>
          <w:szCs w:val="18"/>
          <w:shd w:val="clear" w:color="auto" w:fill="FFFFFF"/>
          <w:lang w:eastAsia="zh-CN"/>
        </w:rPr>
        <w:t xml:space="preserve"> M,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"https://pubmed.ncbi.nlm.nih.gov/?term=Peeters+M&amp;cauthor_id=18316791" </w:instrText>
      </w:r>
      <w:r>
        <w:rPr>
          <w:rFonts w:hint="eastAsia" w:ascii="宋体" w:hAnsi="宋体" w:eastAsia="宋体" w:cs="宋体"/>
          <w:sz w:val="18"/>
          <w:szCs w:val="18"/>
        </w:rPr>
        <w:fldChar w:fldCharType="separate"/>
      </w:r>
      <w:r>
        <w:rPr>
          <w:rStyle w:val="18"/>
          <w:rFonts w:hint="eastAsia" w:ascii="宋体" w:hAnsi="宋体" w:eastAsia="宋体" w:cs="宋体"/>
          <w:color w:val="auto"/>
          <w:sz w:val="18"/>
          <w:szCs w:val="18"/>
          <w:u w:val="none"/>
          <w:shd w:val="clear" w:color="auto" w:fill="FFFFFF"/>
        </w:rPr>
        <w:t>Peeters</w:t>
      </w:r>
      <w:r>
        <w:rPr>
          <w:rStyle w:val="18"/>
          <w:rFonts w:hint="eastAsia" w:ascii="宋体" w:hAnsi="宋体" w:eastAsia="宋体" w:cs="宋体"/>
          <w:color w:val="auto"/>
          <w:sz w:val="18"/>
          <w:szCs w:val="18"/>
          <w:u w:val="none"/>
          <w:shd w:val="clear" w:color="auto" w:fill="FFFFFF"/>
        </w:rPr>
        <w:fldChar w:fldCharType="end"/>
      </w:r>
      <w:r>
        <w:rPr>
          <w:rFonts w:hint="eastAsia" w:ascii="宋体" w:hAnsi="宋体" w:eastAsia="宋体" w:cs="宋体"/>
          <w:sz w:val="18"/>
          <w:szCs w:val="18"/>
          <w:shd w:val="clear" w:color="auto" w:fill="FFFFFF"/>
          <w:lang w:eastAsia="zh-CN"/>
        </w:rPr>
        <w:t xml:space="preserve"> </w:t>
      </w:r>
      <w:r>
        <w:rPr>
          <w:rStyle w:val="18"/>
          <w:rFonts w:hint="eastAsia" w:ascii="宋体" w:hAnsi="宋体" w:eastAsia="宋体" w:cs="宋体"/>
          <w:color w:val="auto"/>
          <w:sz w:val="18"/>
          <w:szCs w:val="18"/>
          <w:u w:val="none"/>
          <w:shd w:val="clear" w:color="auto" w:fill="FFFFFF"/>
        </w:rPr>
        <w:t>M</w:t>
      </w:r>
      <w:r>
        <w:rPr>
          <w:rFonts w:hint="eastAsia" w:ascii="宋体" w:hAnsi="宋体" w:eastAsia="宋体" w:cs="宋体"/>
          <w:sz w:val="18"/>
          <w:szCs w:val="18"/>
          <w:shd w:val="clear" w:color="auto" w:fill="FFFFFF"/>
        </w:rPr>
        <w:t>,</w:t>
      </w:r>
      <w:r>
        <w:rPr>
          <w:rFonts w:hint="eastAsia" w:ascii="宋体" w:hAnsi="宋体" w:eastAsia="宋体" w:cs="宋体"/>
          <w:sz w:val="18"/>
          <w:szCs w:val="18"/>
          <w:shd w:val="clear" w:color="auto" w:fill="FFFFFF"/>
          <w:lang w:eastAsia="zh-CN"/>
        </w:rPr>
        <w:t xml:space="preserve"> et al. </w:t>
      </w:r>
      <w:r>
        <w:rPr>
          <w:rFonts w:hint="eastAsia" w:ascii="宋体" w:hAnsi="宋体" w:eastAsia="宋体" w:cs="宋体"/>
          <w:sz w:val="18"/>
          <w:szCs w:val="18"/>
          <w:lang w:eastAsia="zh-CN"/>
        </w:rPr>
        <w:t>Wild-type KRAS is required for panitumumab efficacy in patients with metastatic colorectal cancer.</w:t>
      </w:r>
      <w:r>
        <w:rPr>
          <w:rFonts w:hint="eastAsia" w:ascii="宋体" w:hAnsi="宋体" w:eastAsia="宋体" w:cs="宋体"/>
          <w:sz w:val="18"/>
          <w:szCs w:val="18"/>
          <w:shd w:val="clear" w:color="auto" w:fill="FFFFFF"/>
          <w:lang w:eastAsia="zh-CN"/>
        </w:rPr>
        <w:t xml:space="preserve"> J Clin Oncol . 2008;26(10):1626-34. </w:t>
      </w:r>
      <w:r>
        <w:rPr>
          <w:rFonts w:hint="eastAsia" w:ascii="宋体" w:hAnsi="宋体" w:eastAsia="宋体" w:cs="宋体"/>
          <w:sz w:val="18"/>
          <w:szCs w:val="18"/>
          <w:lang w:eastAsia="zh-CN"/>
        </w:rPr>
        <w:t>[</w:t>
      </w:r>
      <w:r>
        <w:rPr>
          <w:rFonts w:hint="eastAsia" w:ascii="宋体" w:hAnsi="宋体" w:eastAsia="宋体" w:cs="宋体"/>
          <w:sz w:val="18"/>
          <w:szCs w:val="18"/>
        </w:rPr>
        <w:t>PMID: 18316791</w:t>
      </w:r>
      <w:r>
        <w:rPr>
          <w:rFonts w:hint="eastAsia" w:ascii="宋体" w:hAnsi="宋体" w:eastAsia="宋体" w:cs="宋体"/>
          <w:sz w:val="18"/>
          <w:szCs w:val="18"/>
          <w:lang w:eastAsia="zh-CN"/>
        </w:rPr>
        <w:t>]</w:t>
      </w:r>
    </w:p>
    <w:p>
      <w:pPr>
        <w:adjustRightInd w:val="0"/>
        <w:snapToGrid w:val="0"/>
        <w:spacing w:after="120" w:afterLines="50" w:line="360" w:lineRule="auto"/>
        <w:jc w:val="both"/>
        <w:rPr>
          <w:rFonts w:hint="eastAsia" w:ascii="宋体" w:hAnsi="宋体" w:eastAsia="宋体" w:cs="宋体"/>
          <w:sz w:val="18"/>
          <w:szCs w:val="18"/>
        </w:rPr>
      </w:pP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"https://www.ncbi.nlm.nih.gov/pubmed/?term=Shapiro%20JD%5BAuthor%5D&amp;cauthor=true&amp;cauthor_uid=30463680" </w:instrText>
      </w:r>
      <w:r>
        <w:rPr>
          <w:rFonts w:hint="eastAsia" w:ascii="宋体" w:hAnsi="宋体" w:eastAsia="宋体" w:cs="宋体"/>
          <w:sz w:val="18"/>
          <w:szCs w:val="18"/>
        </w:rPr>
        <w:fldChar w:fldCharType="separate"/>
      </w:r>
      <w:r>
        <w:rPr>
          <w:rFonts w:hint="eastAsia" w:ascii="宋体" w:hAnsi="宋体" w:eastAsia="宋体" w:cs="宋体"/>
          <w:sz w:val="18"/>
          <w:szCs w:val="18"/>
        </w:rPr>
        <w:t>Shapiro JD</w:t>
      </w:r>
      <w:r>
        <w:rPr>
          <w:rFonts w:hint="eastAsia" w:ascii="宋体" w:hAnsi="宋体" w:eastAsia="宋体" w:cs="宋体"/>
          <w:sz w:val="18"/>
          <w:szCs w:val="18"/>
        </w:rPr>
        <w:fldChar w:fldCharType="end"/>
      </w:r>
      <w:r>
        <w:rPr>
          <w:rFonts w:hint="eastAsia" w:ascii="宋体" w:hAnsi="宋体" w:eastAsia="宋体" w:cs="宋体"/>
          <w:sz w:val="18"/>
          <w:szCs w:val="18"/>
        </w:rPr>
        <w:t>,</w:t>
      </w:r>
      <w:r>
        <w:rPr>
          <w:rFonts w:hint="eastAsia" w:ascii="宋体" w:hAnsi="宋体" w:eastAsia="宋体" w:cs="宋体"/>
          <w:sz w:val="18"/>
          <w:szCs w:val="18"/>
          <w:lang w:eastAsia="zh-CN"/>
        </w:rPr>
        <w:t xml:space="preserve">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"https://www.ncbi.nlm.nih.gov/pubmed/?term=Thavaneswaran%20S%5BAuthor%5D&amp;cauthor=true&amp;cauthor_uid=30463680" </w:instrText>
      </w:r>
      <w:r>
        <w:rPr>
          <w:rFonts w:hint="eastAsia" w:ascii="宋体" w:hAnsi="宋体" w:eastAsia="宋体" w:cs="宋体"/>
          <w:sz w:val="18"/>
          <w:szCs w:val="18"/>
        </w:rPr>
        <w:fldChar w:fldCharType="separate"/>
      </w:r>
      <w:r>
        <w:rPr>
          <w:rFonts w:hint="eastAsia" w:ascii="宋体" w:hAnsi="宋体" w:eastAsia="宋体" w:cs="宋体"/>
          <w:sz w:val="18"/>
          <w:szCs w:val="18"/>
        </w:rPr>
        <w:t>Thavaneswaran S</w:t>
      </w:r>
      <w:r>
        <w:rPr>
          <w:rFonts w:hint="eastAsia" w:ascii="宋体" w:hAnsi="宋体" w:eastAsia="宋体" w:cs="宋体"/>
          <w:sz w:val="18"/>
          <w:szCs w:val="18"/>
        </w:rPr>
        <w:fldChar w:fldCharType="end"/>
      </w:r>
      <w:r>
        <w:rPr>
          <w:rFonts w:hint="eastAsia" w:ascii="宋体" w:hAnsi="宋体" w:eastAsia="宋体" w:cs="宋体"/>
          <w:sz w:val="18"/>
          <w:szCs w:val="18"/>
        </w:rPr>
        <w:t>,</w:t>
      </w:r>
      <w:r>
        <w:rPr>
          <w:rFonts w:hint="eastAsia" w:ascii="宋体" w:hAnsi="宋体" w:eastAsia="宋体" w:cs="宋体"/>
          <w:sz w:val="18"/>
          <w:szCs w:val="18"/>
          <w:lang w:eastAsia="zh-CN"/>
        </w:rPr>
        <w:t xml:space="preserve">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"https://www.ncbi.nlm.nih.gov/pubmed/?term=Underhill%20CR%5BAuthor%5D&amp;cauthor=true&amp;cauthor_uid=30463680" </w:instrText>
      </w:r>
      <w:r>
        <w:rPr>
          <w:rFonts w:hint="eastAsia" w:ascii="宋体" w:hAnsi="宋体" w:eastAsia="宋体" w:cs="宋体"/>
          <w:sz w:val="18"/>
          <w:szCs w:val="18"/>
        </w:rPr>
        <w:fldChar w:fldCharType="separate"/>
      </w:r>
      <w:r>
        <w:rPr>
          <w:rFonts w:hint="eastAsia" w:ascii="宋体" w:hAnsi="宋体" w:eastAsia="宋体" w:cs="宋体"/>
          <w:sz w:val="18"/>
          <w:szCs w:val="18"/>
        </w:rPr>
        <w:t>Underhill CR</w:t>
      </w:r>
      <w:r>
        <w:rPr>
          <w:rFonts w:hint="eastAsia" w:ascii="宋体" w:hAnsi="宋体" w:eastAsia="宋体" w:cs="宋体"/>
          <w:sz w:val="18"/>
          <w:szCs w:val="18"/>
        </w:rPr>
        <w:fldChar w:fldCharType="end"/>
      </w:r>
      <w:r>
        <w:rPr>
          <w:rFonts w:hint="eastAsia" w:ascii="宋体" w:hAnsi="宋体" w:eastAsia="宋体" w:cs="宋体"/>
          <w:sz w:val="18"/>
          <w:szCs w:val="18"/>
        </w:rPr>
        <w:t>, et al. Cetuximab</w:t>
      </w:r>
      <w:r>
        <w:rPr>
          <w:rFonts w:hint="eastAsia" w:ascii="宋体" w:hAnsi="宋体" w:eastAsia="宋体" w:cs="宋体"/>
          <w:sz w:val="18"/>
          <w:szCs w:val="18"/>
          <w:lang w:eastAsia="zh-CN"/>
        </w:rPr>
        <w:t xml:space="preserve"> </w:t>
      </w:r>
      <w:r>
        <w:rPr>
          <w:rFonts w:hint="eastAsia" w:ascii="宋体" w:hAnsi="宋体" w:eastAsia="宋体" w:cs="宋体"/>
          <w:sz w:val="18"/>
          <w:szCs w:val="18"/>
        </w:rPr>
        <w:t>Alone or With Irinotecan for Resistant KRAS-,</w:t>
      </w:r>
      <w:r>
        <w:rPr>
          <w:rFonts w:hint="eastAsia" w:ascii="宋体" w:hAnsi="宋体" w:eastAsia="宋体" w:cs="宋体"/>
          <w:sz w:val="18"/>
          <w:szCs w:val="18"/>
          <w:lang w:eastAsia="zh-CN"/>
        </w:rPr>
        <w:t xml:space="preserve"> </w:t>
      </w:r>
      <w:r>
        <w:rPr>
          <w:rFonts w:hint="eastAsia" w:ascii="宋体" w:hAnsi="宋体" w:eastAsia="宋体" w:cs="宋体"/>
          <w:sz w:val="18"/>
          <w:szCs w:val="18"/>
        </w:rPr>
        <w:t xml:space="preserve">NRAS-, BRAF- and PIK3CA-wild-typeMetastatic Colorectal Cancer: The AGITG Randomized Phase II ICECREAM Study.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"https://www.ncbi.nlm.nih.gov/pubmed/30463680" \o "Clinical colorectal cancer." </w:instrText>
      </w:r>
      <w:r>
        <w:rPr>
          <w:rFonts w:hint="eastAsia" w:ascii="宋体" w:hAnsi="宋体" w:eastAsia="宋体" w:cs="宋体"/>
          <w:sz w:val="18"/>
          <w:szCs w:val="18"/>
        </w:rPr>
        <w:fldChar w:fldCharType="separate"/>
      </w:r>
      <w:r>
        <w:rPr>
          <w:rFonts w:hint="eastAsia" w:ascii="宋体" w:hAnsi="宋体" w:eastAsia="宋体" w:cs="宋体"/>
          <w:sz w:val="18"/>
          <w:szCs w:val="18"/>
        </w:rPr>
        <w:t>Clin Colorectal Cancer</w:t>
      </w:r>
      <w:r>
        <w:rPr>
          <w:rFonts w:hint="eastAsia" w:ascii="宋体" w:hAnsi="宋体" w:eastAsia="宋体" w:cs="宋体"/>
          <w:sz w:val="18"/>
          <w:szCs w:val="18"/>
          <w:lang w:eastAsia="zh-CN"/>
        </w:rPr>
        <w:t>.</w:t>
      </w:r>
      <w:r>
        <w:rPr>
          <w:rFonts w:hint="eastAsia" w:ascii="宋体" w:hAnsi="宋体" w:eastAsia="宋体" w:cs="宋体"/>
          <w:sz w:val="18"/>
          <w:szCs w:val="18"/>
          <w:lang w:eastAsia="zh-CN"/>
        </w:rPr>
        <w:fldChar w:fldCharType="end"/>
      </w:r>
      <w:r>
        <w:rPr>
          <w:rFonts w:hint="eastAsia" w:ascii="宋体" w:hAnsi="宋体" w:eastAsia="宋体" w:cs="宋体"/>
          <w:sz w:val="18"/>
          <w:szCs w:val="18"/>
          <w:lang w:eastAsia="zh-CN"/>
        </w:rPr>
        <w:t xml:space="preserve"> </w:t>
      </w:r>
      <w:r>
        <w:rPr>
          <w:rFonts w:hint="eastAsia" w:ascii="宋体" w:hAnsi="宋体" w:eastAsia="宋体" w:cs="宋体"/>
          <w:sz w:val="18"/>
          <w:szCs w:val="18"/>
        </w:rPr>
        <w:t>2018</w:t>
      </w:r>
      <w:r>
        <w:rPr>
          <w:rFonts w:hint="eastAsia" w:ascii="宋体" w:hAnsi="宋体" w:eastAsia="宋体" w:cs="宋体"/>
          <w:sz w:val="18"/>
          <w:szCs w:val="18"/>
          <w:lang w:eastAsia="zh-CN"/>
        </w:rPr>
        <w:t>;</w:t>
      </w:r>
      <w:r>
        <w:rPr>
          <w:rFonts w:hint="eastAsia" w:ascii="宋体" w:hAnsi="宋体" w:eastAsia="宋体" w:cs="宋体"/>
          <w:sz w:val="18"/>
          <w:szCs w:val="18"/>
        </w:rPr>
        <w:t>17(4):313-319.</w:t>
      </w:r>
      <w:r>
        <w:rPr>
          <w:rFonts w:hint="eastAsia" w:ascii="宋体" w:hAnsi="宋体" w:eastAsia="宋体" w:cs="宋体"/>
          <w:sz w:val="18"/>
          <w:szCs w:val="18"/>
          <w:lang w:eastAsia="zh-CN"/>
        </w:rPr>
        <w:t xml:space="preserve"> [</w:t>
      </w:r>
      <w:r>
        <w:rPr>
          <w:rFonts w:hint="eastAsia" w:ascii="宋体" w:hAnsi="宋体" w:eastAsia="宋体" w:cs="宋体"/>
          <w:sz w:val="18"/>
          <w:szCs w:val="18"/>
        </w:rPr>
        <w:t>PMID: 30463680</w:t>
      </w:r>
      <w:r>
        <w:rPr>
          <w:rFonts w:hint="eastAsia" w:ascii="宋体" w:hAnsi="宋体" w:eastAsia="宋体" w:cs="宋体"/>
          <w:sz w:val="18"/>
          <w:szCs w:val="18"/>
          <w:lang w:eastAsia="zh-CN"/>
        </w:rPr>
        <w:t>]</w:t>
      </w:r>
    </w:p>
    <w:p>
      <w:pPr>
        <w:adjustRightInd w:val="0"/>
        <w:snapToGrid w:val="0"/>
        <w:spacing w:after="120" w:afterLines="50" w:line="360" w:lineRule="auto"/>
        <w:jc w:val="both"/>
        <w:rPr>
          <w:rFonts w:hint="eastAsia" w:ascii="宋体" w:hAnsi="宋体" w:eastAsia="宋体" w:cs="宋体"/>
          <w:spacing w:val="-1"/>
          <w:sz w:val="18"/>
          <w:szCs w:val="18"/>
          <w:lang w:eastAsia="zh-CN"/>
        </w:rPr>
      </w:pP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"https://www.ncbi.nlm.nih.gov/pubmed/?term=Geredeli%20C%5BAuthor%5D&amp;cauthor=true&amp;cauthor_uid=29587749" </w:instrText>
      </w:r>
      <w:r>
        <w:rPr>
          <w:rFonts w:hint="eastAsia" w:ascii="宋体" w:hAnsi="宋体" w:eastAsia="宋体" w:cs="宋体"/>
          <w:sz w:val="18"/>
          <w:szCs w:val="18"/>
        </w:rPr>
        <w:fldChar w:fldCharType="separate"/>
      </w:r>
      <w:r>
        <w:rPr>
          <w:rFonts w:hint="eastAsia" w:ascii="宋体" w:hAnsi="宋体" w:eastAsia="宋体" w:cs="宋体"/>
          <w:sz w:val="18"/>
          <w:szCs w:val="18"/>
        </w:rPr>
        <w:t>Geredeli C</w:t>
      </w:r>
      <w:r>
        <w:rPr>
          <w:rFonts w:hint="eastAsia" w:ascii="宋体" w:hAnsi="宋体" w:eastAsia="宋体" w:cs="宋体"/>
          <w:sz w:val="18"/>
          <w:szCs w:val="18"/>
        </w:rPr>
        <w:fldChar w:fldCharType="end"/>
      </w:r>
      <w:r>
        <w:rPr>
          <w:rFonts w:hint="eastAsia" w:ascii="宋体" w:hAnsi="宋体" w:eastAsia="宋体" w:cs="宋体"/>
          <w:sz w:val="18"/>
          <w:szCs w:val="18"/>
        </w:rPr>
        <w:t>,</w:t>
      </w:r>
      <w:r>
        <w:rPr>
          <w:rFonts w:hint="eastAsia" w:ascii="宋体" w:hAnsi="宋体" w:eastAsia="宋体" w:cs="宋体"/>
          <w:sz w:val="18"/>
          <w:szCs w:val="18"/>
          <w:lang w:eastAsia="zh-CN"/>
        </w:rPr>
        <w:t xml:space="preserve">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"https://www.ncbi.nlm.nih.gov/pubmed/?term=Yasar%20N%5BAuthor%5D&amp;cauthor=true&amp;cauthor_uid=29587749" </w:instrText>
      </w:r>
      <w:r>
        <w:rPr>
          <w:rFonts w:hint="eastAsia" w:ascii="宋体" w:hAnsi="宋体" w:eastAsia="宋体" w:cs="宋体"/>
          <w:sz w:val="18"/>
          <w:szCs w:val="18"/>
        </w:rPr>
        <w:fldChar w:fldCharType="separate"/>
      </w:r>
      <w:r>
        <w:rPr>
          <w:rFonts w:hint="eastAsia" w:ascii="宋体" w:hAnsi="宋体" w:eastAsia="宋体" w:cs="宋体"/>
          <w:sz w:val="18"/>
          <w:szCs w:val="18"/>
        </w:rPr>
        <w:t>Yasar N</w:t>
      </w:r>
      <w:r>
        <w:rPr>
          <w:rFonts w:hint="eastAsia" w:ascii="宋体" w:hAnsi="宋体" w:eastAsia="宋体" w:cs="宋体"/>
          <w:sz w:val="18"/>
          <w:szCs w:val="18"/>
        </w:rPr>
        <w:fldChar w:fldCharType="end"/>
      </w:r>
      <w:r>
        <w:rPr>
          <w:rFonts w:hint="eastAsia" w:ascii="宋体" w:hAnsi="宋体" w:eastAsia="宋体" w:cs="宋体"/>
          <w:sz w:val="18"/>
          <w:szCs w:val="18"/>
        </w:rPr>
        <w:t>. FOLFIRI plus</w:t>
      </w:r>
      <w:r>
        <w:rPr>
          <w:rFonts w:hint="eastAsia" w:ascii="宋体" w:hAnsi="宋体" w:eastAsia="宋体" w:cs="宋体"/>
          <w:sz w:val="18"/>
          <w:szCs w:val="18"/>
          <w:lang w:eastAsia="zh-CN"/>
        </w:rPr>
        <w:t xml:space="preserve"> </w:t>
      </w:r>
      <w:r>
        <w:rPr>
          <w:rFonts w:hint="eastAsia" w:ascii="宋体" w:hAnsi="宋体" w:eastAsia="宋体" w:cs="宋体"/>
          <w:sz w:val="18"/>
          <w:szCs w:val="18"/>
        </w:rPr>
        <w:t>panitumumab</w:t>
      </w:r>
      <w:r>
        <w:rPr>
          <w:rFonts w:hint="eastAsia" w:ascii="宋体" w:hAnsi="宋体" w:eastAsia="宋体" w:cs="宋体"/>
          <w:sz w:val="18"/>
          <w:szCs w:val="18"/>
          <w:lang w:eastAsia="zh-CN"/>
        </w:rPr>
        <w:t xml:space="preserve"> </w:t>
      </w:r>
      <w:r>
        <w:rPr>
          <w:rFonts w:hint="eastAsia" w:ascii="宋体" w:hAnsi="宋体" w:eastAsia="宋体" w:cs="宋体"/>
          <w:sz w:val="18"/>
          <w:szCs w:val="18"/>
        </w:rPr>
        <w:t>in the treatment of</w:t>
      </w:r>
      <w:r>
        <w:rPr>
          <w:rFonts w:hint="eastAsia" w:ascii="宋体" w:hAnsi="宋体" w:eastAsia="宋体" w:cs="宋体"/>
          <w:sz w:val="18"/>
          <w:szCs w:val="18"/>
          <w:lang w:eastAsia="zh-CN"/>
        </w:rPr>
        <w:t xml:space="preserve"> </w:t>
      </w:r>
      <w:r>
        <w:rPr>
          <w:rFonts w:hint="eastAsia" w:ascii="宋体" w:hAnsi="宋体" w:eastAsia="宋体" w:cs="宋体"/>
          <w:sz w:val="18"/>
          <w:szCs w:val="18"/>
        </w:rPr>
        <w:t>wild-type</w:t>
      </w:r>
      <w:r>
        <w:rPr>
          <w:rFonts w:hint="eastAsia" w:ascii="宋体" w:hAnsi="宋体" w:eastAsia="宋体" w:cs="宋体"/>
          <w:sz w:val="18"/>
          <w:szCs w:val="18"/>
          <w:lang w:eastAsia="zh-CN"/>
        </w:rPr>
        <w:t xml:space="preserve"> </w:t>
      </w:r>
      <w:r>
        <w:rPr>
          <w:rFonts w:hint="eastAsia" w:ascii="宋体" w:hAnsi="宋体" w:eastAsia="宋体" w:cs="宋体"/>
          <w:sz w:val="18"/>
          <w:szCs w:val="18"/>
        </w:rPr>
        <w:t>KRAS and</w:t>
      </w:r>
      <w:r>
        <w:rPr>
          <w:rFonts w:hint="eastAsia" w:ascii="宋体" w:hAnsi="宋体" w:eastAsia="宋体" w:cs="宋体"/>
          <w:sz w:val="18"/>
          <w:szCs w:val="18"/>
          <w:lang w:eastAsia="zh-CN"/>
        </w:rPr>
        <w:t xml:space="preserve"> </w:t>
      </w:r>
      <w:r>
        <w:rPr>
          <w:rFonts w:hint="eastAsia" w:ascii="宋体" w:hAnsi="宋体" w:eastAsia="宋体" w:cs="宋体"/>
          <w:sz w:val="18"/>
          <w:szCs w:val="18"/>
        </w:rPr>
        <w:t>wild-type</w:t>
      </w:r>
      <w:r>
        <w:rPr>
          <w:rFonts w:hint="eastAsia" w:ascii="宋体" w:hAnsi="宋体" w:eastAsia="宋体" w:cs="宋体"/>
          <w:sz w:val="18"/>
          <w:szCs w:val="18"/>
          <w:lang w:eastAsia="zh-CN"/>
        </w:rPr>
        <w:t xml:space="preserve"> </w:t>
      </w:r>
      <w:r>
        <w:rPr>
          <w:rFonts w:hint="eastAsia" w:ascii="宋体" w:hAnsi="宋体" w:eastAsia="宋体" w:cs="宋体"/>
          <w:sz w:val="18"/>
          <w:szCs w:val="18"/>
        </w:rPr>
        <w:t>NRAS</w:t>
      </w:r>
      <w:r>
        <w:rPr>
          <w:rFonts w:hint="eastAsia" w:ascii="宋体" w:hAnsi="宋体" w:eastAsia="宋体" w:cs="宋体"/>
          <w:sz w:val="18"/>
          <w:szCs w:val="18"/>
          <w:lang w:eastAsia="zh-CN"/>
        </w:rPr>
        <w:t xml:space="preserve"> </w:t>
      </w:r>
      <w:r>
        <w:rPr>
          <w:rFonts w:hint="eastAsia" w:ascii="宋体" w:hAnsi="宋体" w:eastAsia="宋体" w:cs="宋体"/>
          <w:sz w:val="18"/>
          <w:szCs w:val="18"/>
        </w:rPr>
        <w:t xml:space="preserve">metastatic colorectal cancer.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"https://www.ncbi.nlm.nih.gov/pubmed/29587749" \o "World journal of surgical oncology." </w:instrText>
      </w:r>
      <w:r>
        <w:rPr>
          <w:rFonts w:hint="eastAsia" w:ascii="宋体" w:hAnsi="宋体" w:eastAsia="宋体" w:cs="宋体"/>
          <w:sz w:val="18"/>
          <w:szCs w:val="18"/>
        </w:rPr>
        <w:fldChar w:fldCharType="separate"/>
      </w:r>
      <w:r>
        <w:rPr>
          <w:rFonts w:hint="eastAsia" w:ascii="宋体" w:hAnsi="宋体" w:eastAsia="宋体" w:cs="宋体"/>
          <w:sz w:val="18"/>
          <w:szCs w:val="18"/>
        </w:rPr>
        <w:t>World J Surg Oncol</w:t>
      </w:r>
      <w:r>
        <w:rPr>
          <w:rFonts w:hint="eastAsia" w:ascii="宋体" w:hAnsi="宋体" w:eastAsia="宋体" w:cs="宋体"/>
          <w:sz w:val="18"/>
          <w:szCs w:val="18"/>
          <w:lang w:eastAsia="zh-CN"/>
        </w:rPr>
        <w:t>.</w:t>
      </w:r>
      <w:r>
        <w:rPr>
          <w:rFonts w:hint="eastAsia" w:ascii="宋体" w:hAnsi="宋体" w:eastAsia="宋体" w:cs="宋体"/>
          <w:sz w:val="18"/>
          <w:szCs w:val="18"/>
          <w:lang w:eastAsia="zh-CN"/>
        </w:rPr>
        <w:fldChar w:fldCharType="end"/>
      </w:r>
      <w:r>
        <w:rPr>
          <w:rFonts w:hint="eastAsia" w:ascii="宋体" w:hAnsi="宋体" w:eastAsia="宋体" w:cs="宋体"/>
          <w:sz w:val="18"/>
          <w:szCs w:val="18"/>
          <w:lang w:eastAsia="zh-CN"/>
        </w:rPr>
        <w:t xml:space="preserve"> </w:t>
      </w:r>
      <w:r>
        <w:rPr>
          <w:rFonts w:hint="eastAsia" w:ascii="宋体" w:hAnsi="宋体" w:eastAsia="宋体" w:cs="宋体"/>
          <w:sz w:val="18"/>
          <w:szCs w:val="18"/>
        </w:rPr>
        <w:t>2018</w:t>
      </w:r>
      <w:r>
        <w:rPr>
          <w:rFonts w:hint="eastAsia" w:ascii="宋体" w:hAnsi="宋体" w:eastAsia="宋体" w:cs="宋体"/>
          <w:sz w:val="18"/>
          <w:szCs w:val="18"/>
          <w:lang w:eastAsia="zh-CN"/>
        </w:rPr>
        <w:t>;</w:t>
      </w:r>
      <w:r>
        <w:rPr>
          <w:rFonts w:hint="eastAsia" w:ascii="宋体" w:hAnsi="宋体" w:eastAsia="宋体" w:cs="宋体"/>
          <w:sz w:val="18"/>
          <w:szCs w:val="18"/>
        </w:rPr>
        <w:t>16(1):67.</w:t>
      </w:r>
      <w:r>
        <w:rPr>
          <w:rFonts w:hint="eastAsia" w:ascii="宋体" w:hAnsi="宋体" w:eastAsia="宋体" w:cs="宋体"/>
          <w:sz w:val="18"/>
          <w:szCs w:val="18"/>
          <w:lang w:eastAsia="zh-CN"/>
        </w:rPr>
        <w:t xml:space="preserve"> [PMID: 29587749]</w:t>
      </w:r>
    </w:p>
    <w:p>
      <w:pPr>
        <w:adjustRightInd w:val="0"/>
        <w:snapToGrid w:val="0"/>
        <w:spacing w:after="120" w:afterLines="50" w:line="360" w:lineRule="auto"/>
        <w:jc w:val="both"/>
        <w:rPr>
          <w:rFonts w:hint="eastAsia" w:ascii="宋体" w:hAnsi="宋体" w:eastAsia="宋体" w:cs="宋体"/>
          <w:spacing w:val="-1"/>
          <w:sz w:val="18"/>
          <w:szCs w:val="18"/>
          <w:lang w:eastAsia="zh-CN"/>
        </w:rPr>
      </w:pP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"https://www.ncbi.nlm.nih.gov/pubmed/?term=McGregor%20M%5BAuthor%5D&amp;cauthor=true&amp;cauthor_uid=29737864" </w:instrText>
      </w:r>
      <w:r>
        <w:rPr>
          <w:rFonts w:hint="eastAsia" w:ascii="宋体" w:hAnsi="宋体" w:eastAsia="宋体" w:cs="宋体"/>
          <w:sz w:val="18"/>
          <w:szCs w:val="18"/>
        </w:rPr>
        <w:fldChar w:fldCharType="separate"/>
      </w:r>
      <w:r>
        <w:rPr>
          <w:rFonts w:hint="eastAsia" w:ascii="宋体" w:hAnsi="宋体" w:eastAsia="宋体" w:cs="宋体"/>
          <w:sz w:val="18"/>
          <w:szCs w:val="18"/>
        </w:rPr>
        <w:t>McGregor M</w:t>
      </w:r>
      <w:r>
        <w:rPr>
          <w:rFonts w:hint="eastAsia" w:ascii="宋体" w:hAnsi="宋体" w:eastAsia="宋体" w:cs="宋体"/>
          <w:sz w:val="18"/>
          <w:szCs w:val="18"/>
        </w:rPr>
        <w:fldChar w:fldCharType="end"/>
      </w:r>
      <w:r>
        <w:rPr>
          <w:rFonts w:hint="eastAsia" w:ascii="宋体" w:hAnsi="宋体" w:eastAsia="宋体" w:cs="宋体"/>
          <w:sz w:val="18"/>
          <w:szCs w:val="18"/>
        </w:rPr>
        <w:t>,</w:t>
      </w:r>
      <w:r>
        <w:rPr>
          <w:rFonts w:hint="eastAsia" w:ascii="宋体" w:hAnsi="宋体" w:eastAsia="宋体" w:cs="宋体"/>
          <w:sz w:val="18"/>
          <w:szCs w:val="18"/>
          <w:lang w:eastAsia="zh-CN"/>
        </w:rPr>
        <w:t xml:space="preserve">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"https://www.ncbi.nlm.nih.gov/pubmed/?term=Price%20TJ%5BAuthor%5D&amp;cauthor=true&amp;cauthor_uid=29737864" </w:instrText>
      </w:r>
      <w:r>
        <w:rPr>
          <w:rFonts w:hint="eastAsia" w:ascii="宋体" w:hAnsi="宋体" w:eastAsia="宋体" w:cs="宋体"/>
          <w:sz w:val="18"/>
          <w:szCs w:val="18"/>
        </w:rPr>
        <w:fldChar w:fldCharType="separate"/>
      </w:r>
      <w:r>
        <w:rPr>
          <w:rFonts w:hint="eastAsia" w:ascii="宋体" w:hAnsi="宋体" w:eastAsia="宋体" w:cs="宋体"/>
          <w:sz w:val="18"/>
          <w:szCs w:val="18"/>
        </w:rPr>
        <w:t>Price TJ</w:t>
      </w:r>
      <w:r>
        <w:rPr>
          <w:rFonts w:hint="eastAsia" w:ascii="宋体" w:hAnsi="宋体" w:eastAsia="宋体" w:cs="宋体"/>
          <w:sz w:val="18"/>
          <w:szCs w:val="18"/>
        </w:rPr>
        <w:fldChar w:fldCharType="end"/>
      </w:r>
      <w:r>
        <w:rPr>
          <w:rFonts w:hint="eastAsia" w:ascii="宋体" w:hAnsi="宋体" w:eastAsia="宋体" w:cs="宋体"/>
          <w:sz w:val="18"/>
          <w:szCs w:val="18"/>
        </w:rPr>
        <w:t>. Panitumumab</w:t>
      </w:r>
      <w:r>
        <w:rPr>
          <w:rFonts w:hint="eastAsia" w:ascii="宋体" w:hAnsi="宋体" w:eastAsia="宋体" w:cs="宋体"/>
          <w:sz w:val="18"/>
          <w:szCs w:val="18"/>
          <w:lang w:eastAsia="zh-CN"/>
        </w:rPr>
        <w:t xml:space="preserve"> </w:t>
      </w:r>
      <w:r>
        <w:rPr>
          <w:rFonts w:hint="eastAsia" w:ascii="宋体" w:hAnsi="宋体" w:eastAsia="宋体" w:cs="宋体"/>
          <w:sz w:val="18"/>
          <w:szCs w:val="18"/>
        </w:rPr>
        <w:t>in the treatment of metastatic colorectal cancer, including</w:t>
      </w:r>
      <w:r>
        <w:rPr>
          <w:rFonts w:hint="eastAsia" w:ascii="宋体" w:hAnsi="宋体" w:eastAsia="宋体" w:cs="宋体"/>
          <w:sz w:val="18"/>
          <w:szCs w:val="18"/>
          <w:lang w:eastAsia="zh-CN"/>
        </w:rPr>
        <w:t xml:space="preserve"> </w:t>
      </w:r>
      <w:r>
        <w:rPr>
          <w:rFonts w:hint="eastAsia" w:ascii="宋体" w:hAnsi="宋体" w:eastAsia="宋体" w:cs="宋体"/>
          <w:sz w:val="18"/>
          <w:szCs w:val="18"/>
        </w:rPr>
        <w:t>wild-type</w:t>
      </w:r>
      <w:r>
        <w:rPr>
          <w:rFonts w:hint="eastAsia" w:ascii="宋体" w:hAnsi="宋体" w:eastAsia="宋体" w:cs="宋体"/>
          <w:sz w:val="18"/>
          <w:szCs w:val="18"/>
          <w:lang w:eastAsia="zh-CN"/>
        </w:rPr>
        <w:t xml:space="preserve"> </w:t>
      </w:r>
      <w:r>
        <w:rPr>
          <w:rFonts w:hint="eastAsia" w:ascii="宋体" w:hAnsi="宋体" w:eastAsia="宋体" w:cs="宋体"/>
          <w:sz w:val="18"/>
          <w:szCs w:val="18"/>
        </w:rPr>
        <w:t>RAS,</w:t>
      </w:r>
      <w:r>
        <w:rPr>
          <w:rFonts w:hint="eastAsia" w:ascii="宋体" w:hAnsi="宋体" w:eastAsia="宋体" w:cs="宋体"/>
          <w:sz w:val="18"/>
          <w:szCs w:val="18"/>
          <w:lang w:eastAsia="zh-CN"/>
        </w:rPr>
        <w:t xml:space="preserve"> </w:t>
      </w:r>
      <w:r>
        <w:rPr>
          <w:rFonts w:hint="eastAsia" w:ascii="宋体" w:hAnsi="宋体" w:eastAsia="宋体" w:cs="宋体"/>
          <w:sz w:val="18"/>
          <w:szCs w:val="18"/>
        </w:rPr>
        <w:t>KRAS and</w:t>
      </w:r>
      <w:r>
        <w:rPr>
          <w:rFonts w:hint="eastAsia" w:ascii="宋体" w:hAnsi="宋体" w:eastAsia="宋体" w:cs="宋体"/>
          <w:sz w:val="18"/>
          <w:szCs w:val="18"/>
          <w:lang w:eastAsia="zh-CN"/>
        </w:rPr>
        <w:t xml:space="preserve"> </w:t>
      </w:r>
      <w:r>
        <w:rPr>
          <w:rFonts w:hint="eastAsia" w:ascii="宋体" w:hAnsi="宋体" w:eastAsia="宋体" w:cs="宋体"/>
          <w:sz w:val="18"/>
          <w:szCs w:val="18"/>
        </w:rPr>
        <w:t>NRAS</w:t>
      </w:r>
      <w:r>
        <w:rPr>
          <w:rFonts w:hint="eastAsia" w:ascii="宋体" w:hAnsi="宋体" w:eastAsia="宋体" w:cs="宋体"/>
          <w:sz w:val="18"/>
          <w:szCs w:val="18"/>
          <w:lang w:eastAsia="zh-CN"/>
        </w:rPr>
        <w:t xml:space="preserve"> </w:t>
      </w:r>
      <w:r>
        <w:rPr>
          <w:rFonts w:hint="eastAsia" w:ascii="宋体" w:hAnsi="宋体" w:eastAsia="宋体" w:cs="宋体"/>
          <w:sz w:val="18"/>
          <w:szCs w:val="18"/>
        </w:rPr>
        <w:t xml:space="preserve">mCRC.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"https://www.ncbi.nlm.nih.gov/pubmed/29737864" \o "Future oncology (London, England)." </w:instrText>
      </w:r>
      <w:r>
        <w:rPr>
          <w:rFonts w:hint="eastAsia" w:ascii="宋体" w:hAnsi="宋体" w:eastAsia="宋体" w:cs="宋体"/>
          <w:sz w:val="18"/>
          <w:szCs w:val="18"/>
        </w:rPr>
        <w:fldChar w:fldCharType="separate"/>
      </w:r>
      <w:r>
        <w:rPr>
          <w:rFonts w:hint="eastAsia" w:ascii="宋体" w:hAnsi="宋体" w:eastAsia="宋体" w:cs="宋体"/>
          <w:sz w:val="18"/>
          <w:szCs w:val="18"/>
        </w:rPr>
        <w:t>Future Oncol</w:t>
      </w:r>
      <w:r>
        <w:rPr>
          <w:rFonts w:hint="eastAsia" w:ascii="宋体" w:hAnsi="宋体" w:eastAsia="宋体" w:cs="宋体"/>
          <w:sz w:val="18"/>
          <w:szCs w:val="18"/>
          <w:lang w:eastAsia="zh-CN"/>
        </w:rPr>
        <w:t>.</w:t>
      </w:r>
      <w:r>
        <w:rPr>
          <w:rFonts w:hint="eastAsia" w:ascii="宋体" w:hAnsi="宋体" w:eastAsia="宋体" w:cs="宋体"/>
          <w:sz w:val="18"/>
          <w:szCs w:val="18"/>
          <w:lang w:eastAsia="zh-CN"/>
        </w:rPr>
        <w:fldChar w:fldCharType="end"/>
      </w:r>
      <w:r>
        <w:rPr>
          <w:rFonts w:hint="eastAsia" w:ascii="宋体" w:hAnsi="宋体" w:eastAsia="宋体" w:cs="宋体"/>
          <w:sz w:val="18"/>
          <w:szCs w:val="18"/>
          <w:lang w:eastAsia="zh-CN"/>
        </w:rPr>
        <w:t xml:space="preserve"> </w:t>
      </w:r>
      <w:r>
        <w:rPr>
          <w:rFonts w:hint="eastAsia" w:ascii="宋体" w:hAnsi="宋体" w:eastAsia="宋体" w:cs="宋体"/>
          <w:sz w:val="18"/>
          <w:szCs w:val="18"/>
        </w:rPr>
        <w:t>2018</w:t>
      </w:r>
      <w:r>
        <w:rPr>
          <w:rFonts w:hint="eastAsia" w:ascii="宋体" w:hAnsi="宋体" w:eastAsia="宋体" w:cs="宋体"/>
          <w:sz w:val="18"/>
          <w:szCs w:val="18"/>
          <w:lang w:eastAsia="zh-CN"/>
        </w:rPr>
        <w:t>;</w:t>
      </w:r>
      <w:r>
        <w:rPr>
          <w:rFonts w:hint="eastAsia" w:ascii="宋体" w:hAnsi="宋体" w:eastAsia="宋体" w:cs="宋体"/>
          <w:sz w:val="18"/>
          <w:szCs w:val="18"/>
        </w:rPr>
        <w:t>14(24):2437-2459.</w:t>
      </w:r>
      <w:r>
        <w:rPr>
          <w:rFonts w:hint="eastAsia" w:ascii="宋体" w:hAnsi="宋体" w:eastAsia="宋体" w:cs="宋体"/>
          <w:sz w:val="18"/>
          <w:szCs w:val="18"/>
          <w:lang w:eastAsia="zh-CN"/>
        </w:rPr>
        <w:t xml:space="preserve"> [PMID: 29737864]</w:t>
      </w:r>
    </w:p>
    <w:p>
      <w:pPr>
        <w:widowControl/>
        <w:adjustRightInd w:val="0"/>
        <w:snapToGrid w:val="0"/>
        <w:spacing w:after="120" w:afterLines="50" w:line="360" w:lineRule="auto"/>
        <w:jc w:val="both"/>
        <w:rPr>
          <w:rFonts w:hint="eastAsia" w:ascii="宋体" w:hAnsi="宋体" w:eastAsia="宋体" w:cs="宋体"/>
          <w:sz w:val="18"/>
          <w:szCs w:val="18"/>
        </w:rPr>
      </w:pPr>
      <w:r>
        <w:rPr>
          <w:rFonts w:hint="eastAsia" w:ascii="宋体" w:hAnsi="宋体" w:eastAsia="宋体" w:cs="宋体"/>
          <w:sz w:val="18"/>
          <w:szCs w:val="18"/>
        </w:rPr>
        <w:t xml:space="preserve">Doebele RC, Drilon A, Paz-Ares L, et al. Entrectinib in patients with advanced or metastatic NTRK fusion-positive solid tumours: integrated analysis of three phase 1-2 trials. Lancet Oncol. 2020;21(2):271-282. </w:t>
      </w:r>
      <w:r>
        <w:rPr>
          <w:rFonts w:hint="eastAsia" w:ascii="宋体" w:hAnsi="宋体" w:eastAsia="宋体" w:cs="宋体"/>
          <w:sz w:val="18"/>
          <w:szCs w:val="18"/>
          <w:lang w:eastAsia="zh-CN"/>
        </w:rPr>
        <w:t>[</w:t>
      </w:r>
      <w:r>
        <w:rPr>
          <w:rFonts w:hint="eastAsia" w:ascii="宋体" w:hAnsi="宋体" w:eastAsia="宋体" w:cs="宋体"/>
          <w:sz w:val="18"/>
          <w:szCs w:val="18"/>
        </w:rPr>
        <w:t>PMID: 31838007</w:t>
      </w:r>
      <w:r>
        <w:rPr>
          <w:rFonts w:hint="eastAsia" w:ascii="宋体" w:hAnsi="宋体" w:eastAsia="宋体" w:cs="宋体"/>
          <w:sz w:val="18"/>
          <w:szCs w:val="18"/>
          <w:lang w:eastAsia="zh-CN"/>
        </w:rPr>
        <w:t>]</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rPr>
        <w:t xml:space="preserve">Hong DS, DuBois SG, Kummar S, et al. Larotrectinib in patients with TRK fusion-positive solid tumours: a pooled analysis of three phase 1/2 clinical trials. Lancet Oncol. 2020;21(4):531-540. </w:t>
      </w:r>
      <w:r>
        <w:rPr>
          <w:rFonts w:hint="eastAsia" w:ascii="宋体" w:hAnsi="宋体" w:eastAsia="宋体" w:cs="宋体"/>
          <w:sz w:val="18"/>
          <w:szCs w:val="18"/>
          <w:lang w:eastAsia="zh-CN"/>
        </w:rPr>
        <w:t>[</w:t>
      </w:r>
      <w:r>
        <w:rPr>
          <w:rFonts w:hint="eastAsia" w:ascii="宋体" w:hAnsi="宋体" w:eastAsia="宋体" w:cs="宋体"/>
          <w:sz w:val="18"/>
          <w:szCs w:val="18"/>
        </w:rPr>
        <w:t>PMID: 32105622</w:t>
      </w:r>
      <w:r>
        <w:rPr>
          <w:rFonts w:hint="eastAsia" w:ascii="宋体" w:hAnsi="宋体" w:eastAsia="宋体" w:cs="宋体"/>
          <w:sz w:val="18"/>
          <w:szCs w:val="18"/>
          <w:lang w:eastAsia="zh-CN"/>
        </w:rPr>
        <w:t>]</w:t>
      </w:r>
    </w:p>
    <w:sectPr>
      <w:footerReference r:id="rId5" w:type="default"/>
      <w:pgSz w:w="11910" w:h="16840"/>
      <w:pgMar w:top="1417" w:right="805" w:bottom="737"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9972AEF8"/>
    <w:multiLevelType w:val="multilevel"/>
    <w:tmpl w:val="9972AEF8"/>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B5CE2176"/>
    <w:multiLevelType w:val="multilevel"/>
    <w:tmpl w:val="B5CE2176"/>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C2D4CB65"/>
    <w:multiLevelType w:val="multilevel"/>
    <w:tmpl w:val="C2D4CB65"/>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rPr>
        <w:rFonts w:hint="default"/>
        <w:sz w:val="18"/>
        <w:szCs w:val="18"/>
      </w:rPr>
    </w:lvl>
  </w:abstractNum>
  <w:abstractNum w:abstractNumId="6">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6601ACF"/>
    <w:multiLevelType w:val="multilevel"/>
    <w:tmpl w:val="66601ACF"/>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11"/>
  </w:num>
  <w:num w:numId="3">
    <w:abstractNumId w:val="10"/>
  </w:num>
  <w:num w:numId="4">
    <w:abstractNumId w:val="6"/>
  </w:num>
  <w:num w:numId="5">
    <w:abstractNumId w:val="7"/>
  </w:num>
  <w:num w:numId="6">
    <w:abstractNumId w:val="0"/>
  </w:num>
  <w:num w:numId="7">
    <w:abstractNumId w:val="1"/>
  </w:num>
  <w:num w:numId="8">
    <w:abstractNumId w:val="3"/>
  </w:num>
  <w:num w:numId="9">
    <w:abstractNumId w:val="2"/>
  </w:num>
  <w:num w:numId="10">
    <w:abstractNumId w:val="4"/>
  </w:num>
  <w:num w:numId="11">
    <w:abstractNumId w:val="12"/>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230292"/>
    <w:rsid w:val="01392F4E"/>
    <w:rsid w:val="017A2B5E"/>
    <w:rsid w:val="018016F0"/>
    <w:rsid w:val="01A0337A"/>
    <w:rsid w:val="02337A11"/>
    <w:rsid w:val="027C0F8A"/>
    <w:rsid w:val="028358E7"/>
    <w:rsid w:val="029A67E2"/>
    <w:rsid w:val="02CA5230"/>
    <w:rsid w:val="0329174C"/>
    <w:rsid w:val="033463D6"/>
    <w:rsid w:val="038726D8"/>
    <w:rsid w:val="03E921F1"/>
    <w:rsid w:val="04455AD9"/>
    <w:rsid w:val="04791D69"/>
    <w:rsid w:val="04871837"/>
    <w:rsid w:val="04A167FA"/>
    <w:rsid w:val="04BD1641"/>
    <w:rsid w:val="04C17114"/>
    <w:rsid w:val="04CD44FD"/>
    <w:rsid w:val="05815BFE"/>
    <w:rsid w:val="05887898"/>
    <w:rsid w:val="059E1945"/>
    <w:rsid w:val="05B13825"/>
    <w:rsid w:val="05F23D13"/>
    <w:rsid w:val="06A4457F"/>
    <w:rsid w:val="06A61E8D"/>
    <w:rsid w:val="06E36A2C"/>
    <w:rsid w:val="06EB7F4D"/>
    <w:rsid w:val="07250EAC"/>
    <w:rsid w:val="074043CC"/>
    <w:rsid w:val="07AB34E7"/>
    <w:rsid w:val="07D36A00"/>
    <w:rsid w:val="07DB59EB"/>
    <w:rsid w:val="083F50A2"/>
    <w:rsid w:val="088D7FF0"/>
    <w:rsid w:val="09212671"/>
    <w:rsid w:val="095F057B"/>
    <w:rsid w:val="09705B33"/>
    <w:rsid w:val="0A043ABA"/>
    <w:rsid w:val="0A337BEA"/>
    <w:rsid w:val="0A757891"/>
    <w:rsid w:val="0A8703FE"/>
    <w:rsid w:val="0ADA7F11"/>
    <w:rsid w:val="0ADD29EC"/>
    <w:rsid w:val="0AEC09F3"/>
    <w:rsid w:val="0B5F0945"/>
    <w:rsid w:val="0BA82D72"/>
    <w:rsid w:val="0C1768CC"/>
    <w:rsid w:val="0C3A0C95"/>
    <w:rsid w:val="0C3E5385"/>
    <w:rsid w:val="0C96240B"/>
    <w:rsid w:val="0D055CE8"/>
    <w:rsid w:val="0D0E2E15"/>
    <w:rsid w:val="0D194A15"/>
    <w:rsid w:val="0D877621"/>
    <w:rsid w:val="0D9819F1"/>
    <w:rsid w:val="0DAD1717"/>
    <w:rsid w:val="0E11445D"/>
    <w:rsid w:val="0E542351"/>
    <w:rsid w:val="0E632099"/>
    <w:rsid w:val="0E644C2B"/>
    <w:rsid w:val="0E82580A"/>
    <w:rsid w:val="0EBF2A43"/>
    <w:rsid w:val="0EC91129"/>
    <w:rsid w:val="0ED843CC"/>
    <w:rsid w:val="0F2012A5"/>
    <w:rsid w:val="0FB9297A"/>
    <w:rsid w:val="0FEF6595"/>
    <w:rsid w:val="0FFE1C1F"/>
    <w:rsid w:val="10A519AE"/>
    <w:rsid w:val="10D26947"/>
    <w:rsid w:val="11046F6E"/>
    <w:rsid w:val="11067689"/>
    <w:rsid w:val="110A60E1"/>
    <w:rsid w:val="110D3F98"/>
    <w:rsid w:val="118B49B4"/>
    <w:rsid w:val="12722FE7"/>
    <w:rsid w:val="12850E64"/>
    <w:rsid w:val="12963DA1"/>
    <w:rsid w:val="12F372F0"/>
    <w:rsid w:val="132612E4"/>
    <w:rsid w:val="13897526"/>
    <w:rsid w:val="13AB527B"/>
    <w:rsid w:val="147565B0"/>
    <w:rsid w:val="14872247"/>
    <w:rsid w:val="148972D9"/>
    <w:rsid w:val="149B7751"/>
    <w:rsid w:val="14AA5F0C"/>
    <w:rsid w:val="14C82A00"/>
    <w:rsid w:val="14E50274"/>
    <w:rsid w:val="150E31A1"/>
    <w:rsid w:val="15196B67"/>
    <w:rsid w:val="152B5F53"/>
    <w:rsid w:val="152E3223"/>
    <w:rsid w:val="153F7D0D"/>
    <w:rsid w:val="156E1C8F"/>
    <w:rsid w:val="15D73C77"/>
    <w:rsid w:val="16345977"/>
    <w:rsid w:val="165063E4"/>
    <w:rsid w:val="165A6602"/>
    <w:rsid w:val="165C7A79"/>
    <w:rsid w:val="16956080"/>
    <w:rsid w:val="16A6744E"/>
    <w:rsid w:val="16BD5BE8"/>
    <w:rsid w:val="16E67B0D"/>
    <w:rsid w:val="16EF32B7"/>
    <w:rsid w:val="16F8465A"/>
    <w:rsid w:val="175C3095"/>
    <w:rsid w:val="179E5A16"/>
    <w:rsid w:val="17C57C22"/>
    <w:rsid w:val="17DB1E48"/>
    <w:rsid w:val="17EF172D"/>
    <w:rsid w:val="18036692"/>
    <w:rsid w:val="18115FA7"/>
    <w:rsid w:val="184F5A03"/>
    <w:rsid w:val="188B1EE6"/>
    <w:rsid w:val="188E10A8"/>
    <w:rsid w:val="18A5002C"/>
    <w:rsid w:val="18F11FBB"/>
    <w:rsid w:val="19437087"/>
    <w:rsid w:val="1969147D"/>
    <w:rsid w:val="199369D8"/>
    <w:rsid w:val="1A5E6E15"/>
    <w:rsid w:val="1A9C4C96"/>
    <w:rsid w:val="1AF45ED7"/>
    <w:rsid w:val="1B10343F"/>
    <w:rsid w:val="1B1466AC"/>
    <w:rsid w:val="1B28649B"/>
    <w:rsid w:val="1B3B4866"/>
    <w:rsid w:val="1BA36B7F"/>
    <w:rsid w:val="1BAD3E87"/>
    <w:rsid w:val="1C166655"/>
    <w:rsid w:val="1C7A05D0"/>
    <w:rsid w:val="1C98707F"/>
    <w:rsid w:val="1CCD19AC"/>
    <w:rsid w:val="1CD3634C"/>
    <w:rsid w:val="1CE7377A"/>
    <w:rsid w:val="1CFB3D7D"/>
    <w:rsid w:val="1D0B7646"/>
    <w:rsid w:val="1D103BE7"/>
    <w:rsid w:val="1D306ECF"/>
    <w:rsid w:val="1DE8432D"/>
    <w:rsid w:val="1E1954BB"/>
    <w:rsid w:val="1E3E0168"/>
    <w:rsid w:val="1E424F38"/>
    <w:rsid w:val="1E5B4AE9"/>
    <w:rsid w:val="1E5D40E4"/>
    <w:rsid w:val="1EAB0C6A"/>
    <w:rsid w:val="1EAF2912"/>
    <w:rsid w:val="1EE510E1"/>
    <w:rsid w:val="1EEB2832"/>
    <w:rsid w:val="1F2B7CAE"/>
    <w:rsid w:val="1F9B1090"/>
    <w:rsid w:val="1FB23A5A"/>
    <w:rsid w:val="1FC77337"/>
    <w:rsid w:val="20205A20"/>
    <w:rsid w:val="202D7F0F"/>
    <w:rsid w:val="20855B55"/>
    <w:rsid w:val="209432E5"/>
    <w:rsid w:val="20943D07"/>
    <w:rsid w:val="20C205EB"/>
    <w:rsid w:val="20CA3A62"/>
    <w:rsid w:val="216F18A9"/>
    <w:rsid w:val="218960DE"/>
    <w:rsid w:val="21D55A39"/>
    <w:rsid w:val="22180203"/>
    <w:rsid w:val="22322E8D"/>
    <w:rsid w:val="224C7FA0"/>
    <w:rsid w:val="226A689A"/>
    <w:rsid w:val="22B1632D"/>
    <w:rsid w:val="22D4409F"/>
    <w:rsid w:val="22E02BA5"/>
    <w:rsid w:val="22FB3231"/>
    <w:rsid w:val="2322058C"/>
    <w:rsid w:val="232B252D"/>
    <w:rsid w:val="235C2C2A"/>
    <w:rsid w:val="23DC4798"/>
    <w:rsid w:val="23FF1819"/>
    <w:rsid w:val="240007AE"/>
    <w:rsid w:val="244D2216"/>
    <w:rsid w:val="2490669A"/>
    <w:rsid w:val="250E3D96"/>
    <w:rsid w:val="25152B1F"/>
    <w:rsid w:val="253036C5"/>
    <w:rsid w:val="256C4478"/>
    <w:rsid w:val="25C7784B"/>
    <w:rsid w:val="25CF40C3"/>
    <w:rsid w:val="2680090F"/>
    <w:rsid w:val="26976104"/>
    <w:rsid w:val="271A3FF4"/>
    <w:rsid w:val="271C165B"/>
    <w:rsid w:val="27822EE4"/>
    <w:rsid w:val="2786240A"/>
    <w:rsid w:val="27870460"/>
    <w:rsid w:val="27984A7E"/>
    <w:rsid w:val="27EA6CAB"/>
    <w:rsid w:val="28642123"/>
    <w:rsid w:val="28855B91"/>
    <w:rsid w:val="288D628C"/>
    <w:rsid w:val="28B63ACE"/>
    <w:rsid w:val="28B640D1"/>
    <w:rsid w:val="28B74238"/>
    <w:rsid w:val="28B83CA7"/>
    <w:rsid w:val="28C86CFA"/>
    <w:rsid w:val="28CB616B"/>
    <w:rsid w:val="28E3589C"/>
    <w:rsid w:val="28E502F9"/>
    <w:rsid w:val="292D0C40"/>
    <w:rsid w:val="29345F99"/>
    <w:rsid w:val="29363F06"/>
    <w:rsid w:val="29555C64"/>
    <w:rsid w:val="296F5B95"/>
    <w:rsid w:val="29CB7AAA"/>
    <w:rsid w:val="29DE0525"/>
    <w:rsid w:val="29EF70C8"/>
    <w:rsid w:val="2A221D03"/>
    <w:rsid w:val="2A3716AB"/>
    <w:rsid w:val="2A51621C"/>
    <w:rsid w:val="2A7F29B1"/>
    <w:rsid w:val="2ADE2A02"/>
    <w:rsid w:val="2B465CF5"/>
    <w:rsid w:val="2B485DBB"/>
    <w:rsid w:val="2B692B05"/>
    <w:rsid w:val="2B8C0A94"/>
    <w:rsid w:val="2BDE1876"/>
    <w:rsid w:val="2C165FD1"/>
    <w:rsid w:val="2C36399B"/>
    <w:rsid w:val="2C427C83"/>
    <w:rsid w:val="2C457F7E"/>
    <w:rsid w:val="2C576226"/>
    <w:rsid w:val="2D061413"/>
    <w:rsid w:val="2E0C0EE9"/>
    <w:rsid w:val="2E3D6CA4"/>
    <w:rsid w:val="2E7C3545"/>
    <w:rsid w:val="2E824F5C"/>
    <w:rsid w:val="2EB35A8A"/>
    <w:rsid w:val="2F28730D"/>
    <w:rsid w:val="2FB12A1A"/>
    <w:rsid w:val="30310CEB"/>
    <w:rsid w:val="304862D7"/>
    <w:rsid w:val="30DA24F1"/>
    <w:rsid w:val="30E41C41"/>
    <w:rsid w:val="31033685"/>
    <w:rsid w:val="310959FE"/>
    <w:rsid w:val="3109732A"/>
    <w:rsid w:val="31421E08"/>
    <w:rsid w:val="31464ABB"/>
    <w:rsid w:val="315E5833"/>
    <w:rsid w:val="32080EDC"/>
    <w:rsid w:val="324E6866"/>
    <w:rsid w:val="32AB7EAB"/>
    <w:rsid w:val="32B71D27"/>
    <w:rsid w:val="32DB7156"/>
    <w:rsid w:val="32DE07F1"/>
    <w:rsid w:val="32E929A2"/>
    <w:rsid w:val="32F01EBB"/>
    <w:rsid w:val="33323300"/>
    <w:rsid w:val="33725A73"/>
    <w:rsid w:val="338527AA"/>
    <w:rsid w:val="33AD3470"/>
    <w:rsid w:val="33AE0711"/>
    <w:rsid w:val="33CF05AE"/>
    <w:rsid w:val="346D24B1"/>
    <w:rsid w:val="34777EA9"/>
    <w:rsid w:val="348573AD"/>
    <w:rsid w:val="34EA0013"/>
    <w:rsid w:val="35055D74"/>
    <w:rsid w:val="354B10C4"/>
    <w:rsid w:val="357E5409"/>
    <w:rsid w:val="35945D5F"/>
    <w:rsid w:val="35B3556B"/>
    <w:rsid w:val="35F5325E"/>
    <w:rsid w:val="360630CA"/>
    <w:rsid w:val="360A76FC"/>
    <w:rsid w:val="36940077"/>
    <w:rsid w:val="36E25529"/>
    <w:rsid w:val="371E73E3"/>
    <w:rsid w:val="37731B0B"/>
    <w:rsid w:val="37E81DE8"/>
    <w:rsid w:val="3848012E"/>
    <w:rsid w:val="39334160"/>
    <w:rsid w:val="39525C52"/>
    <w:rsid w:val="399A5E65"/>
    <w:rsid w:val="39A64D30"/>
    <w:rsid w:val="3A202424"/>
    <w:rsid w:val="3A49481A"/>
    <w:rsid w:val="3A4D09F5"/>
    <w:rsid w:val="3AF460F5"/>
    <w:rsid w:val="3B414471"/>
    <w:rsid w:val="3B6B584B"/>
    <w:rsid w:val="3B716D99"/>
    <w:rsid w:val="3B721C7C"/>
    <w:rsid w:val="3B99114B"/>
    <w:rsid w:val="3B9B0105"/>
    <w:rsid w:val="3BEA5380"/>
    <w:rsid w:val="3BEB3E6A"/>
    <w:rsid w:val="3BF35040"/>
    <w:rsid w:val="3C184ED4"/>
    <w:rsid w:val="3C3F24CA"/>
    <w:rsid w:val="3C5D7D9D"/>
    <w:rsid w:val="3CC95781"/>
    <w:rsid w:val="3D105F1B"/>
    <w:rsid w:val="3D1C54C3"/>
    <w:rsid w:val="3D621347"/>
    <w:rsid w:val="3D6C60E9"/>
    <w:rsid w:val="3D855C98"/>
    <w:rsid w:val="3DB27834"/>
    <w:rsid w:val="3E177369"/>
    <w:rsid w:val="3E5C4C18"/>
    <w:rsid w:val="3E7D0E01"/>
    <w:rsid w:val="3EC949BD"/>
    <w:rsid w:val="3F051B05"/>
    <w:rsid w:val="3F1D1FAD"/>
    <w:rsid w:val="3F4343E8"/>
    <w:rsid w:val="3FC0487B"/>
    <w:rsid w:val="3FCB42E0"/>
    <w:rsid w:val="3FF2193A"/>
    <w:rsid w:val="40140ADB"/>
    <w:rsid w:val="402F327A"/>
    <w:rsid w:val="405979F4"/>
    <w:rsid w:val="40890521"/>
    <w:rsid w:val="40895D14"/>
    <w:rsid w:val="40AC650D"/>
    <w:rsid w:val="40BA2B58"/>
    <w:rsid w:val="40CD5E20"/>
    <w:rsid w:val="410F7001"/>
    <w:rsid w:val="41B015F1"/>
    <w:rsid w:val="41C73588"/>
    <w:rsid w:val="41EC43CC"/>
    <w:rsid w:val="41FF695D"/>
    <w:rsid w:val="42AF2F7A"/>
    <w:rsid w:val="42D665BD"/>
    <w:rsid w:val="42F70CC1"/>
    <w:rsid w:val="435766B4"/>
    <w:rsid w:val="43821027"/>
    <w:rsid w:val="44024434"/>
    <w:rsid w:val="44C23006"/>
    <w:rsid w:val="44C6598F"/>
    <w:rsid w:val="44CE47ED"/>
    <w:rsid w:val="451B5739"/>
    <w:rsid w:val="452112A4"/>
    <w:rsid w:val="452C52BD"/>
    <w:rsid w:val="453578CB"/>
    <w:rsid w:val="454A2BAB"/>
    <w:rsid w:val="45755361"/>
    <w:rsid w:val="459308E1"/>
    <w:rsid w:val="45A93012"/>
    <w:rsid w:val="45D4644E"/>
    <w:rsid w:val="46550A34"/>
    <w:rsid w:val="46A072C4"/>
    <w:rsid w:val="46B72EB2"/>
    <w:rsid w:val="46E4791E"/>
    <w:rsid w:val="470B23FB"/>
    <w:rsid w:val="47A33F8A"/>
    <w:rsid w:val="4811052D"/>
    <w:rsid w:val="48552080"/>
    <w:rsid w:val="4883115E"/>
    <w:rsid w:val="488A5A4F"/>
    <w:rsid w:val="48C65C4C"/>
    <w:rsid w:val="48F33103"/>
    <w:rsid w:val="49114D9F"/>
    <w:rsid w:val="494F5588"/>
    <w:rsid w:val="499E6F1D"/>
    <w:rsid w:val="49C56F37"/>
    <w:rsid w:val="4A1A1AFC"/>
    <w:rsid w:val="4A1C7F69"/>
    <w:rsid w:val="4A2048F5"/>
    <w:rsid w:val="4A4A7BE5"/>
    <w:rsid w:val="4A4C0DA7"/>
    <w:rsid w:val="4A4F7BFE"/>
    <w:rsid w:val="4A693618"/>
    <w:rsid w:val="4A7345CA"/>
    <w:rsid w:val="4A83553B"/>
    <w:rsid w:val="4AA36DBB"/>
    <w:rsid w:val="4B315A79"/>
    <w:rsid w:val="4B3B7E79"/>
    <w:rsid w:val="4B4D7464"/>
    <w:rsid w:val="4B6232EC"/>
    <w:rsid w:val="4BC14EAA"/>
    <w:rsid w:val="4BE42260"/>
    <w:rsid w:val="4C050246"/>
    <w:rsid w:val="4C0B1AE7"/>
    <w:rsid w:val="4C0F23A4"/>
    <w:rsid w:val="4C120763"/>
    <w:rsid w:val="4C1677E9"/>
    <w:rsid w:val="4C6263AC"/>
    <w:rsid w:val="4D123B20"/>
    <w:rsid w:val="4D6A309D"/>
    <w:rsid w:val="4D9E31C3"/>
    <w:rsid w:val="4DB6655A"/>
    <w:rsid w:val="4DC108F4"/>
    <w:rsid w:val="4DC26600"/>
    <w:rsid w:val="4E010F87"/>
    <w:rsid w:val="4E0176F5"/>
    <w:rsid w:val="4E0D3F4C"/>
    <w:rsid w:val="4E15326A"/>
    <w:rsid w:val="4E414BB2"/>
    <w:rsid w:val="4E8E63A1"/>
    <w:rsid w:val="4ED24E8A"/>
    <w:rsid w:val="4ED75229"/>
    <w:rsid w:val="4ED84F0E"/>
    <w:rsid w:val="4EED06FD"/>
    <w:rsid w:val="4F0A4F22"/>
    <w:rsid w:val="4F2C4F1E"/>
    <w:rsid w:val="4F5624CB"/>
    <w:rsid w:val="4F690B11"/>
    <w:rsid w:val="4F8A3F4D"/>
    <w:rsid w:val="4FB467F9"/>
    <w:rsid w:val="4FD02F65"/>
    <w:rsid w:val="4FF32B52"/>
    <w:rsid w:val="4FFD0EF1"/>
    <w:rsid w:val="502D4F37"/>
    <w:rsid w:val="50FC115E"/>
    <w:rsid w:val="510D07DF"/>
    <w:rsid w:val="511A2283"/>
    <w:rsid w:val="51322974"/>
    <w:rsid w:val="516F1C65"/>
    <w:rsid w:val="519B28E7"/>
    <w:rsid w:val="524D5852"/>
    <w:rsid w:val="52594F0F"/>
    <w:rsid w:val="5282034B"/>
    <w:rsid w:val="52832C8D"/>
    <w:rsid w:val="528E13BC"/>
    <w:rsid w:val="52DB3A4A"/>
    <w:rsid w:val="52DC5D03"/>
    <w:rsid w:val="52E57CC3"/>
    <w:rsid w:val="5312550A"/>
    <w:rsid w:val="53667193"/>
    <w:rsid w:val="53D1543B"/>
    <w:rsid w:val="53DE69BF"/>
    <w:rsid w:val="53F73F0F"/>
    <w:rsid w:val="54113F0F"/>
    <w:rsid w:val="541A0F48"/>
    <w:rsid w:val="541C0D17"/>
    <w:rsid w:val="541E45C6"/>
    <w:rsid w:val="542A6641"/>
    <w:rsid w:val="544B130D"/>
    <w:rsid w:val="5452285E"/>
    <w:rsid w:val="54AB72C9"/>
    <w:rsid w:val="54C71FE7"/>
    <w:rsid w:val="54D44608"/>
    <w:rsid w:val="54D723E8"/>
    <w:rsid w:val="550721D5"/>
    <w:rsid w:val="553857AD"/>
    <w:rsid w:val="556F2AE4"/>
    <w:rsid w:val="55A47060"/>
    <w:rsid w:val="55AC636A"/>
    <w:rsid w:val="55C15CC7"/>
    <w:rsid w:val="55F3376F"/>
    <w:rsid w:val="563648E8"/>
    <w:rsid w:val="56A650A5"/>
    <w:rsid w:val="56B967C0"/>
    <w:rsid w:val="56BE67A9"/>
    <w:rsid w:val="56EE7782"/>
    <w:rsid w:val="571C57F3"/>
    <w:rsid w:val="57345015"/>
    <w:rsid w:val="576B0D91"/>
    <w:rsid w:val="57830686"/>
    <w:rsid w:val="57C96345"/>
    <w:rsid w:val="57CB6623"/>
    <w:rsid w:val="57D92384"/>
    <w:rsid w:val="57F17DFC"/>
    <w:rsid w:val="58020827"/>
    <w:rsid w:val="581808D2"/>
    <w:rsid w:val="585D27D8"/>
    <w:rsid w:val="58791C73"/>
    <w:rsid w:val="5889686F"/>
    <w:rsid w:val="58941028"/>
    <w:rsid w:val="58A44110"/>
    <w:rsid w:val="58A47FA0"/>
    <w:rsid w:val="58DE21CC"/>
    <w:rsid w:val="58E6455C"/>
    <w:rsid w:val="5927169E"/>
    <w:rsid w:val="5A21029D"/>
    <w:rsid w:val="5A3C11E6"/>
    <w:rsid w:val="5A540A70"/>
    <w:rsid w:val="5AA63E98"/>
    <w:rsid w:val="5B19039D"/>
    <w:rsid w:val="5B2616E5"/>
    <w:rsid w:val="5B3A4C3E"/>
    <w:rsid w:val="5B884B96"/>
    <w:rsid w:val="5BA557F4"/>
    <w:rsid w:val="5C9A78E6"/>
    <w:rsid w:val="5CA06501"/>
    <w:rsid w:val="5CDC7FDD"/>
    <w:rsid w:val="5D090FC9"/>
    <w:rsid w:val="5E112F6F"/>
    <w:rsid w:val="5E1455E7"/>
    <w:rsid w:val="5E4D291A"/>
    <w:rsid w:val="5E8E200D"/>
    <w:rsid w:val="5E9E54E7"/>
    <w:rsid w:val="5F7128AF"/>
    <w:rsid w:val="5FA2526B"/>
    <w:rsid w:val="5FAA3C47"/>
    <w:rsid w:val="5FB850F5"/>
    <w:rsid w:val="5FC12063"/>
    <w:rsid w:val="5FDC1404"/>
    <w:rsid w:val="5FF61953"/>
    <w:rsid w:val="600E54F4"/>
    <w:rsid w:val="606B09F8"/>
    <w:rsid w:val="607B75C7"/>
    <w:rsid w:val="60A827A3"/>
    <w:rsid w:val="60D51A59"/>
    <w:rsid w:val="60E82224"/>
    <w:rsid w:val="60F575C1"/>
    <w:rsid w:val="61147D5F"/>
    <w:rsid w:val="6141130F"/>
    <w:rsid w:val="61426DE4"/>
    <w:rsid w:val="61643B05"/>
    <w:rsid w:val="61793FFD"/>
    <w:rsid w:val="61B17DFE"/>
    <w:rsid w:val="61C20E69"/>
    <w:rsid w:val="62070A08"/>
    <w:rsid w:val="62847EA7"/>
    <w:rsid w:val="62DB637F"/>
    <w:rsid w:val="62FA10BA"/>
    <w:rsid w:val="62FD5017"/>
    <w:rsid w:val="63296CF6"/>
    <w:rsid w:val="634624B2"/>
    <w:rsid w:val="63532130"/>
    <w:rsid w:val="639E713F"/>
    <w:rsid w:val="63B77886"/>
    <w:rsid w:val="63C57EA5"/>
    <w:rsid w:val="63CF4BF3"/>
    <w:rsid w:val="63D615FE"/>
    <w:rsid w:val="640B7333"/>
    <w:rsid w:val="64582635"/>
    <w:rsid w:val="6469117D"/>
    <w:rsid w:val="64871562"/>
    <w:rsid w:val="649B069F"/>
    <w:rsid w:val="64AA3487"/>
    <w:rsid w:val="64EA7FB1"/>
    <w:rsid w:val="64EC6C5A"/>
    <w:rsid w:val="64F44E68"/>
    <w:rsid w:val="653D7AF3"/>
    <w:rsid w:val="655E7666"/>
    <w:rsid w:val="6569254B"/>
    <w:rsid w:val="658D3BDA"/>
    <w:rsid w:val="65A3724E"/>
    <w:rsid w:val="65B119A5"/>
    <w:rsid w:val="65F916BF"/>
    <w:rsid w:val="6622535F"/>
    <w:rsid w:val="663A6D90"/>
    <w:rsid w:val="66565CBE"/>
    <w:rsid w:val="670E76D1"/>
    <w:rsid w:val="67326007"/>
    <w:rsid w:val="67574E33"/>
    <w:rsid w:val="675C4146"/>
    <w:rsid w:val="67D77C44"/>
    <w:rsid w:val="68645048"/>
    <w:rsid w:val="6884286B"/>
    <w:rsid w:val="690459DC"/>
    <w:rsid w:val="690B7AFD"/>
    <w:rsid w:val="69404AFD"/>
    <w:rsid w:val="694F2539"/>
    <w:rsid w:val="69543567"/>
    <w:rsid w:val="6A6D318E"/>
    <w:rsid w:val="6A90444F"/>
    <w:rsid w:val="6A930078"/>
    <w:rsid w:val="6AFC4C50"/>
    <w:rsid w:val="6AFF6DD9"/>
    <w:rsid w:val="6B2031BA"/>
    <w:rsid w:val="6B274553"/>
    <w:rsid w:val="6B456FE3"/>
    <w:rsid w:val="6B6721F6"/>
    <w:rsid w:val="6B713444"/>
    <w:rsid w:val="6B7A60D6"/>
    <w:rsid w:val="6B9F6D44"/>
    <w:rsid w:val="6BF26F47"/>
    <w:rsid w:val="6C203A9A"/>
    <w:rsid w:val="6C385BB0"/>
    <w:rsid w:val="6C4A35E0"/>
    <w:rsid w:val="6CA6506C"/>
    <w:rsid w:val="6CB75CCD"/>
    <w:rsid w:val="6D2D26D4"/>
    <w:rsid w:val="6D425E8D"/>
    <w:rsid w:val="6D550E72"/>
    <w:rsid w:val="6D6F7597"/>
    <w:rsid w:val="6D85129E"/>
    <w:rsid w:val="6DA84871"/>
    <w:rsid w:val="6E411486"/>
    <w:rsid w:val="6E6602A3"/>
    <w:rsid w:val="6E9303C1"/>
    <w:rsid w:val="6EAE7221"/>
    <w:rsid w:val="6ECF03D4"/>
    <w:rsid w:val="6EEA4B30"/>
    <w:rsid w:val="6EEB1850"/>
    <w:rsid w:val="6F313CA3"/>
    <w:rsid w:val="6F9F7B2E"/>
    <w:rsid w:val="6FBE7937"/>
    <w:rsid w:val="6FC02C16"/>
    <w:rsid w:val="6FF6475E"/>
    <w:rsid w:val="70093B7A"/>
    <w:rsid w:val="70184EA3"/>
    <w:rsid w:val="7034508A"/>
    <w:rsid w:val="704C5807"/>
    <w:rsid w:val="70687850"/>
    <w:rsid w:val="707A1033"/>
    <w:rsid w:val="70CB53E1"/>
    <w:rsid w:val="70E45041"/>
    <w:rsid w:val="714E12CF"/>
    <w:rsid w:val="71561022"/>
    <w:rsid w:val="717604C9"/>
    <w:rsid w:val="71D25C98"/>
    <w:rsid w:val="71EC218B"/>
    <w:rsid w:val="71FD2A9C"/>
    <w:rsid w:val="7207078C"/>
    <w:rsid w:val="7209016D"/>
    <w:rsid w:val="722D38CE"/>
    <w:rsid w:val="72351C36"/>
    <w:rsid w:val="7259341C"/>
    <w:rsid w:val="728B00C1"/>
    <w:rsid w:val="734521A8"/>
    <w:rsid w:val="73707E67"/>
    <w:rsid w:val="73776F50"/>
    <w:rsid w:val="73E922BE"/>
    <w:rsid w:val="7402003C"/>
    <w:rsid w:val="741F0C23"/>
    <w:rsid w:val="743439CA"/>
    <w:rsid w:val="748F3308"/>
    <w:rsid w:val="74BC7F66"/>
    <w:rsid w:val="74DD127A"/>
    <w:rsid w:val="75260EE2"/>
    <w:rsid w:val="753143D7"/>
    <w:rsid w:val="753D1C2F"/>
    <w:rsid w:val="75686B98"/>
    <w:rsid w:val="75874327"/>
    <w:rsid w:val="7677072C"/>
    <w:rsid w:val="768317F7"/>
    <w:rsid w:val="76A00464"/>
    <w:rsid w:val="76A021B3"/>
    <w:rsid w:val="76B664D7"/>
    <w:rsid w:val="76E33575"/>
    <w:rsid w:val="76EB2B73"/>
    <w:rsid w:val="770B0914"/>
    <w:rsid w:val="77430656"/>
    <w:rsid w:val="775D41D3"/>
    <w:rsid w:val="77A33591"/>
    <w:rsid w:val="77D16924"/>
    <w:rsid w:val="77DA2952"/>
    <w:rsid w:val="7824651E"/>
    <w:rsid w:val="782C2784"/>
    <w:rsid w:val="78326601"/>
    <w:rsid w:val="78B9498D"/>
    <w:rsid w:val="797F7147"/>
    <w:rsid w:val="79913C40"/>
    <w:rsid w:val="79BE2A91"/>
    <w:rsid w:val="79CE1B3B"/>
    <w:rsid w:val="79F9757E"/>
    <w:rsid w:val="7A0F0FE1"/>
    <w:rsid w:val="7A0F2CA6"/>
    <w:rsid w:val="7A6634A8"/>
    <w:rsid w:val="7A697D45"/>
    <w:rsid w:val="7A992CC0"/>
    <w:rsid w:val="7AB031CF"/>
    <w:rsid w:val="7B3A50B0"/>
    <w:rsid w:val="7B8B2C1D"/>
    <w:rsid w:val="7BCA3B47"/>
    <w:rsid w:val="7BD020E4"/>
    <w:rsid w:val="7BDE06A1"/>
    <w:rsid w:val="7C01614C"/>
    <w:rsid w:val="7D12020E"/>
    <w:rsid w:val="7D2F0819"/>
    <w:rsid w:val="7D2F33BE"/>
    <w:rsid w:val="7D793C28"/>
    <w:rsid w:val="7D8C0F6F"/>
    <w:rsid w:val="7E517338"/>
    <w:rsid w:val="7E9771C1"/>
    <w:rsid w:val="7EB604BE"/>
    <w:rsid w:val="7EC33344"/>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qFormat/>
    <w:uiPriority w:val="0"/>
    <w:tblPr>
      <w:tblCellMar>
        <w:top w:w="0" w:type="dxa"/>
        <w:left w:w="0" w:type="dxa"/>
        <w:bottom w:w="0" w:type="dxa"/>
        <w:right w:w="0" w:type="dxa"/>
      </w:tblCellMar>
    </w:tblPr>
  </w:style>
  <w:style w:type="character" w:customStyle="1" w:styleId="36">
    <w:name w:val="批注框文本 Char"/>
    <w:basedOn w:val="16"/>
    <w:link w:val="8"/>
    <w:qFormat/>
    <w:uiPriority w:val="0"/>
    <w:rPr>
      <w:rFonts w:ascii="宋体" w:hAnsi="宋体" w:cs="宋体"/>
      <w:sz w:val="18"/>
      <w:szCs w:val="18"/>
      <w:lang w:eastAsia="en-US"/>
    </w:rPr>
  </w:style>
  <w:style w:type="paragraph" w:customStyle="1" w:styleId="37">
    <w:name w:val="安为康一级标题"/>
    <w:basedOn w:val="1"/>
    <w:next w:val="1"/>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autoRedefine/>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paragraph" w:customStyle="1" w:styleId="39">
    <w:name w:val="正文1"/>
    <w:qFormat/>
    <w:uiPriority w:val="0"/>
    <w:rPr>
      <w:rFonts w:ascii="Times New Roman" w:hAnsi="Times New Roman" w:eastAsia="宋体"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6013</Words>
  <Characters>17746</Characters>
  <Lines>395</Lines>
  <Paragraphs>111</Paragraphs>
  <TotalTime>0</TotalTime>
  <ScaleCrop>false</ScaleCrop>
  <LinksUpToDate>false</LinksUpToDate>
  <CharactersWithSpaces>19624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2024-06-14T03:56:43Z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0ADA123E8FBD4FB5BAD3A36DC0A6751C</vt:lpwstr>
  </property>
</Properties>
</file>